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259F" w:rsidRDefault="00E3259F" w:rsidP="00E3259F">
      <w:pPr>
        <w:spacing w:line="360" w:lineRule="auto"/>
        <w:jc w:val="center"/>
        <w:rPr>
          <w:color w:val="000000"/>
          <w:sz w:val="28"/>
          <w:szCs w:val="28"/>
          <w:lang w:val="uk-UA" w:eastAsia="uk-UA"/>
        </w:rPr>
      </w:pPr>
      <w:bookmarkStart w:id="0" w:name="_GoBack"/>
      <w:bookmarkEnd w:id="0"/>
      <w:r>
        <w:rPr>
          <w:color w:val="000000"/>
          <w:sz w:val="28"/>
          <w:szCs w:val="28"/>
          <w:lang w:val="uk-UA" w:eastAsia="uk-UA"/>
        </w:rPr>
        <w:t>ХАРКІВСЬКИЙ НАЦІОНАЛЬНИЙ МЕДИЧНИЙ УНІВЕРСИТЕТ,</w:t>
      </w:r>
    </w:p>
    <w:p w:rsidR="00E3259F" w:rsidRDefault="00E3259F" w:rsidP="00E3259F">
      <w:pPr>
        <w:spacing w:line="360" w:lineRule="auto"/>
        <w:jc w:val="center"/>
        <w:rPr>
          <w:color w:val="000000"/>
          <w:sz w:val="28"/>
          <w:szCs w:val="28"/>
          <w:lang w:val="uk-UA" w:eastAsia="uk-UA"/>
        </w:rPr>
      </w:pPr>
      <w:r>
        <w:rPr>
          <w:color w:val="000000"/>
          <w:sz w:val="28"/>
          <w:szCs w:val="28"/>
          <w:lang w:val="uk-UA" w:eastAsia="uk-UA"/>
        </w:rPr>
        <w:t>МІНІСТЕРСТВО ОХОРОНИ ЗДОРОВ’Я УКРАЇНИ</w:t>
      </w:r>
    </w:p>
    <w:p w:rsidR="00E3259F" w:rsidRDefault="00E3259F" w:rsidP="00E3259F">
      <w:pPr>
        <w:spacing w:line="360" w:lineRule="auto"/>
        <w:jc w:val="center"/>
        <w:rPr>
          <w:color w:val="000000"/>
          <w:sz w:val="28"/>
          <w:szCs w:val="28"/>
          <w:lang w:val="uk-UA" w:eastAsia="uk-UA"/>
        </w:rPr>
      </w:pPr>
      <w:r>
        <w:rPr>
          <w:color w:val="000000"/>
          <w:sz w:val="28"/>
          <w:szCs w:val="28"/>
          <w:lang w:val="uk-UA" w:eastAsia="uk-UA"/>
        </w:rPr>
        <w:t>ХАРКІВСЬКИЙ НАЦІОНАЛЬНИЙ МЕДИЧНИЙ УНІВЕРСИТЕТ,</w:t>
      </w:r>
    </w:p>
    <w:p w:rsidR="00E3259F" w:rsidRDefault="00E3259F" w:rsidP="00E3259F">
      <w:pPr>
        <w:spacing w:line="360" w:lineRule="auto"/>
        <w:jc w:val="center"/>
        <w:rPr>
          <w:color w:val="000000"/>
          <w:sz w:val="28"/>
          <w:szCs w:val="28"/>
          <w:lang w:val="uk-UA" w:eastAsia="uk-UA"/>
        </w:rPr>
      </w:pPr>
      <w:r>
        <w:rPr>
          <w:color w:val="000000"/>
          <w:sz w:val="28"/>
          <w:szCs w:val="28"/>
          <w:lang w:val="uk-UA" w:eastAsia="uk-UA"/>
        </w:rPr>
        <w:t>МІНІСТЕРСТВО ОХОРОНИ ЗДОРОВ’Я УКРАЇНИ</w:t>
      </w:r>
    </w:p>
    <w:p w:rsidR="00E3259F" w:rsidRDefault="00E3259F" w:rsidP="00E3259F">
      <w:pPr>
        <w:spacing w:line="360" w:lineRule="auto"/>
        <w:ind w:firstLine="6237"/>
        <w:rPr>
          <w:color w:val="000000"/>
          <w:sz w:val="28"/>
          <w:szCs w:val="28"/>
          <w:lang w:val="uk-UA" w:eastAsia="uk-UA"/>
        </w:rPr>
      </w:pPr>
    </w:p>
    <w:p w:rsidR="00E3259F" w:rsidRDefault="00E3259F" w:rsidP="00E3259F">
      <w:pPr>
        <w:spacing w:line="360" w:lineRule="auto"/>
        <w:ind w:firstLine="6237"/>
        <w:rPr>
          <w:color w:val="000000"/>
          <w:sz w:val="28"/>
          <w:szCs w:val="28"/>
          <w:lang w:val="uk-UA" w:eastAsia="uk-UA"/>
        </w:rPr>
      </w:pPr>
      <w:r>
        <w:rPr>
          <w:color w:val="000000"/>
          <w:sz w:val="28"/>
          <w:szCs w:val="28"/>
          <w:lang w:val="uk-UA" w:eastAsia="uk-UA"/>
        </w:rPr>
        <w:t xml:space="preserve">Кваліфікаційна наукова </w:t>
      </w:r>
    </w:p>
    <w:p w:rsidR="00E3259F" w:rsidRDefault="00E3259F" w:rsidP="00E3259F">
      <w:pPr>
        <w:spacing w:line="360" w:lineRule="auto"/>
        <w:ind w:firstLine="6237"/>
        <w:rPr>
          <w:color w:val="000000"/>
          <w:sz w:val="28"/>
          <w:szCs w:val="28"/>
          <w:lang w:val="uk-UA" w:eastAsia="uk-UA"/>
        </w:rPr>
      </w:pPr>
      <w:r>
        <w:rPr>
          <w:color w:val="000000"/>
          <w:sz w:val="28"/>
          <w:szCs w:val="28"/>
          <w:lang w:val="uk-UA" w:eastAsia="uk-UA"/>
        </w:rPr>
        <w:t>праця на правах рукопису</w:t>
      </w:r>
    </w:p>
    <w:p w:rsidR="00E3259F" w:rsidRDefault="00E3259F" w:rsidP="00E3259F">
      <w:pPr>
        <w:spacing w:line="360" w:lineRule="auto"/>
        <w:jc w:val="center"/>
        <w:rPr>
          <w:color w:val="000000"/>
          <w:sz w:val="28"/>
          <w:szCs w:val="28"/>
          <w:lang w:val="uk-UA" w:eastAsia="uk-UA"/>
        </w:rPr>
      </w:pPr>
    </w:p>
    <w:p w:rsidR="00E3259F" w:rsidRDefault="00E3259F" w:rsidP="00E3259F">
      <w:pPr>
        <w:spacing w:line="360" w:lineRule="auto"/>
        <w:jc w:val="center"/>
        <w:rPr>
          <w:color w:val="000000"/>
          <w:sz w:val="28"/>
          <w:szCs w:val="28"/>
          <w:lang w:val="uk-UA" w:eastAsia="uk-UA"/>
        </w:rPr>
      </w:pPr>
      <w:r>
        <w:rPr>
          <w:color w:val="000000"/>
          <w:sz w:val="28"/>
          <w:szCs w:val="28"/>
          <w:lang w:val="uk-UA" w:eastAsia="uk-UA"/>
        </w:rPr>
        <w:t>Немцова Валерія Даниілівна</w:t>
      </w:r>
    </w:p>
    <w:p w:rsidR="00E3259F" w:rsidRDefault="00E3259F" w:rsidP="00E3259F">
      <w:pPr>
        <w:spacing w:line="360" w:lineRule="auto"/>
        <w:jc w:val="center"/>
        <w:rPr>
          <w:color w:val="000000"/>
          <w:sz w:val="28"/>
          <w:szCs w:val="28"/>
          <w:shd w:val="clear" w:color="auto" w:fill="FFFFFF"/>
          <w:lang w:val="uk-UA"/>
        </w:rPr>
      </w:pPr>
      <w:r>
        <w:rPr>
          <w:color w:val="000000"/>
          <w:sz w:val="28"/>
          <w:szCs w:val="28"/>
          <w:shd w:val="clear" w:color="auto" w:fill="FFFFFF"/>
          <w:lang w:val="uk-UA"/>
        </w:rPr>
        <w:t>УДК: 616.12-008.331.1+616.379-008.64+616.441-008.64]-092-037</w:t>
      </w:r>
    </w:p>
    <w:p w:rsidR="00E3259F" w:rsidRDefault="00E3259F" w:rsidP="00E3259F">
      <w:pPr>
        <w:spacing w:line="360" w:lineRule="auto"/>
        <w:jc w:val="center"/>
        <w:rPr>
          <w:b/>
          <w:color w:val="000000"/>
          <w:sz w:val="28"/>
          <w:szCs w:val="28"/>
          <w:lang w:val="uk-UA" w:eastAsia="uk-UA"/>
        </w:rPr>
      </w:pPr>
    </w:p>
    <w:p w:rsidR="00E3259F" w:rsidRDefault="00E3259F" w:rsidP="00E3259F">
      <w:pPr>
        <w:spacing w:line="360" w:lineRule="auto"/>
        <w:jc w:val="center"/>
        <w:rPr>
          <w:color w:val="000000"/>
          <w:sz w:val="28"/>
          <w:szCs w:val="28"/>
          <w:lang w:val="uk-UA" w:eastAsia="uk-UA"/>
        </w:rPr>
      </w:pPr>
      <w:r>
        <w:rPr>
          <w:b/>
          <w:color w:val="000000"/>
          <w:sz w:val="28"/>
          <w:szCs w:val="28"/>
          <w:lang w:val="uk-UA" w:eastAsia="uk-UA"/>
        </w:rPr>
        <w:t>ДИСЕРТАЦІЯ</w:t>
      </w:r>
    </w:p>
    <w:p w:rsidR="00E3259F" w:rsidRDefault="00E3259F" w:rsidP="00E3259F">
      <w:pPr>
        <w:ind w:firstLine="709"/>
        <w:jc w:val="center"/>
        <w:rPr>
          <w:sz w:val="28"/>
          <w:szCs w:val="28"/>
          <w:lang w:val="uk-UA"/>
        </w:rPr>
      </w:pPr>
      <w:r>
        <w:rPr>
          <w:rStyle w:val="hps"/>
          <w:rFonts w:eastAsiaTheme="majorEastAsia"/>
          <w:sz w:val="28"/>
          <w:szCs w:val="28"/>
          <w:lang w:val="uk-UA"/>
        </w:rPr>
        <w:t>«Клініко</w:t>
      </w:r>
      <w:r>
        <w:rPr>
          <w:rStyle w:val="atn"/>
          <w:rFonts w:eastAsiaTheme="majorEastAsia"/>
          <w:sz w:val="28"/>
          <w:szCs w:val="28"/>
          <w:lang w:val="uk-UA"/>
        </w:rPr>
        <w:t>-</w:t>
      </w:r>
      <w:r>
        <w:rPr>
          <w:sz w:val="28"/>
          <w:szCs w:val="28"/>
          <w:lang w:val="uk-UA"/>
        </w:rPr>
        <w:t xml:space="preserve">патогенетичні </w:t>
      </w:r>
      <w:r>
        <w:rPr>
          <w:rStyle w:val="hps"/>
          <w:rFonts w:eastAsiaTheme="majorEastAsia"/>
          <w:sz w:val="28"/>
          <w:szCs w:val="28"/>
          <w:lang w:val="uk-UA"/>
        </w:rPr>
        <w:t>та</w:t>
      </w:r>
      <w:r>
        <w:rPr>
          <w:sz w:val="28"/>
          <w:szCs w:val="28"/>
          <w:lang w:val="uk-UA"/>
        </w:rPr>
        <w:t xml:space="preserve"> </w:t>
      </w:r>
      <w:r>
        <w:rPr>
          <w:rStyle w:val="hps"/>
          <w:rFonts w:eastAsiaTheme="majorEastAsia"/>
          <w:sz w:val="28"/>
          <w:szCs w:val="28"/>
          <w:lang w:val="uk-UA"/>
        </w:rPr>
        <w:t>прогностичні</w:t>
      </w:r>
      <w:r>
        <w:rPr>
          <w:sz w:val="28"/>
          <w:szCs w:val="28"/>
          <w:lang w:val="uk-UA"/>
        </w:rPr>
        <w:t xml:space="preserve"> </w:t>
      </w:r>
      <w:r>
        <w:rPr>
          <w:rStyle w:val="hps"/>
          <w:rFonts w:eastAsiaTheme="majorEastAsia"/>
          <w:sz w:val="28"/>
          <w:szCs w:val="28"/>
          <w:lang w:val="uk-UA"/>
        </w:rPr>
        <w:t>аспекти</w:t>
      </w:r>
      <w:r>
        <w:rPr>
          <w:sz w:val="28"/>
          <w:szCs w:val="28"/>
          <w:lang w:val="uk-UA"/>
        </w:rPr>
        <w:t xml:space="preserve"> </w:t>
      </w:r>
      <w:r>
        <w:rPr>
          <w:rStyle w:val="hps"/>
          <w:rFonts w:eastAsiaTheme="majorEastAsia"/>
          <w:sz w:val="28"/>
          <w:szCs w:val="28"/>
          <w:lang w:val="uk-UA"/>
        </w:rPr>
        <w:t>поєднаного перебігу</w:t>
      </w:r>
      <w:r>
        <w:rPr>
          <w:sz w:val="28"/>
          <w:szCs w:val="28"/>
          <w:lang w:val="uk-UA"/>
        </w:rPr>
        <w:t xml:space="preserve"> гіпертонічної хвороби </w:t>
      </w:r>
      <w:r>
        <w:rPr>
          <w:rStyle w:val="hps"/>
          <w:rFonts w:eastAsiaTheme="majorEastAsia"/>
          <w:sz w:val="28"/>
          <w:szCs w:val="28"/>
          <w:lang w:val="uk-UA"/>
        </w:rPr>
        <w:t>з</w:t>
      </w:r>
      <w:r>
        <w:rPr>
          <w:sz w:val="28"/>
          <w:szCs w:val="28"/>
          <w:lang w:val="uk-UA"/>
        </w:rPr>
        <w:t xml:space="preserve"> </w:t>
      </w:r>
      <w:r>
        <w:rPr>
          <w:rStyle w:val="hps"/>
          <w:rFonts w:eastAsiaTheme="majorEastAsia"/>
          <w:sz w:val="28"/>
          <w:szCs w:val="28"/>
          <w:lang w:val="uk-UA"/>
        </w:rPr>
        <w:t>цукровим</w:t>
      </w:r>
      <w:r>
        <w:rPr>
          <w:sz w:val="28"/>
          <w:szCs w:val="28"/>
          <w:lang w:val="uk-UA"/>
        </w:rPr>
        <w:t xml:space="preserve"> </w:t>
      </w:r>
      <w:r>
        <w:rPr>
          <w:rStyle w:val="hps"/>
          <w:rFonts w:eastAsiaTheme="majorEastAsia"/>
          <w:sz w:val="28"/>
          <w:szCs w:val="28"/>
          <w:lang w:val="uk-UA"/>
        </w:rPr>
        <w:t>діабетом</w:t>
      </w:r>
      <w:r>
        <w:rPr>
          <w:sz w:val="28"/>
          <w:szCs w:val="28"/>
          <w:lang w:val="uk-UA"/>
        </w:rPr>
        <w:t xml:space="preserve"> </w:t>
      </w:r>
      <w:r>
        <w:rPr>
          <w:rStyle w:val="hps"/>
          <w:rFonts w:eastAsiaTheme="majorEastAsia"/>
          <w:sz w:val="28"/>
          <w:szCs w:val="28"/>
          <w:lang w:val="uk-UA"/>
        </w:rPr>
        <w:t>2</w:t>
      </w:r>
      <w:r>
        <w:rPr>
          <w:sz w:val="28"/>
          <w:szCs w:val="28"/>
          <w:lang w:val="uk-UA"/>
        </w:rPr>
        <w:t xml:space="preserve"> </w:t>
      </w:r>
      <w:r>
        <w:rPr>
          <w:rStyle w:val="hps"/>
          <w:rFonts w:eastAsiaTheme="majorEastAsia"/>
          <w:sz w:val="28"/>
          <w:szCs w:val="28"/>
          <w:lang w:val="uk-UA"/>
        </w:rPr>
        <w:t>типу</w:t>
      </w:r>
      <w:r>
        <w:rPr>
          <w:sz w:val="28"/>
          <w:szCs w:val="28"/>
          <w:lang w:val="uk-UA"/>
        </w:rPr>
        <w:t xml:space="preserve"> </w:t>
      </w:r>
      <w:r>
        <w:rPr>
          <w:rStyle w:val="hps"/>
          <w:rFonts w:eastAsiaTheme="majorEastAsia"/>
          <w:sz w:val="28"/>
          <w:szCs w:val="28"/>
          <w:lang w:val="uk-UA"/>
        </w:rPr>
        <w:t>та субклінічним гіпотиреозом</w:t>
      </w:r>
      <w:r>
        <w:rPr>
          <w:sz w:val="28"/>
          <w:szCs w:val="28"/>
          <w:lang w:val="uk-UA"/>
        </w:rPr>
        <w:t>»</w:t>
      </w:r>
    </w:p>
    <w:p w:rsidR="00E3259F" w:rsidRDefault="00E3259F" w:rsidP="00E3259F">
      <w:pPr>
        <w:pStyle w:val="a4"/>
        <w:spacing w:after="200" w:line="276" w:lineRule="auto"/>
        <w:ind w:left="0" w:firstLine="709"/>
        <w:rPr>
          <w:sz w:val="28"/>
          <w:szCs w:val="28"/>
          <w:lang w:val="uk-UA" w:eastAsia="uk-UA"/>
        </w:rPr>
      </w:pPr>
    </w:p>
    <w:p w:rsidR="00E3259F" w:rsidRDefault="00E3259F" w:rsidP="00E3259F">
      <w:pPr>
        <w:spacing w:line="360" w:lineRule="auto"/>
        <w:jc w:val="center"/>
        <w:rPr>
          <w:color w:val="000000"/>
          <w:sz w:val="28"/>
          <w:szCs w:val="28"/>
          <w:lang w:val="uk-UA" w:eastAsia="uk-UA"/>
        </w:rPr>
      </w:pPr>
      <w:r>
        <w:rPr>
          <w:color w:val="000000"/>
          <w:sz w:val="28"/>
          <w:szCs w:val="28"/>
          <w:lang w:val="uk-UA" w:eastAsia="uk-UA"/>
        </w:rPr>
        <w:t>14.01.02 – внутрішні хвороби</w:t>
      </w:r>
    </w:p>
    <w:p w:rsidR="00E3259F" w:rsidRDefault="00E3259F" w:rsidP="00E3259F">
      <w:pPr>
        <w:spacing w:line="360" w:lineRule="auto"/>
        <w:ind w:firstLine="708"/>
        <w:rPr>
          <w:color w:val="000000"/>
          <w:sz w:val="28"/>
          <w:szCs w:val="28"/>
          <w:lang w:val="uk-UA" w:eastAsia="uk-UA"/>
        </w:rPr>
      </w:pPr>
    </w:p>
    <w:p w:rsidR="00E3259F" w:rsidRDefault="00E3259F" w:rsidP="00E3259F">
      <w:pPr>
        <w:spacing w:line="360" w:lineRule="auto"/>
        <w:ind w:firstLine="708"/>
        <w:rPr>
          <w:color w:val="000000"/>
          <w:sz w:val="28"/>
          <w:szCs w:val="28"/>
          <w:lang w:val="uk-UA" w:eastAsia="uk-UA"/>
        </w:rPr>
      </w:pPr>
      <w:r>
        <w:rPr>
          <w:color w:val="000000"/>
          <w:sz w:val="28"/>
          <w:szCs w:val="28"/>
          <w:lang w:val="uk-UA" w:eastAsia="uk-UA"/>
        </w:rPr>
        <w:t>Подається на здобуття наукового ступеня доктора медичних наук</w:t>
      </w:r>
    </w:p>
    <w:p w:rsidR="00E3259F" w:rsidRDefault="00E3259F" w:rsidP="00E3259F">
      <w:pPr>
        <w:spacing w:line="360" w:lineRule="auto"/>
        <w:ind w:right="140"/>
        <w:jc w:val="both"/>
        <w:rPr>
          <w:color w:val="000000"/>
          <w:sz w:val="28"/>
          <w:szCs w:val="28"/>
          <w:lang w:val="uk-UA" w:eastAsia="uk-UA"/>
        </w:rPr>
      </w:pPr>
    </w:p>
    <w:p w:rsidR="00E3259F" w:rsidRDefault="00E3259F" w:rsidP="00E3259F">
      <w:pPr>
        <w:spacing w:line="360" w:lineRule="auto"/>
        <w:ind w:right="140"/>
        <w:jc w:val="both"/>
        <w:rPr>
          <w:color w:val="000000"/>
          <w:sz w:val="28"/>
          <w:szCs w:val="28"/>
          <w:lang w:val="uk-UA" w:eastAsia="uk-UA"/>
        </w:rPr>
      </w:pPr>
      <w:r>
        <w:rPr>
          <w:color w:val="000000"/>
          <w:sz w:val="28"/>
          <w:szCs w:val="28"/>
          <w:lang w:val="uk-UA" w:eastAsia="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___________________________В.Д.Немцова</w:t>
      </w:r>
    </w:p>
    <w:p w:rsidR="00E3259F" w:rsidRDefault="00E3259F" w:rsidP="00E3259F">
      <w:pPr>
        <w:spacing w:line="360" w:lineRule="auto"/>
        <w:jc w:val="both"/>
        <w:rPr>
          <w:color w:val="000000"/>
          <w:sz w:val="28"/>
          <w:szCs w:val="28"/>
          <w:lang w:val="uk-UA" w:eastAsia="uk-UA"/>
        </w:rPr>
      </w:pPr>
    </w:p>
    <w:p w:rsidR="00E3259F" w:rsidRDefault="00E3259F" w:rsidP="00E3259F">
      <w:pPr>
        <w:spacing w:line="360" w:lineRule="auto"/>
        <w:jc w:val="both"/>
        <w:rPr>
          <w:color w:val="000000"/>
          <w:sz w:val="28"/>
          <w:szCs w:val="28"/>
          <w:lang w:val="uk-UA" w:eastAsia="uk-UA"/>
        </w:rPr>
      </w:pPr>
      <w:r>
        <w:rPr>
          <w:color w:val="000000"/>
          <w:sz w:val="28"/>
          <w:szCs w:val="28"/>
          <w:lang w:val="uk-UA" w:eastAsia="uk-UA"/>
        </w:rPr>
        <w:t>Науковий консультант Біловол Олександр Миколайович, академік НАМН України, доктор медичних наук, професор</w:t>
      </w:r>
    </w:p>
    <w:p w:rsidR="00E3259F" w:rsidRDefault="00E3259F" w:rsidP="00E3259F">
      <w:pPr>
        <w:keepNext/>
        <w:keepLines/>
        <w:numPr>
          <w:ilvl w:val="0"/>
          <w:numId w:val="2"/>
        </w:numPr>
        <w:spacing w:line="360" w:lineRule="auto"/>
        <w:ind w:hanging="432"/>
        <w:jc w:val="center"/>
        <w:outlineLvl w:val="0"/>
        <w:rPr>
          <w:b/>
          <w:color w:val="000000"/>
          <w:sz w:val="28"/>
          <w:szCs w:val="28"/>
          <w:lang w:val="uk-UA" w:eastAsia="uk-UA"/>
        </w:rPr>
      </w:pPr>
    </w:p>
    <w:p w:rsidR="00E3259F" w:rsidRDefault="00E3259F" w:rsidP="00E3259F">
      <w:pPr>
        <w:keepNext/>
        <w:keepLines/>
        <w:numPr>
          <w:ilvl w:val="0"/>
          <w:numId w:val="2"/>
        </w:numPr>
        <w:spacing w:line="360" w:lineRule="auto"/>
        <w:ind w:hanging="432"/>
        <w:jc w:val="center"/>
        <w:outlineLvl w:val="0"/>
        <w:rPr>
          <w:b/>
          <w:color w:val="000000"/>
          <w:sz w:val="28"/>
          <w:szCs w:val="28"/>
          <w:lang w:val="uk-UA" w:eastAsia="uk-UA"/>
        </w:rPr>
      </w:pPr>
      <w:r>
        <w:rPr>
          <w:color w:val="000000"/>
          <w:sz w:val="28"/>
          <w:szCs w:val="28"/>
          <w:lang w:val="uk-UA" w:eastAsia="uk-UA"/>
        </w:rPr>
        <w:t>м. Харків – 2020</w:t>
      </w:r>
    </w:p>
    <w:p w:rsidR="00E3259F" w:rsidRDefault="00E3259F" w:rsidP="00E3259F">
      <w:pPr>
        <w:keepNext/>
        <w:keepLines/>
        <w:numPr>
          <w:ilvl w:val="0"/>
          <w:numId w:val="2"/>
        </w:numPr>
        <w:spacing w:line="360" w:lineRule="auto"/>
        <w:ind w:hanging="432"/>
        <w:jc w:val="center"/>
        <w:outlineLvl w:val="0"/>
        <w:rPr>
          <w:b/>
          <w:color w:val="000000"/>
          <w:sz w:val="28"/>
          <w:szCs w:val="28"/>
          <w:lang w:val="uk-UA" w:eastAsia="uk-UA"/>
        </w:rPr>
      </w:pPr>
    </w:p>
    <w:p w:rsidR="00E3259F" w:rsidRDefault="00E3259F" w:rsidP="005F63EC">
      <w:pPr>
        <w:spacing w:line="360" w:lineRule="auto"/>
        <w:rPr>
          <w:sz w:val="28"/>
          <w:szCs w:val="28"/>
          <w:lang w:val="uk-UA"/>
        </w:rPr>
      </w:pPr>
    </w:p>
    <w:p w:rsidR="005F63EC" w:rsidRDefault="005F63EC" w:rsidP="005F63EC">
      <w:pPr>
        <w:spacing w:line="360" w:lineRule="auto"/>
        <w:ind w:firstLine="709"/>
        <w:jc w:val="center"/>
        <w:rPr>
          <w:b/>
          <w:sz w:val="28"/>
          <w:szCs w:val="28"/>
          <w:lang w:val="uk-UA"/>
        </w:rPr>
      </w:pPr>
    </w:p>
    <w:p w:rsidR="00E3259F" w:rsidRDefault="00E3259F" w:rsidP="005F63EC">
      <w:pPr>
        <w:spacing w:line="360" w:lineRule="auto"/>
        <w:ind w:firstLine="709"/>
        <w:jc w:val="center"/>
        <w:rPr>
          <w:b/>
          <w:sz w:val="28"/>
          <w:szCs w:val="28"/>
          <w:lang w:val="uk-UA"/>
        </w:rPr>
      </w:pPr>
      <w:r>
        <w:rPr>
          <w:b/>
          <w:sz w:val="28"/>
          <w:szCs w:val="28"/>
          <w:lang w:val="uk-UA"/>
        </w:rPr>
        <w:lastRenderedPageBreak/>
        <w:t>АНОТАЦІЯ</w:t>
      </w:r>
    </w:p>
    <w:p w:rsidR="00E3259F" w:rsidRPr="005F63EC" w:rsidRDefault="00E3259F" w:rsidP="005F63EC">
      <w:pPr>
        <w:spacing w:line="360" w:lineRule="auto"/>
        <w:ind w:firstLine="709"/>
        <w:jc w:val="both"/>
        <w:rPr>
          <w:sz w:val="28"/>
          <w:szCs w:val="28"/>
          <w:lang w:val="uk-UA"/>
        </w:rPr>
      </w:pPr>
      <w:r w:rsidRPr="005F63EC">
        <w:rPr>
          <w:i/>
          <w:sz w:val="28"/>
          <w:szCs w:val="28"/>
          <w:lang w:val="uk-UA"/>
        </w:rPr>
        <w:t>Немцова В.Д.</w:t>
      </w:r>
      <w:r w:rsidRPr="005F63EC">
        <w:rPr>
          <w:rStyle w:val="hps"/>
          <w:rFonts w:eastAsiaTheme="majorEastAsia"/>
          <w:b/>
          <w:sz w:val="28"/>
          <w:szCs w:val="28"/>
          <w:lang w:val="uk-UA"/>
        </w:rPr>
        <w:t xml:space="preserve"> «</w:t>
      </w:r>
      <w:r w:rsidRPr="005F63EC">
        <w:rPr>
          <w:rStyle w:val="hps"/>
          <w:rFonts w:eastAsiaTheme="majorEastAsia"/>
          <w:sz w:val="28"/>
          <w:szCs w:val="28"/>
          <w:lang w:val="uk-UA"/>
        </w:rPr>
        <w:t>Клініко</w:t>
      </w:r>
      <w:r w:rsidRPr="005F63EC">
        <w:rPr>
          <w:rStyle w:val="atn"/>
          <w:sz w:val="28"/>
          <w:szCs w:val="28"/>
          <w:lang w:val="uk-UA"/>
        </w:rPr>
        <w:t>-</w:t>
      </w:r>
      <w:r w:rsidRPr="005F63EC">
        <w:rPr>
          <w:sz w:val="28"/>
          <w:szCs w:val="28"/>
          <w:lang w:val="uk-UA"/>
        </w:rPr>
        <w:t xml:space="preserve">патогенетичні </w:t>
      </w:r>
      <w:r w:rsidRPr="005F63EC">
        <w:rPr>
          <w:rStyle w:val="hps"/>
          <w:rFonts w:eastAsiaTheme="majorEastAsia"/>
          <w:sz w:val="28"/>
          <w:szCs w:val="28"/>
          <w:lang w:val="uk-UA"/>
        </w:rPr>
        <w:t>та</w:t>
      </w:r>
      <w:r w:rsidRPr="005F63EC">
        <w:rPr>
          <w:sz w:val="28"/>
          <w:szCs w:val="28"/>
          <w:lang w:val="uk-UA"/>
        </w:rPr>
        <w:t xml:space="preserve"> </w:t>
      </w:r>
      <w:r w:rsidRPr="005F63EC">
        <w:rPr>
          <w:rStyle w:val="hps"/>
          <w:rFonts w:eastAsiaTheme="majorEastAsia"/>
          <w:sz w:val="28"/>
          <w:szCs w:val="28"/>
          <w:lang w:val="uk-UA"/>
        </w:rPr>
        <w:t>прогностичні</w:t>
      </w:r>
      <w:r w:rsidRPr="005F63EC">
        <w:rPr>
          <w:sz w:val="28"/>
          <w:szCs w:val="28"/>
          <w:lang w:val="uk-UA"/>
        </w:rPr>
        <w:t xml:space="preserve"> </w:t>
      </w:r>
      <w:r w:rsidRPr="005F63EC">
        <w:rPr>
          <w:rStyle w:val="hps"/>
          <w:rFonts w:eastAsiaTheme="majorEastAsia"/>
          <w:sz w:val="28"/>
          <w:szCs w:val="28"/>
          <w:lang w:val="uk-UA"/>
        </w:rPr>
        <w:t>аспекти</w:t>
      </w:r>
      <w:r w:rsidRPr="005F63EC">
        <w:rPr>
          <w:sz w:val="28"/>
          <w:szCs w:val="28"/>
          <w:lang w:val="uk-UA"/>
        </w:rPr>
        <w:t xml:space="preserve"> </w:t>
      </w:r>
      <w:r w:rsidRPr="005F63EC">
        <w:rPr>
          <w:rStyle w:val="hps"/>
          <w:rFonts w:eastAsiaTheme="majorEastAsia"/>
          <w:sz w:val="28"/>
          <w:szCs w:val="28"/>
          <w:lang w:val="uk-UA"/>
        </w:rPr>
        <w:t>поєднаного перебігу</w:t>
      </w:r>
      <w:r w:rsidRPr="005F63EC">
        <w:rPr>
          <w:sz w:val="28"/>
          <w:szCs w:val="28"/>
          <w:lang w:val="uk-UA"/>
        </w:rPr>
        <w:t xml:space="preserve"> гіпертонічної хвороби </w:t>
      </w:r>
      <w:r w:rsidRPr="005F63EC">
        <w:rPr>
          <w:rStyle w:val="hps"/>
          <w:rFonts w:eastAsiaTheme="majorEastAsia"/>
          <w:sz w:val="28"/>
          <w:szCs w:val="28"/>
          <w:lang w:val="uk-UA"/>
        </w:rPr>
        <w:t>з</w:t>
      </w:r>
      <w:r w:rsidRPr="005F63EC">
        <w:rPr>
          <w:sz w:val="28"/>
          <w:szCs w:val="28"/>
          <w:lang w:val="uk-UA"/>
        </w:rPr>
        <w:t xml:space="preserve"> </w:t>
      </w:r>
      <w:r w:rsidRPr="005F63EC">
        <w:rPr>
          <w:rStyle w:val="hps"/>
          <w:rFonts w:eastAsiaTheme="majorEastAsia"/>
          <w:sz w:val="28"/>
          <w:szCs w:val="28"/>
          <w:lang w:val="uk-UA"/>
        </w:rPr>
        <w:t>цукровим</w:t>
      </w:r>
      <w:r w:rsidRPr="005F63EC">
        <w:rPr>
          <w:sz w:val="28"/>
          <w:szCs w:val="28"/>
          <w:lang w:val="uk-UA"/>
        </w:rPr>
        <w:t xml:space="preserve"> </w:t>
      </w:r>
      <w:r w:rsidRPr="005F63EC">
        <w:rPr>
          <w:rStyle w:val="hps"/>
          <w:rFonts w:eastAsiaTheme="majorEastAsia"/>
          <w:sz w:val="28"/>
          <w:szCs w:val="28"/>
          <w:lang w:val="uk-UA"/>
        </w:rPr>
        <w:t>діабетом</w:t>
      </w:r>
      <w:r w:rsidRPr="005F63EC">
        <w:rPr>
          <w:sz w:val="28"/>
          <w:szCs w:val="28"/>
          <w:lang w:val="uk-UA"/>
        </w:rPr>
        <w:t xml:space="preserve"> </w:t>
      </w:r>
      <w:r w:rsidRPr="005F63EC">
        <w:rPr>
          <w:rStyle w:val="hps"/>
          <w:rFonts w:eastAsiaTheme="majorEastAsia"/>
          <w:sz w:val="28"/>
          <w:szCs w:val="28"/>
          <w:lang w:val="uk-UA"/>
        </w:rPr>
        <w:t>2</w:t>
      </w:r>
      <w:r w:rsidRPr="005F63EC">
        <w:rPr>
          <w:sz w:val="28"/>
          <w:szCs w:val="28"/>
          <w:lang w:val="uk-UA"/>
        </w:rPr>
        <w:t xml:space="preserve"> </w:t>
      </w:r>
      <w:r w:rsidRPr="005F63EC">
        <w:rPr>
          <w:rStyle w:val="hps"/>
          <w:rFonts w:eastAsiaTheme="majorEastAsia"/>
          <w:sz w:val="28"/>
          <w:szCs w:val="28"/>
          <w:lang w:val="uk-UA"/>
        </w:rPr>
        <w:t>типу</w:t>
      </w:r>
      <w:r w:rsidRPr="005F63EC">
        <w:rPr>
          <w:sz w:val="28"/>
          <w:szCs w:val="28"/>
          <w:lang w:val="uk-UA"/>
        </w:rPr>
        <w:t xml:space="preserve"> </w:t>
      </w:r>
      <w:r w:rsidRPr="005F63EC">
        <w:rPr>
          <w:rStyle w:val="hps"/>
          <w:rFonts w:eastAsiaTheme="majorEastAsia"/>
          <w:sz w:val="28"/>
          <w:szCs w:val="28"/>
          <w:lang w:val="uk-UA"/>
        </w:rPr>
        <w:t>та субклінічним гіпотиреозом</w:t>
      </w:r>
      <w:r w:rsidRPr="005F63EC">
        <w:rPr>
          <w:sz w:val="28"/>
          <w:szCs w:val="28"/>
          <w:lang w:val="uk-UA"/>
        </w:rPr>
        <w:t>» - Кваліфікаційна наукова праця на правах рукопису.</w:t>
      </w:r>
    </w:p>
    <w:p w:rsidR="00E3259F" w:rsidRPr="005F63EC" w:rsidRDefault="00E3259F" w:rsidP="005F63EC">
      <w:pPr>
        <w:spacing w:line="360" w:lineRule="auto"/>
        <w:ind w:firstLine="709"/>
        <w:jc w:val="both"/>
        <w:rPr>
          <w:sz w:val="28"/>
          <w:szCs w:val="28"/>
          <w:lang w:val="uk-UA"/>
        </w:rPr>
      </w:pPr>
      <w:r w:rsidRPr="005F63EC">
        <w:rPr>
          <w:sz w:val="28"/>
          <w:szCs w:val="28"/>
        </w:rPr>
        <w:t xml:space="preserve">Дисертація на здобуття наукового ступеня </w:t>
      </w:r>
      <w:r w:rsidRPr="005F63EC">
        <w:rPr>
          <w:sz w:val="28"/>
          <w:szCs w:val="28"/>
          <w:lang w:val="uk-UA"/>
        </w:rPr>
        <w:t xml:space="preserve">доктора медичних наук за спеціальністю 14.01.02 «Внутрішні хвороби»  </w:t>
      </w:r>
      <w:r w:rsidRPr="005F63EC">
        <w:rPr>
          <w:b/>
          <w:sz w:val="28"/>
          <w:szCs w:val="28"/>
          <w:lang w:val="uk-UA"/>
        </w:rPr>
        <w:t>—</w:t>
      </w:r>
      <w:r w:rsidRPr="005F63EC">
        <w:rPr>
          <w:sz w:val="28"/>
          <w:szCs w:val="28"/>
          <w:lang w:val="uk-UA"/>
        </w:rPr>
        <w:t xml:space="preserve"> Харківський національний медичний університет, МОЗ України, Харків, 2020.</w:t>
      </w:r>
    </w:p>
    <w:p w:rsidR="00E3259F" w:rsidRPr="005F63EC" w:rsidRDefault="00E3259F" w:rsidP="005F63EC">
      <w:pPr>
        <w:spacing w:line="360" w:lineRule="auto"/>
        <w:ind w:firstLine="709"/>
        <w:jc w:val="both"/>
        <w:rPr>
          <w:sz w:val="28"/>
          <w:szCs w:val="28"/>
          <w:lang w:val="uk-UA"/>
        </w:rPr>
      </w:pPr>
      <w:r w:rsidRPr="005F63EC">
        <w:rPr>
          <w:sz w:val="28"/>
          <w:szCs w:val="28"/>
          <w:lang w:val="uk-UA"/>
        </w:rPr>
        <w:t>Захист відбудеться у спеціалізованій вченій раді Харківського національного медичного університету МОЗ України, Харків, 2020.</w:t>
      </w:r>
    </w:p>
    <w:p w:rsidR="00E3259F" w:rsidRPr="005F63EC" w:rsidRDefault="00E3259F" w:rsidP="005F63EC">
      <w:pPr>
        <w:spacing w:line="360" w:lineRule="auto"/>
        <w:ind w:firstLine="709"/>
        <w:jc w:val="both"/>
        <w:rPr>
          <w:sz w:val="28"/>
          <w:szCs w:val="28"/>
          <w:lang w:val="uk-UA" w:eastAsia="en-US"/>
        </w:rPr>
      </w:pPr>
    </w:p>
    <w:p w:rsidR="00E3259F" w:rsidRPr="005F63EC" w:rsidRDefault="00E3259F" w:rsidP="005F63EC">
      <w:pPr>
        <w:spacing w:line="360" w:lineRule="auto"/>
        <w:ind w:firstLine="709"/>
        <w:jc w:val="both"/>
        <w:rPr>
          <w:sz w:val="28"/>
          <w:szCs w:val="28"/>
          <w:lang w:val="uk-UA"/>
        </w:rPr>
      </w:pPr>
      <w:r w:rsidRPr="005F63EC">
        <w:rPr>
          <w:sz w:val="28"/>
          <w:szCs w:val="28"/>
          <w:lang w:val="uk-UA"/>
        </w:rPr>
        <w:t xml:space="preserve">Актуальність дослідження визначається зростанням частоти поширеності поєднаного перебігу гіпертонічної хвороби (ГХ), цукрового діабету (ЦД) 2 типу та субклінічного гіпотиреозу (СГТ), недосконалістю ранньої діагностики та прогнозування перебігу за допомогою кардіометаболічних чинників ризику, способів профілактики ускладнень та лікування цих коморбідних станів. Відомо, що найбільш вагомий внесок в структурі смертності становлять серцево-судинні захворювання (ССЗ) та їх ускладнення. При цьому, найбільший показник смертності від поєднаної патології припадає на групу ССЗ в поєднанні з цукровим діабетом, насамперед 2 типу. Поряд зі ЦД 2 типу, субклінічний гіпотиреоз, як одне з найбільш розповсюджених захворювань щитовидної залози (ЩЗ), може мати істотний вплив у формування кардіометаболічних факторів ризику, які визначають прогноз при поєднаному перебігу ГХ, ЦД 2 типу та СГТ. </w:t>
      </w:r>
    </w:p>
    <w:p w:rsidR="00E3259F" w:rsidRPr="005F63EC" w:rsidRDefault="00E3259F" w:rsidP="005F63EC">
      <w:pPr>
        <w:spacing w:line="360" w:lineRule="auto"/>
        <w:ind w:firstLine="709"/>
        <w:jc w:val="both"/>
        <w:rPr>
          <w:sz w:val="28"/>
          <w:szCs w:val="28"/>
          <w:lang w:val="uk-UA"/>
        </w:rPr>
      </w:pPr>
      <w:r w:rsidRPr="005F63EC">
        <w:rPr>
          <w:sz w:val="28"/>
          <w:szCs w:val="28"/>
          <w:lang w:val="uk-UA"/>
        </w:rPr>
        <w:t>У зв’язку з цим дисертаційна робота мала на меті оптимізацію ранньої діагностики, прогнозування перебігу, ризику розвитку ускладнень та  лікувальної тактики пацієнтів з ГХ поєднаної зі ЦД 2 типу та СГТ на підставі комплексного визначення клініко-патогенетичних механізмів, ендотеліальної дисфункції (ЕД), оксидативного стресу (ОС), хронічного системного запалення та процесів судинного старіння.</w:t>
      </w:r>
    </w:p>
    <w:p w:rsidR="00E3259F" w:rsidRPr="005F63EC" w:rsidRDefault="00E3259F" w:rsidP="005F63EC">
      <w:pPr>
        <w:spacing w:line="360" w:lineRule="auto"/>
        <w:ind w:firstLine="709"/>
        <w:jc w:val="both"/>
        <w:rPr>
          <w:sz w:val="28"/>
          <w:szCs w:val="28"/>
          <w:lang w:val="uk-UA"/>
        </w:rPr>
      </w:pPr>
      <w:r w:rsidRPr="005F63EC">
        <w:rPr>
          <w:sz w:val="28"/>
          <w:szCs w:val="28"/>
          <w:lang w:val="uk-UA"/>
        </w:rPr>
        <w:lastRenderedPageBreak/>
        <w:t xml:space="preserve">За дизайном дослідження було проведено в три етапи. На першому етапі, в чоловіків та жінок віком 44-75 років, з обов'язковим зазначенням в анамнезі ГХ, було проаналізовано медичну документацію з метою виявлення ЦД 2 типу, СГТ, критеріїв виключення, оцінки факторів ризику за шкалою </w:t>
      </w:r>
      <w:r w:rsidRPr="005F63EC">
        <w:rPr>
          <w:sz w:val="28"/>
          <w:szCs w:val="28"/>
          <w:lang w:val="en-US"/>
        </w:rPr>
        <w:t>SCORE</w:t>
      </w:r>
      <w:r w:rsidRPr="005F63EC">
        <w:rPr>
          <w:sz w:val="28"/>
          <w:szCs w:val="28"/>
          <w:lang w:val="uk-UA"/>
        </w:rPr>
        <w:t xml:space="preserve">.  На другому етапі з метою виявлення СГТ пацієнтам, які мали ГХ та ЦД 2 типу, було проведено опитування за допомогою опитувальника ризику наявності гіпотиреозу - </w:t>
      </w:r>
      <w:r w:rsidRPr="005F63EC">
        <w:rPr>
          <w:sz w:val="28"/>
          <w:szCs w:val="28"/>
        </w:rPr>
        <w:t>Hypothyroid</w:t>
      </w:r>
      <w:r w:rsidRPr="005F63EC">
        <w:rPr>
          <w:sz w:val="28"/>
          <w:szCs w:val="28"/>
          <w:lang w:val="uk-UA"/>
        </w:rPr>
        <w:t xml:space="preserve"> </w:t>
      </w:r>
      <w:r w:rsidRPr="005F63EC">
        <w:rPr>
          <w:sz w:val="28"/>
          <w:szCs w:val="28"/>
        </w:rPr>
        <w:t>Risk</w:t>
      </w:r>
      <w:r w:rsidRPr="005F63EC">
        <w:rPr>
          <w:sz w:val="28"/>
          <w:szCs w:val="28"/>
          <w:lang w:val="uk-UA"/>
        </w:rPr>
        <w:t xml:space="preserve"> </w:t>
      </w:r>
      <w:r w:rsidRPr="005F63EC">
        <w:rPr>
          <w:sz w:val="28"/>
          <w:szCs w:val="28"/>
        </w:rPr>
        <w:t>Questionnaire</w:t>
      </w:r>
      <w:r w:rsidRPr="005F63EC">
        <w:rPr>
          <w:sz w:val="28"/>
          <w:szCs w:val="28"/>
          <w:lang w:val="uk-UA"/>
        </w:rPr>
        <w:t xml:space="preserve"> (</w:t>
      </w:r>
      <w:r w:rsidRPr="005F63EC">
        <w:rPr>
          <w:sz w:val="28"/>
          <w:szCs w:val="28"/>
        </w:rPr>
        <w:t>HRQ</w:t>
      </w:r>
      <w:r w:rsidRPr="005F63EC">
        <w:rPr>
          <w:sz w:val="28"/>
          <w:szCs w:val="28"/>
          <w:lang w:val="uk-UA"/>
        </w:rPr>
        <w:t xml:space="preserve">), що дозволив виявити осіб з різним ризиком розвитку гіпотиреозу, та дослідження тиреоїдного обміну. Крім того, згідно інформації щодо регулярного прийому статинів, пацієнти з коморбідною патологією були розподілені таким чином:  пацієнти, які приймають статини та пацієнти, які з будь – яких причин не приймають статини. Серед пацієнтів з коморбідною патологією до дослідження були залучені пацієнти з поєднаним перебігом ГХ та ЦД 2 типу, які не приймали статини, та пацієнти з поєднаним перебігом ГХ, ЦД 2 типу та СГТ, які регулярно приймали статини. </w:t>
      </w:r>
    </w:p>
    <w:p w:rsidR="00E3259F" w:rsidRPr="005F63EC" w:rsidRDefault="00E3259F" w:rsidP="005F63EC">
      <w:pPr>
        <w:spacing w:line="360" w:lineRule="auto"/>
        <w:ind w:firstLine="709"/>
        <w:jc w:val="both"/>
        <w:rPr>
          <w:sz w:val="28"/>
          <w:szCs w:val="28"/>
          <w:lang w:val="uk-UA"/>
        </w:rPr>
      </w:pPr>
      <w:r w:rsidRPr="005F63EC">
        <w:rPr>
          <w:sz w:val="28"/>
          <w:szCs w:val="28"/>
          <w:lang w:val="uk-UA"/>
        </w:rPr>
        <w:t>За нозологією обстежений контингент пацієнтів був поділений на наступні групи: група порівняння – 109 пацієнтів з ізольованою ГХ, що склали групу 1 в дослідженні, основна група – 249 пацієнтів, з них пацієнти з поєднаним перебігом ГХ та ЦД 2 типу - група 2 в дослідженні (</w:t>
      </w:r>
      <w:r w:rsidRPr="005F63EC">
        <w:rPr>
          <w:sz w:val="28"/>
          <w:szCs w:val="28"/>
        </w:rPr>
        <w:t>n</w:t>
      </w:r>
      <w:r w:rsidRPr="005F63EC">
        <w:rPr>
          <w:sz w:val="28"/>
          <w:szCs w:val="28"/>
          <w:lang w:val="uk-UA"/>
        </w:rPr>
        <w:t>=156) та  пацієнти з поєднаним перебігом ГХ, ЦД 2 типу та СГТ –  група 3 в дослідженні (</w:t>
      </w:r>
      <w:r w:rsidRPr="005F63EC">
        <w:rPr>
          <w:sz w:val="28"/>
          <w:szCs w:val="28"/>
        </w:rPr>
        <w:t>n</w:t>
      </w:r>
      <w:r w:rsidRPr="005F63EC">
        <w:rPr>
          <w:sz w:val="28"/>
          <w:szCs w:val="28"/>
          <w:lang w:val="uk-UA"/>
        </w:rPr>
        <w:t xml:space="preserve">=93). Поряд з цим всі пацієнти були розподілені на дві вікові підгрупи, згідно з класифікацією вікових груп ВООЗ: підгрупа І – пацієнти віком 44-60 років, підгрупа ІІ –  віком 61-75 років. Усім пацієнтам було проведено комплексне клініко-лабораторне дослідження з обов'язковим вивченням маркерів оксидативного стресу (ОС), ендотеліальної дисфункції (ЕД), хронічного системного запалення, і судинного старіння – відносної довжини теломер (ВДТ). </w:t>
      </w:r>
    </w:p>
    <w:p w:rsidR="00E3259F" w:rsidRPr="005F63EC" w:rsidRDefault="00E3259F" w:rsidP="005F63EC">
      <w:pPr>
        <w:spacing w:line="360" w:lineRule="auto"/>
        <w:ind w:firstLine="709"/>
        <w:jc w:val="both"/>
        <w:rPr>
          <w:sz w:val="28"/>
          <w:szCs w:val="28"/>
          <w:lang w:val="uk-UA" w:eastAsia="en-US"/>
        </w:rPr>
      </w:pPr>
      <w:r w:rsidRPr="005F63EC">
        <w:rPr>
          <w:sz w:val="28"/>
          <w:szCs w:val="28"/>
          <w:lang w:val="uk-UA"/>
        </w:rPr>
        <w:t xml:space="preserve">Усім пацієнтам з ГХ та ЦД 2 типу було запропоновано опитування за допомогою опитувальника ризику наявності гіпотиреозу - </w:t>
      </w:r>
      <w:r w:rsidRPr="005F63EC">
        <w:rPr>
          <w:sz w:val="28"/>
          <w:szCs w:val="28"/>
        </w:rPr>
        <w:t>Hypothyroid</w:t>
      </w:r>
      <w:r w:rsidRPr="005F63EC">
        <w:rPr>
          <w:sz w:val="28"/>
          <w:szCs w:val="28"/>
          <w:lang w:val="uk-UA"/>
        </w:rPr>
        <w:t xml:space="preserve"> </w:t>
      </w:r>
      <w:r w:rsidRPr="005F63EC">
        <w:rPr>
          <w:sz w:val="28"/>
          <w:szCs w:val="28"/>
        </w:rPr>
        <w:t>Risk</w:t>
      </w:r>
      <w:r w:rsidRPr="005F63EC">
        <w:rPr>
          <w:sz w:val="28"/>
          <w:szCs w:val="28"/>
          <w:lang w:val="uk-UA"/>
        </w:rPr>
        <w:t xml:space="preserve"> </w:t>
      </w:r>
      <w:r w:rsidRPr="005F63EC">
        <w:rPr>
          <w:sz w:val="28"/>
          <w:szCs w:val="28"/>
        </w:rPr>
        <w:t>Questionnaire</w:t>
      </w:r>
      <w:r w:rsidRPr="005F63EC">
        <w:rPr>
          <w:sz w:val="28"/>
          <w:szCs w:val="28"/>
          <w:lang w:val="uk-UA"/>
        </w:rPr>
        <w:t xml:space="preserve"> (</w:t>
      </w:r>
      <w:r w:rsidRPr="005F63EC">
        <w:rPr>
          <w:sz w:val="28"/>
          <w:szCs w:val="28"/>
        </w:rPr>
        <w:t>HRQ</w:t>
      </w:r>
      <w:r w:rsidRPr="005F63EC">
        <w:rPr>
          <w:sz w:val="28"/>
          <w:szCs w:val="28"/>
          <w:lang w:val="uk-UA"/>
        </w:rPr>
        <w:t xml:space="preserve">), що дозволило визначити сумарний ризик розвитку </w:t>
      </w:r>
      <w:r w:rsidRPr="005F63EC">
        <w:rPr>
          <w:sz w:val="28"/>
          <w:szCs w:val="28"/>
          <w:lang w:val="uk-UA"/>
        </w:rPr>
        <w:lastRenderedPageBreak/>
        <w:t xml:space="preserve">гіпотиреозу (низький, помірний або високий ризик). Так, проведення анкетування за допомогою опитувальника </w:t>
      </w:r>
      <w:r w:rsidRPr="005F63EC">
        <w:rPr>
          <w:sz w:val="28"/>
          <w:szCs w:val="28"/>
          <w:lang w:val="en-US"/>
        </w:rPr>
        <w:t>HRQ</w:t>
      </w:r>
      <w:r w:rsidRPr="005F63EC">
        <w:rPr>
          <w:sz w:val="28"/>
          <w:szCs w:val="28"/>
          <w:lang w:val="uk-UA"/>
        </w:rPr>
        <w:t xml:space="preserve"> виявило значну його чутливість до СГТ: серед осіб з веріфікованим СГТ у 83,87±3,81% був виявлений високий ризик гіпотиреозу та осіб з низьким ризиком виявлено не було. Серед пацієнтів  2 групи низький та помірний ризик гіпотиреозу мали 48,08±4,00%, високий ризик – 51,92±4,00%. Це свідчить, що анкетування за допомогою опитувальника </w:t>
      </w:r>
      <w:r w:rsidRPr="005F63EC">
        <w:rPr>
          <w:sz w:val="28"/>
          <w:szCs w:val="28"/>
        </w:rPr>
        <w:t>HRQ</w:t>
      </w:r>
      <w:r w:rsidRPr="005F63EC">
        <w:rPr>
          <w:sz w:val="28"/>
          <w:szCs w:val="28"/>
          <w:lang w:val="uk-UA"/>
        </w:rPr>
        <w:t xml:space="preserve"> може бути корисним під час скринінгового обстеження пацієнтів з коморбідною патологією для виявлення осіб з високим ризиком СГТ.</w:t>
      </w:r>
    </w:p>
    <w:p w:rsidR="00E3259F" w:rsidRPr="005F63EC" w:rsidRDefault="00E3259F" w:rsidP="005F63EC">
      <w:pPr>
        <w:pStyle w:val="1"/>
        <w:spacing w:before="0" w:beforeAutospacing="0" w:after="0" w:afterAutospacing="0" w:line="360" w:lineRule="auto"/>
        <w:ind w:firstLine="709"/>
        <w:jc w:val="both"/>
        <w:rPr>
          <w:b w:val="0"/>
          <w:sz w:val="28"/>
          <w:szCs w:val="28"/>
          <w:lang w:val="uk-UA"/>
        </w:rPr>
      </w:pPr>
      <w:r w:rsidRPr="005F63EC">
        <w:rPr>
          <w:rStyle w:val="longtext10"/>
          <w:rFonts w:eastAsiaTheme="majorEastAsia"/>
          <w:b w:val="0"/>
          <w:sz w:val="28"/>
          <w:szCs w:val="28"/>
          <w:lang w:val="uk-UA"/>
        </w:rPr>
        <w:t xml:space="preserve">На третьому етапі </w:t>
      </w:r>
      <w:r w:rsidRPr="005F63EC">
        <w:rPr>
          <w:rFonts w:eastAsia="Calibri"/>
          <w:b w:val="0"/>
          <w:sz w:val="28"/>
          <w:szCs w:val="28"/>
          <w:lang w:val="uk-UA"/>
        </w:rPr>
        <w:t xml:space="preserve">пацієнтам з коморбідним  перебігом ГХ та </w:t>
      </w:r>
      <w:r w:rsidRPr="005F63EC">
        <w:rPr>
          <w:b w:val="0"/>
          <w:sz w:val="28"/>
          <w:szCs w:val="28"/>
          <w:lang w:val="uk-UA"/>
        </w:rPr>
        <w:t>ЦД 2 типу</w:t>
      </w:r>
      <w:r w:rsidRPr="005F63EC">
        <w:rPr>
          <w:rFonts w:eastAsia="Calibri"/>
          <w:b w:val="0"/>
          <w:sz w:val="28"/>
          <w:szCs w:val="28"/>
          <w:lang w:val="uk-UA"/>
        </w:rPr>
        <w:t xml:space="preserve"> згідно існуючих рекомендацій було призначено аторвастатин 20 мг на добу або розувастатин 10 мг на добу. Пацієнти з ГХ, </w:t>
      </w:r>
      <w:r w:rsidRPr="005F63EC">
        <w:rPr>
          <w:b w:val="0"/>
          <w:sz w:val="28"/>
          <w:szCs w:val="28"/>
          <w:lang w:val="uk-UA"/>
        </w:rPr>
        <w:t>ЦД 2 типу</w:t>
      </w:r>
      <w:r w:rsidRPr="005F63EC">
        <w:rPr>
          <w:rFonts w:eastAsia="Calibri"/>
          <w:b w:val="0"/>
          <w:sz w:val="28"/>
          <w:szCs w:val="28"/>
          <w:lang w:val="uk-UA"/>
        </w:rPr>
        <w:t xml:space="preserve"> та СГТ</w:t>
      </w:r>
      <w:r w:rsidRPr="005F63EC">
        <w:rPr>
          <w:rStyle w:val="longtext10"/>
          <w:rFonts w:eastAsiaTheme="majorEastAsia"/>
          <w:b w:val="0"/>
          <w:sz w:val="28"/>
          <w:szCs w:val="28"/>
          <w:lang w:val="uk-UA"/>
        </w:rPr>
        <w:t xml:space="preserve"> додатково отримували левотироксин в індивідуально </w:t>
      </w:r>
      <w:r w:rsidRPr="005F63EC">
        <w:rPr>
          <w:rStyle w:val="tlid-translation"/>
          <w:rFonts w:eastAsia="MS Mincho"/>
          <w:b w:val="0"/>
          <w:sz w:val="28"/>
          <w:szCs w:val="28"/>
          <w:lang w:val="uk-UA"/>
        </w:rPr>
        <w:t xml:space="preserve">підібраних дозах від 25 до 75 мкг/добу з поступовим титруванням дози до </w:t>
      </w:r>
      <w:r w:rsidRPr="005F63EC">
        <w:rPr>
          <w:rFonts w:eastAsia="Arial Unicode MS"/>
          <w:b w:val="0"/>
          <w:kern w:val="2"/>
          <w:sz w:val="28"/>
          <w:szCs w:val="28"/>
          <w:lang w:val="uk-UA"/>
        </w:rPr>
        <w:t xml:space="preserve">досягнення цільового терапевтичного діапазону значень тиреотропного гормону (ТТГ, </w:t>
      </w:r>
      <w:r w:rsidRPr="005F63EC">
        <w:rPr>
          <w:rFonts w:eastAsia="Calibri"/>
          <w:b w:val="0"/>
          <w:bCs w:val="0"/>
          <w:sz w:val="28"/>
          <w:szCs w:val="28"/>
          <w:lang w:val="uk-UA"/>
        </w:rPr>
        <w:t>0,4-4,0 мкМОд/мл</w:t>
      </w:r>
      <w:r w:rsidRPr="005F63EC">
        <w:rPr>
          <w:rFonts w:eastAsia="Calibri"/>
          <w:bCs w:val="0"/>
          <w:sz w:val="28"/>
          <w:szCs w:val="28"/>
          <w:lang w:val="uk-UA"/>
        </w:rPr>
        <w:t>).</w:t>
      </w:r>
      <w:r w:rsidRPr="005F63EC">
        <w:rPr>
          <w:sz w:val="28"/>
          <w:szCs w:val="28"/>
          <w:lang w:val="uk-UA"/>
        </w:rPr>
        <w:t xml:space="preserve"> </w:t>
      </w:r>
      <w:r w:rsidRPr="005F63EC">
        <w:rPr>
          <w:rStyle w:val="tlid-translation"/>
          <w:rFonts w:eastAsia="MS Mincho"/>
          <w:sz w:val="28"/>
          <w:szCs w:val="28"/>
          <w:lang w:val="uk-UA"/>
        </w:rPr>
        <w:t xml:space="preserve"> </w:t>
      </w:r>
      <w:r w:rsidRPr="005F63EC">
        <w:rPr>
          <w:rFonts w:eastAsia="Arial Unicode MS"/>
          <w:b w:val="0"/>
          <w:kern w:val="2"/>
          <w:sz w:val="28"/>
          <w:szCs w:val="28"/>
          <w:lang w:val="uk-UA"/>
        </w:rPr>
        <w:t xml:space="preserve">Тривалість спостереження становила 12 місяців, наприкінці, </w:t>
      </w:r>
      <w:r w:rsidRPr="005F63EC">
        <w:rPr>
          <w:rFonts w:eastAsia="Calibri"/>
          <w:b w:val="0"/>
          <w:sz w:val="28"/>
          <w:szCs w:val="28"/>
          <w:lang w:val="uk-UA"/>
        </w:rPr>
        <w:t xml:space="preserve">для вивчення </w:t>
      </w:r>
      <w:r w:rsidRPr="005F63EC">
        <w:rPr>
          <w:rFonts w:eastAsia="Arial Unicode MS"/>
          <w:b w:val="0"/>
          <w:color w:val="000000"/>
          <w:kern w:val="2"/>
          <w:sz w:val="28"/>
          <w:szCs w:val="28"/>
          <w:lang w:val="uk-UA"/>
        </w:rPr>
        <w:t>ефективності запропонованої комплексної терапії</w:t>
      </w:r>
      <w:r w:rsidRPr="005F63EC">
        <w:rPr>
          <w:rFonts w:eastAsia="Arial Unicode MS"/>
          <w:b w:val="0"/>
          <w:kern w:val="2"/>
          <w:sz w:val="28"/>
          <w:szCs w:val="28"/>
          <w:lang w:val="uk-UA"/>
        </w:rPr>
        <w:t xml:space="preserve">, було здійснене повторне обстеження пацієнтів. </w:t>
      </w:r>
      <w:r w:rsidRPr="005F63EC">
        <w:rPr>
          <w:b w:val="0"/>
          <w:sz w:val="28"/>
          <w:szCs w:val="28"/>
          <w:lang w:val="uk-UA"/>
        </w:rPr>
        <w:t xml:space="preserve">Для </w:t>
      </w:r>
      <w:r w:rsidRPr="005F63EC">
        <w:rPr>
          <w:rFonts w:eastAsia="Calibri"/>
          <w:b w:val="0"/>
          <w:sz w:val="28"/>
          <w:szCs w:val="28"/>
          <w:lang w:val="uk-UA"/>
        </w:rPr>
        <w:t xml:space="preserve">більш детального вивчення </w:t>
      </w:r>
      <w:r w:rsidRPr="005F63EC">
        <w:rPr>
          <w:b w:val="0"/>
          <w:sz w:val="28"/>
          <w:szCs w:val="28"/>
          <w:lang w:val="uk-UA"/>
        </w:rPr>
        <w:t>впливу рівнів ТТГ на субклінічному рівні на кардіоваскулярний ризик (КВР) всі показники у пацієнтів з ГХ, ЦД 2 типу та СГТ були проаналізовані зокрема залежно від вихідних рівнів ТТГ: підгрупа А – рівень ТТГ від 4,0 до 6,0 мкМО/мл; підгрупа Б – рівень ТТГ від 6,1 до 10 мкМО/мл.</w:t>
      </w:r>
    </w:p>
    <w:p w:rsidR="00E3259F" w:rsidRPr="005F63EC" w:rsidRDefault="00E3259F" w:rsidP="005F63EC">
      <w:pPr>
        <w:pStyle w:val="1"/>
        <w:spacing w:before="0" w:beforeAutospacing="0" w:after="0" w:afterAutospacing="0" w:line="360" w:lineRule="auto"/>
        <w:ind w:firstLine="709"/>
        <w:jc w:val="both"/>
        <w:rPr>
          <w:b w:val="0"/>
          <w:sz w:val="28"/>
          <w:szCs w:val="28"/>
          <w:lang w:val="uk-UA"/>
        </w:rPr>
      </w:pPr>
      <w:r w:rsidRPr="005F63EC">
        <w:rPr>
          <w:b w:val="0"/>
          <w:sz w:val="28"/>
          <w:szCs w:val="28"/>
          <w:lang w:val="uk-UA"/>
        </w:rPr>
        <w:t>При коморбідному перебігу ГХ, ЦД 2 типу та СГТ порівняно з хворими з коморбідністю ГХ та ЦД 2 типу виявлені достовірно вищі рівні ЗХС (р=0,002), ХС ЛПНЩ (р=</w:t>
      </w:r>
      <w:r w:rsidRPr="005F63EC">
        <w:rPr>
          <w:b w:val="0"/>
          <w:color w:val="000000"/>
          <w:sz w:val="28"/>
          <w:szCs w:val="28"/>
          <w:lang w:val="uk-UA"/>
        </w:rPr>
        <w:t>0</w:t>
      </w:r>
      <w:r w:rsidRPr="005F63EC">
        <w:rPr>
          <w:b w:val="0"/>
          <w:sz w:val="28"/>
          <w:szCs w:val="28"/>
          <w:lang w:val="uk-UA"/>
        </w:rPr>
        <w:t xml:space="preserve">,048) на тлі достовірно нижчих рівнів глюкози натще (р=0,001), глікованого гемоглобіну (р=0,011) та індексу інсулінорезистентности  - </w:t>
      </w:r>
      <w:r w:rsidRPr="005F63EC">
        <w:rPr>
          <w:b w:val="0"/>
          <w:sz w:val="28"/>
          <w:szCs w:val="28"/>
        </w:rPr>
        <w:t>HOMA</w:t>
      </w:r>
      <w:r w:rsidRPr="005F63EC">
        <w:rPr>
          <w:b w:val="0"/>
          <w:sz w:val="28"/>
          <w:szCs w:val="28"/>
          <w:lang w:val="uk-UA"/>
        </w:rPr>
        <w:t>-</w:t>
      </w:r>
      <w:r w:rsidRPr="005F63EC">
        <w:rPr>
          <w:b w:val="0"/>
          <w:sz w:val="28"/>
          <w:szCs w:val="28"/>
        </w:rPr>
        <w:t>IR</w:t>
      </w:r>
      <w:r w:rsidRPr="005F63EC">
        <w:rPr>
          <w:b w:val="0"/>
          <w:sz w:val="28"/>
          <w:szCs w:val="28"/>
          <w:lang w:val="uk-UA"/>
        </w:rPr>
        <w:t xml:space="preserve"> (р=0,001), що свідчить про значну роль підвищених рівнів ТТГ, зокрема</w:t>
      </w:r>
      <w:r w:rsidRPr="005F63EC">
        <w:rPr>
          <w:sz w:val="28"/>
          <w:szCs w:val="28"/>
          <w:lang w:val="uk-UA"/>
        </w:rPr>
        <w:t xml:space="preserve"> </w:t>
      </w:r>
      <w:r w:rsidRPr="005F63EC">
        <w:rPr>
          <w:b w:val="0"/>
          <w:sz w:val="28"/>
          <w:szCs w:val="28"/>
          <w:lang w:val="uk-UA"/>
        </w:rPr>
        <w:t xml:space="preserve">на субклінічному рівні, в регуляції ліпідного та вуглеводного обміну при зазначених патологічних станах. </w:t>
      </w:r>
    </w:p>
    <w:p w:rsidR="00E3259F" w:rsidRPr="005F63EC" w:rsidRDefault="00E3259F" w:rsidP="005F63EC">
      <w:pPr>
        <w:spacing w:line="360" w:lineRule="auto"/>
        <w:ind w:firstLine="709"/>
        <w:jc w:val="both"/>
        <w:rPr>
          <w:sz w:val="28"/>
          <w:szCs w:val="28"/>
          <w:lang w:val="uk-UA"/>
        </w:rPr>
      </w:pPr>
      <w:r w:rsidRPr="005F63EC">
        <w:rPr>
          <w:sz w:val="28"/>
          <w:szCs w:val="28"/>
          <w:lang w:val="uk-UA"/>
        </w:rPr>
        <w:lastRenderedPageBreak/>
        <w:t xml:space="preserve">Серед хворих на коморбідну патологію порівняно </w:t>
      </w:r>
      <w:r w:rsidRPr="005F63EC">
        <w:rPr>
          <w:rStyle w:val="tlid-translation"/>
          <w:rFonts w:eastAsiaTheme="majorEastAsia"/>
          <w:sz w:val="28"/>
          <w:szCs w:val="28"/>
          <w:lang w:val="uk-UA"/>
        </w:rPr>
        <w:t>з хворими на ізольовану ГХ</w:t>
      </w:r>
      <w:r w:rsidRPr="005F63EC">
        <w:rPr>
          <w:sz w:val="28"/>
          <w:szCs w:val="28"/>
          <w:lang w:val="uk-UA"/>
        </w:rPr>
        <w:t xml:space="preserve"> спостерігалося </w:t>
      </w:r>
      <w:r w:rsidRPr="005F63EC">
        <w:rPr>
          <w:rStyle w:val="tlid-translation"/>
          <w:rFonts w:eastAsiaTheme="majorEastAsia"/>
          <w:sz w:val="28"/>
          <w:szCs w:val="28"/>
          <w:lang w:val="uk-UA"/>
        </w:rPr>
        <w:t>зниження кількості осіб з фізіологічним темпом старіння (фізіологічний темп старіння у 13,21</w:t>
      </w:r>
      <w:r w:rsidRPr="005F63EC">
        <w:rPr>
          <w:sz w:val="28"/>
          <w:szCs w:val="28"/>
          <w:lang w:val="uk-UA"/>
        </w:rPr>
        <w:t>±3,29</w:t>
      </w:r>
      <w:r w:rsidRPr="005F63EC">
        <w:rPr>
          <w:rStyle w:val="tlid-translation"/>
          <w:rFonts w:eastAsiaTheme="majorEastAsia"/>
          <w:sz w:val="28"/>
          <w:szCs w:val="28"/>
          <w:lang w:val="uk-UA"/>
        </w:rPr>
        <w:t>% серед пацієнтів з ізольованою  ГХ,  у 9,62</w:t>
      </w:r>
      <w:r w:rsidRPr="005F63EC">
        <w:rPr>
          <w:sz w:val="28"/>
          <w:szCs w:val="28"/>
          <w:lang w:val="uk-UA"/>
        </w:rPr>
        <w:t>±2,36</w:t>
      </w:r>
      <w:r w:rsidRPr="005F63EC">
        <w:rPr>
          <w:rStyle w:val="tlid-translation"/>
          <w:rFonts w:eastAsiaTheme="majorEastAsia"/>
          <w:sz w:val="28"/>
          <w:szCs w:val="28"/>
          <w:lang w:val="uk-UA"/>
        </w:rPr>
        <w:t>% пацієнтів з поєднаним перебігом ГХ та ЦД 2 типу</w:t>
      </w:r>
      <w:r w:rsidRPr="005F63EC">
        <w:rPr>
          <w:sz w:val="28"/>
          <w:szCs w:val="28"/>
          <w:lang w:val="uk-UA"/>
        </w:rPr>
        <w:t xml:space="preserve"> </w:t>
      </w:r>
      <w:r w:rsidRPr="005F63EC">
        <w:rPr>
          <w:rStyle w:val="tlid-translation"/>
          <w:rFonts w:eastAsiaTheme="majorEastAsia"/>
          <w:sz w:val="28"/>
          <w:szCs w:val="28"/>
          <w:lang w:val="uk-UA"/>
        </w:rPr>
        <w:t>та у 4,30</w:t>
      </w:r>
      <w:r w:rsidRPr="005F63EC">
        <w:rPr>
          <w:sz w:val="28"/>
          <w:szCs w:val="28"/>
          <w:lang w:val="uk-UA"/>
        </w:rPr>
        <w:t>±2,10</w:t>
      </w:r>
      <w:r w:rsidRPr="005F63EC">
        <w:rPr>
          <w:rStyle w:val="tlid-translation"/>
          <w:rFonts w:eastAsiaTheme="majorEastAsia"/>
          <w:sz w:val="28"/>
          <w:szCs w:val="28"/>
          <w:lang w:val="uk-UA"/>
        </w:rPr>
        <w:t xml:space="preserve">% пацієнтів з ГХ, ЦД 2 типу та СГТ) та </w:t>
      </w:r>
      <w:r w:rsidRPr="005F63EC">
        <w:rPr>
          <w:sz w:val="28"/>
          <w:szCs w:val="28"/>
          <w:lang w:val="uk-UA"/>
        </w:rPr>
        <w:t xml:space="preserve">частіше виявлявся прискорений темп старіння: при ізольованій ГХ- у </w:t>
      </w:r>
      <w:r w:rsidRPr="005F63EC">
        <w:rPr>
          <w:rStyle w:val="tlid-translation"/>
          <w:rFonts w:eastAsiaTheme="majorEastAsia"/>
          <w:sz w:val="28"/>
          <w:szCs w:val="28"/>
          <w:lang w:val="uk-UA"/>
        </w:rPr>
        <w:t>31,13</w:t>
      </w:r>
      <w:r w:rsidRPr="005F63EC">
        <w:rPr>
          <w:sz w:val="28"/>
          <w:szCs w:val="28"/>
          <w:lang w:val="uk-UA"/>
        </w:rPr>
        <w:t>±4,50</w:t>
      </w:r>
      <w:r w:rsidRPr="005F63EC">
        <w:rPr>
          <w:rStyle w:val="tlid-translation"/>
          <w:rFonts w:eastAsiaTheme="majorEastAsia"/>
          <w:sz w:val="28"/>
          <w:szCs w:val="28"/>
          <w:lang w:val="uk-UA"/>
        </w:rPr>
        <w:t>%</w:t>
      </w:r>
      <w:r w:rsidRPr="005F63EC">
        <w:rPr>
          <w:sz w:val="28"/>
          <w:szCs w:val="28"/>
          <w:lang w:val="uk-UA"/>
        </w:rPr>
        <w:t xml:space="preserve"> хворих, при ГХ та ЦД 2 типу -у </w:t>
      </w:r>
      <w:r w:rsidRPr="005F63EC">
        <w:rPr>
          <w:rStyle w:val="tlid-translation"/>
          <w:rFonts w:eastAsiaTheme="majorEastAsia"/>
          <w:sz w:val="28"/>
          <w:szCs w:val="28"/>
          <w:lang w:val="uk-UA"/>
        </w:rPr>
        <w:t>53,85</w:t>
      </w:r>
      <w:r w:rsidRPr="005F63EC">
        <w:rPr>
          <w:sz w:val="28"/>
          <w:szCs w:val="28"/>
          <w:lang w:val="uk-UA"/>
        </w:rPr>
        <w:t>±3,99</w:t>
      </w:r>
      <w:r w:rsidRPr="005F63EC">
        <w:rPr>
          <w:rStyle w:val="tlid-translation"/>
          <w:rFonts w:eastAsiaTheme="majorEastAsia"/>
          <w:sz w:val="28"/>
          <w:szCs w:val="28"/>
          <w:lang w:val="uk-UA"/>
        </w:rPr>
        <w:t>%</w:t>
      </w:r>
      <w:r w:rsidRPr="005F63EC">
        <w:rPr>
          <w:sz w:val="28"/>
          <w:szCs w:val="28"/>
          <w:lang w:val="uk-UA"/>
        </w:rPr>
        <w:t xml:space="preserve"> хворих, при ГХ, ЦД 2 типу та СГТ –у </w:t>
      </w:r>
      <w:r w:rsidRPr="005F63EC">
        <w:rPr>
          <w:rStyle w:val="tlid-translation"/>
          <w:rFonts w:eastAsiaTheme="majorEastAsia"/>
          <w:sz w:val="28"/>
          <w:szCs w:val="28"/>
          <w:lang w:val="uk-UA"/>
        </w:rPr>
        <w:t>54,84</w:t>
      </w:r>
      <w:r w:rsidRPr="005F63EC">
        <w:rPr>
          <w:sz w:val="28"/>
          <w:szCs w:val="28"/>
          <w:lang w:val="uk-UA"/>
        </w:rPr>
        <w:t xml:space="preserve">±5,16 </w:t>
      </w:r>
      <w:r w:rsidRPr="005F63EC">
        <w:rPr>
          <w:rStyle w:val="tlid-translation"/>
          <w:rFonts w:eastAsiaTheme="majorEastAsia"/>
          <w:sz w:val="28"/>
          <w:szCs w:val="28"/>
          <w:lang w:val="uk-UA"/>
        </w:rPr>
        <w:t>%.</w:t>
      </w:r>
      <w:r w:rsidRPr="005F63EC">
        <w:rPr>
          <w:sz w:val="28"/>
          <w:szCs w:val="28"/>
          <w:lang w:val="uk-UA"/>
        </w:rPr>
        <w:t xml:space="preserve"> При коморбідній патології біологічний вік (БВ) був вище, ніж при ізольованій ГХ, наявність СГТ супроводжувалась достовірно нижчим БВ (р=0,047), ніж у пацієнтів без порушення функції ЩЗ. </w:t>
      </w:r>
    </w:p>
    <w:p w:rsidR="00E3259F" w:rsidRPr="005F63EC" w:rsidRDefault="00E3259F" w:rsidP="005F63EC">
      <w:pPr>
        <w:spacing w:line="360" w:lineRule="auto"/>
        <w:ind w:firstLine="709"/>
        <w:jc w:val="both"/>
        <w:rPr>
          <w:sz w:val="28"/>
          <w:szCs w:val="28"/>
          <w:lang w:val="uk-UA"/>
        </w:rPr>
      </w:pPr>
      <w:r w:rsidRPr="005F63EC">
        <w:rPr>
          <w:sz w:val="28"/>
          <w:szCs w:val="28"/>
          <w:lang w:val="uk-UA"/>
        </w:rPr>
        <w:t xml:space="preserve"> Встановлено, що залежно від рівня ТТГ, у пацієнтів з ГХ поєднано зі ЦД 2 типу та СГТ виявлені ознаки ОС, переважно за рахунок зниження антиоксидантного захисту (АОЗ), ендотеліальної дисфункції, хронічного системного запалення та вкорочення відносної довжини теломер (ВДТ). При рівнях ТТГ більше 6,0 мкМО/мл спостерігалось достовірне зниження рівнів сульфгідрильних груп (</w:t>
      </w:r>
      <w:r w:rsidRPr="005F63EC">
        <w:rPr>
          <w:sz w:val="28"/>
          <w:szCs w:val="28"/>
        </w:rPr>
        <w:t>SH</w:t>
      </w:r>
      <w:r w:rsidRPr="005F63EC">
        <w:rPr>
          <w:sz w:val="28"/>
          <w:szCs w:val="28"/>
          <w:lang w:val="uk-UA"/>
        </w:rPr>
        <w:t>-груп, р=0,046), активності глутатіонпероксидази (ГПО, р=0,022), підвищення рівнів васкулоендотеліального фактору росту (ВЕФР, р&lt;0,001) на тлі посилення процесів хронічного системного запалення та наявності більш короткої ВДТ ніж при рівнях ТТГ менш 6,0 мкМО/мл.</w:t>
      </w:r>
    </w:p>
    <w:p w:rsidR="00E3259F" w:rsidRPr="005F63EC" w:rsidRDefault="00E3259F" w:rsidP="005F63EC">
      <w:pPr>
        <w:spacing w:line="360" w:lineRule="auto"/>
        <w:ind w:firstLine="709"/>
        <w:jc w:val="both"/>
        <w:rPr>
          <w:sz w:val="28"/>
          <w:szCs w:val="28"/>
          <w:lang w:val="uk-UA"/>
        </w:rPr>
      </w:pPr>
      <w:r w:rsidRPr="005F63EC">
        <w:rPr>
          <w:sz w:val="28"/>
          <w:szCs w:val="28"/>
          <w:lang w:val="uk-UA"/>
        </w:rPr>
        <w:t xml:space="preserve">Виявлено достовірний вплив рівня ТТГ на активність ГПО (р=0,035), фактор некрозу пухлини–α (ФНП-α, р=0,032) та ВЕФР (р&lt;0,001) при поєднаному перебігу ГХ, ЦД 2 типу та СГТ, та достовірний вплив рівня ТТГ на рівні </w:t>
      </w:r>
      <w:r w:rsidRPr="005F63EC">
        <w:rPr>
          <w:rStyle w:val="tlid-translation"/>
          <w:rFonts w:eastAsiaTheme="majorEastAsia"/>
          <w:sz w:val="28"/>
          <w:szCs w:val="28"/>
          <w:lang w:val="uk-UA"/>
        </w:rPr>
        <w:t>8-гідрокси-2'-дезоксигуанозину</w:t>
      </w:r>
      <w:r w:rsidRPr="005F63EC">
        <w:rPr>
          <w:sz w:val="28"/>
          <w:szCs w:val="28"/>
          <w:lang w:val="uk-UA"/>
        </w:rPr>
        <w:t xml:space="preserve"> (8-OH-dG) плазми (р=0,038), </w:t>
      </w:r>
      <w:r w:rsidRPr="005F63EC">
        <w:rPr>
          <w:color w:val="000000"/>
          <w:sz w:val="28"/>
          <w:szCs w:val="28"/>
          <w:shd w:val="clear" w:color="auto" w:fill="FFFFFF"/>
          <w:lang w:val="uk-UA"/>
        </w:rPr>
        <w:t>малонового діальдегіду</w:t>
      </w:r>
      <w:r w:rsidRPr="005F63EC">
        <w:rPr>
          <w:sz w:val="28"/>
          <w:szCs w:val="28"/>
          <w:lang w:val="uk-UA"/>
        </w:rPr>
        <w:t xml:space="preserve"> (МДА, р&lt;0,001), </w:t>
      </w:r>
      <w:r w:rsidRPr="005F63EC">
        <w:rPr>
          <w:rStyle w:val="tlid-translation"/>
          <w:rFonts w:eastAsiaTheme="majorEastAsia"/>
          <w:sz w:val="28"/>
          <w:szCs w:val="28"/>
          <w:lang w:val="uk-UA"/>
        </w:rPr>
        <w:t>С -реактивного протеїну (</w:t>
      </w:r>
      <w:r w:rsidRPr="005F63EC">
        <w:rPr>
          <w:sz w:val="28"/>
          <w:szCs w:val="28"/>
          <w:lang w:val="uk-UA"/>
        </w:rPr>
        <w:t>СРП, р=0,001) та  ВДТ клітин букального епітелію (р=0,014) при поєднаному перебігу ГХ та ЦД 2 типу.</w:t>
      </w:r>
    </w:p>
    <w:p w:rsidR="00E3259F" w:rsidRPr="005F63EC" w:rsidRDefault="00E3259F" w:rsidP="005F63EC">
      <w:pPr>
        <w:tabs>
          <w:tab w:val="left" w:pos="1050"/>
        </w:tabs>
        <w:spacing w:line="360" w:lineRule="auto"/>
        <w:ind w:firstLine="709"/>
        <w:jc w:val="both"/>
        <w:rPr>
          <w:sz w:val="28"/>
          <w:szCs w:val="28"/>
          <w:lang w:val="uk-UA"/>
        </w:rPr>
      </w:pPr>
      <w:r w:rsidRPr="005F63EC">
        <w:rPr>
          <w:sz w:val="28"/>
          <w:szCs w:val="28"/>
          <w:lang w:val="uk-UA"/>
        </w:rPr>
        <w:t xml:space="preserve"> При поєднаному перебігу ГХ та ЦД 2 типу</w:t>
      </w:r>
      <w:r w:rsidRPr="005F63EC">
        <w:rPr>
          <w:b/>
          <w:sz w:val="28"/>
          <w:szCs w:val="28"/>
          <w:lang w:val="uk-UA"/>
        </w:rPr>
        <w:t xml:space="preserve"> </w:t>
      </w:r>
      <w:r w:rsidRPr="005F63EC">
        <w:rPr>
          <w:sz w:val="28"/>
          <w:szCs w:val="28"/>
          <w:lang w:val="uk-UA"/>
        </w:rPr>
        <w:t>при відсутності порушення функції ЩЗ встановлено вплив віку на більшість гормонально-метаболічних показників:</w:t>
      </w:r>
      <w:r w:rsidRPr="005F63EC">
        <w:rPr>
          <w:color w:val="000000"/>
          <w:sz w:val="28"/>
          <w:szCs w:val="28"/>
          <w:shd w:val="clear" w:color="auto" w:fill="FFFFFF"/>
          <w:lang w:val="uk-UA"/>
        </w:rPr>
        <w:t xml:space="preserve"> масу тіла (МТ, р=0,024), рівні тригліцеридів (ТГ, р=0,008), ХС ЛПДНЩ (р&lt;0,001), ХС ЛПВЩ (р=0,002), інсуліну (р=0,018), артеріального </w:t>
      </w:r>
      <w:r w:rsidRPr="005F63EC">
        <w:rPr>
          <w:color w:val="000000"/>
          <w:sz w:val="28"/>
          <w:szCs w:val="28"/>
          <w:shd w:val="clear" w:color="auto" w:fill="FFFFFF"/>
          <w:lang w:val="uk-UA"/>
        </w:rPr>
        <w:lastRenderedPageBreak/>
        <w:t>тиску (САТ (р&lt;0,001), ДАТ (р=0,049), ПАТ (р=0,014)),</w:t>
      </w:r>
      <w:r w:rsidRPr="005F63EC">
        <w:rPr>
          <w:sz w:val="28"/>
          <w:szCs w:val="28"/>
          <w:lang w:val="uk-UA"/>
        </w:rPr>
        <w:t xml:space="preserve"> </w:t>
      </w:r>
      <w:r w:rsidRPr="005F63EC">
        <w:rPr>
          <w:color w:val="000000"/>
          <w:sz w:val="28"/>
          <w:szCs w:val="28"/>
          <w:shd w:val="clear" w:color="auto" w:fill="FFFFFF"/>
          <w:lang w:val="uk-UA"/>
        </w:rPr>
        <w:t xml:space="preserve">СРП (р=0,028),               </w:t>
      </w:r>
      <w:r w:rsidRPr="005F63EC">
        <w:rPr>
          <w:sz w:val="28"/>
          <w:szCs w:val="28"/>
          <w:lang w:val="uk-UA"/>
        </w:rPr>
        <w:t>8-OH-dG</w:t>
      </w:r>
      <w:r w:rsidRPr="005F63EC">
        <w:rPr>
          <w:b/>
          <w:sz w:val="28"/>
          <w:szCs w:val="28"/>
          <w:lang w:val="uk-UA"/>
        </w:rPr>
        <w:t xml:space="preserve"> </w:t>
      </w:r>
      <w:r w:rsidRPr="005F63EC">
        <w:rPr>
          <w:sz w:val="28"/>
          <w:szCs w:val="28"/>
          <w:lang w:val="uk-UA"/>
        </w:rPr>
        <w:t>(р&lt;0,001), МДА (р=0,004),</w:t>
      </w:r>
      <w:r w:rsidRPr="005F63EC">
        <w:rPr>
          <w:color w:val="000000"/>
          <w:sz w:val="28"/>
          <w:szCs w:val="28"/>
          <w:shd w:val="clear" w:color="auto" w:fill="FFFFFF"/>
          <w:lang w:val="uk-UA"/>
        </w:rPr>
        <w:t xml:space="preserve"> </w:t>
      </w:r>
      <w:r w:rsidRPr="005F63EC">
        <w:rPr>
          <w:sz w:val="28"/>
          <w:szCs w:val="28"/>
          <w:lang w:val="uk-UA"/>
        </w:rPr>
        <w:t xml:space="preserve">активність ГПО (р=0,028), кількість циркулюючих десквамованих ендотеліальних клітин  (ЦДЕК, р=0,007). </w:t>
      </w:r>
    </w:p>
    <w:p w:rsidR="00E3259F" w:rsidRPr="005F63EC" w:rsidRDefault="00E3259F" w:rsidP="005F63EC">
      <w:pPr>
        <w:spacing w:line="360" w:lineRule="auto"/>
        <w:ind w:firstLine="709"/>
        <w:jc w:val="both"/>
        <w:rPr>
          <w:sz w:val="28"/>
          <w:szCs w:val="28"/>
          <w:lang w:val="uk-UA"/>
        </w:rPr>
      </w:pPr>
      <w:r w:rsidRPr="005F63EC">
        <w:rPr>
          <w:sz w:val="28"/>
          <w:szCs w:val="28"/>
          <w:lang w:val="uk-UA"/>
        </w:rPr>
        <w:t>Встановлена наявність коротких теломер у переважної кількості пацієнтів з коморбідною патологією незалежно від функціонального стану ЩЗ. У хворих з поєднаним перебігом ГХ та ЦД 2 типу</w:t>
      </w:r>
      <w:r w:rsidRPr="005F63EC">
        <w:rPr>
          <w:b/>
          <w:sz w:val="28"/>
          <w:szCs w:val="28"/>
          <w:lang w:val="uk-UA"/>
        </w:rPr>
        <w:t xml:space="preserve"> </w:t>
      </w:r>
      <w:r w:rsidRPr="005F63EC">
        <w:rPr>
          <w:sz w:val="28"/>
          <w:szCs w:val="28"/>
          <w:lang w:val="uk-UA"/>
        </w:rPr>
        <w:t xml:space="preserve">наявність коротких теломер клітин букального епітелію у порівнянні з довгими теломерами ассоціювалась з більш високими рівнями ТГ (р=0,002), ХС ЛПДНЩ (р=0,012), глюкози крові (р&lt;0,001), ТТГ (р&lt;0,001), ВЕФР (р=0,008), ФНП-α (р&lt;0,001), 8-OH-dG (р=0,001), МДА (р=0,027), пульсового артеріального тиску (ПАТ, р=0,001) та товшини комплексу інтима-медіа загальної </w:t>
      </w:r>
      <w:r w:rsidR="00663D7B">
        <w:rPr>
          <w:sz w:val="28"/>
          <w:szCs w:val="28"/>
          <w:lang w:val="uk-UA"/>
        </w:rPr>
        <w:t>сонної</w:t>
      </w:r>
      <w:r w:rsidRPr="005F63EC">
        <w:rPr>
          <w:sz w:val="28"/>
          <w:szCs w:val="28"/>
          <w:lang w:val="uk-UA"/>
        </w:rPr>
        <w:t xml:space="preserve"> артерії (ТКІМ ЗСА, р=0,033), а при  наявності субклінічного гіпотиреозу - з більш високими рівнями інсуліну (р=0,008).  При короткої ВДТ крові спостерігались більш високі рівні Т3вільного (р=0,023) і ПАТ (р=0,005) у пацієнтів з ГХ та ЦД 2 типу та рівні ВЕФР (р=0,006), активність ГПО (р=0,041) і ТКІМ ЗСА (р=0,037) при наявності СГТ. </w:t>
      </w:r>
    </w:p>
    <w:p w:rsidR="00E3259F" w:rsidRPr="005F63EC" w:rsidRDefault="00E3259F" w:rsidP="005F63EC">
      <w:pPr>
        <w:pStyle w:val="1"/>
        <w:spacing w:before="0" w:beforeAutospacing="0" w:after="0" w:afterAutospacing="0" w:line="360" w:lineRule="auto"/>
        <w:ind w:firstLine="709"/>
        <w:jc w:val="both"/>
        <w:rPr>
          <w:b w:val="0"/>
          <w:sz w:val="28"/>
          <w:szCs w:val="28"/>
          <w:lang w:val="uk-UA"/>
        </w:rPr>
      </w:pPr>
      <w:r w:rsidRPr="005F63EC">
        <w:rPr>
          <w:b w:val="0"/>
          <w:sz w:val="28"/>
          <w:szCs w:val="28"/>
          <w:lang w:val="uk-UA"/>
        </w:rPr>
        <w:t xml:space="preserve">У пацієнтів з поєднаним перебігом ГХ та ЦД 2 типу встановлено вплив статинотерапії на рівні СРП (р&lt;0,001), ФНП-α (р=0,009), </w:t>
      </w:r>
      <w:r w:rsidRPr="005F63EC">
        <w:rPr>
          <w:b w:val="0"/>
          <w:sz w:val="28"/>
          <w:szCs w:val="28"/>
        </w:rPr>
        <w:t>SH</w:t>
      </w:r>
      <w:r w:rsidRPr="005F63EC">
        <w:rPr>
          <w:b w:val="0"/>
          <w:sz w:val="28"/>
          <w:szCs w:val="28"/>
          <w:lang w:val="uk-UA"/>
        </w:rPr>
        <w:t>-груп (р=0,006), ЦДЕК (р&lt;0,001). Визначена протизапальна, антиоксидантна та ендотелій-протекторна дія поряд з подовженням довжини теломер  (крові - у 60,3±3,90%  пацієнтів, клітин букального епітелію  - у 48,7±4,00%  пацієнтів), підтверджує припущення щодо антиейджингових властивостей статинів. Виявлене погіршення інсулінорезистентності, незначне посилення процесів окислення робить ці властивості менш суттєвими, ніж очікувалось.</w:t>
      </w:r>
    </w:p>
    <w:p w:rsidR="00E3259F" w:rsidRPr="005F63EC" w:rsidRDefault="00E3259F" w:rsidP="005F63EC">
      <w:pPr>
        <w:pStyle w:val="1"/>
        <w:spacing w:before="0" w:beforeAutospacing="0" w:after="0" w:afterAutospacing="0" w:line="360" w:lineRule="auto"/>
        <w:ind w:firstLine="709"/>
        <w:jc w:val="both"/>
        <w:rPr>
          <w:b w:val="0"/>
          <w:sz w:val="28"/>
          <w:szCs w:val="28"/>
          <w:lang w:val="uk-UA"/>
        </w:rPr>
      </w:pPr>
      <w:r w:rsidRPr="005F63EC">
        <w:rPr>
          <w:b w:val="0"/>
          <w:sz w:val="28"/>
          <w:szCs w:val="28"/>
          <w:lang w:val="uk-UA"/>
        </w:rPr>
        <w:t xml:space="preserve">Додаткове призначення замісної терапії левотироксином  в комплексі лікувальних заходів, що включають статинотерапію, пацієнтам з </w:t>
      </w:r>
      <w:r w:rsidRPr="005F63EC">
        <w:rPr>
          <w:b w:val="0"/>
          <w:color w:val="000000"/>
          <w:sz w:val="28"/>
          <w:szCs w:val="28"/>
          <w:lang w:val="uk-UA"/>
        </w:rPr>
        <w:t xml:space="preserve">поєднаним перебігом ГХ, </w:t>
      </w:r>
      <w:r w:rsidRPr="005F63EC">
        <w:rPr>
          <w:b w:val="0"/>
          <w:sz w:val="28"/>
          <w:szCs w:val="28"/>
          <w:lang w:val="uk-UA"/>
        </w:rPr>
        <w:t>ЦД 2 типу</w:t>
      </w:r>
      <w:r w:rsidRPr="005F63EC">
        <w:rPr>
          <w:b w:val="0"/>
          <w:color w:val="000000"/>
          <w:sz w:val="28"/>
          <w:szCs w:val="28"/>
          <w:lang w:val="uk-UA"/>
        </w:rPr>
        <w:t xml:space="preserve"> та СГТ</w:t>
      </w:r>
      <w:r w:rsidRPr="005F63EC">
        <w:rPr>
          <w:b w:val="0"/>
          <w:sz w:val="28"/>
          <w:szCs w:val="28"/>
          <w:lang w:val="uk-UA"/>
        </w:rPr>
        <w:t xml:space="preserve">, призводить до достовірного покращення ліпідного обміну (зниження рівнів ЗХС (р&lt;0,001), ТГ (р=0,019), ХС ЛПНЩ (р&lt;0,001)), вуглеводного обміну (зниження рівнів глюкози (р&lt;0,001), </w:t>
      </w:r>
      <w:r w:rsidRPr="005F63EC">
        <w:rPr>
          <w:b w:val="0"/>
          <w:sz w:val="28"/>
          <w:szCs w:val="28"/>
        </w:rPr>
        <w:t>HbA</w:t>
      </w:r>
      <w:r w:rsidRPr="005F63EC">
        <w:rPr>
          <w:b w:val="0"/>
          <w:sz w:val="28"/>
          <w:szCs w:val="28"/>
          <w:lang w:val="uk-UA"/>
        </w:rPr>
        <w:t>1с</w:t>
      </w:r>
      <w:r>
        <w:rPr>
          <w:b w:val="0"/>
          <w:sz w:val="28"/>
          <w:szCs w:val="28"/>
          <w:lang w:val="uk-UA"/>
        </w:rPr>
        <w:t xml:space="preserve"> </w:t>
      </w:r>
      <w:r w:rsidRPr="005F63EC">
        <w:rPr>
          <w:b w:val="0"/>
          <w:sz w:val="28"/>
          <w:szCs w:val="28"/>
          <w:lang w:val="uk-UA"/>
        </w:rPr>
        <w:t xml:space="preserve">(р&lt;0,001)), інсулінорезистентності (зниження індексу </w:t>
      </w:r>
      <w:r w:rsidRPr="005F63EC">
        <w:rPr>
          <w:b w:val="0"/>
          <w:sz w:val="28"/>
          <w:szCs w:val="28"/>
        </w:rPr>
        <w:t>HOMA</w:t>
      </w:r>
      <w:r w:rsidRPr="005F63EC">
        <w:rPr>
          <w:b w:val="0"/>
          <w:sz w:val="28"/>
          <w:szCs w:val="28"/>
          <w:lang w:val="uk-UA"/>
        </w:rPr>
        <w:t>-</w:t>
      </w:r>
      <w:r w:rsidRPr="005F63EC">
        <w:rPr>
          <w:b w:val="0"/>
          <w:sz w:val="28"/>
          <w:szCs w:val="28"/>
        </w:rPr>
        <w:t>IR</w:t>
      </w:r>
      <w:r w:rsidRPr="005F63EC">
        <w:rPr>
          <w:b w:val="0"/>
          <w:sz w:val="28"/>
          <w:szCs w:val="28"/>
          <w:lang w:val="uk-UA"/>
        </w:rPr>
        <w:t xml:space="preserve"> (р=0,001), тиреоїдного обміну (зниження рівнів ТТГ (р=0,001), функціонального стану ендотелію (зниження рівня ВЕФР (р&lt;0,001)),</w:t>
      </w:r>
      <w:r w:rsidRPr="005F63EC">
        <w:rPr>
          <w:b w:val="0"/>
          <w:sz w:val="28"/>
          <w:szCs w:val="28"/>
        </w:rPr>
        <w:t> </w:t>
      </w:r>
      <w:r w:rsidRPr="005F63EC">
        <w:rPr>
          <w:b w:val="0"/>
          <w:sz w:val="28"/>
          <w:szCs w:val="28"/>
          <w:lang w:val="uk-UA"/>
        </w:rPr>
        <w:t xml:space="preserve"> процесів хронічного системного запалення (зниження рівня СРП (р=0,012)), антиоксидантної системи (підвищення рівня </w:t>
      </w:r>
      <w:r w:rsidRPr="005F63EC">
        <w:rPr>
          <w:b w:val="0"/>
          <w:sz w:val="28"/>
          <w:szCs w:val="28"/>
        </w:rPr>
        <w:t>SH</w:t>
      </w:r>
      <w:r w:rsidRPr="005F63EC">
        <w:rPr>
          <w:b w:val="0"/>
          <w:sz w:val="28"/>
          <w:szCs w:val="28"/>
          <w:lang w:val="uk-UA"/>
        </w:rPr>
        <w:t>-груп (р&lt;0,001)та активності ГПО (р=0,001), артеріального тиску (зниження рівнів САТ (р=0,001),</w:t>
      </w:r>
      <w:r w:rsidRPr="005F63EC">
        <w:rPr>
          <w:rStyle w:val="10"/>
          <w:rFonts w:eastAsiaTheme="majorEastAsia"/>
          <w:b/>
          <w:sz w:val="28"/>
          <w:szCs w:val="28"/>
          <w:lang w:val="uk-UA"/>
        </w:rPr>
        <w:t xml:space="preserve"> </w:t>
      </w:r>
      <w:r w:rsidRPr="005F63EC">
        <w:rPr>
          <w:rStyle w:val="tlid-translation"/>
          <w:b w:val="0"/>
          <w:sz w:val="28"/>
          <w:szCs w:val="28"/>
          <w:lang w:val="uk-UA"/>
        </w:rPr>
        <w:t>ДАТ (р&lt;0,001),</w:t>
      </w:r>
      <w:r w:rsidRPr="005F63EC">
        <w:rPr>
          <w:b w:val="0"/>
          <w:sz w:val="28"/>
          <w:szCs w:val="28"/>
          <w:lang w:val="uk-UA"/>
        </w:rPr>
        <w:t xml:space="preserve"> ПАТ (р&lt;0,001)), збільшення ВДТ крові (р=0,047) та біологічного віку (р = 0,045). </w:t>
      </w:r>
    </w:p>
    <w:p w:rsidR="00E3259F" w:rsidRPr="005F63EC" w:rsidRDefault="00E3259F" w:rsidP="005F63EC">
      <w:pPr>
        <w:pStyle w:val="a4"/>
        <w:spacing w:line="360" w:lineRule="auto"/>
        <w:ind w:left="0" w:firstLine="709"/>
        <w:jc w:val="both"/>
        <w:rPr>
          <w:color w:val="000000"/>
          <w:sz w:val="28"/>
          <w:szCs w:val="28"/>
          <w:shd w:val="clear" w:color="auto" w:fill="FFFFFF"/>
          <w:lang w:val="uk-UA"/>
        </w:rPr>
      </w:pPr>
      <w:r w:rsidRPr="005F63EC">
        <w:rPr>
          <w:sz w:val="28"/>
          <w:szCs w:val="28"/>
          <w:lang w:val="uk-UA"/>
        </w:rPr>
        <w:t>Наукова новизна роботи полягає в розробці концепції щодо оптимізації ранньої діагностики, прогнозування перебігу й диференційованої терапевтичної тактики у хворих з поєднаним перебігом гіпертонічної хвороби, цукрового діабету 2 типу та субклінічного гіпотиреозу на підставі дослідження гормонально-метаболічних і антропометричних показників та процесів судинного старіння</w:t>
      </w:r>
      <w:r w:rsidRPr="005F63EC">
        <w:rPr>
          <w:color w:val="000000"/>
          <w:sz w:val="28"/>
          <w:szCs w:val="28"/>
          <w:shd w:val="clear" w:color="auto" w:fill="FFFFFF"/>
          <w:lang w:val="uk-UA"/>
        </w:rPr>
        <w:t>.</w:t>
      </w:r>
    </w:p>
    <w:p w:rsidR="00E3259F" w:rsidRPr="005F63EC" w:rsidRDefault="00E3259F" w:rsidP="005F63EC">
      <w:pPr>
        <w:pStyle w:val="a4"/>
        <w:spacing w:line="360" w:lineRule="auto"/>
        <w:ind w:left="0" w:firstLine="709"/>
        <w:jc w:val="both"/>
        <w:rPr>
          <w:color w:val="000000"/>
          <w:sz w:val="28"/>
          <w:szCs w:val="28"/>
          <w:lang w:val="uk-UA"/>
        </w:rPr>
      </w:pPr>
      <w:r w:rsidRPr="005F63EC">
        <w:rPr>
          <w:color w:val="000000"/>
          <w:sz w:val="28"/>
          <w:szCs w:val="28"/>
          <w:shd w:val="clear" w:color="auto" w:fill="FFFFFF"/>
          <w:lang w:val="uk-UA"/>
        </w:rPr>
        <w:t xml:space="preserve">Визначено особливості гормонально-метаболічних змін та </w:t>
      </w:r>
      <w:r w:rsidRPr="005F63EC">
        <w:rPr>
          <w:sz w:val="28"/>
          <w:szCs w:val="28"/>
          <w:lang w:val="uk-UA"/>
        </w:rPr>
        <w:t>процесів судинного старіння</w:t>
      </w:r>
      <w:r w:rsidRPr="005F63EC">
        <w:rPr>
          <w:color w:val="000000"/>
          <w:sz w:val="28"/>
          <w:szCs w:val="28"/>
          <w:shd w:val="clear" w:color="auto" w:fill="FFFFFF"/>
          <w:lang w:val="uk-UA"/>
        </w:rPr>
        <w:t xml:space="preserve"> у хворих з коморбідною патологією, яка включає гіпертонічну хворобу та цукровий діабет 2 типу без порушення функції  щитоподібної залози або з субклінічним гіпотиреозом, залежно від вікової групи.</w:t>
      </w:r>
      <w:r w:rsidRPr="005F63EC">
        <w:rPr>
          <w:color w:val="000000"/>
          <w:sz w:val="28"/>
          <w:szCs w:val="28"/>
          <w:lang w:val="uk-UA"/>
        </w:rPr>
        <w:t xml:space="preserve"> </w:t>
      </w:r>
    </w:p>
    <w:p w:rsidR="00E3259F" w:rsidRPr="005F63EC" w:rsidRDefault="00E3259F" w:rsidP="005F63EC">
      <w:pPr>
        <w:pStyle w:val="a4"/>
        <w:spacing w:line="360" w:lineRule="auto"/>
        <w:ind w:left="0" w:firstLine="709"/>
        <w:jc w:val="both"/>
        <w:rPr>
          <w:color w:val="000000"/>
          <w:sz w:val="28"/>
          <w:szCs w:val="28"/>
          <w:shd w:val="clear" w:color="auto" w:fill="FFFFFF"/>
          <w:lang w:val="uk-UA"/>
        </w:rPr>
      </w:pPr>
      <w:r w:rsidRPr="005F63EC">
        <w:rPr>
          <w:spacing w:val="-4"/>
          <w:kern w:val="2"/>
          <w:sz w:val="28"/>
          <w:szCs w:val="28"/>
          <w:lang w:val="uk-UA"/>
        </w:rPr>
        <w:t xml:space="preserve">Установлено вікові особливості ліпідного, вуглеводного, тиреоїдного обмінів, оксидантно-антиоксидантного балансу, ендотеліальної дисфункції, хронічного системного запалення й </w:t>
      </w:r>
      <w:r w:rsidRPr="005F63EC">
        <w:rPr>
          <w:sz w:val="28"/>
          <w:szCs w:val="28"/>
          <w:lang w:val="uk-UA"/>
        </w:rPr>
        <w:t>процесів судинного старіння</w:t>
      </w:r>
      <w:r w:rsidRPr="005F63EC">
        <w:rPr>
          <w:color w:val="000000"/>
          <w:sz w:val="28"/>
          <w:szCs w:val="28"/>
          <w:shd w:val="clear" w:color="auto" w:fill="FFFFFF"/>
          <w:lang w:val="uk-UA"/>
        </w:rPr>
        <w:t xml:space="preserve"> у хворих на  гіпертонічну хворобу та цукровий діабет 2 типу залежно від наявності субклінічного гіпотиреозу.</w:t>
      </w:r>
    </w:p>
    <w:p w:rsidR="00E3259F" w:rsidRPr="005F63EC" w:rsidRDefault="00E3259F" w:rsidP="005F63EC">
      <w:pPr>
        <w:pStyle w:val="a4"/>
        <w:spacing w:line="360" w:lineRule="auto"/>
        <w:ind w:left="0" w:firstLine="709"/>
        <w:jc w:val="both"/>
        <w:rPr>
          <w:color w:val="000000"/>
          <w:sz w:val="28"/>
          <w:szCs w:val="28"/>
          <w:shd w:val="clear" w:color="auto" w:fill="FFFFFF"/>
          <w:lang w:val="uk-UA"/>
        </w:rPr>
      </w:pPr>
      <w:r w:rsidRPr="005F63EC">
        <w:rPr>
          <w:color w:val="000000"/>
          <w:sz w:val="28"/>
          <w:szCs w:val="28"/>
          <w:lang w:val="uk-UA"/>
        </w:rPr>
        <w:t xml:space="preserve">Доведено особливість </w:t>
      </w:r>
      <w:r w:rsidRPr="005F63EC">
        <w:rPr>
          <w:color w:val="000000"/>
          <w:sz w:val="28"/>
          <w:szCs w:val="28"/>
          <w:shd w:val="clear" w:color="auto" w:fill="FFFFFF"/>
          <w:lang w:val="uk-UA"/>
        </w:rPr>
        <w:t xml:space="preserve">гормонально-метаболічних факторів та </w:t>
      </w:r>
      <w:r w:rsidRPr="005F63EC">
        <w:rPr>
          <w:sz w:val="28"/>
          <w:szCs w:val="28"/>
          <w:lang w:val="uk-UA"/>
        </w:rPr>
        <w:t>процесів судинного старіння</w:t>
      </w:r>
      <w:r w:rsidRPr="005F63EC">
        <w:rPr>
          <w:color w:val="000000"/>
          <w:sz w:val="28"/>
          <w:szCs w:val="28"/>
          <w:shd w:val="clear" w:color="auto" w:fill="FFFFFF"/>
          <w:lang w:val="uk-UA"/>
        </w:rPr>
        <w:t xml:space="preserve"> при прискореному темпі старіння у хворих на  ГХ та </w:t>
      </w:r>
      <w:r w:rsidRPr="005F63EC">
        <w:rPr>
          <w:rStyle w:val="tlid-translation"/>
          <w:rFonts w:eastAsiaTheme="majorEastAsia"/>
          <w:sz w:val="28"/>
          <w:szCs w:val="28"/>
          <w:lang w:val="uk-UA"/>
        </w:rPr>
        <w:t>ЦД 2 типу</w:t>
      </w:r>
      <w:r w:rsidRPr="005F63EC">
        <w:rPr>
          <w:color w:val="000000"/>
          <w:sz w:val="28"/>
          <w:szCs w:val="28"/>
          <w:shd w:val="clear" w:color="auto" w:fill="FFFFFF"/>
          <w:lang w:val="uk-UA"/>
        </w:rPr>
        <w:t xml:space="preserve"> залежно від наявності СГТ</w:t>
      </w:r>
    </w:p>
    <w:p w:rsidR="00E3259F" w:rsidRPr="005F63EC" w:rsidRDefault="00E3259F" w:rsidP="005F63EC">
      <w:pPr>
        <w:pStyle w:val="a4"/>
        <w:spacing w:line="360" w:lineRule="auto"/>
        <w:ind w:left="0" w:firstLine="709"/>
        <w:jc w:val="both"/>
        <w:rPr>
          <w:sz w:val="28"/>
          <w:szCs w:val="28"/>
          <w:lang w:val="uk-UA" w:eastAsia="en-US"/>
        </w:rPr>
      </w:pPr>
      <w:r w:rsidRPr="005F63EC">
        <w:rPr>
          <w:color w:val="000000"/>
          <w:sz w:val="28"/>
          <w:szCs w:val="28"/>
          <w:shd w:val="clear" w:color="auto" w:fill="FFFFFF"/>
          <w:lang w:val="uk-UA"/>
        </w:rPr>
        <w:t xml:space="preserve">Уперше запропоновано метод оцінювання вираженості й прогресування оксидативного стресу в пацієнтів з поєднаним перебігом гіпертонічної хвороби, цукрового діабету 2 типу та субклінічного гіпотиреозу </w:t>
      </w:r>
      <w:r w:rsidRPr="005F63EC">
        <w:rPr>
          <w:sz w:val="28"/>
          <w:szCs w:val="28"/>
          <w:lang w:val="uk-UA"/>
        </w:rPr>
        <w:t xml:space="preserve">шляхом комплексного аналізу лабораторних показників (рівень тиреотропного гормона, малонового діальдегіду, 8-гідрокси-2'-дезоксигуанозину, тіолових груп, активність глутатіонпероксидази), рівнів систолічного  артеріального тиску й інформації щодо вживання статинів. </w:t>
      </w:r>
    </w:p>
    <w:p w:rsidR="00E3259F" w:rsidRPr="005F63EC" w:rsidRDefault="00E3259F" w:rsidP="005F63EC">
      <w:pPr>
        <w:pStyle w:val="xfmc2"/>
        <w:shd w:val="clear" w:color="auto" w:fill="FFFFFF"/>
        <w:spacing w:before="0" w:beforeAutospacing="0" w:after="0" w:afterAutospacing="0" w:line="360" w:lineRule="auto"/>
        <w:ind w:firstLine="709"/>
        <w:jc w:val="both"/>
        <w:rPr>
          <w:color w:val="000000"/>
          <w:sz w:val="28"/>
          <w:szCs w:val="28"/>
        </w:rPr>
      </w:pPr>
      <w:r w:rsidRPr="005F63EC">
        <w:rPr>
          <w:color w:val="000000"/>
          <w:sz w:val="28"/>
          <w:szCs w:val="28"/>
          <w:shd w:val="clear" w:color="auto" w:fill="FFFFFF"/>
          <w:lang w:val="uk-UA"/>
        </w:rPr>
        <w:t>У</w:t>
      </w:r>
      <w:r w:rsidRPr="005F63EC">
        <w:rPr>
          <w:color w:val="000000"/>
          <w:sz w:val="28"/>
          <w:szCs w:val="28"/>
          <w:shd w:val="clear" w:color="auto" w:fill="FFFFFF"/>
        </w:rPr>
        <w:t>становлен</w:t>
      </w:r>
      <w:r w:rsidRPr="005F63EC">
        <w:rPr>
          <w:color w:val="000000"/>
          <w:sz w:val="28"/>
          <w:szCs w:val="28"/>
          <w:shd w:val="clear" w:color="auto" w:fill="FFFFFF"/>
          <w:lang w:val="uk-UA"/>
        </w:rPr>
        <w:t>о</w:t>
      </w:r>
      <w:r w:rsidRPr="005F63EC">
        <w:rPr>
          <w:color w:val="000000"/>
          <w:sz w:val="28"/>
          <w:szCs w:val="28"/>
          <w:shd w:val="clear" w:color="auto" w:fill="FFFFFF"/>
        </w:rPr>
        <w:t xml:space="preserve"> діагностичн</w:t>
      </w:r>
      <w:r w:rsidRPr="005F63EC">
        <w:rPr>
          <w:color w:val="000000"/>
          <w:sz w:val="28"/>
          <w:szCs w:val="28"/>
          <w:shd w:val="clear" w:color="auto" w:fill="FFFFFF"/>
          <w:lang w:val="uk-UA"/>
        </w:rPr>
        <w:t>у</w:t>
      </w:r>
      <w:r w:rsidRPr="005F63EC">
        <w:rPr>
          <w:color w:val="000000"/>
          <w:sz w:val="28"/>
          <w:szCs w:val="28"/>
          <w:shd w:val="clear" w:color="auto" w:fill="FFFFFF"/>
        </w:rPr>
        <w:t xml:space="preserve"> та прогностичн</w:t>
      </w:r>
      <w:r w:rsidRPr="005F63EC">
        <w:rPr>
          <w:color w:val="000000"/>
          <w:sz w:val="28"/>
          <w:szCs w:val="28"/>
          <w:shd w:val="clear" w:color="auto" w:fill="FFFFFF"/>
          <w:lang w:val="uk-UA"/>
        </w:rPr>
        <w:t>у</w:t>
      </w:r>
      <w:r w:rsidRPr="005F63EC">
        <w:rPr>
          <w:color w:val="000000"/>
          <w:sz w:val="28"/>
          <w:szCs w:val="28"/>
          <w:shd w:val="clear" w:color="auto" w:fill="FFFFFF"/>
        </w:rPr>
        <w:t xml:space="preserve"> цінність довжини теломер як біомаркера серцево-судинного ризику </w:t>
      </w:r>
      <w:r w:rsidRPr="005F63EC">
        <w:rPr>
          <w:color w:val="000000"/>
          <w:sz w:val="28"/>
          <w:szCs w:val="28"/>
          <w:shd w:val="clear" w:color="auto" w:fill="FFFFFF"/>
          <w:lang w:val="uk-UA"/>
        </w:rPr>
        <w:t>в</w:t>
      </w:r>
      <w:r w:rsidRPr="005F63EC">
        <w:rPr>
          <w:color w:val="000000"/>
          <w:sz w:val="28"/>
          <w:szCs w:val="28"/>
          <w:shd w:val="clear" w:color="auto" w:fill="FFFFFF"/>
        </w:rPr>
        <w:t xml:space="preserve"> пацієнтів різних вікових груп з</w:t>
      </w:r>
      <w:r w:rsidRPr="005F63EC">
        <w:rPr>
          <w:color w:val="000000"/>
          <w:sz w:val="28"/>
          <w:szCs w:val="28"/>
          <w:shd w:val="clear" w:color="auto" w:fill="FFFFFF"/>
          <w:lang w:val="uk-UA"/>
        </w:rPr>
        <w:t xml:space="preserve"> ГХ, </w:t>
      </w:r>
      <w:r w:rsidRPr="005F63EC">
        <w:rPr>
          <w:rStyle w:val="tlid-translation"/>
          <w:rFonts w:eastAsiaTheme="majorEastAsia"/>
          <w:sz w:val="28"/>
          <w:szCs w:val="28"/>
          <w:lang w:val="uk-UA"/>
        </w:rPr>
        <w:t>ЦД 2 типу</w:t>
      </w:r>
      <w:r w:rsidRPr="005F63EC">
        <w:rPr>
          <w:color w:val="000000"/>
          <w:sz w:val="28"/>
          <w:szCs w:val="28"/>
          <w:shd w:val="clear" w:color="auto" w:fill="FFFFFF"/>
          <w:lang w:val="uk-UA"/>
        </w:rPr>
        <w:t xml:space="preserve"> без порушення</w:t>
      </w:r>
      <w:r w:rsidRPr="005F63EC">
        <w:rPr>
          <w:color w:val="000000"/>
          <w:sz w:val="28"/>
          <w:szCs w:val="28"/>
          <w:shd w:val="clear" w:color="auto" w:fill="FFFFFF"/>
        </w:rPr>
        <w:t xml:space="preserve"> функці</w:t>
      </w:r>
      <w:r w:rsidRPr="005F63EC">
        <w:rPr>
          <w:color w:val="000000"/>
          <w:sz w:val="28"/>
          <w:szCs w:val="28"/>
          <w:shd w:val="clear" w:color="auto" w:fill="FFFFFF"/>
          <w:lang w:val="uk-UA"/>
        </w:rPr>
        <w:t>ї</w:t>
      </w:r>
      <w:r w:rsidRPr="005F63EC">
        <w:rPr>
          <w:color w:val="000000"/>
          <w:sz w:val="28"/>
          <w:szCs w:val="28"/>
          <w:shd w:val="clear" w:color="auto" w:fill="FFFFFF"/>
        </w:rPr>
        <w:t xml:space="preserve"> ЩЗ та </w:t>
      </w:r>
      <w:r w:rsidRPr="005F63EC">
        <w:rPr>
          <w:color w:val="000000"/>
          <w:sz w:val="28"/>
          <w:szCs w:val="28"/>
          <w:shd w:val="clear" w:color="auto" w:fill="FFFFFF"/>
          <w:lang w:val="uk-UA"/>
        </w:rPr>
        <w:t>за</w:t>
      </w:r>
      <w:r w:rsidRPr="005F63EC">
        <w:rPr>
          <w:color w:val="000000"/>
          <w:sz w:val="28"/>
          <w:szCs w:val="28"/>
          <w:shd w:val="clear" w:color="auto" w:fill="FFFFFF"/>
        </w:rPr>
        <w:t xml:space="preserve"> наявності СГТ.</w:t>
      </w:r>
    </w:p>
    <w:p w:rsidR="00E3259F" w:rsidRPr="005F63EC" w:rsidRDefault="00E3259F" w:rsidP="005F63EC">
      <w:pPr>
        <w:pStyle w:val="xfmc2"/>
        <w:shd w:val="clear" w:color="auto" w:fill="FFFFFF"/>
        <w:spacing w:before="0" w:beforeAutospacing="0" w:after="0" w:afterAutospacing="0" w:line="360" w:lineRule="auto"/>
        <w:ind w:firstLine="709"/>
        <w:jc w:val="both"/>
        <w:rPr>
          <w:color w:val="000000"/>
          <w:sz w:val="28"/>
          <w:szCs w:val="28"/>
          <w:lang w:val="uk-UA"/>
        </w:rPr>
      </w:pPr>
      <w:r w:rsidRPr="005F63EC">
        <w:rPr>
          <w:rStyle w:val="xfmc3"/>
          <w:rFonts w:eastAsiaTheme="majorEastAsia"/>
          <w:color w:val="000000"/>
          <w:sz w:val="28"/>
          <w:szCs w:val="28"/>
          <w:shd w:val="clear" w:color="auto" w:fill="FFFFFF"/>
        </w:rPr>
        <w:t xml:space="preserve">Доведено зв'язок кардіометаболічних порушень, погіршення функціонального стану ендотелію, </w:t>
      </w:r>
      <w:r w:rsidRPr="005F63EC">
        <w:rPr>
          <w:rStyle w:val="xfmc3"/>
          <w:rFonts w:eastAsiaTheme="majorEastAsia"/>
          <w:color w:val="000000"/>
          <w:sz w:val="28"/>
          <w:szCs w:val="28"/>
          <w:shd w:val="clear" w:color="auto" w:fill="FFFFFF"/>
          <w:lang w:val="uk-UA"/>
        </w:rPr>
        <w:t xml:space="preserve">посилення процесів </w:t>
      </w:r>
      <w:r w:rsidRPr="005F63EC">
        <w:rPr>
          <w:rStyle w:val="xfmc3"/>
          <w:rFonts w:eastAsiaTheme="majorEastAsia"/>
          <w:color w:val="000000"/>
          <w:sz w:val="28"/>
          <w:szCs w:val="28"/>
          <w:shd w:val="clear" w:color="auto" w:fill="FFFFFF"/>
        </w:rPr>
        <w:t>хронічного</w:t>
      </w:r>
      <w:r w:rsidRPr="005F63EC">
        <w:rPr>
          <w:rStyle w:val="xfmc3"/>
          <w:rFonts w:eastAsiaTheme="majorEastAsia"/>
          <w:color w:val="000000"/>
          <w:sz w:val="28"/>
          <w:szCs w:val="28"/>
          <w:shd w:val="clear" w:color="auto" w:fill="FFFFFF"/>
          <w:lang w:val="uk-UA"/>
        </w:rPr>
        <w:t xml:space="preserve"> системного</w:t>
      </w:r>
      <w:r w:rsidRPr="005F63EC">
        <w:rPr>
          <w:rStyle w:val="xfmc3"/>
          <w:rFonts w:eastAsiaTheme="majorEastAsia"/>
          <w:color w:val="000000"/>
          <w:sz w:val="28"/>
          <w:szCs w:val="28"/>
          <w:shd w:val="clear" w:color="auto" w:fill="FFFFFF"/>
        </w:rPr>
        <w:t xml:space="preserve"> запалення </w:t>
      </w:r>
      <w:r w:rsidRPr="005F63EC">
        <w:rPr>
          <w:rStyle w:val="xfmc3"/>
          <w:rFonts w:eastAsiaTheme="majorEastAsia"/>
          <w:color w:val="000000"/>
          <w:sz w:val="28"/>
          <w:szCs w:val="28"/>
          <w:shd w:val="clear" w:color="auto" w:fill="FFFFFF"/>
          <w:lang w:val="uk-UA"/>
        </w:rPr>
        <w:t>й</w:t>
      </w:r>
      <w:r w:rsidRPr="005F63EC">
        <w:rPr>
          <w:rStyle w:val="xfmc3"/>
          <w:rFonts w:eastAsiaTheme="majorEastAsia"/>
          <w:color w:val="000000"/>
          <w:sz w:val="28"/>
          <w:szCs w:val="28"/>
          <w:shd w:val="clear" w:color="auto" w:fill="FFFFFF"/>
        </w:rPr>
        <w:t xml:space="preserve"> судинного старіння зі ступенем мінімальної тиреоїдної недостатності. </w:t>
      </w:r>
      <w:r w:rsidRPr="005F63EC">
        <w:rPr>
          <w:rStyle w:val="xfmc3"/>
          <w:rFonts w:eastAsiaTheme="majorEastAsia"/>
          <w:color w:val="000000"/>
          <w:sz w:val="28"/>
          <w:szCs w:val="28"/>
          <w:shd w:val="clear" w:color="auto" w:fill="FFFFFF"/>
          <w:lang w:val="uk-UA"/>
        </w:rPr>
        <w:t>Визначено</w:t>
      </w:r>
      <w:r w:rsidRPr="005F63EC">
        <w:rPr>
          <w:rStyle w:val="xfmc3"/>
          <w:rFonts w:eastAsiaTheme="majorEastAsia"/>
          <w:color w:val="000000"/>
          <w:sz w:val="28"/>
          <w:szCs w:val="28"/>
          <w:shd w:val="clear" w:color="auto" w:fill="FFFFFF"/>
        </w:rPr>
        <w:t xml:space="preserve">, що </w:t>
      </w:r>
      <w:r w:rsidRPr="005F63EC">
        <w:rPr>
          <w:rStyle w:val="xfmc3"/>
          <w:rFonts w:eastAsiaTheme="majorEastAsia"/>
          <w:color w:val="000000"/>
          <w:sz w:val="28"/>
          <w:szCs w:val="28"/>
          <w:shd w:val="clear" w:color="auto" w:fill="FFFFFF"/>
          <w:lang w:val="uk-UA"/>
        </w:rPr>
        <w:t>в разі</w:t>
      </w:r>
      <w:r w:rsidRPr="005F63EC">
        <w:rPr>
          <w:rStyle w:val="xfmc3"/>
          <w:rFonts w:eastAsiaTheme="majorEastAsia"/>
          <w:color w:val="000000"/>
          <w:sz w:val="28"/>
          <w:szCs w:val="28"/>
          <w:shd w:val="clear" w:color="auto" w:fill="FFFFFF"/>
        </w:rPr>
        <w:t xml:space="preserve"> поєднано</w:t>
      </w:r>
      <w:r w:rsidRPr="005F63EC">
        <w:rPr>
          <w:rStyle w:val="xfmc3"/>
          <w:rFonts w:eastAsiaTheme="majorEastAsia"/>
          <w:color w:val="000000"/>
          <w:sz w:val="28"/>
          <w:szCs w:val="28"/>
          <w:shd w:val="clear" w:color="auto" w:fill="FFFFFF"/>
          <w:lang w:val="uk-UA"/>
        </w:rPr>
        <w:t>го</w:t>
      </w:r>
      <w:r w:rsidRPr="005F63EC">
        <w:rPr>
          <w:rStyle w:val="xfmc3"/>
          <w:rFonts w:eastAsiaTheme="majorEastAsia"/>
          <w:color w:val="000000"/>
          <w:sz w:val="28"/>
          <w:szCs w:val="28"/>
          <w:shd w:val="clear" w:color="auto" w:fill="FFFFFF"/>
        </w:rPr>
        <w:t xml:space="preserve"> перебігу Г</w:t>
      </w:r>
      <w:r w:rsidRPr="005F63EC">
        <w:rPr>
          <w:rStyle w:val="xfmc3"/>
          <w:rFonts w:eastAsiaTheme="majorEastAsia"/>
          <w:color w:val="000000"/>
          <w:sz w:val="28"/>
          <w:szCs w:val="28"/>
          <w:shd w:val="clear" w:color="auto" w:fill="FFFFFF"/>
          <w:lang w:val="uk-UA"/>
        </w:rPr>
        <w:t>Х</w:t>
      </w:r>
      <w:r w:rsidRPr="005F63EC">
        <w:rPr>
          <w:rStyle w:val="xfmc3"/>
          <w:rFonts w:eastAsiaTheme="majorEastAsia"/>
          <w:color w:val="000000"/>
          <w:sz w:val="28"/>
          <w:szCs w:val="28"/>
          <w:shd w:val="clear" w:color="auto" w:fill="FFFFFF"/>
        </w:rPr>
        <w:t xml:space="preserve">, </w:t>
      </w:r>
      <w:r w:rsidRPr="005F63EC">
        <w:rPr>
          <w:rStyle w:val="tlid-translation"/>
          <w:rFonts w:eastAsiaTheme="majorEastAsia"/>
          <w:sz w:val="28"/>
          <w:szCs w:val="28"/>
          <w:lang w:val="uk-UA"/>
        </w:rPr>
        <w:t>ЦД 2 типу</w:t>
      </w:r>
      <w:r w:rsidRPr="005F63EC">
        <w:rPr>
          <w:rStyle w:val="xfmc3"/>
          <w:rFonts w:eastAsiaTheme="majorEastAsia"/>
          <w:color w:val="000000"/>
          <w:sz w:val="28"/>
          <w:szCs w:val="28"/>
          <w:shd w:val="clear" w:color="auto" w:fill="FFFFFF"/>
        </w:rPr>
        <w:t xml:space="preserve"> і СГТ  рівні ТТГ </w:t>
      </w:r>
      <w:r w:rsidRPr="005F63EC">
        <w:rPr>
          <w:rStyle w:val="xfmc3"/>
          <w:rFonts w:eastAsiaTheme="majorEastAsia"/>
          <w:color w:val="000000"/>
          <w:sz w:val="28"/>
          <w:szCs w:val="28"/>
          <w:shd w:val="clear" w:color="auto" w:fill="FFFFFF"/>
          <w:lang w:val="uk-UA"/>
        </w:rPr>
        <w:t>у</w:t>
      </w:r>
      <w:r w:rsidRPr="005F63EC">
        <w:rPr>
          <w:rStyle w:val="xfmc3"/>
          <w:rFonts w:eastAsiaTheme="majorEastAsia"/>
          <w:color w:val="000000"/>
          <w:sz w:val="28"/>
          <w:szCs w:val="28"/>
          <w:shd w:val="clear" w:color="auto" w:fill="FFFFFF"/>
        </w:rPr>
        <w:t xml:space="preserve"> діапазоні 6,1 - 10,00 мкМО/мл (&gt;6,0 мкМО/мл</w:t>
      </w:r>
      <w:r w:rsidRPr="005F63EC">
        <w:rPr>
          <w:color w:val="000000"/>
          <w:sz w:val="28"/>
          <w:szCs w:val="28"/>
          <w:shd w:val="clear" w:color="auto" w:fill="FFFFFF"/>
        </w:rPr>
        <w:t xml:space="preserve"> для більшості </w:t>
      </w:r>
      <w:r w:rsidRPr="005F63EC">
        <w:rPr>
          <w:color w:val="000000"/>
          <w:sz w:val="28"/>
          <w:szCs w:val="28"/>
          <w:shd w:val="clear" w:color="auto" w:fill="FFFFFF"/>
          <w:lang w:val="uk-UA"/>
        </w:rPr>
        <w:t>чинників</w:t>
      </w:r>
      <w:r w:rsidRPr="005F63EC">
        <w:rPr>
          <w:color w:val="000000"/>
          <w:sz w:val="28"/>
          <w:szCs w:val="28"/>
          <w:shd w:val="clear" w:color="auto" w:fill="FFFFFF"/>
        </w:rPr>
        <w:t xml:space="preserve">) надають більш виражений негативний вплив на маркери </w:t>
      </w:r>
      <w:r w:rsidRPr="005F63EC">
        <w:rPr>
          <w:color w:val="000000"/>
          <w:sz w:val="28"/>
          <w:szCs w:val="28"/>
          <w:shd w:val="clear" w:color="auto" w:fill="FFFFFF"/>
          <w:lang w:val="uk-UA"/>
        </w:rPr>
        <w:t>КВР</w:t>
      </w:r>
      <w:r w:rsidRPr="005F63EC">
        <w:rPr>
          <w:color w:val="000000"/>
          <w:sz w:val="28"/>
          <w:szCs w:val="28"/>
          <w:shd w:val="clear" w:color="auto" w:fill="FFFFFF"/>
        </w:rPr>
        <w:t xml:space="preserve">, ніж </w:t>
      </w:r>
      <w:r w:rsidRPr="005F63EC">
        <w:rPr>
          <w:color w:val="000000"/>
          <w:sz w:val="28"/>
          <w:szCs w:val="28"/>
          <w:shd w:val="clear" w:color="auto" w:fill="FFFFFF"/>
          <w:lang w:val="uk-UA"/>
        </w:rPr>
        <w:t xml:space="preserve">нижчі </w:t>
      </w:r>
      <w:r w:rsidRPr="005F63EC">
        <w:rPr>
          <w:color w:val="000000"/>
          <w:sz w:val="28"/>
          <w:szCs w:val="28"/>
          <w:shd w:val="clear" w:color="auto" w:fill="FFFFFF"/>
        </w:rPr>
        <w:t>значення цього показника.</w:t>
      </w:r>
    </w:p>
    <w:p w:rsidR="00E3259F" w:rsidRPr="005F63EC" w:rsidRDefault="00E3259F" w:rsidP="005F63EC">
      <w:pPr>
        <w:pStyle w:val="xfmc2"/>
        <w:shd w:val="clear" w:color="auto" w:fill="FFFFFF"/>
        <w:spacing w:before="0" w:beforeAutospacing="0" w:after="0" w:afterAutospacing="0" w:line="360" w:lineRule="auto"/>
        <w:ind w:firstLine="709"/>
        <w:jc w:val="both"/>
        <w:rPr>
          <w:color w:val="000000"/>
          <w:sz w:val="28"/>
          <w:szCs w:val="28"/>
          <w:lang w:val="uk-UA"/>
        </w:rPr>
      </w:pPr>
      <w:r w:rsidRPr="005F63EC">
        <w:rPr>
          <w:color w:val="000000"/>
          <w:sz w:val="28"/>
          <w:szCs w:val="28"/>
          <w:lang w:val="uk-UA"/>
        </w:rPr>
        <w:t xml:space="preserve">Доведено наявність довшої довжини теломер крові та клітин букального епітелію у випадку нормалізації визначених модифікованих чинників кардіоваскулярного ризику (рівнів ЗХС, ХС ЛПНЩ, ХС ЛПВЩ, глюкози крові натще, артеріального тиску) у  хворих </w:t>
      </w:r>
      <w:r w:rsidRPr="005F63EC">
        <w:rPr>
          <w:color w:val="000000"/>
          <w:sz w:val="28"/>
          <w:szCs w:val="28"/>
          <w:shd w:val="clear" w:color="auto" w:fill="FFFFFF"/>
          <w:lang w:val="uk-UA"/>
        </w:rPr>
        <w:t>на  гіпертонічну хворобу та цукровий діабет 2 типу переважно при відсутності порушення функціонального стану щитовидної залози</w:t>
      </w:r>
      <w:r w:rsidRPr="005F63EC">
        <w:rPr>
          <w:color w:val="000000"/>
          <w:sz w:val="28"/>
          <w:szCs w:val="28"/>
          <w:lang w:val="uk-UA"/>
        </w:rPr>
        <w:t>.</w:t>
      </w:r>
    </w:p>
    <w:p w:rsidR="00E3259F" w:rsidRPr="005F63EC" w:rsidRDefault="00E3259F" w:rsidP="005F63EC">
      <w:pPr>
        <w:pStyle w:val="xfmc2"/>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5F63EC">
        <w:rPr>
          <w:color w:val="000000"/>
          <w:sz w:val="28"/>
          <w:szCs w:val="28"/>
          <w:shd w:val="clear" w:color="auto" w:fill="FFFFFF"/>
          <w:lang w:val="uk-UA"/>
        </w:rPr>
        <w:t xml:space="preserve">Науково обґрунтовано доцільність залучення левотироксину до комплексного лікування пацієнтів з поєднаним перебігом ГХ, </w:t>
      </w:r>
      <w:r w:rsidRPr="005F63EC">
        <w:rPr>
          <w:rStyle w:val="tlid-translation"/>
          <w:rFonts w:eastAsiaTheme="majorEastAsia"/>
          <w:sz w:val="28"/>
          <w:szCs w:val="28"/>
          <w:lang w:val="uk-UA"/>
        </w:rPr>
        <w:t>ЦД 2 типу</w:t>
      </w:r>
      <w:r w:rsidRPr="005F63EC">
        <w:rPr>
          <w:color w:val="000000"/>
          <w:sz w:val="28"/>
          <w:szCs w:val="28"/>
          <w:shd w:val="clear" w:color="auto" w:fill="FFFFFF"/>
          <w:lang w:val="uk-UA"/>
        </w:rPr>
        <w:t xml:space="preserve"> та СГТ з метою зниження ризику розвитку серцево-судинних ускладнень за рахунок покращення гормонально-метаболічних, антропометричних факторів та </w:t>
      </w:r>
      <w:r w:rsidRPr="005F63EC">
        <w:rPr>
          <w:sz w:val="28"/>
          <w:szCs w:val="28"/>
          <w:lang w:val="uk-UA"/>
        </w:rPr>
        <w:t>процесів судинного старіння</w:t>
      </w:r>
      <w:r w:rsidRPr="005F63EC">
        <w:rPr>
          <w:color w:val="000000"/>
          <w:sz w:val="28"/>
          <w:szCs w:val="28"/>
          <w:shd w:val="clear" w:color="auto" w:fill="FFFFFF"/>
          <w:lang w:val="uk-UA"/>
        </w:rPr>
        <w:t>.</w:t>
      </w:r>
    </w:p>
    <w:p w:rsidR="00E3259F" w:rsidRPr="005F63EC" w:rsidRDefault="00E3259F" w:rsidP="005F63EC">
      <w:pPr>
        <w:pStyle w:val="xfmc2"/>
        <w:shd w:val="clear" w:color="auto" w:fill="FFFFFF"/>
        <w:spacing w:before="0" w:beforeAutospacing="0" w:after="0" w:afterAutospacing="0" w:line="360" w:lineRule="auto"/>
        <w:ind w:firstLine="709"/>
        <w:jc w:val="both"/>
        <w:rPr>
          <w:color w:val="000000"/>
          <w:sz w:val="28"/>
          <w:szCs w:val="28"/>
          <w:lang w:val="uk-UA"/>
        </w:rPr>
      </w:pPr>
      <w:r w:rsidRPr="005F63EC">
        <w:rPr>
          <w:color w:val="000000"/>
          <w:sz w:val="28"/>
          <w:szCs w:val="28"/>
          <w:shd w:val="clear" w:color="auto" w:fill="FFFFFF"/>
          <w:lang w:val="uk-UA"/>
        </w:rPr>
        <w:t>Уперше запропоновано науково обґрунтовану багатофакторну модель прогнозування розвитку серцево-судинних ускладнень у хворих на ГХ</w:t>
      </w:r>
      <w:r w:rsidRPr="005F63EC">
        <w:rPr>
          <w:color w:val="000000"/>
          <w:sz w:val="28"/>
          <w:szCs w:val="28"/>
          <w:lang w:val="uk-UA"/>
        </w:rPr>
        <w:t xml:space="preserve"> </w:t>
      </w:r>
      <w:r w:rsidRPr="005F63EC">
        <w:rPr>
          <w:color w:val="000000"/>
          <w:sz w:val="28"/>
          <w:szCs w:val="28"/>
          <w:shd w:val="clear" w:color="auto" w:fill="FFFFFF"/>
          <w:lang w:val="uk-UA"/>
        </w:rPr>
        <w:t xml:space="preserve">у поєднанні із </w:t>
      </w:r>
      <w:r w:rsidRPr="005F63EC">
        <w:rPr>
          <w:rStyle w:val="tlid-translation"/>
          <w:rFonts w:eastAsiaTheme="majorEastAsia"/>
          <w:sz w:val="28"/>
          <w:szCs w:val="28"/>
          <w:lang w:val="uk-UA"/>
        </w:rPr>
        <w:t>ЦД 2 типу</w:t>
      </w:r>
      <w:r w:rsidRPr="005F63EC">
        <w:rPr>
          <w:color w:val="000000"/>
          <w:sz w:val="28"/>
          <w:szCs w:val="28"/>
          <w:shd w:val="clear" w:color="auto" w:fill="FFFFFF"/>
          <w:lang w:val="uk-UA"/>
        </w:rPr>
        <w:t xml:space="preserve"> без порушення функції ЩЗ та за наявності СГТ на підставі нових даних про прогностичну значущість: ХС ЛПВЩ, </w:t>
      </w:r>
      <w:r w:rsidRPr="005F63EC">
        <w:rPr>
          <w:color w:val="000000"/>
          <w:sz w:val="28"/>
          <w:szCs w:val="28"/>
          <w:shd w:val="clear" w:color="auto" w:fill="FFFFFF"/>
          <w:lang w:val="en-US"/>
        </w:rPr>
        <w:t>HOMA</w:t>
      </w:r>
      <w:r w:rsidRPr="005F63EC">
        <w:rPr>
          <w:color w:val="000000"/>
          <w:sz w:val="28"/>
          <w:szCs w:val="28"/>
          <w:shd w:val="clear" w:color="auto" w:fill="FFFFFF"/>
          <w:lang w:val="uk-UA"/>
        </w:rPr>
        <w:t>-</w:t>
      </w:r>
      <w:r w:rsidRPr="005F63EC">
        <w:rPr>
          <w:color w:val="000000"/>
          <w:sz w:val="28"/>
          <w:szCs w:val="28"/>
          <w:shd w:val="clear" w:color="auto" w:fill="FFFFFF"/>
          <w:lang w:val="en-US"/>
        </w:rPr>
        <w:t>IR</w:t>
      </w:r>
      <w:r w:rsidRPr="005F63EC">
        <w:rPr>
          <w:color w:val="000000"/>
          <w:sz w:val="28"/>
          <w:szCs w:val="28"/>
          <w:shd w:val="clear" w:color="auto" w:fill="FFFFFF"/>
          <w:lang w:val="uk-UA"/>
        </w:rPr>
        <w:t>, глюкози крові натще, ЦДЕК, ХС ЛПНЩ, </w:t>
      </w:r>
      <w:r w:rsidRPr="005F63EC">
        <w:rPr>
          <w:bCs/>
          <w:color w:val="000000"/>
          <w:sz w:val="28"/>
          <w:szCs w:val="28"/>
          <w:shd w:val="clear" w:color="auto" w:fill="FFFFFF"/>
          <w:lang w:val="uk-UA"/>
        </w:rPr>
        <w:t>8-</w:t>
      </w:r>
      <w:r w:rsidRPr="005F63EC">
        <w:rPr>
          <w:bCs/>
          <w:color w:val="000000"/>
          <w:sz w:val="28"/>
          <w:szCs w:val="28"/>
          <w:shd w:val="clear" w:color="auto" w:fill="FFFFFF"/>
          <w:lang w:val="en-US"/>
        </w:rPr>
        <w:t>OH</w:t>
      </w:r>
      <w:r w:rsidRPr="005F63EC">
        <w:rPr>
          <w:bCs/>
          <w:color w:val="000000"/>
          <w:sz w:val="28"/>
          <w:szCs w:val="28"/>
          <w:shd w:val="clear" w:color="auto" w:fill="FFFFFF"/>
          <w:lang w:val="uk-UA"/>
        </w:rPr>
        <w:t>-</w:t>
      </w:r>
      <w:r w:rsidRPr="005F63EC">
        <w:rPr>
          <w:bCs/>
          <w:color w:val="000000"/>
          <w:sz w:val="28"/>
          <w:szCs w:val="28"/>
          <w:shd w:val="clear" w:color="auto" w:fill="FFFFFF"/>
          <w:lang w:val="en-US"/>
        </w:rPr>
        <w:t>dG</w:t>
      </w:r>
      <w:r w:rsidRPr="005F63EC">
        <w:rPr>
          <w:bCs/>
          <w:color w:val="000000"/>
          <w:sz w:val="28"/>
          <w:szCs w:val="28"/>
          <w:shd w:val="clear" w:color="auto" w:fill="FFFFFF"/>
          <w:lang w:val="uk-UA"/>
        </w:rPr>
        <w:t> плазми</w:t>
      </w:r>
      <w:r w:rsidRPr="005F63EC">
        <w:rPr>
          <w:color w:val="000000"/>
          <w:sz w:val="28"/>
          <w:szCs w:val="28"/>
          <w:shd w:val="clear" w:color="auto" w:fill="FFFFFF"/>
          <w:lang w:val="uk-UA"/>
        </w:rPr>
        <w:t> та ВДТ крові (при відсутності порушення функції ЩЗ) і  рівнів  ТТГ, САТ, ПАТ, 8-</w:t>
      </w:r>
      <w:r w:rsidRPr="005F63EC">
        <w:rPr>
          <w:color w:val="000000"/>
          <w:sz w:val="28"/>
          <w:szCs w:val="28"/>
          <w:shd w:val="clear" w:color="auto" w:fill="FFFFFF"/>
          <w:lang w:val="en-US"/>
        </w:rPr>
        <w:t>OH</w:t>
      </w:r>
      <w:r w:rsidRPr="005F63EC">
        <w:rPr>
          <w:color w:val="000000"/>
          <w:sz w:val="28"/>
          <w:szCs w:val="28"/>
          <w:shd w:val="clear" w:color="auto" w:fill="FFFFFF"/>
          <w:lang w:val="uk-UA"/>
        </w:rPr>
        <w:t>-</w:t>
      </w:r>
      <w:r w:rsidRPr="005F63EC">
        <w:rPr>
          <w:color w:val="000000"/>
          <w:sz w:val="28"/>
          <w:szCs w:val="28"/>
          <w:shd w:val="clear" w:color="auto" w:fill="FFFFFF"/>
          <w:lang w:val="en-US"/>
        </w:rPr>
        <w:t>dG</w:t>
      </w:r>
      <w:r w:rsidRPr="005F63EC">
        <w:rPr>
          <w:color w:val="000000"/>
          <w:sz w:val="28"/>
          <w:szCs w:val="28"/>
          <w:shd w:val="clear" w:color="auto" w:fill="FFFFFF"/>
          <w:lang w:val="uk-UA"/>
        </w:rPr>
        <w:t> плазми, ВЕФР та  ВДТ крові та клітин букального епітелію (за наявності СГТ).</w:t>
      </w:r>
    </w:p>
    <w:p w:rsidR="00E3259F" w:rsidRPr="005F63EC" w:rsidRDefault="00E3259F" w:rsidP="005F63EC">
      <w:pPr>
        <w:pStyle w:val="a4"/>
        <w:spacing w:line="360" w:lineRule="auto"/>
        <w:ind w:left="0" w:firstLine="709"/>
        <w:jc w:val="both"/>
        <w:rPr>
          <w:sz w:val="28"/>
          <w:szCs w:val="28"/>
          <w:lang w:val="uk-UA"/>
        </w:rPr>
      </w:pPr>
      <w:r w:rsidRPr="005F63EC">
        <w:rPr>
          <w:sz w:val="28"/>
          <w:szCs w:val="28"/>
          <w:lang w:val="uk-UA"/>
        </w:rPr>
        <w:t>Значення результатів дослідження для клінічної практики полягає у ранній оцінці наявності СГТ у хворих з поєднаним перебігом ГХ та ЦД 2 типу, врахування якої дає можливість вчасно вплинути на гормонально-метаболічні зміни, темпи прогресування цих захворювань та попередити розвиток серцево-судинних ускладнень. У пацієнтів з коморбідним перебігом ГХ, ЦД 2 типу та СГТ  при рівнях ТТГ&gt;6,0 мкМО/мл, з метою прискорення редукції кардіометаболічного ризику та сприяння профілактиці розвитку серцево-судинних подій, рекомендовано застосування комбінованої терапії з призначенням статинів та левотироксину в індивідуально підібраній дозі 25-75 мкг/добу, а при рівнях ТТГ&lt;6,0 мкМО/мл рішення про додаткове призначення замісної терапії левотироксином повинно базуватися на визначенні ступеня ризику розвитку серцево-судинних ускладнень</w:t>
      </w:r>
      <w:r w:rsidRPr="005F63EC">
        <w:rPr>
          <w:rFonts w:cs="Tahoma"/>
          <w:sz w:val="28"/>
          <w:szCs w:val="28"/>
          <w:lang w:val="uk-UA"/>
        </w:rPr>
        <w:t xml:space="preserve">.  </w:t>
      </w:r>
      <w:r w:rsidRPr="005F63EC">
        <w:rPr>
          <w:bCs/>
          <w:sz w:val="28"/>
          <w:szCs w:val="28"/>
          <w:lang w:val="uk-UA" w:eastAsia="uk-UA"/>
        </w:rPr>
        <w:t xml:space="preserve">Хворим з поєднаним перебігом ГХ та </w:t>
      </w:r>
      <w:r w:rsidRPr="005F63EC">
        <w:rPr>
          <w:sz w:val="28"/>
          <w:szCs w:val="28"/>
          <w:lang w:val="uk-UA"/>
        </w:rPr>
        <w:t>ЦД 2 типу</w:t>
      </w:r>
      <w:r w:rsidRPr="005F63EC">
        <w:rPr>
          <w:bCs/>
          <w:sz w:val="28"/>
          <w:szCs w:val="28"/>
          <w:lang w:val="uk-UA" w:eastAsia="uk-UA"/>
        </w:rPr>
        <w:t xml:space="preserve"> без порушення </w:t>
      </w:r>
      <w:r w:rsidRPr="005F63EC">
        <w:rPr>
          <w:sz w:val="28"/>
          <w:szCs w:val="28"/>
          <w:lang w:val="uk-UA"/>
        </w:rPr>
        <w:t>функції ЩЗ рекомендується призначати аторвастатин у дозі 20 мг/добу або розувастатин 10 мг/добу з моніторингом індексу інсулінорезистентності та стану оксидантно-антиоксидантного балансу за рівнями МДА та активності ГПО 1 раз на 12 місяців.</w:t>
      </w:r>
    </w:p>
    <w:p w:rsidR="00E3259F" w:rsidRDefault="00E3259F" w:rsidP="005F63EC">
      <w:pPr>
        <w:spacing w:line="360" w:lineRule="auto"/>
        <w:ind w:firstLine="709"/>
        <w:jc w:val="both"/>
        <w:outlineLvl w:val="0"/>
        <w:rPr>
          <w:sz w:val="28"/>
          <w:szCs w:val="28"/>
          <w:lang w:val="uk-UA"/>
        </w:rPr>
      </w:pPr>
      <w:r w:rsidRPr="005F63EC">
        <w:rPr>
          <w:b/>
          <w:sz w:val="28"/>
          <w:szCs w:val="28"/>
          <w:lang w:val="uk-UA"/>
        </w:rPr>
        <w:t>Ключові слова:</w:t>
      </w:r>
      <w:r w:rsidRPr="005F63EC">
        <w:rPr>
          <w:sz w:val="28"/>
          <w:szCs w:val="28"/>
          <w:lang w:val="uk-UA"/>
        </w:rPr>
        <w:t xml:space="preserve"> гіпертонічна хвороба, </w:t>
      </w:r>
      <w:r w:rsidRPr="005F63EC">
        <w:rPr>
          <w:rStyle w:val="hps"/>
          <w:rFonts w:eastAsiaTheme="majorEastAsia"/>
          <w:sz w:val="28"/>
          <w:szCs w:val="28"/>
          <w:lang w:val="uk-UA"/>
        </w:rPr>
        <w:t>цукровий</w:t>
      </w:r>
      <w:r w:rsidRPr="005F63EC">
        <w:rPr>
          <w:sz w:val="28"/>
          <w:szCs w:val="28"/>
          <w:lang w:val="uk-UA"/>
        </w:rPr>
        <w:t xml:space="preserve"> </w:t>
      </w:r>
      <w:r w:rsidRPr="005F63EC">
        <w:rPr>
          <w:rStyle w:val="hps"/>
          <w:rFonts w:eastAsiaTheme="majorEastAsia"/>
          <w:sz w:val="28"/>
          <w:szCs w:val="28"/>
          <w:lang w:val="uk-UA"/>
        </w:rPr>
        <w:t>діабет</w:t>
      </w:r>
      <w:r w:rsidRPr="005F63EC">
        <w:rPr>
          <w:sz w:val="28"/>
          <w:szCs w:val="28"/>
          <w:lang w:val="uk-UA"/>
        </w:rPr>
        <w:t xml:space="preserve"> </w:t>
      </w:r>
      <w:r w:rsidRPr="005F63EC">
        <w:rPr>
          <w:rStyle w:val="hps"/>
          <w:rFonts w:eastAsiaTheme="majorEastAsia"/>
          <w:sz w:val="28"/>
          <w:szCs w:val="28"/>
          <w:lang w:val="uk-UA"/>
        </w:rPr>
        <w:t>2</w:t>
      </w:r>
      <w:r w:rsidRPr="005F63EC">
        <w:rPr>
          <w:sz w:val="28"/>
          <w:szCs w:val="28"/>
          <w:lang w:val="uk-UA"/>
        </w:rPr>
        <w:t xml:space="preserve"> </w:t>
      </w:r>
      <w:r w:rsidRPr="005F63EC">
        <w:rPr>
          <w:rStyle w:val="hps"/>
          <w:rFonts w:eastAsiaTheme="majorEastAsia"/>
          <w:sz w:val="28"/>
          <w:szCs w:val="28"/>
          <w:lang w:val="uk-UA"/>
        </w:rPr>
        <w:t>типу, субклінічний гіпотиреоз, серцево-судинний ризик</w:t>
      </w:r>
      <w:r w:rsidRPr="005F63EC">
        <w:rPr>
          <w:sz w:val="28"/>
          <w:szCs w:val="28"/>
          <w:lang w:val="uk-UA"/>
        </w:rPr>
        <w:t>, оксидативний стрес,  ендотеліальна  дисфункція, хронічне системне запалення, довжина теломер, судинне старіння, темпи старіння, діагностика, лікування.</w:t>
      </w:r>
    </w:p>
    <w:p w:rsidR="00E3259F" w:rsidRDefault="00E3259F" w:rsidP="00E3259F">
      <w:pPr>
        <w:spacing w:line="360" w:lineRule="auto"/>
        <w:ind w:firstLine="709"/>
        <w:jc w:val="both"/>
        <w:rPr>
          <w:color w:val="00B050"/>
          <w:sz w:val="28"/>
          <w:szCs w:val="28"/>
          <w:lang w:val="uk-UA"/>
        </w:rPr>
      </w:pPr>
    </w:p>
    <w:p w:rsidR="00E3259F" w:rsidRDefault="00E3259F" w:rsidP="00E3259F">
      <w:pPr>
        <w:spacing w:line="360" w:lineRule="auto"/>
        <w:ind w:firstLine="709"/>
        <w:rPr>
          <w:sz w:val="28"/>
          <w:szCs w:val="28"/>
          <w:highlight w:val="yellow"/>
          <w:lang w:val="uk-UA"/>
        </w:rPr>
      </w:pPr>
      <w:r>
        <w:rPr>
          <w:sz w:val="28"/>
          <w:szCs w:val="28"/>
          <w:highlight w:val="yellow"/>
          <w:lang w:val="uk-UA"/>
        </w:rPr>
        <w:br w:type="page"/>
      </w:r>
    </w:p>
    <w:p w:rsidR="00E3259F" w:rsidRDefault="00E3259F" w:rsidP="00E3259F">
      <w:pPr>
        <w:spacing w:line="360" w:lineRule="auto"/>
        <w:ind w:firstLine="709"/>
        <w:jc w:val="center"/>
        <w:rPr>
          <w:b/>
          <w:sz w:val="28"/>
          <w:szCs w:val="28"/>
          <w:lang w:val="en-US"/>
        </w:rPr>
      </w:pPr>
      <w:r>
        <w:rPr>
          <w:b/>
          <w:sz w:val="28"/>
          <w:szCs w:val="28"/>
          <w:lang w:val="en-US"/>
        </w:rPr>
        <w:t>ANNOTATION</w:t>
      </w:r>
    </w:p>
    <w:p w:rsidR="00E3259F" w:rsidRDefault="00E3259F" w:rsidP="00166260">
      <w:pPr>
        <w:spacing w:line="360" w:lineRule="auto"/>
        <w:ind w:firstLine="709"/>
        <w:jc w:val="both"/>
        <w:rPr>
          <w:color w:val="000000"/>
          <w:sz w:val="28"/>
          <w:szCs w:val="28"/>
          <w:shd w:val="clear" w:color="auto" w:fill="FFFFFF"/>
          <w:lang w:val="en-US"/>
        </w:rPr>
      </w:pPr>
      <w:r>
        <w:rPr>
          <w:i/>
          <w:color w:val="000000"/>
          <w:sz w:val="28"/>
          <w:szCs w:val="28"/>
          <w:shd w:val="clear" w:color="auto" w:fill="FFFFFF"/>
          <w:lang w:val="en-US"/>
        </w:rPr>
        <w:t>Nemtsova V.D.</w:t>
      </w:r>
      <w:r>
        <w:rPr>
          <w:color w:val="000000"/>
          <w:sz w:val="28"/>
          <w:szCs w:val="28"/>
          <w:shd w:val="clear" w:color="auto" w:fill="FFFFFF"/>
          <w:lang w:val="en-US"/>
        </w:rPr>
        <w:t xml:space="preserve"> </w:t>
      </w:r>
      <w:r>
        <w:rPr>
          <w:color w:val="000000"/>
          <w:sz w:val="28"/>
          <w:szCs w:val="28"/>
          <w:shd w:val="clear" w:color="auto" w:fill="FFFFFF"/>
          <w:lang w:val="uk-UA"/>
        </w:rPr>
        <w:t>С</w:t>
      </w:r>
      <w:r>
        <w:rPr>
          <w:color w:val="000000"/>
          <w:sz w:val="28"/>
          <w:szCs w:val="28"/>
          <w:shd w:val="clear" w:color="auto" w:fill="FFFFFF"/>
          <w:lang w:val="en-US"/>
        </w:rPr>
        <w:t>linical,</w:t>
      </w:r>
      <w:r>
        <w:rPr>
          <w:color w:val="000000"/>
          <w:sz w:val="28"/>
          <w:szCs w:val="28"/>
          <w:shd w:val="clear" w:color="auto" w:fill="FFFFFF"/>
          <w:lang w:val="uk-UA"/>
        </w:rPr>
        <w:t xml:space="preserve"> </w:t>
      </w:r>
      <w:r>
        <w:rPr>
          <w:color w:val="000000"/>
          <w:sz w:val="28"/>
          <w:szCs w:val="28"/>
          <w:shd w:val="clear" w:color="auto" w:fill="FFFFFF"/>
          <w:lang w:val="en-US"/>
        </w:rPr>
        <w:t xml:space="preserve">pathogenetic and prognostic aspects of the combined course of hypertension, type 2 diabetes mellitus and subclinical hypothyroidism. – </w:t>
      </w:r>
      <w:r>
        <w:rPr>
          <w:color w:val="000000"/>
          <w:sz w:val="28"/>
          <w:szCs w:val="28"/>
          <w:shd w:val="clear" w:color="auto" w:fill="FFFFFF"/>
          <w:lang w:val="en-US" w:eastAsia="uk-UA"/>
        </w:rPr>
        <w:t>Qualifying scientific</w:t>
      </w:r>
      <w:r>
        <w:rPr>
          <w:color w:val="000000"/>
          <w:sz w:val="28"/>
          <w:szCs w:val="28"/>
          <w:shd w:val="clear" w:color="auto" w:fill="FFFFFF"/>
          <w:lang w:val="uk-UA" w:eastAsia="uk-UA"/>
        </w:rPr>
        <w:t xml:space="preserve"> </w:t>
      </w:r>
      <w:r>
        <w:rPr>
          <w:color w:val="000000"/>
          <w:sz w:val="28"/>
          <w:szCs w:val="28"/>
          <w:shd w:val="clear" w:color="auto" w:fill="FFFFFF"/>
          <w:lang w:val="en-US" w:eastAsia="uk-UA"/>
        </w:rPr>
        <w:t>work as manuscript copyright</w:t>
      </w:r>
      <w:r>
        <w:rPr>
          <w:color w:val="000000"/>
          <w:sz w:val="28"/>
          <w:szCs w:val="28"/>
          <w:shd w:val="clear" w:color="auto" w:fill="FFFFFF"/>
          <w:lang w:val="en-US"/>
        </w:rPr>
        <w:t>.</w:t>
      </w:r>
    </w:p>
    <w:p w:rsidR="00E3259F" w:rsidRDefault="00E3259F" w:rsidP="00166260">
      <w:pPr>
        <w:spacing w:line="360" w:lineRule="auto"/>
        <w:ind w:firstLine="709"/>
        <w:jc w:val="both"/>
        <w:rPr>
          <w:color w:val="000000"/>
          <w:sz w:val="28"/>
          <w:szCs w:val="28"/>
          <w:shd w:val="clear" w:color="auto" w:fill="FFFFFF"/>
          <w:lang w:val="en-US"/>
        </w:rPr>
      </w:pPr>
      <w:r>
        <w:rPr>
          <w:color w:val="000000"/>
          <w:sz w:val="28"/>
          <w:szCs w:val="28"/>
          <w:shd w:val="clear" w:color="auto" w:fill="FFFFFF"/>
          <w:lang w:val="en-US"/>
        </w:rPr>
        <w:t xml:space="preserve">The dissertation for obtaining the degree of </w:t>
      </w:r>
      <w:r>
        <w:rPr>
          <w:color w:val="000000"/>
          <w:sz w:val="28"/>
          <w:szCs w:val="28"/>
          <w:shd w:val="clear" w:color="auto" w:fill="FFFFFF"/>
          <w:lang w:val="en-US" w:eastAsia="uk-UA"/>
        </w:rPr>
        <w:t>Doctor of Medical Sciences</w:t>
      </w:r>
      <w:r>
        <w:rPr>
          <w:color w:val="000000"/>
          <w:sz w:val="28"/>
          <w:szCs w:val="28"/>
          <w:shd w:val="clear" w:color="auto" w:fill="FFFFFF"/>
          <w:lang w:val="en-US"/>
        </w:rPr>
        <w:t xml:space="preserve"> with a speciality in 14.01.02 ‘</w:t>
      </w:r>
      <w:r>
        <w:rPr>
          <w:color w:val="000000"/>
          <w:sz w:val="28"/>
          <w:szCs w:val="28"/>
          <w:shd w:val="clear" w:color="auto" w:fill="FFFFFF"/>
          <w:lang w:val="en-US" w:eastAsia="uk-UA"/>
        </w:rPr>
        <w:t>Internal Diseases</w:t>
      </w:r>
      <w:r>
        <w:rPr>
          <w:color w:val="000000"/>
          <w:sz w:val="28"/>
          <w:szCs w:val="28"/>
          <w:shd w:val="clear" w:color="auto" w:fill="FFFFFF"/>
          <w:lang w:val="en-US"/>
        </w:rPr>
        <w:t>’. — Kharkiv National Medical University, Ministry of Health of Ukraine, Kharkiv, 2020.</w:t>
      </w:r>
    </w:p>
    <w:p w:rsidR="00E3259F" w:rsidRDefault="00E3259F" w:rsidP="00166260">
      <w:pPr>
        <w:pStyle w:val="1"/>
        <w:spacing w:before="0" w:beforeAutospacing="0" w:after="0" w:afterAutospacing="0" w:line="360" w:lineRule="auto"/>
        <w:ind w:firstLine="709"/>
        <w:jc w:val="both"/>
        <w:rPr>
          <w:color w:val="000000"/>
          <w:sz w:val="28"/>
          <w:szCs w:val="28"/>
          <w:shd w:val="clear" w:color="auto" w:fill="FFFFFF"/>
          <w:lang w:val="uk-UA"/>
        </w:rPr>
      </w:pPr>
    </w:p>
    <w:p w:rsidR="00E3259F" w:rsidRDefault="00E3259F" w:rsidP="00166260">
      <w:pPr>
        <w:pStyle w:val="1"/>
        <w:spacing w:before="0" w:beforeAutospacing="0" w:after="0" w:afterAutospacing="0" w:line="360" w:lineRule="auto"/>
        <w:ind w:firstLine="709"/>
        <w:jc w:val="both"/>
        <w:rPr>
          <w:b w:val="0"/>
          <w:color w:val="000000"/>
          <w:sz w:val="28"/>
          <w:szCs w:val="28"/>
          <w:shd w:val="clear" w:color="auto" w:fill="FFFFFF"/>
          <w:lang w:val="uk-UA"/>
        </w:rPr>
      </w:pPr>
      <w:r>
        <w:rPr>
          <w:b w:val="0"/>
          <w:color w:val="000000"/>
          <w:sz w:val="28"/>
          <w:szCs w:val="28"/>
          <w:shd w:val="clear" w:color="auto" w:fill="FFFFFF"/>
          <w:lang w:val="uk-UA"/>
        </w:rPr>
        <w:t xml:space="preserve">The relevance of the study is determined by the increasing incidence of combined </w:t>
      </w:r>
      <w:r>
        <w:rPr>
          <w:b w:val="0"/>
          <w:color w:val="000000"/>
          <w:sz w:val="28"/>
          <w:szCs w:val="28"/>
          <w:shd w:val="clear" w:color="auto" w:fill="FFFFFF"/>
          <w:lang w:val="en-US"/>
        </w:rPr>
        <w:t xml:space="preserve">course of </w:t>
      </w:r>
      <w:r>
        <w:rPr>
          <w:b w:val="0"/>
          <w:color w:val="000000"/>
          <w:sz w:val="28"/>
          <w:szCs w:val="28"/>
          <w:shd w:val="clear" w:color="auto" w:fill="FFFFFF"/>
          <w:lang w:val="uk-UA"/>
        </w:rPr>
        <w:t>hypertension (</w:t>
      </w:r>
      <w:r>
        <w:rPr>
          <w:b w:val="0"/>
          <w:color w:val="000000"/>
          <w:sz w:val="28"/>
          <w:szCs w:val="28"/>
          <w:shd w:val="clear" w:color="auto" w:fill="FFFFFF"/>
          <w:lang w:val="en-US"/>
        </w:rPr>
        <w:t>H</w:t>
      </w:r>
      <w:r>
        <w:rPr>
          <w:b w:val="0"/>
          <w:color w:val="000000"/>
          <w:sz w:val="28"/>
          <w:szCs w:val="28"/>
          <w:shd w:val="clear" w:color="auto" w:fill="FFFFFF"/>
          <w:lang w:val="uk-UA"/>
        </w:rPr>
        <w:t>), type 2 diabetes mellitus (T2DM) and subclinical hypothyroidism (</w:t>
      </w:r>
      <w:r>
        <w:rPr>
          <w:b w:val="0"/>
          <w:color w:val="000000"/>
          <w:sz w:val="28"/>
          <w:szCs w:val="28"/>
          <w:shd w:val="clear" w:color="auto" w:fill="FFFFFF"/>
          <w:lang w:val="en-US"/>
        </w:rPr>
        <w:t>SH</w:t>
      </w:r>
      <w:r>
        <w:rPr>
          <w:b w:val="0"/>
          <w:color w:val="000000"/>
          <w:sz w:val="28"/>
          <w:szCs w:val="28"/>
          <w:shd w:val="clear" w:color="auto" w:fill="FFFFFF"/>
          <w:lang w:val="uk-UA"/>
        </w:rPr>
        <w:t>), imperfection</w:t>
      </w:r>
      <w:r>
        <w:rPr>
          <w:b w:val="0"/>
          <w:color w:val="000000"/>
          <w:sz w:val="28"/>
          <w:szCs w:val="28"/>
          <w:shd w:val="clear" w:color="auto" w:fill="FFFFFF"/>
          <w:lang w:val="en-US"/>
        </w:rPr>
        <w:t xml:space="preserve"> of</w:t>
      </w:r>
      <w:r>
        <w:rPr>
          <w:b w:val="0"/>
          <w:color w:val="000000"/>
          <w:sz w:val="28"/>
          <w:szCs w:val="28"/>
          <w:shd w:val="clear" w:color="auto" w:fill="FFFFFF"/>
          <w:lang w:val="uk-UA"/>
        </w:rPr>
        <w:t xml:space="preserve"> early diagnosis and prognosis using cardiometabolic risk factors, methods of treatment and prevention of complications. It is known that the most important contribution to the structure of mortality </w:t>
      </w:r>
      <w:r>
        <w:rPr>
          <w:b w:val="0"/>
          <w:color w:val="000000"/>
          <w:sz w:val="28"/>
          <w:szCs w:val="28"/>
          <w:shd w:val="clear" w:color="auto" w:fill="FFFFFF"/>
          <w:lang w:val="en-US"/>
        </w:rPr>
        <w:t>are</w:t>
      </w:r>
      <w:r>
        <w:rPr>
          <w:b w:val="0"/>
          <w:color w:val="000000"/>
          <w:sz w:val="28"/>
          <w:szCs w:val="28"/>
          <w:shd w:val="clear" w:color="auto" w:fill="FFFFFF"/>
          <w:lang w:val="uk-UA"/>
        </w:rPr>
        <w:t xml:space="preserve"> cardiovascular disease</w:t>
      </w:r>
      <w:r>
        <w:rPr>
          <w:b w:val="0"/>
          <w:color w:val="000000"/>
          <w:sz w:val="28"/>
          <w:szCs w:val="28"/>
          <w:shd w:val="clear" w:color="auto" w:fill="FFFFFF"/>
          <w:lang w:val="en-US"/>
        </w:rPr>
        <w:t>s</w:t>
      </w:r>
      <w:r>
        <w:rPr>
          <w:b w:val="0"/>
          <w:color w:val="000000"/>
          <w:sz w:val="28"/>
          <w:szCs w:val="28"/>
          <w:shd w:val="clear" w:color="auto" w:fill="FFFFFF"/>
          <w:lang w:val="uk-UA"/>
        </w:rPr>
        <w:t xml:space="preserve"> (CVD) and their complications. At the same time, the highest mortality rate from combined pathology is in the group of CVD in combination with diabetes mellitus, primarily type 2. Along with T2DM, subclinical hypothyroidism, as one of the most common thyroid diseases, can have a significant impact on the formation of cardiometabolic risk factors that determine the prognosis in the combined course of </w:t>
      </w:r>
      <w:r>
        <w:rPr>
          <w:b w:val="0"/>
          <w:color w:val="000000"/>
          <w:sz w:val="28"/>
          <w:szCs w:val="28"/>
          <w:shd w:val="clear" w:color="auto" w:fill="FFFFFF"/>
          <w:lang w:val="en-US"/>
        </w:rPr>
        <w:t>H</w:t>
      </w:r>
      <w:r>
        <w:rPr>
          <w:b w:val="0"/>
          <w:color w:val="000000"/>
          <w:sz w:val="28"/>
          <w:szCs w:val="28"/>
          <w:shd w:val="clear" w:color="auto" w:fill="FFFFFF"/>
          <w:lang w:val="uk-UA"/>
        </w:rPr>
        <w:t xml:space="preserve">, T2DM and </w:t>
      </w:r>
      <w:r>
        <w:rPr>
          <w:b w:val="0"/>
          <w:color w:val="000000"/>
          <w:sz w:val="28"/>
          <w:szCs w:val="28"/>
          <w:shd w:val="clear" w:color="auto" w:fill="FFFFFF"/>
          <w:lang w:val="en-US"/>
        </w:rPr>
        <w:t>SH</w:t>
      </w:r>
      <w:r>
        <w:rPr>
          <w:b w:val="0"/>
          <w:color w:val="000000"/>
          <w:sz w:val="28"/>
          <w:szCs w:val="28"/>
          <w:shd w:val="clear" w:color="auto" w:fill="FFFFFF"/>
          <w:lang w:val="uk-UA"/>
        </w:rPr>
        <w:t>.</w:t>
      </w:r>
    </w:p>
    <w:p w:rsidR="00E3259F" w:rsidRDefault="00E3259F" w:rsidP="00166260">
      <w:pPr>
        <w:pStyle w:val="1"/>
        <w:spacing w:before="0" w:beforeAutospacing="0" w:after="0" w:afterAutospacing="0" w:line="360" w:lineRule="auto"/>
        <w:ind w:firstLine="709"/>
        <w:jc w:val="both"/>
        <w:rPr>
          <w:b w:val="0"/>
          <w:color w:val="000000"/>
          <w:sz w:val="28"/>
          <w:szCs w:val="28"/>
          <w:shd w:val="clear" w:color="auto" w:fill="FFFFFF"/>
          <w:lang w:val="uk-UA"/>
        </w:rPr>
      </w:pPr>
      <w:r>
        <w:rPr>
          <w:b w:val="0"/>
          <w:color w:val="000000"/>
          <w:sz w:val="28"/>
          <w:szCs w:val="28"/>
          <w:shd w:val="clear" w:color="auto" w:fill="FFFFFF"/>
          <w:lang w:val="uk-UA"/>
        </w:rPr>
        <w:t>In this connection, the dissertation deals with optimization of early diagnostic, prediction of course, risk of complications and treatment tactics in patients with comorbid course of hypertension,  type 2 diabetes mellitus and subclinical hypothyroidism by comprehensive evaluation of clinical and pathogenetic mechanisms, endothelial dysfunction (</w:t>
      </w:r>
      <w:r>
        <w:rPr>
          <w:b w:val="0"/>
          <w:color w:val="000000"/>
          <w:sz w:val="28"/>
          <w:szCs w:val="28"/>
          <w:shd w:val="clear" w:color="auto" w:fill="FFFFFF"/>
          <w:lang w:val="en-US"/>
        </w:rPr>
        <w:t>ED)</w:t>
      </w:r>
      <w:r>
        <w:rPr>
          <w:b w:val="0"/>
          <w:color w:val="000000"/>
          <w:sz w:val="28"/>
          <w:szCs w:val="28"/>
          <w:shd w:val="clear" w:color="auto" w:fill="FFFFFF"/>
          <w:lang w:val="uk-UA"/>
        </w:rPr>
        <w:t>, oxidative stress</w:t>
      </w:r>
      <w:r>
        <w:rPr>
          <w:b w:val="0"/>
          <w:color w:val="000000"/>
          <w:sz w:val="28"/>
          <w:szCs w:val="28"/>
          <w:shd w:val="clear" w:color="auto" w:fill="FFFFFF"/>
          <w:lang w:val="en-US"/>
        </w:rPr>
        <w:t xml:space="preserve"> (OS)</w:t>
      </w:r>
      <w:r>
        <w:rPr>
          <w:b w:val="0"/>
          <w:color w:val="000000"/>
          <w:sz w:val="28"/>
          <w:szCs w:val="28"/>
          <w:shd w:val="clear" w:color="auto" w:fill="FFFFFF"/>
          <w:lang w:val="uk-UA"/>
        </w:rPr>
        <w:t>, systemic inflammation and vascular aging processes.</w:t>
      </w:r>
    </w:p>
    <w:p w:rsidR="00E3259F" w:rsidRDefault="00E3259F" w:rsidP="00166260">
      <w:pPr>
        <w:pStyle w:val="1"/>
        <w:spacing w:before="0" w:beforeAutospacing="0" w:after="0" w:afterAutospacing="0" w:line="360" w:lineRule="auto"/>
        <w:ind w:firstLine="709"/>
        <w:jc w:val="both"/>
        <w:rPr>
          <w:b w:val="0"/>
          <w:color w:val="000000"/>
          <w:sz w:val="28"/>
          <w:szCs w:val="28"/>
          <w:shd w:val="clear" w:color="auto" w:fill="FFFFFF"/>
          <w:lang w:val="en-US"/>
        </w:rPr>
      </w:pPr>
      <w:r>
        <w:rPr>
          <w:b w:val="0"/>
          <w:color w:val="000000"/>
          <w:sz w:val="28"/>
          <w:szCs w:val="28"/>
          <w:shd w:val="clear" w:color="auto" w:fill="FFFFFF"/>
          <w:lang w:val="en-US"/>
        </w:rPr>
        <w:t xml:space="preserve">According to the design the study was conducted in three stages. At the first stage, medical records of men and women aged 44-75 years, with mandatory indication of H in the medical history were analyzed to identify </w:t>
      </w:r>
      <w:r>
        <w:rPr>
          <w:b w:val="0"/>
          <w:color w:val="000000"/>
          <w:sz w:val="28"/>
          <w:szCs w:val="28"/>
          <w:shd w:val="clear" w:color="auto" w:fill="FFFFFF"/>
          <w:lang w:val="uk-UA"/>
        </w:rPr>
        <w:t>T2DM</w:t>
      </w:r>
      <w:r>
        <w:rPr>
          <w:b w:val="0"/>
          <w:color w:val="000000"/>
          <w:sz w:val="28"/>
          <w:szCs w:val="28"/>
          <w:shd w:val="clear" w:color="auto" w:fill="FFFFFF"/>
          <w:lang w:val="en-US"/>
        </w:rPr>
        <w:t xml:space="preserve">, SH, exclusion criteria, assessment of risk factors according to the SCORE scale. In the second stage, in order to detect SH, patients with H and </w:t>
      </w:r>
      <w:r>
        <w:rPr>
          <w:b w:val="0"/>
          <w:color w:val="000000"/>
          <w:sz w:val="28"/>
          <w:szCs w:val="28"/>
          <w:shd w:val="clear" w:color="auto" w:fill="FFFFFF"/>
          <w:lang w:val="uk-UA"/>
        </w:rPr>
        <w:t>T2DM</w:t>
      </w:r>
      <w:r>
        <w:rPr>
          <w:b w:val="0"/>
          <w:color w:val="000000"/>
          <w:sz w:val="28"/>
          <w:szCs w:val="28"/>
          <w:shd w:val="clear" w:color="auto" w:fill="FFFFFF"/>
          <w:lang w:val="en-US"/>
        </w:rPr>
        <w:t xml:space="preserve"> were interviewed with the help of the Hypothyroid Risk Questionnaire (HRQ), which allowed to identify people with different risks of hypothyroidism, and a study of thyroid metabolism was conducted. In addition, according to information on regular statin use, patients with comorbid pathology were divided into: patients taking statins and patients not taking statins for any reason.In the study there were included patients with a combined course of H and </w:t>
      </w:r>
      <w:r>
        <w:rPr>
          <w:b w:val="0"/>
          <w:color w:val="000000"/>
          <w:sz w:val="28"/>
          <w:szCs w:val="28"/>
          <w:shd w:val="clear" w:color="auto" w:fill="FFFFFF"/>
          <w:lang w:val="uk-UA"/>
        </w:rPr>
        <w:t>T2DM</w:t>
      </w:r>
      <w:r>
        <w:rPr>
          <w:b w:val="0"/>
          <w:color w:val="000000"/>
          <w:sz w:val="28"/>
          <w:szCs w:val="28"/>
          <w:shd w:val="clear" w:color="auto" w:fill="FFFFFF"/>
          <w:lang w:val="en-US"/>
        </w:rPr>
        <w:t xml:space="preserve"> who did not take statins, and patients with a combined course of H, </w:t>
      </w:r>
      <w:r>
        <w:rPr>
          <w:b w:val="0"/>
          <w:color w:val="000000"/>
          <w:sz w:val="28"/>
          <w:szCs w:val="28"/>
          <w:shd w:val="clear" w:color="auto" w:fill="FFFFFF"/>
          <w:lang w:val="uk-UA"/>
        </w:rPr>
        <w:t>T2DM</w:t>
      </w:r>
      <w:r>
        <w:rPr>
          <w:b w:val="0"/>
          <w:color w:val="000000"/>
          <w:sz w:val="28"/>
          <w:szCs w:val="28"/>
          <w:shd w:val="clear" w:color="auto" w:fill="FFFFFF"/>
          <w:lang w:val="en-US"/>
        </w:rPr>
        <w:t xml:space="preserve"> and SH who regularly use statins. According to the nosological structure, the examined population of patients was divided into the following groups: comparison group - 109 patients with isolated H, who formed group 1 in the study, the main group - 249 patients, of them patients with combined course of H and </w:t>
      </w:r>
      <w:r>
        <w:rPr>
          <w:b w:val="0"/>
          <w:color w:val="000000"/>
          <w:sz w:val="28"/>
          <w:szCs w:val="28"/>
          <w:shd w:val="clear" w:color="auto" w:fill="FFFFFF"/>
          <w:lang w:val="uk-UA"/>
        </w:rPr>
        <w:t>T2DM</w:t>
      </w:r>
      <w:r>
        <w:rPr>
          <w:b w:val="0"/>
          <w:color w:val="000000"/>
          <w:sz w:val="28"/>
          <w:szCs w:val="28"/>
          <w:shd w:val="clear" w:color="auto" w:fill="FFFFFF"/>
          <w:lang w:val="en-US"/>
        </w:rPr>
        <w:t xml:space="preserve"> - group 2 in the study (n = 156) and patients with a combined course of H, </w:t>
      </w:r>
      <w:r>
        <w:rPr>
          <w:b w:val="0"/>
          <w:color w:val="000000"/>
          <w:sz w:val="28"/>
          <w:szCs w:val="28"/>
          <w:shd w:val="clear" w:color="auto" w:fill="FFFFFF"/>
          <w:lang w:val="uk-UA"/>
        </w:rPr>
        <w:t>T2DM</w:t>
      </w:r>
      <w:r>
        <w:rPr>
          <w:b w:val="0"/>
          <w:color w:val="000000"/>
          <w:sz w:val="28"/>
          <w:szCs w:val="28"/>
          <w:shd w:val="clear" w:color="auto" w:fill="FFFFFF"/>
          <w:lang w:val="en-US"/>
        </w:rPr>
        <w:t xml:space="preserve"> and SH - group 3 in the study </w:t>
      </w:r>
      <w:r>
        <w:rPr>
          <w:b w:val="0"/>
          <w:color w:val="000000"/>
          <w:sz w:val="28"/>
          <w:szCs w:val="28"/>
          <w:shd w:val="clear" w:color="auto" w:fill="FFFFFF"/>
          <w:lang w:val="uk-UA"/>
        </w:rPr>
        <w:t xml:space="preserve">        </w:t>
      </w:r>
      <w:r>
        <w:rPr>
          <w:b w:val="0"/>
          <w:color w:val="000000"/>
          <w:sz w:val="28"/>
          <w:szCs w:val="28"/>
          <w:shd w:val="clear" w:color="auto" w:fill="FFFFFF"/>
          <w:lang w:val="en-US"/>
        </w:rPr>
        <w:t xml:space="preserve">(n=93). In addition, all patients were divided into two age subgroups, according to the WHO age group classification: subgroup </w:t>
      </w:r>
      <w:r>
        <w:rPr>
          <w:b w:val="0"/>
          <w:color w:val="000000"/>
          <w:sz w:val="28"/>
          <w:szCs w:val="28"/>
          <w:shd w:val="clear" w:color="auto" w:fill="FFFFFF"/>
          <w:lang w:val="uk-UA"/>
        </w:rPr>
        <w:t>І</w:t>
      </w:r>
      <w:r>
        <w:rPr>
          <w:b w:val="0"/>
          <w:color w:val="000000"/>
          <w:sz w:val="28"/>
          <w:szCs w:val="28"/>
          <w:shd w:val="clear" w:color="auto" w:fill="FFFFFF"/>
          <w:lang w:val="en-US"/>
        </w:rPr>
        <w:t xml:space="preserve"> - patients aged 44-60 years, subgroup </w:t>
      </w:r>
      <w:r>
        <w:rPr>
          <w:b w:val="0"/>
          <w:color w:val="000000"/>
          <w:sz w:val="28"/>
          <w:szCs w:val="28"/>
          <w:shd w:val="clear" w:color="auto" w:fill="FFFFFF"/>
          <w:lang w:val="uk-UA"/>
        </w:rPr>
        <w:t>ІІ</w:t>
      </w:r>
      <w:r>
        <w:rPr>
          <w:b w:val="0"/>
          <w:color w:val="000000"/>
          <w:sz w:val="28"/>
          <w:szCs w:val="28"/>
          <w:shd w:val="clear" w:color="auto" w:fill="FFFFFF"/>
          <w:lang w:val="en-US"/>
        </w:rPr>
        <w:t xml:space="preserve"> - aged 61-75 years. All patients underwent a comprehensive clinical and laboratory examination with mandatory study of markers of oxidative stress, endothelial dysfunction, chronic systemic inflammation, and vascular aging - relative telomere length (RTL)</w:t>
      </w:r>
    </w:p>
    <w:p w:rsidR="00E3259F" w:rsidRDefault="00E3259F" w:rsidP="00166260">
      <w:pPr>
        <w:pStyle w:val="1"/>
        <w:spacing w:before="0" w:beforeAutospacing="0" w:after="0" w:afterAutospacing="0" w:line="360" w:lineRule="auto"/>
        <w:ind w:firstLine="709"/>
        <w:jc w:val="both"/>
        <w:rPr>
          <w:b w:val="0"/>
          <w:color w:val="000000"/>
          <w:sz w:val="28"/>
          <w:szCs w:val="28"/>
          <w:shd w:val="clear" w:color="auto" w:fill="FFFFFF"/>
          <w:lang w:val="uk-UA"/>
        </w:rPr>
      </w:pPr>
      <w:r>
        <w:rPr>
          <w:b w:val="0"/>
          <w:color w:val="000000"/>
          <w:sz w:val="28"/>
          <w:szCs w:val="28"/>
          <w:shd w:val="clear" w:color="auto" w:fill="FFFFFF"/>
          <w:lang w:val="uk-UA"/>
        </w:rPr>
        <w:t xml:space="preserve">All patients with H and T2DM were offered a Hypothyroid Risk Questionnaire (HRQ) to determine the overall risk of hypothyroidism development (low, moderate, or high risk). Thus, conducting a questionnaire using the HRQ  a significant sensitivity  of HRQ to SH was revealed: among people with verified SH </w:t>
      </w:r>
      <w:r w:rsidRPr="00166260">
        <w:rPr>
          <w:b w:val="0"/>
          <w:color w:val="000000"/>
          <w:sz w:val="28"/>
          <w:szCs w:val="28"/>
          <w:shd w:val="clear" w:color="auto" w:fill="FFFFFF"/>
          <w:lang w:val="uk-UA"/>
        </w:rPr>
        <w:t>in 83,87 ± 3,81% a high risk of hypothyroidism was found and low-risk people were not detected. Among patients of group 2, 48,08 ± 4,00% had a low and moderate risk of hypothyroidism, and 51,92 ± 4,00% had a high risk. This suggests that the HRQ questionnaire may be useful in screening  of patients with comorbid</w:t>
      </w:r>
      <w:r>
        <w:rPr>
          <w:b w:val="0"/>
          <w:color w:val="000000"/>
          <w:sz w:val="28"/>
          <w:szCs w:val="28"/>
          <w:shd w:val="clear" w:color="auto" w:fill="FFFFFF"/>
          <w:lang w:val="uk-UA"/>
        </w:rPr>
        <w:t xml:space="preserve"> pathology to identify individuals at high risk for SH.</w:t>
      </w:r>
    </w:p>
    <w:p w:rsidR="00E3259F" w:rsidRDefault="00E3259F" w:rsidP="00166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Pr>
          <w:sz w:val="28"/>
          <w:szCs w:val="28"/>
          <w:lang w:val="uk-UA"/>
        </w:rPr>
        <w:t xml:space="preserve">In the third stage, patients with comorbidity of H and </w:t>
      </w:r>
      <w:r>
        <w:rPr>
          <w:color w:val="000000"/>
          <w:sz w:val="28"/>
          <w:szCs w:val="28"/>
          <w:shd w:val="clear" w:color="auto" w:fill="FFFFFF"/>
          <w:lang w:val="uk-UA"/>
        </w:rPr>
        <w:t>T2DM</w:t>
      </w:r>
      <w:r>
        <w:rPr>
          <w:sz w:val="28"/>
          <w:szCs w:val="28"/>
          <w:lang w:val="uk-UA"/>
        </w:rPr>
        <w:t xml:space="preserve"> were prescribed atorvastatin 20 mg or rosuvastatin 10 mg</w:t>
      </w:r>
      <w:r w:rsidR="00166260">
        <w:rPr>
          <w:sz w:val="28"/>
          <w:szCs w:val="28"/>
          <w:lang w:val="uk-UA"/>
        </w:rPr>
        <w:t xml:space="preserve"> </w:t>
      </w:r>
      <w:r w:rsidR="00166260">
        <w:rPr>
          <w:sz w:val="28"/>
          <w:szCs w:val="28"/>
          <w:lang w:val="en-US"/>
        </w:rPr>
        <w:t>per day</w:t>
      </w:r>
      <w:r>
        <w:rPr>
          <w:sz w:val="28"/>
          <w:szCs w:val="28"/>
          <w:lang w:val="uk-UA"/>
        </w:rPr>
        <w:t xml:space="preserve"> according to the present recommendations. Patients with H, </w:t>
      </w:r>
      <w:r>
        <w:rPr>
          <w:color w:val="000000"/>
          <w:sz w:val="28"/>
          <w:szCs w:val="28"/>
          <w:shd w:val="clear" w:color="auto" w:fill="FFFFFF"/>
          <w:lang w:val="uk-UA"/>
        </w:rPr>
        <w:t>T2DM</w:t>
      </w:r>
      <w:r>
        <w:rPr>
          <w:sz w:val="28"/>
          <w:szCs w:val="28"/>
          <w:lang w:val="uk-UA"/>
        </w:rPr>
        <w:t xml:space="preserve"> and SH additionally received levothyroxine in individually selected doses from 25 up to 75 μg/day with gradual dose titration to achieve the target therapeutic range of thyroid-stimulating hormone (TSH, 0.4-4.0 μIU/ml). The period of follow-up was 12 months, at the end, to study the effectiveness of the proposed complex therapy, patients were re-examined. For a more detailed study of the effect of TSH levels at the subclinical level on cardiovascular risk (CV</w:t>
      </w:r>
      <w:r>
        <w:rPr>
          <w:sz w:val="28"/>
          <w:szCs w:val="28"/>
          <w:lang w:val="en-US"/>
        </w:rPr>
        <w:t>R</w:t>
      </w:r>
      <w:r>
        <w:rPr>
          <w:sz w:val="28"/>
          <w:szCs w:val="28"/>
          <w:lang w:val="uk-UA"/>
        </w:rPr>
        <w:t xml:space="preserve">), all indexes in patients with H, </w:t>
      </w:r>
      <w:r>
        <w:rPr>
          <w:color w:val="000000"/>
          <w:sz w:val="28"/>
          <w:szCs w:val="28"/>
          <w:shd w:val="clear" w:color="auto" w:fill="FFFFFF"/>
          <w:lang w:val="uk-UA"/>
        </w:rPr>
        <w:t>T2DM</w:t>
      </w:r>
      <w:r>
        <w:rPr>
          <w:sz w:val="28"/>
          <w:szCs w:val="28"/>
          <w:lang w:val="uk-UA"/>
        </w:rPr>
        <w:t xml:space="preserve"> and SH were analyzed, including depending on baseline TSH levels: subgroup А - TSH level from 4.0 to 6 .0 μIU/ml; subgroup В - TSH level from 6.1 to 10 μIU/ml.</w:t>
      </w:r>
    </w:p>
    <w:p w:rsidR="00E3259F" w:rsidRDefault="00E3259F" w:rsidP="00166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88663D">
        <w:rPr>
          <w:sz w:val="28"/>
          <w:szCs w:val="28"/>
          <w:lang w:val="en-US"/>
        </w:rPr>
        <w:t>In the comorbid course of H, T2DM and SH compared with patients with comorbidity of H and T2DM significantly higher levels of total cholesterol (p=0,002), LDL cholesterol (p=0,048), significantly lower levels of fasting glucose (p= 0,001), glycated hemoglobin (p=0,011) and insulin resistance index HOMA-IR (p = 0,001) were found, which indicates a significant role of elevated TSH levels in the regulation of lipid and carbohydrate metabolism in these pathological conditions. P</w:t>
      </w:r>
      <w:r w:rsidRPr="0088663D">
        <w:rPr>
          <w:sz w:val="28"/>
          <w:szCs w:val="28"/>
          <w:lang w:val="uk-UA"/>
        </w:rPr>
        <w:t xml:space="preserve">atients with comorbid pathology compared with isolated </w:t>
      </w:r>
      <w:r w:rsidRPr="0088663D">
        <w:rPr>
          <w:sz w:val="28"/>
          <w:szCs w:val="28"/>
          <w:lang w:val="en-US"/>
        </w:rPr>
        <w:t>H patients characterized by less amount of subjects</w:t>
      </w:r>
      <w:r w:rsidRPr="0088663D">
        <w:rPr>
          <w:sz w:val="28"/>
          <w:szCs w:val="28"/>
          <w:lang w:val="uk-UA"/>
        </w:rPr>
        <w:t xml:space="preserve"> with a physiological rate of aging (physiological aging rate of </w:t>
      </w:r>
      <w:r w:rsidRPr="0088663D">
        <w:rPr>
          <w:rStyle w:val="tlid-translation"/>
          <w:rFonts w:eastAsiaTheme="majorEastAsia"/>
          <w:sz w:val="28"/>
          <w:szCs w:val="28"/>
          <w:lang w:val="uk-UA"/>
        </w:rPr>
        <w:t>13,21</w:t>
      </w:r>
      <w:r w:rsidRPr="0088663D">
        <w:rPr>
          <w:sz w:val="28"/>
          <w:szCs w:val="28"/>
          <w:lang w:val="uk-UA"/>
        </w:rPr>
        <w:t>±3,29</w:t>
      </w:r>
      <w:r w:rsidRPr="0088663D">
        <w:rPr>
          <w:rStyle w:val="tlid-translation"/>
          <w:rFonts w:eastAsiaTheme="majorEastAsia"/>
          <w:sz w:val="28"/>
          <w:szCs w:val="28"/>
          <w:lang w:val="uk-UA"/>
        </w:rPr>
        <w:t xml:space="preserve">% </w:t>
      </w:r>
      <w:r w:rsidRPr="0088663D">
        <w:rPr>
          <w:rStyle w:val="tlid-translation"/>
          <w:rFonts w:eastAsiaTheme="majorEastAsia"/>
          <w:sz w:val="28"/>
          <w:szCs w:val="28"/>
          <w:lang w:val="en-US"/>
        </w:rPr>
        <w:t>patients in group 1,</w:t>
      </w:r>
      <w:r w:rsidRPr="0088663D">
        <w:rPr>
          <w:rStyle w:val="tlid-translation"/>
          <w:rFonts w:eastAsiaTheme="majorEastAsia"/>
          <w:sz w:val="28"/>
          <w:szCs w:val="28"/>
          <w:lang w:val="uk-UA"/>
        </w:rPr>
        <w:t xml:space="preserve"> 9,62</w:t>
      </w:r>
      <w:r w:rsidRPr="0088663D">
        <w:rPr>
          <w:sz w:val="28"/>
          <w:szCs w:val="28"/>
          <w:lang w:val="uk-UA"/>
        </w:rPr>
        <w:t>±2,36</w:t>
      </w:r>
      <w:r w:rsidRPr="0088663D">
        <w:rPr>
          <w:rStyle w:val="tlid-translation"/>
          <w:rFonts w:eastAsiaTheme="majorEastAsia"/>
          <w:sz w:val="28"/>
          <w:szCs w:val="28"/>
          <w:lang w:val="uk-UA"/>
        </w:rPr>
        <w:t xml:space="preserve">% </w:t>
      </w:r>
      <w:r w:rsidRPr="0088663D">
        <w:rPr>
          <w:rStyle w:val="tlid-translation"/>
          <w:rFonts w:eastAsiaTheme="majorEastAsia"/>
          <w:sz w:val="28"/>
          <w:szCs w:val="28"/>
          <w:lang w:val="en-US"/>
        </w:rPr>
        <w:t>patients</w:t>
      </w:r>
      <w:r w:rsidRPr="0088663D">
        <w:rPr>
          <w:rStyle w:val="tlid-translation"/>
          <w:rFonts w:eastAsiaTheme="majorEastAsia"/>
          <w:sz w:val="28"/>
          <w:szCs w:val="28"/>
          <w:lang w:val="uk-UA"/>
        </w:rPr>
        <w:t xml:space="preserve"> </w:t>
      </w:r>
      <w:r w:rsidRPr="0088663D">
        <w:rPr>
          <w:rStyle w:val="tlid-translation"/>
          <w:rFonts w:eastAsiaTheme="majorEastAsia"/>
          <w:sz w:val="28"/>
          <w:szCs w:val="28"/>
          <w:lang w:val="en-US"/>
        </w:rPr>
        <w:t xml:space="preserve">of group 2 and </w:t>
      </w:r>
      <w:r w:rsidRPr="0088663D">
        <w:rPr>
          <w:rStyle w:val="tlid-translation"/>
          <w:rFonts w:eastAsiaTheme="majorEastAsia"/>
          <w:sz w:val="28"/>
          <w:szCs w:val="28"/>
          <w:lang w:val="uk-UA"/>
        </w:rPr>
        <w:t>4,30</w:t>
      </w:r>
      <w:r w:rsidRPr="0088663D">
        <w:rPr>
          <w:sz w:val="28"/>
          <w:szCs w:val="28"/>
          <w:lang w:val="uk-UA"/>
        </w:rPr>
        <w:t>±2,10</w:t>
      </w:r>
      <w:r w:rsidRPr="0088663D">
        <w:rPr>
          <w:rStyle w:val="tlid-translation"/>
          <w:rFonts w:eastAsiaTheme="majorEastAsia"/>
          <w:sz w:val="28"/>
          <w:szCs w:val="28"/>
          <w:lang w:val="uk-UA"/>
        </w:rPr>
        <w:t xml:space="preserve">% </w:t>
      </w:r>
      <w:r w:rsidRPr="0088663D">
        <w:rPr>
          <w:rStyle w:val="tlid-translation"/>
          <w:rFonts w:eastAsiaTheme="majorEastAsia"/>
          <w:sz w:val="28"/>
          <w:szCs w:val="28"/>
          <w:lang w:val="en-US"/>
        </w:rPr>
        <w:t>patients of group 3</w:t>
      </w:r>
      <w:r w:rsidRPr="0088663D">
        <w:rPr>
          <w:sz w:val="28"/>
          <w:szCs w:val="28"/>
          <w:lang w:val="uk-UA"/>
        </w:rPr>
        <w:t xml:space="preserve">) and more often there was an accelerated rate of aging: in isolated </w:t>
      </w:r>
      <w:r w:rsidRPr="0088663D">
        <w:rPr>
          <w:sz w:val="28"/>
          <w:szCs w:val="28"/>
          <w:lang w:val="en-US"/>
        </w:rPr>
        <w:t>H</w:t>
      </w:r>
      <w:r w:rsidRPr="0088663D">
        <w:rPr>
          <w:sz w:val="28"/>
          <w:szCs w:val="28"/>
          <w:lang w:val="uk-UA"/>
        </w:rPr>
        <w:t xml:space="preserve"> group in </w:t>
      </w:r>
      <w:r w:rsidRPr="0088663D">
        <w:rPr>
          <w:rStyle w:val="tlid-translation"/>
          <w:rFonts w:eastAsiaTheme="majorEastAsia"/>
          <w:sz w:val="28"/>
          <w:szCs w:val="28"/>
          <w:lang w:val="uk-UA"/>
        </w:rPr>
        <w:t>31,13</w:t>
      </w:r>
      <w:r w:rsidRPr="0088663D">
        <w:rPr>
          <w:sz w:val="28"/>
          <w:szCs w:val="28"/>
          <w:lang w:val="uk-UA"/>
        </w:rPr>
        <w:t>±4,50</w:t>
      </w:r>
      <w:r w:rsidRPr="0088663D">
        <w:rPr>
          <w:rStyle w:val="tlid-translation"/>
          <w:rFonts w:eastAsiaTheme="majorEastAsia"/>
          <w:sz w:val="28"/>
          <w:szCs w:val="28"/>
          <w:lang w:val="uk-UA"/>
        </w:rPr>
        <w:t>%</w:t>
      </w:r>
      <w:r w:rsidRPr="0088663D">
        <w:rPr>
          <w:sz w:val="28"/>
          <w:szCs w:val="28"/>
          <w:lang w:val="uk-UA"/>
        </w:rPr>
        <w:t xml:space="preserve"> of patients, </w:t>
      </w:r>
      <w:r w:rsidRPr="0088663D">
        <w:rPr>
          <w:sz w:val="28"/>
          <w:szCs w:val="28"/>
          <w:lang w:val="en-US"/>
        </w:rPr>
        <w:t>in</w:t>
      </w:r>
      <w:r w:rsidRPr="0088663D">
        <w:rPr>
          <w:sz w:val="28"/>
          <w:szCs w:val="28"/>
          <w:lang w:val="uk-UA"/>
        </w:rPr>
        <w:t xml:space="preserve"> H and </w:t>
      </w:r>
      <w:r w:rsidRPr="0088663D">
        <w:rPr>
          <w:sz w:val="28"/>
          <w:szCs w:val="28"/>
          <w:lang w:val="en-US"/>
        </w:rPr>
        <w:t>T2DM group -</w:t>
      </w:r>
      <w:r w:rsidRPr="0088663D">
        <w:rPr>
          <w:sz w:val="28"/>
          <w:szCs w:val="28"/>
          <w:lang w:val="uk-UA"/>
        </w:rPr>
        <w:t xml:space="preserve"> </w:t>
      </w:r>
      <w:r w:rsidRPr="0088663D">
        <w:rPr>
          <w:rStyle w:val="tlid-translation"/>
          <w:rFonts w:eastAsiaTheme="majorEastAsia"/>
          <w:sz w:val="28"/>
          <w:szCs w:val="28"/>
          <w:lang w:val="uk-UA"/>
        </w:rPr>
        <w:t>53,85</w:t>
      </w:r>
      <w:r w:rsidRPr="0088663D">
        <w:rPr>
          <w:sz w:val="28"/>
          <w:szCs w:val="28"/>
          <w:lang w:val="uk-UA"/>
        </w:rPr>
        <w:t>±3,99</w:t>
      </w:r>
      <w:r w:rsidRPr="0088663D">
        <w:rPr>
          <w:rStyle w:val="tlid-translation"/>
          <w:rFonts w:eastAsiaTheme="majorEastAsia"/>
          <w:sz w:val="28"/>
          <w:szCs w:val="28"/>
          <w:lang w:val="uk-UA"/>
        </w:rPr>
        <w:t>%</w:t>
      </w:r>
      <w:r w:rsidRPr="0088663D">
        <w:rPr>
          <w:sz w:val="28"/>
          <w:szCs w:val="28"/>
          <w:lang w:val="uk-UA"/>
        </w:rPr>
        <w:t xml:space="preserve"> patients and in H, </w:t>
      </w:r>
      <w:r w:rsidRPr="0088663D">
        <w:rPr>
          <w:sz w:val="28"/>
          <w:szCs w:val="28"/>
          <w:lang w:val="en-US"/>
        </w:rPr>
        <w:t>T2DM</w:t>
      </w:r>
      <w:r w:rsidRPr="0088663D">
        <w:rPr>
          <w:sz w:val="28"/>
          <w:szCs w:val="28"/>
          <w:lang w:val="uk-UA"/>
        </w:rPr>
        <w:t xml:space="preserve"> and </w:t>
      </w:r>
      <w:r w:rsidRPr="0088663D">
        <w:rPr>
          <w:sz w:val="28"/>
          <w:szCs w:val="28"/>
          <w:lang w:val="en-US"/>
        </w:rPr>
        <w:t>SH -</w:t>
      </w:r>
      <w:r w:rsidRPr="0088663D">
        <w:rPr>
          <w:sz w:val="28"/>
          <w:szCs w:val="28"/>
          <w:lang w:val="uk-UA"/>
        </w:rPr>
        <w:t xml:space="preserve"> </w:t>
      </w:r>
      <w:r w:rsidRPr="0088663D">
        <w:rPr>
          <w:rStyle w:val="tlid-translation"/>
          <w:rFonts w:eastAsiaTheme="majorEastAsia"/>
          <w:sz w:val="28"/>
          <w:szCs w:val="28"/>
          <w:lang w:val="uk-UA"/>
        </w:rPr>
        <w:t>54,84</w:t>
      </w:r>
      <w:r w:rsidRPr="0088663D">
        <w:rPr>
          <w:sz w:val="28"/>
          <w:szCs w:val="28"/>
          <w:lang w:val="uk-UA"/>
        </w:rPr>
        <w:t xml:space="preserve">±5,16 </w:t>
      </w:r>
      <w:r w:rsidRPr="0088663D">
        <w:rPr>
          <w:rStyle w:val="tlid-translation"/>
          <w:rFonts w:eastAsiaTheme="majorEastAsia"/>
          <w:sz w:val="28"/>
          <w:szCs w:val="28"/>
          <w:lang w:val="uk-UA"/>
        </w:rPr>
        <w:t>%.</w:t>
      </w:r>
      <w:r w:rsidRPr="0088663D">
        <w:rPr>
          <w:sz w:val="28"/>
          <w:szCs w:val="28"/>
          <w:lang w:val="uk-UA"/>
        </w:rPr>
        <w:t xml:space="preserve">  </w:t>
      </w:r>
      <w:r w:rsidRPr="0088663D">
        <w:rPr>
          <w:sz w:val="28"/>
          <w:szCs w:val="28"/>
          <w:lang w:val="en-US"/>
        </w:rPr>
        <w:t>patients</w:t>
      </w:r>
      <w:r w:rsidRPr="0088663D">
        <w:rPr>
          <w:sz w:val="28"/>
          <w:szCs w:val="28"/>
          <w:lang w:val="uk-UA"/>
        </w:rPr>
        <w:t>. In comorbid pathology, the biological age</w:t>
      </w:r>
      <w:r w:rsidRPr="0088663D">
        <w:rPr>
          <w:sz w:val="28"/>
          <w:szCs w:val="28"/>
          <w:lang w:val="en-US"/>
        </w:rPr>
        <w:t xml:space="preserve"> (BA)</w:t>
      </w:r>
      <w:r w:rsidRPr="0088663D">
        <w:rPr>
          <w:sz w:val="28"/>
          <w:szCs w:val="28"/>
          <w:lang w:val="uk-UA"/>
        </w:rPr>
        <w:t xml:space="preserve"> was higher than in isolated H, the presence of </w:t>
      </w:r>
      <w:r w:rsidRPr="0088663D">
        <w:rPr>
          <w:sz w:val="28"/>
          <w:szCs w:val="28"/>
          <w:lang w:val="en-US"/>
        </w:rPr>
        <w:t>SH</w:t>
      </w:r>
      <w:r w:rsidRPr="0088663D">
        <w:rPr>
          <w:sz w:val="28"/>
          <w:szCs w:val="28"/>
          <w:lang w:val="uk-UA"/>
        </w:rPr>
        <w:t xml:space="preserve"> was accompanied by a significantly lower </w:t>
      </w:r>
      <w:r w:rsidRPr="0088663D">
        <w:rPr>
          <w:sz w:val="28"/>
          <w:szCs w:val="28"/>
          <w:lang w:val="en-US"/>
        </w:rPr>
        <w:t>BA</w:t>
      </w:r>
      <w:r w:rsidRPr="0088663D">
        <w:rPr>
          <w:sz w:val="28"/>
          <w:szCs w:val="28"/>
          <w:lang w:val="uk-UA"/>
        </w:rPr>
        <w:t xml:space="preserve"> (p=0</w:t>
      </w:r>
      <w:r w:rsidRPr="0088663D">
        <w:rPr>
          <w:sz w:val="28"/>
          <w:szCs w:val="28"/>
          <w:lang w:val="en-US"/>
        </w:rPr>
        <w:t>,</w:t>
      </w:r>
      <w:r w:rsidRPr="0088663D">
        <w:rPr>
          <w:sz w:val="28"/>
          <w:szCs w:val="28"/>
          <w:lang w:val="uk-UA"/>
        </w:rPr>
        <w:t>047) than in patients without thyroid dysfunction.</w:t>
      </w:r>
    </w:p>
    <w:p w:rsidR="00E3259F" w:rsidRPr="0088663D" w:rsidRDefault="00E3259F" w:rsidP="00166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88663D">
        <w:rPr>
          <w:sz w:val="28"/>
          <w:szCs w:val="28"/>
          <w:lang w:val="en-US"/>
        </w:rPr>
        <w:t xml:space="preserve">In patients with H, T2DM and SH signs of oxidative stress, mainly by reducing antioxidant protection (AOP), endothelial dysfunction, chronic systemic inflammation and shortening of RTL depending on the level of TSH were found. At TSH levels greater than 6,0 </w:t>
      </w:r>
      <w:r w:rsidRPr="0088663D">
        <w:rPr>
          <w:sz w:val="28"/>
          <w:szCs w:val="28"/>
        </w:rPr>
        <w:t>μ</w:t>
      </w:r>
      <w:r w:rsidRPr="0088663D">
        <w:rPr>
          <w:sz w:val="28"/>
          <w:szCs w:val="28"/>
          <w:lang w:val="en-US"/>
        </w:rPr>
        <w:t xml:space="preserve">IU/ml, there were a significant lower levels of sulfhydryl groups (SH-groups, </w:t>
      </w:r>
      <w:r w:rsidRPr="0088663D">
        <w:rPr>
          <w:sz w:val="28"/>
          <w:szCs w:val="28"/>
          <w:lang w:val="uk-UA"/>
        </w:rPr>
        <w:t>р=0,046</w:t>
      </w:r>
      <w:r w:rsidRPr="0088663D">
        <w:rPr>
          <w:sz w:val="28"/>
          <w:szCs w:val="28"/>
          <w:lang w:val="en-US"/>
        </w:rPr>
        <w:t xml:space="preserve">), glutathione peroxidase (GPO) activity (p=0,022), higher levels of vasculoendothelial growth factor (VEGF-A, </w:t>
      </w:r>
      <w:r w:rsidRPr="0088663D">
        <w:rPr>
          <w:sz w:val="28"/>
          <w:szCs w:val="28"/>
          <w:lang w:val="uk-UA"/>
        </w:rPr>
        <w:t>р&lt;0,001</w:t>
      </w:r>
      <w:r w:rsidRPr="0088663D">
        <w:rPr>
          <w:sz w:val="28"/>
          <w:szCs w:val="28"/>
          <w:lang w:val="en-US"/>
        </w:rPr>
        <w:t>) against the background of intensification of chronic systemic inflammation and the presence of shorter RTL than at TSH levels</w:t>
      </w:r>
      <w:r w:rsidRPr="0088663D">
        <w:rPr>
          <w:sz w:val="28"/>
          <w:szCs w:val="28"/>
          <w:lang w:val="uk-UA"/>
        </w:rPr>
        <w:t xml:space="preserve"> </w:t>
      </w:r>
      <w:r w:rsidRPr="0088663D">
        <w:rPr>
          <w:sz w:val="28"/>
          <w:szCs w:val="28"/>
          <w:lang w:val="en-US"/>
        </w:rPr>
        <w:t xml:space="preserve">less than 6,0 </w:t>
      </w:r>
      <w:r w:rsidRPr="0088663D">
        <w:rPr>
          <w:sz w:val="28"/>
          <w:szCs w:val="28"/>
        </w:rPr>
        <w:t>μ</w:t>
      </w:r>
      <w:r w:rsidRPr="0088663D">
        <w:rPr>
          <w:sz w:val="28"/>
          <w:szCs w:val="28"/>
          <w:lang w:val="en-US"/>
        </w:rPr>
        <w:t xml:space="preserve">IU/ml. </w:t>
      </w:r>
    </w:p>
    <w:p w:rsidR="00E3259F" w:rsidRDefault="00E3259F" w:rsidP="00166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88663D">
        <w:rPr>
          <w:sz w:val="28"/>
          <w:szCs w:val="28"/>
          <w:lang w:val="en-US"/>
        </w:rPr>
        <w:t>There was a significant influence of TSH levels on the GPO activity (p=0,035), plasma levels of 8-oxo-2'-deoxyguanosine (8-OH-dG, p=0,038),  malondialdehyde (MDA, p&lt;0,001), C-reactive protein (CRP,p=0,001), tumor necrosis factor –</w:t>
      </w:r>
      <w:r w:rsidRPr="0088663D">
        <w:rPr>
          <w:sz w:val="28"/>
          <w:szCs w:val="28"/>
        </w:rPr>
        <w:t>α</w:t>
      </w:r>
      <w:r w:rsidRPr="0088663D">
        <w:rPr>
          <w:sz w:val="28"/>
          <w:szCs w:val="28"/>
          <w:lang w:val="en-US"/>
        </w:rPr>
        <w:t xml:space="preserve"> (TNF-</w:t>
      </w:r>
      <w:r w:rsidRPr="0088663D">
        <w:rPr>
          <w:sz w:val="28"/>
          <w:szCs w:val="28"/>
        </w:rPr>
        <w:t>α</w:t>
      </w:r>
      <w:r w:rsidRPr="0088663D">
        <w:rPr>
          <w:sz w:val="28"/>
          <w:szCs w:val="28"/>
          <w:lang w:val="en-US"/>
        </w:rPr>
        <w:t>, p=0,032), VEGF-A (p&lt;0,001), RTL in buccal epithelium (p=0,014) in the presence of the H, DM2T and SH comorbidity.</w:t>
      </w:r>
    </w:p>
    <w:p w:rsidR="00E3259F" w:rsidRDefault="00E3259F" w:rsidP="00166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88663D">
        <w:rPr>
          <w:sz w:val="28"/>
          <w:szCs w:val="28"/>
          <w:lang w:val="uk-UA"/>
        </w:rPr>
        <w:t xml:space="preserve">In the combined course of </w:t>
      </w:r>
      <w:r w:rsidRPr="0088663D">
        <w:rPr>
          <w:sz w:val="28"/>
          <w:szCs w:val="28"/>
          <w:lang w:val="en-US"/>
        </w:rPr>
        <w:t xml:space="preserve">H </w:t>
      </w:r>
      <w:r w:rsidRPr="0088663D">
        <w:rPr>
          <w:sz w:val="28"/>
          <w:szCs w:val="28"/>
          <w:lang w:val="uk-UA"/>
        </w:rPr>
        <w:t xml:space="preserve">and </w:t>
      </w:r>
      <w:r w:rsidRPr="0088663D">
        <w:rPr>
          <w:sz w:val="28"/>
          <w:szCs w:val="28"/>
          <w:lang w:val="en-US"/>
        </w:rPr>
        <w:t>T2DM</w:t>
      </w:r>
      <w:r w:rsidRPr="0088663D">
        <w:rPr>
          <w:sz w:val="28"/>
          <w:szCs w:val="28"/>
          <w:lang w:val="uk-UA"/>
        </w:rPr>
        <w:t xml:space="preserve">, in the absence of thyroid dysfunction, the influence of age on </w:t>
      </w:r>
      <w:r w:rsidRPr="0088663D">
        <w:rPr>
          <w:sz w:val="28"/>
          <w:szCs w:val="28"/>
          <w:lang w:val="en-US"/>
        </w:rPr>
        <w:t xml:space="preserve">the </w:t>
      </w:r>
      <w:r w:rsidRPr="0088663D">
        <w:rPr>
          <w:sz w:val="28"/>
          <w:szCs w:val="28"/>
          <w:lang w:val="uk-UA"/>
        </w:rPr>
        <w:t>most hormonal and metabolic parameters was determined: body weight (p=0</w:t>
      </w:r>
      <w:r w:rsidRPr="0088663D">
        <w:rPr>
          <w:sz w:val="28"/>
          <w:szCs w:val="28"/>
          <w:lang w:val="en-US"/>
        </w:rPr>
        <w:t>,</w:t>
      </w:r>
      <w:r w:rsidRPr="0088663D">
        <w:rPr>
          <w:sz w:val="28"/>
          <w:szCs w:val="28"/>
          <w:lang w:val="uk-UA"/>
        </w:rPr>
        <w:t>024), tryglicerides levels (p=0</w:t>
      </w:r>
      <w:r w:rsidRPr="0088663D">
        <w:rPr>
          <w:sz w:val="28"/>
          <w:szCs w:val="28"/>
          <w:lang w:val="en-US"/>
        </w:rPr>
        <w:t>,</w:t>
      </w:r>
      <w:r w:rsidRPr="0088663D">
        <w:rPr>
          <w:sz w:val="28"/>
          <w:szCs w:val="28"/>
          <w:lang w:val="uk-UA"/>
        </w:rPr>
        <w:t>008), VLDL cholesterol (p&lt;0</w:t>
      </w:r>
      <w:r w:rsidRPr="0088663D">
        <w:rPr>
          <w:sz w:val="28"/>
          <w:szCs w:val="28"/>
          <w:lang w:val="en-US"/>
        </w:rPr>
        <w:t>,</w:t>
      </w:r>
      <w:r w:rsidRPr="0088663D">
        <w:rPr>
          <w:sz w:val="28"/>
          <w:szCs w:val="28"/>
          <w:lang w:val="uk-UA"/>
        </w:rPr>
        <w:t>001), HDL cholesterol  (p=0</w:t>
      </w:r>
      <w:r w:rsidRPr="0088663D">
        <w:rPr>
          <w:sz w:val="28"/>
          <w:szCs w:val="28"/>
          <w:lang w:val="en-US"/>
        </w:rPr>
        <w:t>,</w:t>
      </w:r>
      <w:r w:rsidRPr="0088663D">
        <w:rPr>
          <w:sz w:val="28"/>
          <w:szCs w:val="28"/>
          <w:lang w:val="uk-UA"/>
        </w:rPr>
        <w:t>00</w:t>
      </w:r>
      <w:r w:rsidRPr="0088663D">
        <w:rPr>
          <w:sz w:val="28"/>
          <w:szCs w:val="28"/>
          <w:lang w:val="en-US"/>
        </w:rPr>
        <w:t>2</w:t>
      </w:r>
      <w:r w:rsidRPr="0088663D">
        <w:rPr>
          <w:sz w:val="28"/>
          <w:szCs w:val="28"/>
          <w:lang w:val="uk-UA"/>
        </w:rPr>
        <w:t>), insulin (p = 0</w:t>
      </w:r>
      <w:r w:rsidRPr="0088663D">
        <w:rPr>
          <w:sz w:val="28"/>
          <w:szCs w:val="28"/>
          <w:lang w:val="en-US"/>
        </w:rPr>
        <w:t>,</w:t>
      </w:r>
      <w:r w:rsidRPr="0088663D">
        <w:rPr>
          <w:sz w:val="28"/>
          <w:szCs w:val="28"/>
          <w:lang w:val="uk-UA"/>
        </w:rPr>
        <w:t>0</w:t>
      </w:r>
      <w:r w:rsidRPr="0088663D">
        <w:rPr>
          <w:sz w:val="28"/>
          <w:szCs w:val="28"/>
          <w:lang w:val="en-US"/>
        </w:rPr>
        <w:t>18</w:t>
      </w:r>
      <w:r w:rsidRPr="0088663D">
        <w:rPr>
          <w:sz w:val="28"/>
          <w:szCs w:val="28"/>
          <w:lang w:val="uk-UA"/>
        </w:rPr>
        <w:t>), blood pressure (</w:t>
      </w:r>
      <w:r w:rsidRPr="0088663D">
        <w:rPr>
          <w:sz w:val="28"/>
          <w:szCs w:val="28"/>
          <w:lang w:val="en-US"/>
        </w:rPr>
        <w:t>systolic (</w:t>
      </w:r>
      <w:r w:rsidRPr="0088663D">
        <w:rPr>
          <w:sz w:val="28"/>
          <w:szCs w:val="28"/>
          <w:lang w:val="uk-UA"/>
        </w:rPr>
        <w:t>SBP</w:t>
      </w:r>
      <w:r w:rsidRPr="0088663D">
        <w:rPr>
          <w:sz w:val="28"/>
          <w:szCs w:val="28"/>
          <w:lang w:val="en-US"/>
        </w:rPr>
        <w:t>),</w:t>
      </w:r>
      <w:r w:rsidRPr="0088663D">
        <w:rPr>
          <w:sz w:val="28"/>
          <w:szCs w:val="28"/>
          <w:lang w:val="uk-UA"/>
        </w:rPr>
        <w:t xml:space="preserve"> р&lt;0,001, </w:t>
      </w:r>
      <w:r w:rsidRPr="0088663D">
        <w:rPr>
          <w:sz w:val="28"/>
          <w:szCs w:val="28"/>
          <w:lang w:val="en-US"/>
        </w:rPr>
        <w:t>diastolic (</w:t>
      </w:r>
      <w:r w:rsidRPr="0088663D">
        <w:rPr>
          <w:sz w:val="28"/>
          <w:szCs w:val="28"/>
          <w:lang w:val="uk-UA"/>
        </w:rPr>
        <w:t>DBP</w:t>
      </w:r>
      <w:r w:rsidRPr="0088663D">
        <w:rPr>
          <w:sz w:val="28"/>
          <w:szCs w:val="28"/>
          <w:lang w:val="en-US"/>
        </w:rPr>
        <w:t>), p</w:t>
      </w:r>
      <w:r w:rsidRPr="0088663D">
        <w:rPr>
          <w:sz w:val="28"/>
          <w:szCs w:val="28"/>
          <w:lang w:val="uk-UA"/>
        </w:rPr>
        <w:t>=0</w:t>
      </w:r>
      <w:r w:rsidRPr="0088663D">
        <w:rPr>
          <w:sz w:val="28"/>
          <w:szCs w:val="28"/>
          <w:lang w:val="en-US"/>
        </w:rPr>
        <w:t>,</w:t>
      </w:r>
      <w:r w:rsidRPr="0088663D">
        <w:rPr>
          <w:sz w:val="28"/>
          <w:szCs w:val="28"/>
          <w:lang w:val="uk-UA"/>
        </w:rPr>
        <w:t>0</w:t>
      </w:r>
      <w:r w:rsidRPr="0088663D">
        <w:rPr>
          <w:sz w:val="28"/>
          <w:szCs w:val="28"/>
          <w:lang w:val="en-US"/>
        </w:rPr>
        <w:t>49</w:t>
      </w:r>
      <w:r w:rsidRPr="0088663D">
        <w:rPr>
          <w:sz w:val="28"/>
          <w:szCs w:val="28"/>
          <w:lang w:val="uk-UA"/>
        </w:rPr>
        <w:t xml:space="preserve">, pulse </w:t>
      </w:r>
      <w:r w:rsidRPr="0088663D">
        <w:rPr>
          <w:sz w:val="28"/>
          <w:szCs w:val="28"/>
          <w:lang w:val="en-US"/>
        </w:rPr>
        <w:t xml:space="preserve">(PBP), </w:t>
      </w:r>
      <w:r w:rsidRPr="0088663D">
        <w:rPr>
          <w:sz w:val="28"/>
          <w:szCs w:val="28"/>
          <w:lang w:val="uk-UA"/>
        </w:rPr>
        <w:t>p=0</w:t>
      </w:r>
      <w:r w:rsidRPr="0088663D">
        <w:rPr>
          <w:sz w:val="28"/>
          <w:szCs w:val="28"/>
          <w:lang w:val="en-US"/>
        </w:rPr>
        <w:t>,</w:t>
      </w:r>
      <w:r w:rsidRPr="0088663D">
        <w:rPr>
          <w:sz w:val="28"/>
          <w:szCs w:val="28"/>
          <w:lang w:val="uk-UA"/>
        </w:rPr>
        <w:t>0</w:t>
      </w:r>
      <w:r w:rsidRPr="0088663D">
        <w:rPr>
          <w:sz w:val="28"/>
          <w:szCs w:val="28"/>
          <w:lang w:val="en-US"/>
        </w:rPr>
        <w:t>14</w:t>
      </w:r>
      <w:r w:rsidRPr="0088663D">
        <w:rPr>
          <w:sz w:val="28"/>
          <w:szCs w:val="28"/>
          <w:lang w:val="uk-UA"/>
        </w:rPr>
        <w:t>), CRP (p=0</w:t>
      </w:r>
      <w:r w:rsidRPr="0088663D">
        <w:rPr>
          <w:sz w:val="28"/>
          <w:szCs w:val="28"/>
          <w:lang w:val="en-US"/>
        </w:rPr>
        <w:t>,</w:t>
      </w:r>
      <w:r w:rsidRPr="0088663D">
        <w:rPr>
          <w:sz w:val="28"/>
          <w:szCs w:val="28"/>
          <w:lang w:val="uk-UA"/>
        </w:rPr>
        <w:t>028), 8-OH-dG (p&lt;0,001), MDA (p=0,004), GPO activity (p=0,028), the amount of circulating desquamated epithelial cells (CDEC</w:t>
      </w:r>
      <w:r w:rsidRPr="0088663D">
        <w:rPr>
          <w:sz w:val="28"/>
          <w:szCs w:val="28"/>
          <w:lang w:val="en-US"/>
        </w:rPr>
        <w:t xml:space="preserve">, </w:t>
      </w:r>
      <w:r w:rsidRPr="0088663D">
        <w:rPr>
          <w:sz w:val="28"/>
          <w:szCs w:val="28"/>
          <w:lang w:val="uk-UA"/>
        </w:rPr>
        <w:t>p=0,007</w:t>
      </w:r>
      <w:r w:rsidRPr="0088663D">
        <w:rPr>
          <w:sz w:val="28"/>
          <w:szCs w:val="28"/>
          <w:lang w:val="en-US"/>
        </w:rPr>
        <w:t>).</w:t>
      </w:r>
      <w:r>
        <w:rPr>
          <w:sz w:val="28"/>
          <w:szCs w:val="28"/>
          <w:lang w:val="en-US"/>
        </w:rPr>
        <w:t xml:space="preserve"> </w:t>
      </w:r>
    </w:p>
    <w:p w:rsidR="00E3259F" w:rsidRDefault="00E3259F" w:rsidP="001662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88663D">
        <w:rPr>
          <w:sz w:val="28"/>
          <w:szCs w:val="28"/>
          <w:lang w:val="en-US"/>
        </w:rPr>
        <w:t>The presence of short telomeres in the vast majority of patients with comorbid pathology, regardless of the functional state of the thyroid gland, was found. In H and T2DM patients the presence of short buccal epithelial cells telomeres compared with long telomeres has been associated with significantly higher levels of triglycerides (p=0,002), VLDL cholesterol (p=0,012), fasting blood glucose (</w:t>
      </w:r>
      <w:r w:rsidRPr="0088663D">
        <w:rPr>
          <w:sz w:val="28"/>
          <w:szCs w:val="28"/>
          <w:lang w:val="uk-UA"/>
        </w:rPr>
        <w:t>р&lt;0,001</w:t>
      </w:r>
      <w:r w:rsidRPr="0088663D">
        <w:rPr>
          <w:sz w:val="28"/>
          <w:szCs w:val="28"/>
          <w:lang w:val="en-US"/>
        </w:rPr>
        <w:t>), TSH (p&lt;0,001), VEGF-A (p = 0,008), TNF-</w:t>
      </w:r>
      <w:r w:rsidRPr="0088663D">
        <w:rPr>
          <w:sz w:val="28"/>
          <w:szCs w:val="28"/>
        </w:rPr>
        <w:t>α</w:t>
      </w:r>
      <w:r w:rsidRPr="0088663D">
        <w:rPr>
          <w:sz w:val="28"/>
          <w:szCs w:val="28"/>
          <w:lang w:val="en-US"/>
        </w:rPr>
        <w:t xml:space="preserve"> (p &lt;0,001), 8-OH-dG (p=0,001), MDA (p=0,027), pulse blood pressure (PBP, p=0,001) and thickness of the intima-media complex (TIMC, p=0,033</w:t>
      </w:r>
      <w:r w:rsidRPr="0088663D">
        <w:rPr>
          <w:sz w:val="28"/>
          <w:szCs w:val="28"/>
          <w:lang w:val="uk-UA"/>
        </w:rPr>
        <w:t>)</w:t>
      </w:r>
      <w:r w:rsidRPr="0088663D">
        <w:rPr>
          <w:sz w:val="28"/>
          <w:szCs w:val="28"/>
          <w:lang w:val="en-US"/>
        </w:rPr>
        <w:t xml:space="preserve">, and in H, T2DM and SH patients - with higher insulin levels (p=0,008). Short blood RTL has been associated with higher levels of free T3 (p = 0,023) and PBP (p = 0,005) at H </w:t>
      </w:r>
      <w:r w:rsidRPr="0088663D">
        <w:rPr>
          <w:sz w:val="28"/>
          <w:szCs w:val="28"/>
          <w:lang w:val="uk-UA"/>
        </w:rPr>
        <w:t xml:space="preserve">and </w:t>
      </w:r>
      <w:r w:rsidRPr="0088663D">
        <w:rPr>
          <w:sz w:val="28"/>
          <w:szCs w:val="28"/>
          <w:lang w:val="en-US"/>
        </w:rPr>
        <w:t xml:space="preserve">T2DM </w:t>
      </w:r>
      <w:r w:rsidRPr="0088663D">
        <w:rPr>
          <w:sz w:val="28"/>
          <w:szCs w:val="28"/>
        </w:rPr>
        <w:t>с</w:t>
      </w:r>
      <w:r w:rsidRPr="0088663D">
        <w:rPr>
          <w:sz w:val="28"/>
          <w:szCs w:val="28"/>
          <w:lang w:val="en-US"/>
        </w:rPr>
        <w:t>omorbidity and  higher levels of VEGF-A (p=0,006), activity of GPO (p=0,041) and TIMC (p=0,037) at H,T2DM and SH patients.</w:t>
      </w:r>
    </w:p>
    <w:p w:rsidR="00E3259F"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The effect of statin therapy at the level of CRP (</w:t>
      </w:r>
      <w:r w:rsidRPr="00663D7B">
        <w:rPr>
          <w:sz w:val="28"/>
          <w:szCs w:val="28"/>
          <w:lang w:val="uk-UA"/>
        </w:rPr>
        <w:t>р&lt;0,001</w:t>
      </w:r>
      <w:r w:rsidRPr="00663D7B">
        <w:rPr>
          <w:sz w:val="28"/>
          <w:szCs w:val="28"/>
          <w:lang w:val="en-US"/>
        </w:rPr>
        <w:t xml:space="preserve">), TNF-α (p=0,009), SH-groups (p =0,006), CDEC (p&lt;0,001) in patients with a combined course of H and DM2T was found. </w:t>
      </w:r>
      <w:r w:rsidRPr="00663D7B">
        <w:rPr>
          <w:sz w:val="28"/>
          <w:szCs w:val="28"/>
          <w:lang w:val="uk-UA"/>
        </w:rPr>
        <w:t xml:space="preserve">Determined anti-inflammatory, antioxidant and endothelial-protective effect along with prolongation of </w:t>
      </w:r>
      <w:r w:rsidR="00663D7B">
        <w:rPr>
          <w:sz w:val="28"/>
          <w:szCs w:val="28"/>
          <w:lang w:val="en-US"/>
        </w:rPr>
        <w:t xml:space="preserve"> </w:t>
      </w:r>
      <w:r w:rsidRPr="00663D7B">
        <w:rPr>
          <w:sz w:val="28"/>
          <w:szCs w:val="28"/>
          <w:lang w:val="en-US"/>
        </w:rPr>
        <w:t>RTL</w:t>
      </w:r>
      <w:r w:rsidRPr="00663D7B">
        <w:rPr>
          <w:sz w:val="28"/>
          <w:szCs w:val="28"/>
          <w:lang w:val="uk-UA"/>
        </w:rPr>
        <w:t xml:space="preserve"> (</w:t>
      </w:r>
      <w:r w:rsidRPr="00663D7B">
        <w:rPr>
          <w:sz w:val="28"/>
          <w:szCs w:val="28"/>
          <w:lang w:val="en-US"/>
        </w:rPr>
        <w:t xml:space="preserve">of </w:t>
      </w:r>
      <w:r w:rsidRPr="00663D7B">
        <w:rPr>
          <w:sz w:val="28"/>
          <w:szCs w:val="28"/>
          <w:lang w:val="uk-UA"/>
        </w:rPr>
        <w:t>blood in 60.3 ± 3.9% patients, buccal epithelial cells in 48.7 ± 4.0% patients), confirms the assumption regarding the anti-aging properties of statins. The deterioration of insulin resistance, a non significant increase in oxidation processes makes these properties less significant than expected.</w:t>
      </w:r>
      <w:r>
        <w:rPr>
          <w:sz w:val="28"/>
          <w:szCs w:val="28"/>
          <w:lang w:val="uk-UA"/>
        </w:rPr>
        <w:t xml:space="preserve"> </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L</w:t>
      </w:r>
      <w:r w:rsidRPr="00663D7B">
        <w:rPr>
          <w:sz w:val="28"/>
          <w:szCs w:val="28"/>
          <w:lang w:val="uk-UA"/>
        </w:rPr>
        <w:t>evothyroxine replacement therapy in a set of treatment measures, including statin therapy, in patients with H, T2DM and SH leads to a significant improvement in lipid</w:t>
      </w:r>
      <w:r w:rsidRPr="00663D7B">
        <w:rPr>
          <w:sz w:val="28"/>
          <w:szCs w:val="28"/>
          <w:lang w:val="en-US"/>
        </w:rPr>
        <w:t xml:space="preserve"> (decrease of total cholesterol (</w:t>
      </w:r>
      <w:r w:rsidRPr="00663D7B">
        <w:rPr>
          <w:sz w:val="28"/>
          <w:szCs w:val="28"/>
          <w:lang w:val="uk-UA"/>
        </w:rPr>
        <w:t>р&lt;0,001</w:t>
      </w:r>
      <w:r w:rsidRPr="00663D7B">
        <w:rPr>
          <w:sz w:val="28"/>
          <w:szCs w:val="28"/>
          <w:lang w:val="en-US"/>
        </w:rPr>
        <w:t>), TG (p=0,019), LDL cholesterol (</w:t>
      </w:r>
      <w:r w:rsidRPr="00663D7B">
        <w:rPr>
          <w:sz w:val="28"/>
          <w:szCs w:val="28"/>
          <w:lang w:val="uk-UA"/>
        </w:rPr>
        <w:t>р&lt;0,001</w:t>
      </w:r>
      <w:r w:rsidRPr="00663D7B">
        <w:rPr>
          <w:sz w:val="28"/>
          <w:szCs w:val="28"/>
          <w:lang w:val="en-US"/>
        </w:rPr>
        <w:t>) levels),</w:t>
      </w:r>
      <w:r w:rsidRPr="00663D7B">
        <w:rPr>
          <w:sz w:val="28"/>
          <w:szCs w:val="28"/>
          <w:lang w:val="uk-UA"/>
        </w:rPr>
        <w:t xml:space="preserve"> carbohydrate</w:t>
      </w:r>
      <w:r w:rsidRPr="00663D7B">
        <w:rPr>
          <w:sz w:val="28"/>
          <w:szCs w:val="28"/>
          <w:lang w:val="en-US"/>
        </w:rPr>
        <w:t xml:space="preserve"> (decrease in glucose (</w:t>
      </w:r>
      <w:r w:rsidRPr="00663D7B">
        <w:rPr>
          <w:sz w:val="28"/>
          <w:szCs w:val="28"/>
          <w:lang w:val="uk-UA"/>
        </w:rPr>
        <w:t>р&lt;0,001</w:t>
      </w:r>
      <w:r w:rsidRPr="00663D7B">
        <w:rPr>
          <w:sz w:val="28"/>
          <w:szCs w:val="28"/>
          <w:lang w:val="en-US"/>
        </w:rPr>
        <w:t>), HbA1c (</w:t>
      </w:r>
      <w:r w:rsidRPr="00663D7B">
        <w:rPr>
          <w:sz w:val="28"/>
          <w:szCs w:val="28"/>
          <w:lang w:val="uk-UA"/>
        </w:rPr>
        <w:t>р&lt;0,001</w:t>
      </w:r>
      <w:r w:rsidRPr="00663D7B">
        <w:rPr>
          <w:sz w:val="28"/>
          <w:szCs w:val="28"/>
          <w:lang w:val="en-US"/>
        </w:rPr>
        <w:t>) levels)</w:t>
      </w:r>
      <w:r w:rsidRPr="00663D7B">
        <w:rPr>
          <w:sz w:val="28"/>
          <w:szCs w:val="28"/>
          <w:lang w:val="uk-UA"/>
        </w:rPr>
        <w:t xml:space="preserve">, </w:t>
      </w:r>
      <w:r w:rsidRPr="00663D7B">
        <w:rPr>
          <w:sz w:val="28"/>
          <w:szCs w:val="28"/>
          <w:lang w:val="en-US"/>
        </w:rPr>
        <w:t>insulin resistance ( decrease HOMA</w:t>
      </w:r>
      <w:r w:rsidRPr="00663D7B">
        <w:rPr>
          <w:sz w:val="28"/>
          <w:szCs w:val="28"/>
          <w:lang w:val="uk-UA"/>
        </w:rPr>
        <w:t>-</w:t>
      </w:r>
      <w:r w:rsidRPr="00663D7B">
        <w:rPr>
          <w:sz w:val="28"/>
          <w:szCs w:val="28"/>
          <w:lang w:val="en-US"/>
        </w:rPr>
        <w:t>IR</w:t>
      </w:r>
      <w:r w:rsidRPr="00663D7B">
        <w:rPr>
          <w:sz w:val="28"/>
          <w:szCs w:val="28"/>
          <w:lang w:val="uk-UA"/>
        </w:rPr>
        <w:t xml:space="preserve"> </w:t>
      </w:r>
      <w:r w:rsidRPr="00663D7B">
        <w:rPr>
          <w:sz w:val="28"/>
          <w:szCs w:val="28"/>
          <w:lang w:val="en-US"/>
        </w:rPr>
        <w:t>index (p=0,001),</w:t>
      </w:r>
      <w:r w:rsidRPr="00663D7B">
        <w:rPr>
          <w:b/>
          <w:sz w:val="28"/>
          <w:szCs w:val="28"/>
          <w:lang w:val="en-US"/>
        </w:rPr>
        <w:t xml:space="preserve"> </w:t>
      </w:r>
      <w:r w:rsidRPr="00663D7B">
        <w:rPr>
          <w:sz w:val="28"/>
          <w:szCs w:val="28"/>
          <w:lang w:val="uk-UA"/>
        </w:rPr>
        <w:t>thyroid</w:t>
      </w:r>
      <w:r w:rsidRPr="00663D7B">
        <w:rPr>
          <w:sz w:val="28"/>
          <w:szCs w:val="28"/>
          <w:lang w:val="en-US"/>
        </w:rPr>
        <w:t xml:space="preserve"> (decrease in TSH levels (p = 0,001)</w:t>
      </w:r>
      <w:r w:rsidRPr="00663D7B">
        <w:rPr>
          <w:sz w:val="28"/>
          <w:szCs w:val="28"/>
          <w:lang w:val="uk-UA"/>
        </w:rPr>
        <w:t xml:space="preserve"> metabolism, functional state of  endothelium (</w:t>
      </w:r>
      <w:r w:rsidRPr="00663D7B">
        <w:rPr>
          <w:sz w:val="28"/>
          <w:szCs w:val="28"/>
          <w:lang w:val="en-US"/>
        </w:rPr>
        <w:t>decrease</w:t>
      </w:r>
      <w:r w:rsidRPr="00663D7B">
        <w:rPr>
          <w:sz w:val="28"/>
          <w:szCs w:val="28"/>
          <w:lang w:val="uk-UA"/>
        </w:rPr>
        <w:t xml:space="preserve"> of VEGF-A</w:t>
      </w:r>
      <w:r w:rsidRPr="00663D7B">
        <w:rPr>
          <w:sz w:val="28"/>
          <w:szCs w:val="28"/>
          <w:lang w:val="en-US"/>
        </w:rPr>
        <w:t xml:space="preserve"> levels</w:t>
      </w:r>
      <w:r w:rsidRPr="00663D7B">
        <w:rPr>
          <w:sz w:val="28"/>
          <w:szCs w:val="28"/>
          <w:lang w:val="uk-UA"/>
        </w:rPr>
        <w:t xml:space="preserve"> (р&lt;0,001)), processes</w:t>
      </w:r>
      <w:r w:rsidRPr="00663D7B">
        <w:rPr>
          <w:sz w:val="28"/>
          <w:szCs w:val="28"/>
          <w:lang w:val="en-US"/>
        </w:rPr>
        <w:t xml:space="preserve"> of</w:t>
      </w:r>
      <w:r w:rsidRPr="00663D7B">
        <w:rPr>
          <w:sz w:val="28"/>
          <w:szCs w:val="28"/>
          <w:lang w:val="uk-UA"/>
        </w:rPr>
        <w:t xml:space="preserve"> chronic systemic inflammation (decrease of CRP leve</w:t>
      </w:r>
      <w:r w:rsidRPr="00663D7B">
        <w:rPr>
          <w:sz w:val="28"/>
          <w:szCs w:val="28"/>
          <w:lang w:val="en-US"/>
        </w:rPr>
        <w:t>l</w:t>
      </w:r>
      <w:r w:rsidRPr="00663D7B">
        <w:rPr>
          <w:sz w:val="28"/>
          <w:szCs w:val="28"/>
          <w:lang w:val="uk-UA"/>
        </w:rPr>
        <w:t>s (p=0</w:t>
      </w:r>
      <w:r w:rsidRPr="00663D7B">
        <w:rPr>
          <w:sz w:val="28"/>
          <w:szCs w:val="28"/>
          <w:lang w:val="en-US"/>
        </w:rPr>
        <w:t>,</w:t>
      </w:r>
      <w:r w:rsidRPr="00663D7B">
        <w:rPr>
          <w:sz w:val="28"/>
          <w:szCs w:val="28"/>
          <w:lang w:val="uk-UA"/>
        </w:rPr>
        <w:t>012)), antioxidant system (increase in SH-groups levels  (р&lt;0,001)</w:t>
      </w:r>
      <w:r w:rsidRPr="00663D7B">
        <w:rPr>
          <w:sz w:val="28"/>
          <w:szCs w:val="28"/>
          <w:lang w:val="en-US"/>
        </w:rPr>
        <w:t xml:space="preserve"> and GPO activity (p=0,001)</w:t>
      </w:r>
      <w:r w:rsidRPr="00663D7B">
        <w:rPr>
          <w:sz w:val="28"/>
          <w:szCs w:val="28"/>
          <w:lang w:val="uk-UA"/>
        </w:rPr>
        <w:t xml:space="preserve">), blood pressure (decrease </w:t>
      </w:r>
      <w:r w:rsidRPr="00663D7B">
        <w:rPr>
          <w:sz w:val="28"/>
          <w:szCs w:val="28"/>
          <w:lang w:val="en-US"/>
        </w:rPr>
        <w:t>of systolic blood pressure (</w:t>
      </w:r>
      <w:r w:rsidRPr="00663D7B">
        <w:rPr>
          <w:sz w:val="28"/>
          <w:szCs w:val="28"/>
          <w:lang w:val="uk-UA"/>
        </w:rPr>
        <w:t>SBP</w:t>
      </w:r>
      <w:r w:rsidRPr="00663D7B">
        <w:rPr>
          <w:sz w:val="28"/>
          <w:szCs w:val="28"/>
          <w:lang w:val="en-US"/>
        </w:rPr>
        <w:t xml:space="preserve">, </w:t>
      </w:r>
      <w:r w:rsidRPr="00663D7B">
        <w:rPr>
          <w:sz w:val="28"/>
          <w:szCs w:val="28"/>
          <w:lang w:val="uk-UA"/>
        </w:rPr>
        <w:t>p = 0</w:t>
      </w:r>
      <w:r w:rsidRPr="00663D7B">
        <w:rPr>
          <w:sz w:val="28"/>
          <w:szCs w:val="28"/>
          <w:lang w:val="en-US"/>
        </w:rPr>
        <w:t>,</w:t>
      </w:r>
      <w:r w:rsidRPr="00663D7B">
        <w:rPr>
          <w:sz w:val="28"/>
          <w:szCs w:val="28"/>
          <w:lang w:val="uk-UA"/>
        </w:rPr>
        <w:t>0</w:t>
      </w:r>
      <w:r w:rsidRPr="00663D7B">
        <w:rPr>
          <w:sz w:val="28"/>
          <w:szCs w:val="28"/>
          <w:lang w:val="en-US"/>
        </w:rPr>
        <w:t>0</w:t>
      </w:r>
      <w:r w:rsidRPr="00663D7B">
        <w:rPr>
          <w:sz w:val="28"/>
          <w:szCs w:val="28"/>
          <w:lang w:val="uk-UA"/>
        </w:rPr>
        <w:t xml:space="preserve">1), </w:t>
      </w:r>
      <w:r w:rsidRPr="00663D7B">
        <w:rPr>
          <w:sz w:val="28"/>
          <w:szCs w:val="28"/>
          <w:lang w:val="en-US"/>
        </w:rPr>
        <w:t>DBP (</w:t>
      </w:r>
      <w:r w:rsidRPr="00663D7B">
        <w:rPr>
          <w:sz w:val="28"/>
          <w:szCs w:val="28"/>
          <w:lang w:val="uk-UA"/>
        </w:rPr>
        <w:t>р&lt;0,001</w:t>
      </w:r>
      <w:r w:rsidRPr="00663D7B">
        <w:rPr>
          <w:sz w:val="28"/>
          <w:szCs w:val="28"/>
          <w:lang w:val="en-US"/>
        </w:rPr>
        <w:t>), P</w:t>
      </w:r>
      <w:r w:rsidRPr="00663D7B">
        <w:rPr>
          <w:sz w:val="28"/>
          <w:szCs w:val="28"/>
          <w:lang w:val="uk-UA"/>
        </w:rPr>
        <w:t>BP (р&lt;0,001)</w:t>
      </w:r>
      <w:r w:rsidRPr="00663D7B">
        <w:rPr>
          <w:sz w:val="28"/>
          <w:szCs w:val="28"/>
          <w:lang w:val="en-US"/>
        </w:rPr>
        <w:t xml:space="preserve"> </w:t>
      </w:r>
      <w:r w:rsidRPr="00663D7B">
        <w:rPr>
          <w:sz w:val="28"/>
          <w:szCs w:val="28"/>
          <w:lang w:val="uk-UA"/>
        </w:rPr>
        <w:t xml:space="preserve">levels), increase blood RTL (p = 0.047) and </w:t>
      </w:r>
      <w:r w:rsidRPr="00663D7B">
        <w:rPr>
          <w:sz w:val="28"/>
          <w:szCs w:val="28"/>
          <w:lang w:val="en-US"/>
        </w:rPr>
        <w:t>BA</w:t>
      </w:r>
      <w:r w:rsidRPr="00663D7B">
        <w:rPr>
          <w:sz w:val="28"/>
          <w:szCs w:val="28"/>
          <w:lang w:val="uk-UA"/>
        </w:rPr>
        <w:t xml:space="preserve"> (p=0</w:t>
      </w:r>
      <w:r w:rsidRPr="00663D7B">
        <w:rPr>
          <w:sz w:val="28"/>
          <w:szCs w:val="28"/>
          <w:lang w:val="en-US"/>
        </w:rPr>
        <w:t>,</w:t>
      </w:r>
      <w:r w:rsidRPr="00663D7B">
        <w:rPr>
          <w:sz w:val="28"/>
          <w:szCs w:val="28"/>
          <w:lang w:val="uk-UA"/>
        </w:rPr>
        <w:t>045).</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The scientific novelty of the study is to develop a concept for optimizing early diagnostic, course predicting and differential therapeutic tactics in patients with combined course of H, T2DM and SH based on the investigation of hormonal-metabolic, anthropometric indexes and  processes of vascular aging.</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 xml:space="preserve">Features of hormonal-metabolic and vascular aging processes changes in patients with comorbid pathology, which includes H and </w:t>
      </w:r>
      <w:r w:rsidRPr="00663D7B">
        <w:rPr>
          <w:color w:val="000000"/>
          <w:sz w:val="28"/>
          <w:szCs w:val="28"/>
          <w:shd w:val="clear" w:color="auto" w:fill="FFFFFF"/>
          <w:lang w:val="uk-UA"/>
        </w:rPr>
        <w:t>T2DM</w:t>
      </w:r>
      <w:r w:rsidRPr="00663D7B">
        <w:rPr>
          <w:sz w:val="28"/>
          <w:szCs w:val="28"/>
          <w:lang w:val="en-US"/>
        </w:rPr>
        <w:t xml:space="preserve"> without thyroid dysfunction or with subclinical hypothyroidism, depending on age group were detected. Age features of lipid, carbohydrate, thyroid metabolism, oxidative-antioxidant balance, endothelial dysfunction, chronic systemic inflammation and processes of vascular aging in patients with H and </w:t>
      </w:r>
      <w:r w:rsidRPr="00663D7B">
        <w:rPr>
          <w:color w:val="000000"/>
          <w:sz w:val="28"/>
          <w:szCs w:val="28"/>
          <w:shd w:val="clear" w:color="auto" w:fill="FFFFFF"/>
          <w:lang w:val="uk-UA"/>
        </w:rPr>
        <w:t>T2DM</w:t>
      </w:r>
      <w:r w:rsidRPr="00663D7B">
        <w:rPr>
          <w:sz w:val="28"/>
          <w:szCs w:val="28"/>
          <w:lang w:val="en-US"/>
        </w:rPr>
        <w:t xml:space="preserve"> depending on the presence of SH have been established.</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The feature of hormonal-metabolic factors and processes of vascular aging at the accelerated aging rate in patients with H and T2DM depending on the presence of SH was proved.</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A method for assessing the severity and progression of oxidative stress in patients with a combined course of H, T2DM and SH by a comprehensive analysis of laboratory parameters (levels of TSH, MDA, plasma 8-OH-dG , SH-groups, GPO activity), systolic blood pressure levels and information on statin use was proposed.</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The diagnostic and prognostic value of the RTL as a biomarker of cardiovascular risk in patients of different age groups with H, T2DM without thyroid dysfunction and in the presence of SH was detected.</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663D7B">
        <w:rPr>
          <w:sz w:val="28"/>
          <w:szCs w:val="28"/>
          <w:lang w:val="en-US"/>
        </w:rPr>
        <w:t>The connection between cardiometabolic disorders, worsening of the endothelium functional state, enhancement of chronic systemic inflammation and vascular aging processes with the degree of minimal thyroid insufficiency has been proved. It was determined that in the combined course of H, T2DM and SH TSH levels in the range of 6.1 - 10.00 μIU/ ml (&gt; 6.0 μIU / ml for most factors) have a more pronounced negative effect on markers of CVR than lower values of this indicator.</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uk-UA"/>
        </w:rPr>
        <w:t xml:space="preserve">The presence of longer blood and buccal epithelial cells RTL in the normalization of certain modified cardiovascular risk factors (total cholesterol, LDL cholesterol, HDL cholesterol, fasting blood glucose, blood pressure levels) in patients with H and T2DM, mainly in the absence of thyroid dysfunction, was </w:t>
      </w:r>
      <w:r w:rsidRPr="00663D7B">
        <w:rPr>
          <w:sz w:val="28"/>
          <w:szCs w:val="28"/>
          <w:lang w:val="en-US"/>
        </w:rPr>
        <w:t>found</w:t>
      </w:r>
      <w:r w:rsidRPr="00663D7B">
        <w:rPr>
          <w:sz w:val="28"/>
          <w:szCs w:val="28"/>
          <w:lang w:val="uk-UA"/>
        </w:rPr>
        <w:t>.</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The expediency of including levothyroxine in the complex treatment of patients with combined course of H, T2DM and SH to reduce the risk of cardiovascular complications by improving hormonal-metabolic, anthropometric factors and vascular aging processes has been scientifically substantiated.</w:t>
      </w:r>
    </w:p>
    <w:p w:rsidR="00E3259F" w:rsidRPr="00663D7B" w:rsidRDefault="00E3259F" w:rsidP="00663D7B">
      <w:pPr>
        <w:spacing w:line="360" w:lineRule="auto"/>
        <w:ind w:firstLine="709"/>
        <w:jc w:val="both"/>
        <w:rPr>
          <w:sz w:val="28"/>
          <w:szCs w:val="28"/>
          <w:lang w:val="en-US"/>
        </w:rPr>
      </w:pPr>
      <w:r w:rsidRPr="00663D7B">
        <w:rPr>
          <w:sz w:val="28"/>
          <w:szCs w:val="28"/>
          <w:lang w:val="en-US"/>
        </w:rPr>
        <w:t xml:space="preserve">The multivariate model for predicting the development of cardiovascular complications based on new data on the predictive value: HDL cholesterol, HOMA-IR, fasting blood glucose, CDEC, LDL cholesterol, plasma </w:t>
      </w:r>
      <w:r w:rsidRPr="00663D7B">
        <w:rPr>
          <w:bCs/>
          <w:color w:val="000000"/>
          <w:sz w:val="28"/>
          <w:szCs w:val="28"/>
          <w:shd w:val="clear" w:color="auto" w:fill="FFFFFF"/>
          <w:lang w:val="uk-UA"/>
        </w:rPr>
        <w:t>8-</w:t>
      </w:r>
      <w:r w:rsidRPr="00663D7B">
        <w:rPr>
          <w:bCs/>
          <w:color w:val="000000"/>
          <w:sz w:val="28"/>
          <w:szCs w:val="28"/>
          <w:shd w:val="clear" w:color="auto" w:fill="FFFFFF"/>
          <w:lang w:val="en-US"/>
        </w:rPr>
        <w:t>OH</w:t>
      </w:r>
      <w:r w:rsidRPr="00663D7B">
        <w:rPr>
          <w:bCs/>
          <w:color w:val="000000"/>
          <w:sz w:val="28"/>
          <w:szCs w:val="28"/>
          <w:shd w:val="clear" w:color="auto" w:fill="FFFFFF"/>
          <w:lang w:val="uk-UA"/>
        </w:rPr>
        <w:t>-</w:t>
      </w:r>
      <w:r w:rsidRPr="00663D7B">
        <w:rPr>
          <w:bCs/>
          <w:color w:val="000000"/>
          <w:sz w:val="28"/>
          <w:szCs w:val="28"/>
          <w:shd w:val="clear" w:color="auto" w:fill="FFFFFF"/>
          <w:lang w:val="en-US"/>
        </w:rPr>
        <w:t xml:space="preserve">dG levels,  blood RTL </w:t>
      </w:r>
      <w:r w:rsidRPr="00663D7B">
        <w:rPr>
          <w:sz w:val="28"/>
          <w:szCs w:val="28"/>
          <w:lang w:val="en-US"/>
        </w:rPr>
        <w:t>(in the absence of thyroid dysfunction) and</w:t>
      </w:r>
      <w:r w:rsidRPr="00663D7B">
        <w:rPr>
          <w:bCs/>
          <w:color w:val="000000"/>
          <w:sz w:val="28"/>
          <w:szCs w:val="28"/>
          <w:shd w:val="clear" w:color="auto" w:fill="FFFFFF"/>
          <w:lang w:val="en-US"/>
        </w:rPr>
        <w:t xml:space="preserve"> </w:t>
      </w:r>
      <w:r w:rsidRPr="00663D7B">
        <w:rPr>
          <w:sz w:val="28"/>
          <w:szCs w:val="28"/>
          <w:lang w:val="en-US"/>
        </w:rPr>
        <w:t xml:space="preserve"> TSH, SBP, PBP, plasma 8-OH-dG, VEGF, blood and buccal epithelial cells RTL (in the presence of SH) was proposed.</w:t>
      </w:r>
    </w:p>
    <w:p w:rsidR="00E3259F" w:rsidRPr="00663D7B" w:rsidRDefault="00E3259F" w:rsidP="00663D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663D7B">
        <w:rPr>
          <w:sz w:val="28"/>
          <w:szCs w:val="28"/>
          <w:lang w:val="en-US"/>
        </w:rPr>
        <w:t>The significance of the study results for clinical practice lies in the early assessment of  SH presence in patients with a combined course of H and T2DM, taking into account which allows to influence on hormonal and metabolic changes, the rate of these diseases progression and prevent cardiovascular complications. In patients with a comorbid course of H, T2DM and SH at TSH levels &gt; 6.0 μIU / ml, in order to accelerate the reduction of cardiometabolic risk and promote the prevention of cardiovascular events, the use of combination therapy with statins and levothyroxine in individual selected dosage 25 -75 μg/day is recommended, and at TSH levels &lt;6.0 μIU / ml, the decision on additional levothyroxine replacement therapy should be based on determining the degree of cardiovascular complications risk. The use of atorvastatin at a 20 mg daily dose or rosuvastatin 10 mg/day with monitoring of insulin resistance index HOMA-IR and oxidant-antioxidant balance by MDA levels and GPO activity once every 12 months is recommended for patients with a combined course of H and T2DM without thyroid dysfunction.</w:t>
      </w:r>
    </w:p>
    <w:p w:rsidR="00E3259F" w:rsidRDefault="00E3259F" w:rsidP="00663D7B">
      <w:pPr>
        <w:spacing w:line="360" w:lineRule="auto"/>
        <w:ind w:firstLine="709"/>
        <w:jc w:val="both"/>
        <w:rPr>
          <w:sz w:val="28"/>
          <w:szCs w:val="28"/>
          <w:lang w:val="en-US"/>
        </w:rPr>
      </w:pPr>
      <w:r w:rsidRPr="00663D7B">
        <w:rPr>
          <w:b/>
          <w:i/>
          <w:sz w:val="28"/>
          <w:szCs w:val="28"/>
          <w:lang w:val="uk-UA"/>
        </w:rPr>
        <w:t>Key words:</w:t>
      </w:r>
      <w:r w:rsidRPr="00663D7B">
        <w:rPr>
          <w:sz w:val="28"/>
          <w:szCs w:val="28"/>
          <w:lang w:val="uk-UA"/>
        </w:rPr>
        <w:t xml:space="preserve"> </w:t>
      </w:r>
      <w:r w:rsidRPr="00663D7B">
        <w:rPr>
          <w:sz w:val="28"/>
          <w:szCs w:val="28"/>
          <w:lang w:val="en-US"/>
        </w:rPr>
        <w:t>hypertension, type 2 diabetes mellitus</w:t>
      </w:r>
      <w:r w:rsidRPr="00663D7B">
        <w:rPr>
          <w:sz w:val="28"/>
          <w:szCs w:val="28"/>
          <w:lang w:val="uk-UA"/>
        </w:rPr>
        <w:t xml:space="preserve">, subclinical hypothyroidism,  </w:t>
      </w:r>
      <w:r w:rsidRPr="00663D7B">
        <w:rPr>
          <w:sz w:val="28"/>
          <w:szCs w:val="28"/>
          <w:lang w:val="en-US"/>
        </w:rPr>
        <w:t>cardiovascular risk, oxidative stress,</w:t>
      </w:r>
      <w:r w:rsidR="00663D7B">
        <w:rPr>
          <w:sz w:val="28"/>
          <w:szCs w:val="28"/>
          <w:lang w:val="en-US"/>
        </w:rPr>
        <w:t xml:space="preserve"> </w:t>
      </w:r>
      <w:r w:rsidRPr="00663D7B">
        <w:rPr>
          <w:sz w:val="28"/>
          <w:szCs w:val="28"/>
          <w:lang w:val="uk-UA"/>
        </w:rPr>
        <w:t xml:space="preserve">endothelial dysfunction, </w:t>
      </w:r>
      <w:r w:rsidRPr="00663D7B">
        <w:rPr>
          <w:sz w:val="28"/>
          <w:szCs w:val="28"/>
          <w:lang w:val="en-US"/>
        </w:rPr>
        <w:t xml:space="preserve">chronic system inflammation, </w:t>
      </w:r>
      <w:r w:rsidRPr="00663D7B">
        <w:rPr>
          <w:sz w:val="28"/>
          <w:szCs w:val="28"/>
          <w:lang w:val="uk-UA"/>
        </w:rPr>
        <w:t xml:space="preserve">telomeric length, vascular aging, </w:t>
      </w:r>
      <w:r w:rsidRPr="00663D7B">
        <w:rPr>
          <w:sz w:val="28"/>
          <w:szCs w:val="28"/>
          <w:lang w:val="en-US"/>
        </w:rPr>
        <w:t xml:space="preserve">aging rates, </w:t>
      </w:r>
      <w:r w:rsidRPr="00663D7B">
        <w:rPr>
          <w:sz w:val="28"/>
          <w:szCs w:val="28"/>
          <w:lang w:val="uk-UA"/>
        </w:rPr>
        <w:t>diagnosis, treatment.</w:t>
      </w:r>
    </w:p>
    <w:p w:rsidR="00E3259F" w:rsidRDefault="00E3259F" w:rsidP="00663D7B">
      <w:pPr>
        <w:spacing w:line="360" w:lineRule="auto"/>
        <w:ind w:firstLine="709"/>
        <w:jc w:val="both"/>
        <w:rPr>
          <w:sz w:val="28"/>
          <w:szCs w:val="28"/>
          <w:lang w:val="en-US"/>
        </w:rPr>
      </w:pPr>
    </w:p>
    <w:p w:rsidR="00E3259F" w:rsidRDefault="00E3259F" w:rsidP="00E3259F">
      <w:pPr>
        <w:spacing w:after="200" w:line="276" w:lineRule="auto"/>
        <w:rPr>
          <w:sz w:val="28"/>
          <w:szCs w:val="28"/>
          <w:lang w:val="uk-UA"/>
        </w:rPr>
      </w:pPr>
      <w:r>
        <w:rPr>
          <w:sz w:val="28"/>
          <w:szCs w:val="28"/>
          <w:lang w:val="uk-UA"/>
        </w:rPr>
        <w:br w:type="page"/>
      </w:r>
    </w:p>
    <w:p w:rsidR="00E3259F" w:rsidRDefault="00E3259F" w:rsidP="00E3259F">
      <w:pPr>
        <w:pStyle w:val="1"/>
        <w:spacing w:before="0" w:beforeAutospacing="0" w:after="0" w:afterAutospacing="0" w:line="360" w:lineRule="auto"/>
        <w:ind w:firstLine="709"/>
        <w:jc w:val="center"/>
        <w:rPr>
          <w:b w:val="0"/>
          <w:sz w:val="28"/>
          <w:szCs w:val="28"/>
          <w:lang w:val="uk-UA"/>
        </w:rPr>
      </w:pPr>
      <w:r>
        <w:rPr>
          <w:b w:val="0"/>
          <w:sz w:val="28"/>
          <w:szCs w:val="28"/>
          <w:lang w:val="uk-UA"/>
        </w:rPr>
        <w:t>СПИСОК НАУКОВИХ РОБІТ, ОПУБЛІКОВАНИХ ЗА ТЕМОЮ ДИСЕРТАЦІЇ</w:t>
      </w:r>
    </w:p>
    <w:p w:rsidR="00E3259F" w:rsidRDefault="00E3259F" w:rsidP="00E3259F">
      <w:pPr>
        <w:pStyle w:val="arefZag"/>
        <w:spacing w:before="0" w:after="0" w:line="360" w:lineRule="auto"/>
        <w:ind w:firstLine="709"/>
      </w:pPr>
    </w:p>
    <w:p w:rsidR="00E3259F" w:rsidRDefault="00E3259F" w:rsidP="00E3259F">
      <w:pPr>
        <w:pStyle w:val="arefZag"/>
        <w:spacing w:before="0" w:after="0" w:line="360" w:lineRule="auto"/>
        <w:ind w:firstLine="709"/>
        <w:rPr>
          <w:b w:val="0"/>
        </w:rPr>
      </w:pPr>
      <w:r>
        <w:rPr>
          <w:b w:val="0"/>
        </w:rPr>
        <w:t>Наукові праці, в яких опубліковані основні наукові результати дисертації:</w:t>
      </w:r>
    </w:p>
    <w:p w:rsidR="00E3259F" w:rsidRDefault="00E3259F" w:rsidP="00E3259F">
      <w:pPr>
        <w:pStyle w:val="arefZag"/>
        <w:spacing w:before="0" w:after="0" w:line="360" w:lineRule="auto"/>
        <w:ind w:firstLine="709"/>
      </w:pPr>
    </w:p>
    <w:p w:rsidR="00E3259F" w:rsidRDefault="00E3259F" w:rsidP="00E3259F">
      <w:pPr>
        <w:pStyle w:val="a4"/>
        <w:numPr>
          <w:ilvl w:val="0"/>
          <w:numId w:val="4"/>
        </w:numPr>
        <w:spacing w:line="360" w:lineRule="auto"/>
        <w:ind w:left="0" w:firstLine="709"/>
        <w:jc w:val="both"/>
        <w:rPr>
          <w:sz w:val="28"/>
          <w:szCs w:val="28"/>
        </w:rPr>
      </w:pPr>
      <w:r>
        <w:rPr>
          <w:sz w:val="28"/>
          <w:szCs w:val="28"/>
          <w:lang w:val="en-US"/>
        </w:rPr>
        <w:t>Nemtsova V.D.The effect of statin therapy on oxidative stress indices in patients with arterial hypertension and tyre 2 diabetes mellitus</w:t>
      </w:r>
      <w:r>
        <w:rPr>
          <w:sz w:val="28"/>
          <w:szCs w:val="28"/>
          <w:lang w:val="uk-UA"/>
        </w:rPr>
        <w:t>.</w:t>
      </w:r>
      <w:r>
        <w:rPr>
          <w:i/>
          <w:sz w:val="28"/>
          <w:szCs w:val="28"/>
        </w:rPr>
        <w:t>Запорожский</w:t>
      </w:r>
      <w:r>
        <w:rPr>
          <w:i/>
          <w:sz w:val="28"/>
          <w:szCs w:val="28"/>
          <w:lang w:val="en-US"/>
        </w:rPr>
        <w:t xml:space="preserve"> </w:t>
      </w:r>
      <w:r>
        <w:rPr>
          <w:i/>
          <w:sz w:val="28"/>
          <w:szCs w:val="28"/>
        </w:rPr>
        <w:t>медицинский</w:t>
      </w:r>
      <w:r>
        <w:rPr>
          <w:i/>
          <w:sz w:val="28"/>
          <w:szCs w:val="28"/>
          <w:lang w:val="en-US"/>
        </w:rPr>
        <w:t xml:space="preserve"> </w:t>
      </w:r>
      <w:r>
        <w:rPr>
          <w:i/>
          <w:sz w:val="28"/>
          <w:szCs w:val="28"/>
        </w:rPr>
        <w:t>журнал</w:t>
      </w:r>
      <w:r>
        <w:rPr>
          <w:sz w:val="28"/>
          <w:szCs w:val="28"/>
          <w:lang w:val="en-US"/>
        </w:rPr>
        <w:t xml:space="preserve">. </w:t>
      </w:r>
      <w:r>
        <w:rPr>
          <w:sz w:val="28"/>
          <w:szCs w:val="28"/>
        </w:rPr>
        <w:t>2018</w:t>
      </w:r>
      <w:r>
        <w:rPr>
          <w:sz w:val="28"/>
          <w:szCs w:val="28"/>
          <w:lang w:val="uk-UA"/>
        </w:rPr>
        <w:t>.- Т.20, №1</w:t>
      </w:r>
      <w:r>
        <w:rPr>
          <w:sz w:val="28"/>
          <w:szCs w:val="28"/>
        </w:rPr>
        <w:t xml:space="preserve"> (106).C. 26-30.</w:t>
      </w:r>
    </w:p>
    <w:p w:rsidR="00E3259F" w:rsidRDefault="00E3259F" w:rsidP="00E3259F">
      <w:pPr>
        <w:pStyle w:val="a4"/>
        <w:numPr>
          <w:ilvl w:val="0"/>
          <w:numId w:val="4"/>
        </w:numPr>
        <w:spacing w:line="360" w:lineRule="auto"/>
        <w:ind w:left="0" w:firstLine="709"/>
        <w:jc w:val="both"/>
        <w:rPr>
          <w:sz w:val="28"/>
          <w:szCs w:val="28"/>
        </w:rPr>
      </w:pPr>
      <w:r>
        <w:rPr>
          <w:sz w:val="28"/>
          <w:szCs w:val="28"/>
          <w:lang w:val="en-US"/>
        </w:rPr>
        <w:t>Nemtsova V.D.</w:t>
      </w:r>
      <w:r>
        <w:rPr>
          <w:sz w:val="28"/>
          <w:szCs w:val="28"/>
          <w:lang w:val="uk-UA"/>
        </w:rPr>
        <w:t xml:space="preserve"> </w:t>
      </w:r>
      <w:r>
        <w:rPr>
          <w:sz w:val="28"/>
          <w:szCs w:val="28"/>
          <w:lang w:val="en-US"/>
        </w:rPr>
        <w:t>Impact of prooxidant-antioxidant imbalance on the biological age and the rate of aging in arterial hypertension with type 2 diabetes mellitus</w:t>
      </w:r>
      <w:r>
        <w:rPr>
          <w:sz w:val="28"/>
          <w:szCs w:val="28"/>
          <w:lang w:val="uk-UA"/>
        </w:rPr>
        <w:t>.</w:t>
      </w:r>
      <w:r>
        <w:rPr>
          <w:i/>
          <w:sz w:val="28"/>
          <w:szCs w:val="28"/>
        </w:rPr>
        <w:t>Запорожский</w:t>
      </w:r>
      <w:r>
        <w:rPr>
          <w:i/>
          <w:sz w:val="28"/>
          <w:szCs w:val="28"/>
          <w:lang w:val="en-US"/>
        </w:rPr>
        <w:t xml:space="preserve"> </w:t>
      </w:r>
      <w:r>
        <w:rPr>
          <w:i/>
          <w:sz w:val="28"/>
          <w:szCs w:val="28"/>
        </w:rPr>
        <w:t>медицинский</w:t>
      </w:r>
      <w:r>
        <w:rPr>
          <w:i/>
          <w:sz w:val="28"/>
          <w:szCs w:val="28"/>
          <w:lang w:val="en-US"/>
        </w:rPr>
        <w:t xml:space="preserve"> </w:t>
      </w:r>
      <w:r>
        <w:rPr>
          <w:i/>
          <w:sz w:val="28"/>
          <w:szCs w:val="28"/>
        </w:rPr>
        <w:t>журнал</w:t>
      </w:r>
      <w:r>
        <w:rPr>
          <w:sz w:val="28"/>
          <w:szCs w:val="28"/>
          <w:lang w:val="en-US"/>
        </w:rPr>
        <w:t xml:space="preserve">. </w:t>
      </w:r>
      <w:r>
        <w:rPr>
          <w:sz w:val="28"/>
          <w:szCs w:val="28"/>
        </w:rPr>
        <w:t>2020</w:t>
      </w:r>
      <w:r>
        <w:rPr>
          <w:sz w:val="28"/>
          <w:szCs w:val="28"/>
          <w:lang w:val="uk-UA"/>
        </w:rPr>
        <w:t>. Т.2</w:t>
      </w:r>
      <w:r>
        <w:rPr>
          <w:sz w:val="28"/>
          <w:szCs w:val="28"/>
        </w:rPr>
        <w:t>2</w:t>
      </w:r>
      <w:r>
        <w:rPr>
          <w:sz w:val="28"/>
          <w:szCs w:val="28"/>
          <w:lang w:val="uk-UA"/>
        </w:rPr>
        <w:t>, №1</w:t>
      </w:r>
      <w:r>
        <w:rPr>
          <w:sz w:val="28"/>
          <w:szCs w:val="28"/>
        </w:rPr>
        <w:t xml:space="preserve"> (118).C. 19-25.</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Немцова В.Д. Гендерні особливості порушень ліпидного обміну у осіб похилого віку з субклінічним гіпотиреозом на тлі артеріальній гіпертензії та цукрового діабету 2 типу.Б</w:t>
      </w:r>
      <w:r>
        <w:rPr>
          <w:i/>
          <w:sz w:val="28"/>
          <w:szCs w:val="28"/>
          <w:lang w:val="uk-UA"/>
        </w:rPr>
        <w:t>уковинський медичний вісник.</w:t>
      </w:r>
      <w:r>
        <w:rPr>
          <w:sz w:val="28"/>
          <w:szCs w:val="28"/>
          <w:lang w:val="uk-UA"/>
        </w:rPr>
        <w:t xml:space="preserve"> 2019. Том 23, № 3 (91). С.72-78.</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 xml:space="preserve">Немцова В.Д. Стан оксидантної та антиоксидантної систем у хворих при поєднаному перебігу артеріальної гіпертензії, цукрового діабету 2 типу та гіпотиреозу. </w:t>
      </w:r>
      <w:r>
        <w:rPr>
          <w:i/>
          <w:sz w:val="28"/>
          <w:szCs w:val="28"/>
          <w:lang w:val="uk-UA"/>
        </w:rPr>
        <w:t>Український терапевтичний журнал.</w:t>
      </w:r>
      <w:r>
        <w:rPr>
          <w:sz w:val="28"/>
          <w:szCs w:val="28"/>
          <w:lang w:val="uk-UA"/>
        </w:rPr>
        <w:t xml:space="preserve"> 2017.№ 2.С.67-72.</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Немцова В.Д. Вплив гіпофункції щитовидної залози на рівень 8-гідрокси-2-дезоксигуанозину як біомаркера окислювального ушкодження при коморбідних станах.</w:t>
      </w:r>
      <w:r>
        <w:rPr>
          <w:i/>
          <w:sz w:val="28"/>
          <w:szCs w:val="28"/>
          <w:lang w:val="uk-UA"/>
        </w:rPr>
        <w:t>Український терапевтичний журнал.</w:t>
      </w:r>
      <w:r>
        <w:rPr>
          <w:sz w:val="28"/>
          <w:szCs w:val="28"/>
          <w:lang w:val="uk-UA"/>
        </w:rPr>
        <w:t xml:space="preserve"> 2018.№ 3-4.С.56-61.</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Немцова В.Д. Вплив левотироксину на стан ендотеліальної дисфункції у пацієнтів з поєднаним перебігом артеріальної гіпертензії, цукрового діабету 2 типу та субклінічного гіпотиреозу.</w:t>
      </w:r>
      <w:r>
        <w:rPr>
          <w:i/>
          <w:sz w:val="28"/>
          <w:szCs w:val="28"/>
          <w:lang w:val="uk-UA"/>
        </w:rPr>
        <w:t xml:space="preserve">Український журнал медицини, біології та спорту. </w:t>
      </w:r>
      <w:r>
        <w:rPr>
          <w:sz w:val="28"/>
          <w:szCs w:val="28"/>
          <w:lang w:val="uk-UA"/>
        </w:rPr>
        <w:t xml:space="preserve"> 2020.Т.3, № 1(23). С.161-167.</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 xml:space="preserve">Немцова В.Д. Вплив субклінічної гіпофункції щитовидної залози на ступінь інсулінорезистентності в пацієнтів з коморбідною патологією.  </w:t>
      </w:r>
      <w:r>
        <w:rPr>
          <w:i/>
          <w:sz w:val="28"/>
          <w:szCs w:val="28"/>
          <w:lang w:val="uk-UA"/>
        </w:rPr>
        <w:t>Медицина сьогодні і завтра</w:t>
      </w:r>
      <w:r>
        <w:rPr>
          <w:sz w:val="28"/>
          <w:szCs w:val="28"/>
          <w:lang w:val="uk-UA"/>
        </w:rPr>
        <w:t xml:space="preserve">.2018. №3(80). С.26-32. </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Немцова В.Д. Вплив левотироксину на стан оксидантно-антиоксидантного балансу у пацієнтів з поєднаним перебігом артеріальної гіпертензії, цукрового діабету 2 типу та субклінічного гіпотиреозу.</w:t>
      </w:r>
      <w:r>
        <w:rPr>
          <w:i/>
          <w:sz w:val="28"/>
          <w:szCs w:val="28"/>
          <w:lang w:val="uk-UA"/>
        </w:rPr>
        <w:t xml:space="preserve"> Вісник проблем біології і медицини</w:t>
      </w:r>
      <w:r>
        <w:rPr>
          <w:sz w:val="28"/>
          <w:szCs w:val="28"/>
          <w:lang w:val="uk-UA"/>
        </w:rPr>
        <w:t>. 2019. Випуск 4, Том 1 (153). С. 126-130.</w:t>
      </w:r>
    </w:p>
    <w:p w:rsidR="00E3259F" w:rsidRDefault="00E3259F" w:rsidP="00E3259F">
      <w:pPr>
        <w:pStyle w:val="a4"/>
        <w:numPr>
          <w:ilvl w:val="0"/>
          <w:numId w:val="4"/>
        </w:numPr>
        <w:tabs>
          <w:tab w:val="left" w:pos="0"/>
        </w:tabs>
        <w:spacing w:line="360" w:lineRule="auto"/>
        <w:ind w:left="0" w:firstLine="709"/>
        <w:jc w:val="both"/>
        <w:rPr>
          <w:sz w:val="28"/>
          <w:szCs w:val="28"/>
          <w:lang w:val="uk-UA"/>
        </w:rPr>
      </w:pPr>
      <w:r>
        <w:rPr>
          <w:sz w:val="28"/>
          <w:szCs w:val="28"/>
          <w:lang w:val="en-US"/>
        </w:rPr>
        <w:t>Nemtsova</w:t>
      </w:r>
      <w:r>
        <w:rPr>
          <w:sz w:val="28"/>
          <w:szCs w:val="28"/>
          <w:lang w:val="uk-UA"/>
        </w:rPr>
        <w:t xml:space="preserve"> </w:t>
      </w:r>
      <w:r>
        <w:rPr>
          <w:sz w:val="28"/>
          <w:szCs w:val="28"/>
          <w:lang w:val="en-US"/>
        </w:rPr>
        <w:t>V</w:t>
      </w:r>
      <w:r>
        <w:rPr>
          <w:sz w:val="28"/>
          <w:szCs w:val="28"/>
          <w:lang w:val="uk-UA"/>
        </w:rPr>
        <w:t>.</w:t>
      </w:r>
      <w:r>
        <w:rPr>
          <w:sz w:val="28"/>
          <w:szCs w:val="28"/>
          <w:lang w:val="en-US"/>
        </w:rPr>
        <w:t>D</w:t>
      </w:r>
      <w:r>
        <w:rPr>
          <w:sz w:val="28"/>
          <w:szCs w:val="28"/>
          <w:lang w:val="uk-UA"/>
        </w:rPr>
        <w:t xml:space="preserve">. </w:t>
      </w:r>
      <w:r>
        <w:rPr>
          <w:sz w:val="28"/>
          <w:szCs w:val="28"/>
          <w:lang w:val="en-US"/>
        </w:rPr>
        <w:t>Effects</w:t>
      </w:r>
      <w:r>
        <w:rPr>
          <w:sz w:val="28"/>
          <w:szCs w:val="28"/>
          <w:lang w:val="uk-UA"/>
        </w:rPr>
        <w:t xml:space="preserve"> </w:t>
      </w:r>
      <w:r>
        <w:rPr>
          <w:sz w:val="28"/>
          <w:szCs w:val="28"/>
          <w:lang w:val="en-US"/>
        </w:rPr>
        <w:t>of</w:t>
      </w:r>
      <w:r>
        <w:rPr>
          <w:sz w:val="28"/>
          <w:szCs w:val="28"/>
          <w:lang w:val="uk-UA"/>
        </w:rPr>
        <w:t xml:space="preserve"> </w:t>
      </w:r>
      <w:r>
        <w:rPr>
          <w:sz w:val="28"/>
          <w:szCs w:val="28"/>
          <w:lang w:val="en-US"/>
        </w:rPr>
        <w:t>biological</w:t>
      </w:r>
      <w:r>
        <w:rPr>
          <w:sz w:val="28"/>
          <w:szCs w:val="28"/>
          <w:lang w:val="uk-UA"/>
        </w:rPr>
        <w:t xml:space="preserve"> </w:t>
      </w:r>
      <w:r>
        <w:rPr>
          <w:sz w:val="28"/>
          <w:szCs w:val="28"/>
          <w:lang w:val="en-US"/>
        </w:rPr>
        <w:t>age</w:t>
      </w:r>
      <w:r>
        <w:rPr>
          <w:sz w:val="28"/>
          <w:szCs w:val="28"/>
          <w:lang w:val="uk-UA"/>
        </w:rPr>
        <w:t xml:space="preserve"> </w:t>
      </w:r>
      <w:r>
        <w:rPr>
          <w:sz w:val="28"/>
          <w:szCs w:val="28"/>
          <w:lang w:val="en-US"/>
        </w:rPr>
        <w:t>and</w:t>
      </w:r>
      <w:r>
        <w:rPr>
          <w:sz w:val="28"/>
          <w:szCs w:val="28"/>
          <w:lang w:val="uk-UA"/>
        </w:rPr>
        <w:t xml:space="preserve"> </w:t>
      </w:r>
      <w:r>
        <w:rPr>
          <w:sz w:val="28"/>
          <w:szCs w:val="28"/>
          <w:lang w:val="en-US"/>
        </w:rPr>
        <w:t>aging</w:t>
      </w:r>
      <w:r>
        <w:rPr>
          <w:sz w:val="28"/>
          <w:szCs w:val="28"/>
          <w:lang w:val="uk-UA"/>
        </w:rPr>
        <w:t xml:space="preserve"> </w:t>
      </w:r>
      <w:r>
        <w:rPr>
          <w:sz w:val="28"/>
          <w:szCs w:val="28"/>
          <w:lang w:val="en-US"/>
        </w:rPr>
        <w:t>rates</w:t>
      </w:r>
      <w:r>
        <w:rPr>
          <w:sz w:val="28"/>
          <w:szCs w:val="28"/>
          <w:lang w:val="uk-UA"/>
        </w:rPr>
        <w:t xml:space="preserve"> </w:t>
      </w:r>
      <w:r>
        <w:rPr>
          <w:sz w:val="28"/>
          <w:szCs w:val="28"/>
          <w:lang w:val="en-US"/>
        </w:rPr>
        <w:t>on</w:t>
      </w:r>
      <w:r>
        <w:rPr>
          <w:sz w:val="28"/>
          <w:szCs w:val="28"/>
          <w:lang w:val="uk-UA"/>
        </w:rPr>
        <w:t xml:space="preserve"> </w:t>
      </w:r>
      <w:r>
        <w:rPr>
          <w:sz w:val="28"/>
          <w:szCs w:val="28"/>
          <w:lang w:val="en-US"/>
        </w:rPr>
        <w:t>the</w:t>
      </w:r>
      <w:r>
        <w:rPr>
          <w:sz w:val="28"/>
          <w:szCs w:val="28"/>
          <w:lang w:val="uk-UA"/>
        </w:rPr>
        <w:t xml:space="preserve"> </w:t>
      </w:r>
      <w:r>
        <w:rPr>
          <w:sz w:val="28"/>
          <w:szCs w:val="28"/>
          <w:lang w:val="en-US"/>
        </w:rPr>
        <w:t>expression</w:t>
      </w:r>
      <w:r>
        <w:rPr>
          <w:sz w:val="28"/>
          <w:szCs w:val="28"/>
          <w:lang w:val="uk-UA"/>
        </w:rPr>
        <w:t xml:space="preserve"> </w:t>
      </w:r>
      <w:r>
        <w:rPr>
          <w:sz w:val="28"/>
          <w:szCs w:val="28"/>
          <w:lang w:val="en-US"/>
        </w:rPr>
        <w:t>of</w:t>
      </w:r>
      <w:r>
        <w:rPr>
          <w:sz w:val="28"/>
          <w:szCs w:val="28"/>
          <w:lang w:val="uk-UA"/>
        </w:rPr>
        <w:t xml:space="preserve"> </w:t>
      </w:r>
      <w:r>
        <w:rPr>
          <w:sz w:val="28"/>
          <w:szCs w:val="28"/>
          <w:lang w:val="en-US"/>
        </w:rPr>
        <w:t>risk</w:t>
      </w:r>
      <w:r>
        <w:rPr>
          <w:sz w:val="28"/>
          <w:szCs w:val="28"/>
          <w:lang w:val="uk-UA"/>
        </w:rPr>
        <w:t xml:space="preserve"> </w:t>
      </w:r>
      <w:r>
        <w:rPr>
          <w:sz w:val="28"/>
          <w:szCs w:val="28"/>
          <w:lang w:val="en-US"/>
        </w:rPr>
        <w:t>factors</w:t>
      </w:r>
      <w:r>
        <w:rPr>
          <w:sz w:val="28"/>
          <w:szCs w:val="28"/>
          <w:lang w:val="uk-UA"/>
        </w:rPr>
        <w:t xml:space="preserve"> </w:t>
      </w:r>
      <w:r>
        <w:rPr>
          <w:sz w:val="28"/>
          <w:szCs w:val="28"/>
          <w:lang w:val="en-US"/>
        </w:rPr>
        <w:t>in</w:t>
      </w:r>
      <w:r>
        <w:rPr>
          <w:sz w:val="28"/>
          <w:szCs w:val="28"/>
          <w:lang w:val="uk-UA"/>
        </w:rPr>
        <w:t xml:space="preserve"> </w:t>
      </w:r>
      <w:r>
        <w:rPr>
          <w:sz w:val="28"/>
          <w:szCs w:val="28"/>
          <w:lang w:val="en-US"/>
        </w:rPr>
        <w:t>patients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arterial</w:t>
      </w:r>
      <w:r>
        <w:rPr>
          <w:sz w:val="28"/>
          <w:szCs w:val="28"/>
          <w:lang w:val="uk-UA"/>
        </w:rPr>
        <w:t xml:space="preserve"> </w:t>
      </w:r>
      <w:r>
        <w:rPr>
          <w:sz w:val="28"/>
          <w:szCs w:val="28"/>
          <w:lang w:val="en-US"/>
        </w:rPr>
        <w:t>hypertension</w:t>
      </w:r>
      <w:r>
        <w:rPr>
          <w:sz w:val="28"/>
          <w:szCs w:val="28"/>
          <w:lang w:val="uk-UA"/>
        </w:rPr>
        <w:t xml:space="preserve"> </w:t>
      </w:r>
      <w:r>
        <w:rPr>
          <w:sz w:val="28"/>
          <w:szCs w:val="28"/>
          <w:lang w:val="en-US"/>
        </w:rPr>
        <w:t>and</w:t>
      </w:r>
      <w:r>
        <w:rPr>
          <w:sz w:val="28"/>
          <w:szCs w:val="28"/>
          <w:lang w:val="uk-UA"/>
        </w:rPr>
        <w:t xml:space="preserve"> </w:t>
      </w:r>
      <w:r>
        <w:rPr>
          <w:sz w:val="28"/>
          <w:szCs w:val="28"/>
          <w:lang w:val="en-US"/>
        </w:rPr>
        <w:t>type</w:t>
      </w:r>
      <w:r>
        <w:rPr>
          <w:sz w:val="28"/>
          <w:szCs w:val="28"/>
          <w:lang w:val="uk-UA"/>
        </w:rPr>
        <w:t xml:space="preserve"> 2 </w:t>
      </w:r>
      <w:r>
        <w:rPr>
          <w:sz w:val="28"/>
          <w:szCs w:val="28"/>
          <w:lang w:val="en-US"/>
        </w:rPr>
        <w:t>diabetes</w:t>
      </w:r>
      <w:r>
        <w:rPr>
          <w:sz w:val="28"/>
          <w:szCs w:val="28"/>
          <w:lang w:val="uk-UA"/>
        </w:rPr>
        <w:t xml:space="preserve"> </w:t>
      </w:r>
      <w:r>
        <w:rPr>
          <w:sz w:val="28"/>
          <w:szCs w:val="28"/>
          <w:lang w:val="en-US"/>
        </w:rPr>
        <w:t>mellitus</w:t>
      </w:r>
      <w:r>
        <w:rPr>
          <w:sz w:val="28"/>
          <w:szCs w:val="28"/>
          <w:lang w:val="uk-UA"/>
        </w:rPr>
        <w:t xml:space="preserve">. </w:t>
      </w:r>
      <w:r>
        <w:rPr>
          <w:i/>
          <w:sz w:val="28"/>
          <w:szCs w:val="28"/>
          <w:lang w:val="uk-UA"/>
        </w:rPr>
        <w:t>Проблеми екології та медицини</w:t>
      </w:r>
      <w:r>
        <w:rPr>
          <w:sz w:val="28"/>
          <w:szCs w:val="28"/>
          <w:lang w:val="uk-UA"/>
        </w:rPr>
        <w:t>.2019.№5-6.С.25-30.</w:t>
      </w:r>
    </w:p>
    <w:p w:rsidR="00E3259F" w:rsidRDefault="00E3259F" w:rsidP="00E3259F">
      <w:pPr>
        <w:pStyle w:val="a4"/>
        <w:numPr>
          <w:ilvl w:val="0"/>
          <w:numId w:val="4"/>
        </w:numPr>
        <w:tabs>
          <w:tab w:val="left" w:pos="0"/>
        </w:tabs>
        <w:spacing w:line="360" w:lineRule="auto"/>
        <w:ind w:left="0" w:firstLine="709"/>
        <w:jc w:val="both"/>
        <w:rPr>
          <w:sz w:val="28"/>
          <w:szCs w:val="28"/>
          <w:lang w:val="uk-UA"/>
        </w:rPr>
      </w:pPr>
      <w:r>
        <w:rPr>
          <w:sz w:val="28"/>
          <w:szCs w:val="28"/>
          <w:lang w:val="en-US"/>
        </w:rPr>
        <w:t>Nemtsova</w:t>
      </w:r>
      <w:r>
        <w:rPr>
          <w:sz w:val="28"/>
          <w:szCs w:val="28"/>
          <w:lang w:val="uk-UA"/>
        </w:rPr>
        <w:t xml:space="preserve"> </w:t>
      </w:r>
      <w:r>
        <w:rPr>
          <w:sz w:val="28"/>
          <w:szCs w:val="28"/>
          <w:lang w:val="en-US"/>
        </w:rPr>
        <w:t>V</w:t>
      </w:r>
      <w:r>
        <w:rPr>
          <w:sz w:val="28"/>
          <w:szCs w:val="28"/>
          <w:lang w:val="uk-UA"/>
        </w:rPr>
        <w:t xml:space="preserve">., </w:t>
      </w:r>
      <w:r>
        <w:rPr>
          <w:sz w:val="28"/>
          <w:szCs w:val="28"/>
          <w:lang w:val="en-US"/>
        </w:rPr>
        <w:t>Bilovol</w:t>
      </w:r>
      <w:r>
        <w:rPr>
          <w:sz w:val="28"/>
          <w:szCs w:val="28"/>
          <w:lang w:val="uk-UA"/>
        </w:rPr>
        <w:t xml:space="preserve"> </w:t>
      </w:r>
      <w:r>
        <w:rPr>
          <w:sz w:val="28"/>
          <w:szCs w:val="28"/>
          <w:lang w:val="en-US"/>
        </w:rPr>
        <w:t>O</w:t>
      </w:r>
      <w:r>
        <w:rPr>
          <w:sz w:val="28"/>
          <w:szCs w:val="28"/>
          <w:lang w:val="uk-UA"/>
        </w:rPr>
        <w:t xml:space="preserve">., </w:t>
      </w:r>
      <w:r>
        <w:rPr>
          <w:sz w:val="28"/>
          <w:szCs w:val="28"/>
          <w:lang w:val="en-US"/>
        </w:rPr>
        <w:t>Shalimova</w:t>
      </w:r>
      <w:r>
        <w:rPr>
          <w:sz w:val="28"/>
          <w:szCs w:val="28"/>
          <w:lang w:val="uk-UA"/>
        </w:rPr>
        <w:t xml:space="preserve"> </w:t>
      </w:r>
      <w:r>
        <w:rPr>
          <w:sz w:val="28"/>
          <w:szCs w:val="28"/>
          <w:lang w:val="en-US"/>
        </w:rPr>
        <w:t>A</w:t>
      </w:r>
      <w:r>
        <w:rPr>
          <w:sz w:val="28"/>
          <w:szCs w:val="28"/>
          <w:lang w:val="uk-UA"/>
        </w:rPr>
        <w:t xml:space="preserve">. </w:t>
      </w:r>
      <w:r>
        <w:rPr>
          <w:sz w:val="28"/>
          <w:szCs w:val="28"/>
          <w:lang w:val="en-US"/>
        </w:rPr>
        <w:t>Vascular</w:t>
      </w:r>
      <w:r>
        <w:rPr>
          <w:sz w:val="28"/>
          <w:szCs w:val="28"/>
          <w:lang w:val="uk-UA"/>
        </w:rPr>
        <w:t xml:space="preserve"> </w:t>
      </w:r>
      <w:r>
        <w:rPr>
          <w:sz w:val="28"/>
          <w:szCs w:val="28"/>
          <w:lang w:val="en-US"/>
        </w:rPr>
        <w:t>endothelial</w:t>
      </w:r>
      <w:r>
        <w:rPr>
          <w:sz w:val="28"/>
          <w:szCs w:val="28"/>
          <w:lang w:val="uk-UA"/>
        </w:rPr>
        <w:t xml:space="preserve"> </w:t>
      </w:r>
      <w:r>
        <w:rPr>
          <w:sz w:val="28"/>
          <w:szCs w:val="28"/>
          <w:lang w:val="en-US"/>
        </w:rPr>
        <w:t>growth</w:t>
      </w:r>
      <w:r>
        <w:rPr>
          <w:sz w:val="28"/>
          <w:szCs w:val="28"/>
          <w:lang w:val="uk-UA"/>
        </w:rPr>
        <w:t xml:space="preserve"> </w:t>
      </w:r>
      <w:r>
        <w:rPr>
          <w:sz w:val="28"/>
          <w:szCs w:val="28"/>
          <w:lang w:val="en-US"/>
        </w:rPr>
        <w:t>factor</w:t>
      </w:r>
      <w:r>
        <w:rPr>
          <w:sz w:val="28"/>
          <w:szCs w:val="28"/>
          <w:lang w:val="uk-UA"/>
        </w:rPr>
        <w:t xml:space="preserve"> </w:t>
      </w:r>
      <w:r>
        <w:rPr>
          <w:sz w:val="28"/>
          <w:szCs w:val="28"/>
          <w:lang w:val="en-US"/>
        </w:rPr>
        <w:t>as a marker of</w:t>
      </w:r>
      <w:r>
        <w:rPr>
          <w:sz w:val="28"/>
          <w:szCs w:val="28"/>
          <w:lang w:val="uk-UA"/>
        </w:rPr>
        <w:t xml:space="preserve"> </w:t>
      </w:r>
      <w:r>
        <w:rPr>
          <w:sz w:val="28"/>
          <w:szCs w:val="28"/>
          <w:lang w:val="en-US"/>
        </w:rPr>
        <w:t>endothelial</w:t>
      </w:r>
      <w:r>
        <w:rPr>
          <w:sz w:val="28"/>
          <w:szCs w:val="28"/>
          <w:lang w:val="uk-UA"/>
        </w:rPr>
        <w:t xml:space="preserve"> </w:t>
      </w:r>
      <w:r>
        <w:rPr>
          <w:sz w:val="28"/>
          <w:szCs w:val="28"/>
          <w:lang w:val="en-US"/>
        </w:rPr>
        <w:t>dysfunction</w:t>
      </w:r>
      <w:r>
        <w:rPr>
          <w:sz w:val="28"/>
          <w:szCs w:val="28"/>
          <w:lang w:val="uk-UA"/>
        </w:rPr>
        <w:t xml:space="preserve"> </w:t>
      </w:r>
      <w:r>
        <w:rPr>
          <w:sz w:val="28"/>
          <w:szCs w:val="28"/>
          <w:lang w:val="en-US"/>
        </w:rPr>
        <w:t>in</w:t>
      </w:r>
      <w:r>
        <w:rPr>
          <w:sz w:val="28"/>
          <w:szCs w:val="28"/>
          <w:lang w:val="uk-UA"/>
        </w:rPr>
        <w:t xml:space="preserve"> </w:t>
      </w:r>
      <w:r>
        <w:rPr>
          <w:sz w:val="28"/>
          <w:szCs w:val="28"/>
          <w:lang w:val="en-US"/>
        </w:rPr>
        <w:t>poly</w:t>
      </w:r>
      <w:r>
        <w:rPr>
          <w:sz w:val="28"/>
          <w:szCs w:val="28"/>
          <w:lang w:val="uk-UA"/>
        </w:rPr>
        <w:t xml:space="preserve">- </w:t>
      </w:r>
      <w:r>
        <w:rPr>
          <w:sz w:val="28"/>
          <w:szCs w:val="28"/>
          <w:lang w:val="en-US"/>
        </w:rPr>
        <w:t>and</w:t>
      </w:r>
      <w:r>
        <w:rPr>
          <w:sz w:val="28"/>
          <w:szCs w:val="28"/>
          <w:lang w:val="uk-UA"/>
        </w:rPr>
        <w:t xml:space="preserve"> </w:t>
      </w:r>
      <w:r>
        <w:rPr>
          <w:sz w:val="28"/>
          <w:szCs w:val="28"/>
          <w:lang w:val="en-US"/>
        </w:rPr>
        <w:t>comorbidity</w:t>
      </w:r>
      <w:r>
        <w:rPr>
          <w:sz w:val="28"/>
          <w:szCs w:val="28"/>
          <w:lang w:val="uk-UA"/>
        </w:rPr>
        <w:t xml:space="preserve">: </w:t>
      </w:r>
      <w:r>
        <w:rPr>
          <w:sz w:val="28"/>
          <w:szCs w:val="28"/>
          <w:lang w:val="en-US"/>
        </w:rPr>
        <w:t>focus</w:t>
      </w:r>
      <w:r>
        <w:rPr>
          <w:sz w:val="28"/>
          <w:szCs w:val="28"/>
          <w:lang w:val="uk-UA"/>
        </w:rPr>
        <w:t xml:space="preserve"> </w:t>
      </w:r>
      <w:r>
        <w:rPr>
          <w:sz w:val="28"/>
          <w:szCs w:val="28"/>
          <w:lang w:val="en-US"/>
        </w:rPr>
        <w:t>on</w:t>
      </w:r>
      <w:r>
        <w:rPr>
          <w:sz w:val="28"/>
          <w:szCs w:val="28"/>
          <w:lang w:val="uk-UA"/>
        </w:rPr>
        <w:t xml:space="preserve"> </w:t>
      </w:r>
      <w:r>
        <w:rPr>
          <w:sz w:val="28"/>
          <w:szCs w:val="28"/>
          <w:lang w:val="en-US"/>
        </w:rPr>
        <w:t>hypertension</w:t>
      </w:r>
      <w:r>
        <w:rPr>
          <w:sz w:val="28"/>
          <w:szCs w:val="28"/>
          <w:lang w:val="uk-UA"/>
        </w:rPr>
        <w:t xml:space="preserve">, </w:t>
      </w:r>
      <w:r>
        <w:rPr>
          <w:sz w:val="28"/>
          <w:szCs w:val="28"/>
          <w:lang w:val="en-US"/>
        </w:rPr>
        <w:t>type</w:t>
      </w:r>
      <w:r>
        <w:rPr>
          <w:sz w:val="28"/>
          <w:szCs w:val="28"/>
          <w:lang w:val="uk-UA"/>
        </w:rPr>
        <w:t xml:space="preserve"> 2 </w:t>
      </w:r>
      <w:r>
        <w:rPr>
          <w:sz w:val="28"/>
          <w:szCs w:val="28"/>
          <w:lang w:val="en-US"/>
        </w:rPr>
        <w:t>diabetes</w:t>
      </w:r>
      <w:r>
        <w:rPr>
          <w:sz w:val="28"/>
          <w:szCs w:val="28"/>
          <w:lang w:val="uk-UA"/>
        </w:rPr>
        <w:t xml:space="preserve"> </w:t>
      </w:r>
      <w:r>
        <w:rPr>
          <w:sz w:val="28"/>
          <w:szCs w:val="28"/>
          <w:lang w:val="en-US"/>
        </w:rPr>
        <w:t>mellitus</w:t>
      </w:r>
      <w:r>
        <w:rPr>
          <w:sz w:val="28"/>
          <w:szCs w:val="28"/>
          <w:lang w:val="uk-UA"/>
        </w:rPr>
        <w:t xml:space="preserve"> </w:t>
      </w:r>
      <w:r>
        <w:rPr>
          <w:sz w:val="28"/>
          <w:szCs w:val="28"/>
          <w:lang w:val="en-US"/>
        </w:rPr>
        <w:t>and</w:t>
      </w:r>
      <w:r>
        <w:rPr>
          <w:sz w:val="28"/>
          <w:szCs w:val="28"/>
          <w:lang w:val="uk-UA"/>
        </w:rPr>
        <w:t xml:space="preserve"> </w:t>
      </w:r>
      <w:r>
        <w:rPr>
          <w:sz w:val="28"/>
          <w:szCs w:val="28"/>
          <w:lang w:val="en-US"/>
        </w:rPr>
        <w:t>subclinical</w:t>
      </w:r>
      <w:r>
        <w:rPr>
          <w:sz w:val="28"/>
          <w:szCs w:val="28"/>
          <w:lang w:val="uk-UA"/>
        </w:rPr>
        <w:t xml:space="preserve"> </w:t>
      </w:r>
      <w:r>
        <w:rPr>
          <w:sz w:val="28"/>
          <w:szCs w:val="28"/>
          <w:lang w:val="en-US"/>
        </w:rPr>
        <w:t>hypothyroidism</w:t>
      </w:r>
      <w:r>
        <w:rPr>
          <w:sz w:val="28"/>
          <w:szCs w:val="28"/>
          <w:lang w:val="uk-UA"/>
        </w:rPr>
        <w:t xml:space="preserve">. </w:t>
      </w:r>
      <w:r>
        <w:rPr>
          <w:i/>
          <w:sz w:val="28"/>
          <w:szCs w:val="28"/>
        </w:rPr>
        <w:t>Arterial</w:t>
      </w:r>
      <w:r>
        <w:rPr>
          <w:i/>
          <w:sz w:val="28"/>
          <w:szCs w:val="28"/>
          <w:lang w:val="uk-UA"/>
        </w:rPr>
        <w:t xml:space="preserve"> </w:t>
      </w:r>
      <w:r>
        <w:rPr>
          <w:i/>
          <w:sz w:val="28"/>
          <w:szCs w:val="28"/>
        </w:rPr>
        <w:t>hypertension</w:t>
      </w:r>
      <w:r>
        <w:rPr>
          <w:sz w:val="28"/>
          <w:szCs w:val="28"/>
          <w:lang w:val="uk-UA"/>
        </w:rPr>
        <w:t>. 2019.</w:t>
      </w:r>
      <w:r>
        <w:rPr>
          <w:rFonts w:eastAsia="NSimSun"/>
          <w:sz w:val="28"/>
          <w:szCs w:val="28"/>
          <w:lang w:val="uk-UA" w:eastAsia="zh-CN" w:bidi="hi-IN"/>
        </w:rPr>
        <w:t xml:space="preserve"> №</w:t>
      </w:r>
      <w:r>
        <w:rPr>
          <w:sz w:val="28"/>
          <w:szCs w:val="28"/>
          <w:lang w:val="uk-UA"/>
        </w:rPr>
        <w:t>2(23).</w:t>
      </w:r>
      <w:r>
        <w:rPr>
          <w:sz w:val="28"/>
          <w:szCs w:val="28"/>
        </w:rPr>
        <w:t>P</w:t>
      </w:r>
      <w:r>
        <w:rPr>
          <w:sz w:val="28"/>
          <w:szCs w:val="28"/>
          <w:lang w:val="uk-UA"/>
        </w:rPr>
        <w:t>. 98-104.</w:t>
      </w:r>
      <w:r>
        <w:rPr>
          <w:rFonts w:eastAsia="Calibri"/>
          <w:bCs/>
          <w:i/>
          <w:sz w:val="28"/>
          <w:szCs w:val="28"/>
          <w:lang w:val="uk-UA"/>
        </w:rPr>
        <w:t xml:space="preserve"> (Здобувачкою здійснено відбір тематичних хворих, аналіз одержаного матеріалу, статистичну обробку даних, підготовку статті до друку).</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en-US"/>
        </w:rPr>
        <w:t>Nemtsova</w:t>
      </w:r>
      <w:r>
        <w:rPr>
          <w:sz w:val="28"/>
          <w:szCs w:val="28"/>
          <w:lang w:val="uk-UA"/>
        </w:rPr>
        <w:t xml:space="preserve"> </w:t>
      </w:r>
      <w:r>
        <w:rPr>
          <w:sz w:val="28"/>
          <w:szCs w:val="28"/>
          <w:lang w:val="en-US"/>
        </w:rPr>
        <w:t>V</w:t>
      </w:r>
      <w:r>
        <w:rPr>
          <w:sz w:val="28"/>
          <w:szCs w:val="28"/>
          <w:lang w:val="uk-UA"/>
        </w:rPr>
        <w:t xml:space="preserve">., </w:t>
      </w:r>
      <w:r>
        <w:rPr>
          <w:sz w:val="28"/>
          <w:szCs w:val="28"/>
          <w:lang w:val="en-US"/>
        </w:rPr>
        <w:t>Shalimova</w:t>
      </w:r>
      <w:r>
        <w:rPr>
          <w:sz w:val="28"/>
          <w:szCs w:val="28"/>
          <w:lang w:val="uk-UA"/>
        </w:rPr>
        <w:t xml:space="preserve"> </w:t>
      </w:r>
      <w:r>
        <w:rPr>
          <w:sz w:val="28"/>
          <w:szCs w:val="28"/>
          <w:lang w:val="en-US"/>
        </w:rPr>
        <w:t>A</w:t>
      </w:r>
      <w:r>
        <w:rPr>
          <w:sz w:val="28"/>
          <w:szCs w:val="28"/>
          <w:lang w:val="uk-UA"/>
        </w:rPr>
        <w:t>.</w:t>
      </w:r>
      <w:r>
        <w:rPr>
          <w:sz w:val="28"/>
          <w:szCs w:val="28"/>
          <w:lang w:val="en-US"/>
        </w:rPr>
        <w:t>, Bondar</w:t>
      </w:r>
      <w:r>
        <w:rPr>
          <w:sz w:val="28"/>
          <w:szCs w:val="28"/>
          <w:lang w:val="uk-UA"/>
        </w:rPr>
        <w:t xml:space="preserve"> </w:t>
      </w:r>
      <w:r>
        <w:rPr>
          <w:sz w:val="28"/>
          <w:szCs w:val="28"/>
          <w:lang w:val="en-US"/>
        </w:rPr>
        <w:t>T. Effect of achieving blood pressure targets on the relative telomere length in hypertensive patients with and without type 2 diabetes mellitus</w:t>
      </w:r>
      <w:r>
        <w:rPr>
          <w:sz w:val="28"/>
          <w:szCs w:val="28"/>
          <w:lang w:val="uk-UA"/>
        </w:rPr>
        <w:t xml:space="preserve">. </w:t>
      </w:r>
      <w:r>
        <w:rPr>
          <w:i/>
          <w:iCs/>
          <w:sz w:val="28"/>
          <w:szCs w:val="28"/>
          <w:shd w:val="clear" w:color="auto" w:fill="FFFFFF"/>
          <w:lang w:val="en-US"/>
        </w:rPr>
        <w:t>Arterial</w:t>
      </w:r>
      <w:r>
        <w:rPr>
          <w:i/>
          <w:iCs/>
          <w:sz w:val="28"/>
          <w:szCs w:val="28"/>
          <w:shd w:val="clear" w:color="auto" w:fill="FFFFFF"/>
          <w:lang w:val="uk-UA"/>
        </w:rPr>
        <w:t xml:space="preserve"> </w:t>
      </w:r>
      <w:r>
        <w:rPr>
          <w:i/>
          <w:iCs/>
          <w:sz w:val="28"/>
          <w:szCs w:val="28"/>
          <w:shd w:val="clear" w:color="auto" w:fill="FFFFFF"/>
          <w:lang w:val="en-US"/>
        </w:rPr>
        <w:t>Hypertension</w:t>
      </w:r>
      <w:r>
        <w:rPr>
          <w:i/>
          <w:iCs/>
          <w:sz w:val="28"/>
          <w:szCs w:val="28"/>
          <w:shd w:val="clear" w:color="auto" w:fill="FFFFFF"/>
          <w:lang w:val="uk-UA"/>
        </w:rPr>
        <w:t xml:space="preserve"> </w:t>
      </w:r>
      <w:r>
        <w:rPr>
          <w:iCs/>
          <w:sz w:val="28"/>
          <w:szCs w:val="28"/>
          <w:shd w:val="clear" w:color="auto" w:fill="FFFFFF"/>
          <w:lang w:val="uk-UA"/>
        </w:rPr>
        <w:t>2020;24(2):61-66.</w:t>
      </w:r>
      <w:r>
        <w:rPr>
          <w:rFonts w:ascii="Tahoma" w:hAnsi="Tahoma" w:cs="Tahoma"/>
          <w:color w:val="222222"/>
          <w:sz w:val="28"/>
          <w:szCs w:val="28"/>
          <w:shd w:val="clear" w:color="auto" w:fill="FFFFFF"/>
          <w:lang w:val="uk-UA"/>
        </w:rPr>
        <w:t xml:space="preserve"> </w:t>
      </w:r>
      <w:r>
        <w:rPr>
          <w:color w:val="222222"/>
          <w:sz w:val="28"/>
          <w:szCs w:val="28"/>
          <w:shd w:val="clear" w:color="auto" w:fill="FFFFFF"/>
          <w:lang w:val="uk-UA"/>
        </w:rPr>
        <w:t>(</w:t>
      </w:r>
      <w:r>
        <w:rPr>
          <w:i/>
          <w:sz w:val="28"/>
          <w:szCs w:val="28"/>
          <w:shd w:val="clear" w:color="auto" w:fill="FFFFFF"/>
          <w:lang w:val="uk-UA"/>
        </w:rPr>
        <w:t>Здобувачкою виконано пошук та аналіз літературних джерел, клінічне обстеження пацієнтів, аналіз  отриманих даних</w:t>
      </w:r>
      <w:r>
        <w:rPr>
          <w:color w:val="222222"/>
          <w:sz w:val="28"/>
          <w:szCs w:val="28"/>
          <w:shd w:val="clear" w:color="auto" w:fill="FFFFFF"/>
          <w:lang w:val="uk-UA"/>
        </w:rPr>
        <w:t>).</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 xml:space="preserve">Немцова В.Д., Беловол А.Н., Высоцкая Е.В., Фалева Е.Е. Влияние липидного контроля на относительную длину теломер при изолированной артериальной гипертензии и в сочетании с сахарным диабетом типа 2. </w:t>
      </w:r>
      <w:r>
        <w:rPr>
          <w:i/>
          <w:sz w:val="28"/>
          <w:szCs w:val="28"/>
          <w:lang w:val="uk-UA"/>
        </w:rPr>
        <w:t>Медицинские новости Грузии (</w:t>
      </w:r>
      <w:r>
        <w:rPr>
          <w:i/>
          <w:sz w:val="28"/>
          <w:szCs w:val="28"/>
        </w:rPr>
        <w:t>Georgian</w:t>
      </w:r>
      <w:r>
        <w:rPr>
          <w:i/>
          <w:sz w:val="28"/>
          <w:szCs w:val="28"/>
          <w:lang w:val="uk-UA"/>
        </w:rPr>
        <w:t xml:space="preserve"> </w:t>
      </w:r>
      <w:r>
        <w:rPr>
          <w:i/>
          <w:sz w:val="28"/>
          <w:szCs w:val="28"/>
        </w:rPr>
        <w:t>Medical</w:t>
      </w:r>
      <w:r>
        <w:rPr>
          <w:i/>
          <w:sz w:val="28"/>
          <w:szCs w:val="28"/>
          <w:lang w:val="uk-UA"/>
        </w:rPr>
        <w:t xml:space="preserve"> </w:t>
      </w:r>
      <w:r>
        <w:rPr>
          <w:i/>
          <w:sz w:val="28"/>
          <w:szCs w:val="28"/>
        </w:rPr>
        <w:t>News</w:t>
      </w:r>
      <w:r>
        <w:rPr>
          <w:i/>
          <w:sz w:val="28"/>
          <w:szCs w:val="28"/>
          <w:lang w:val="uk-UA"/>
        </w:rPr>
        <w:t>.</w:t>
      </w:r>
      <w:r>
        <w:rPr>
          <w:sz w:val="28"/>
          <w:szCs w:val="28"/>
          <w:lang w:val="uk-UA"/>
        </w:rPr>
        <w:t xml:space="preserve"> 2019.№ 6 (291). С.58-63. </w:t>
      </w:r>
      <w:r>
        <w:rPr>
          <w:color w:val="222222"/>
          <w:sz w:val="28"/>
          <w:szCs w:val="28"/>
          <w:shd w:val="clear" w:color="auto" w:fill="FFFFFF"/>
          <w:lang w:val="uk-UA"/>
        </w:rPr>
        <w:t>(</w:t>
      </w:r>
      <w:r>
        <w:rPr>
          <w:i/>
          <w:sz w:val="28"/>
          <w:szCs w:val="28"/>
          <w:shd w:val="clear" w:color="auto" w:fill="FFFFFF"/>
          <w:lang w:val="uk-UA"/>
        </w:rPr>
        <w:t>Здобувачкою виконано пошук та аналіз літературних джерел, клінічне обстеження пацієнтів, аналіз  отриманих даних</w:t>
      </w:r>
      <w:r>
        <w:rPr>
          <w:color w:val="222222"/>
          <w:sz w:val="28"/>
          <w:szCs w:val="28"/>
          <w:shd w:val="clear" w:color="auto" w:fill="FFFFFF"/>
          <w:lang w:val="uk-UA"/>
        </w:rPr>
        <w:t>).</w:t>
      </w:r>
    </w:p>
    <w:p w:rsidR="00E3259F" w:rsidRDefault="00E3259F" w:rsidP="00E3259F">
      <w:pPr>
        <w:pStyle w:val="a4"/>
        <w:numPr>
          <w:ilvl w:val="0"/>
          <w:numId w:val="4"/>
        </w:numPr>
        <w:tabs>
          <w:tab w:val="left" w:pos="1134"/>
          <w:tab w:val="left" w:pos="8931"/>
        </w:tabs>
        <w:spacing w:line="360" w:lineRule="auto"/>
        <w:ind w:left="0" w:firstLine="709"/>
        <w:jc w:val="both"/>
        <w:rPr>
          <w:sz w:val="28"/>
          <w:szCs w:val="28"/>
          <w:lang w:val="uk-UA"/>
        </w:rPr>
      </w:pPr>
      <w:r>
        <w:rPr>
          <w:sz w:val="28"/>
          <w:szCs w:val="28"/>
          <w:lang w:val="de-DE"/>
        </w:rPr>
        <w:t>Bilovol</w:t>
      </w:r>
      <w:r>
        <w:rPr>
          <w:sz w:val="28"/>
          <w:szCs w:val="28"/>
          <w:lang w:val="uk-UA"/>
        </w:rPr>
        <w:t xml:space="preserve"> </w:t>
      </w:r>
      <w:r>
        <w:rPr>
          <w:sz w:val="28"/>
          <w:szCs w:val="28"/>
          <w:lang w:val="de-DE"/>
        </w:rPr>
        <w:t>O</w:t>
      </w:r>
      <w:r>
        <w:rPr>
          <w:sz w:val="28"/>
          <w:szCs w:val="28"/>
          <w:lang w:val="uk-UA"/>
        </w:rPr>
        <w:t xml:space="preserve">., </w:t>
      </w:r>
      <w:r>
        <w:rPr>
          <w:sz w:val="28"/>
          <w:szCs w:val="28"/>
          <w:lang w:val="de-DE"/>
        </w:rPr>
        <w:t>Nemtsova</w:t>
      </w:r>
      <w:r>
        <w:rPr>
          <w:sz w:val="28"/>
          <w:szCs w:val="28"/>
          <w:lang w:val="uk-UA"/>
        </w:rPr>
        <w:t xml:space="preserve"> </w:t>
      </w:r>
      <w:r>
        <w:rPr>
          <w:sz w:val="28"/>
          <w:szCs w:val="28"/>
          <w:lang w:val="de-DE"/>
        </w:rPr>
        <w:t>V</w:t>
      </w:r>
      <w:r>
        <w:rPr>
          <w:sz w:val="28"/>
          <w:szCs w:val="28"/>
          <w:lang w:val="uk-UA"/>
        </w:rPr>
        <w:t xml:space="preserve">., </w:t>
      </w:r>
      <w:r>
        <w:rPr>
          <w:sz w:val="28"/>
          <w:szCs w:val="28"/>
          <w:lang w:val="de-DE"/>
        </w:rPr>
        <w:t>Ilchenko</w:t>
      </w:r>
      <w:r>
        <w:rPr>
          <w:sz w:val="28"/>
          <w:szCs w:val="28"/>
          <w:lang w:val="uk-UA"/>
        </w:rPr>
        <w:t xml:space="preserve"> </w:t>
      </w:r>
      <w:r>
        <w:rPr>
          <w:sz w:val="28"/>
          <w:szCs w:val="28"/>
          <w:lang w:val="de-DE"/>
        </w:rPr>
        <w:t>I</w:t>
      </w:r>
      <w:r>
        <w:rPr>
          <w:sz w:val="28"/>
          <w:szCs w:val="28"/>
          <w:lang w:val="uk-UA"/>
        </w:rPr>
        <w:t xml:space="preserve">., </w:t>
      </w:r>
      <w:r>
        <w:rPr>
          <w:sz w:val="28"/>
          <w:szCs w:val="28"/>
          <w:lang w:val="de-DE"/>
        </w:rPr>
        <w:t>Zlatkina</w:t>
      </w:r>
      <w:r>
        <w:rPr>
          <w:sz w:val="28"/>
          <w:szCs w:val="28"/>
          <w:lang w:val="uk-UA"/>
        </w:rPr>
        <w:t xml:space="preserve"> </w:t>
      </w:r>
      <w:r>
        <w:rPr>
          <w:sz w:val="28"/>
          <w:szCs w:val="28"/>
          <w:lang w:val="de-DE"/>
        </w:rPr>
        <w:t>V</w:t>
      </w:r>
      <w:r>
        <w:rPr>
          <w:sz w:val="28"/>
          <w:szCs w:val="28"/>
          <w:lang w:val="uk-UA"/>
        </w:rPr>
        <w:t xml:space="preserve">. </w:t>
      </w:r>
      <w:r>
        <w:rPr>
          <w:sz w:val="28"/>
          <w:szCs w:val="28"/>
          <w:lang w:val="en-US"/>
        </w:rPr>
        <w:t>Influence</w:t>
      </w:r>
      <w:r>
        <w:rPr>
          <w:sz w:val="28"/>
          <w:szCs w:val="28"/>
          <w:lang w:val="uk-UA"/>
        </w:rPr>
        <w:t xml:space="preserve"> </w:t>
      </w:r>
      <w:r>
        <w:rPr>
          <w:sz w:val="28"/>
          <w:szCs w:val="28"/>
          <w:lang w:val="en-US"/>
        </w:rPr>
        <w:t>of</w:t>
      </w:r>
      <w:r>
        <w:rPr>
          <w:sz w:val="28"/>
          <w:szCs w:val="28"/>
          <w:lang w:val="uk-UA"/>
        </w:rPr>
        <w:t xml:space="preserve"> </w:t>
      </w:r>
      <w:r>
        <w:rPr>
          <w:sz w:val="28"/>
          <w:szCs w:val="28"/>
          <w:lang w:val="en-US"/>
        </w:rPr>
        <w:t>hormonal</w:t>
      </w:r>
      <w:r>
        <w:rPr>
          <w:sz w:val="28"/>
          <w:szCs w:val="28"/>
          <w:lang w:val="uk-UA"/>
        </w:rPr>
        <w:t xml:space="preserve"> </w:t>
      </w:r>
      <w:r>
        <w:rPr>
          <w:sz w:val="28"/>
          <w:szCs w:val="28"/>
          <w:lang w:val="en-US"/>
        </w:rPr>
        <w:t>disorders</w:t>
      </w:r>
      <w:r>
        <w:rPr>
          <w:sz w:val="28"/>
          <w:szCs w:val="28"/>
          <w:lang w:val="uk-UA"/>
        </w:rPr>
        <w:t xml:space="preserve"> </w:t>
      </w:r>
      <w:r>
        <w:rPr>
          <w:sz w:val="28"/>
          <w:szCs w:val="28"/>
          <w:lang w:val="en-US"/>
        </w:rPr>
        <w:t>on</w:t>
      </w:r>
      <w:r>
        <w:rPr>
          <w:sz w:val="28"/>
          <w:szCs w:val="28"/>
          <w:lang w:val="uk-UA"/>
        </w:rPr>
        <w:t xml:space="preserve"> </w:t>
      </w:r>
      <w:r>
        <w:rPr>
          <w:sz w:val="28"/>
          <w:szCs w:val="28"/>
          <w:lang w:val="en-US"/>
        </w:rPr>
        <w:t>endothelial</w:t>
      </w:r>
      <w:r>
        <w:rPr>
          <w:sz w:val="28"/>
          <w:szCs w:val="28"/>
          <w:lang w:val="uk-UA"/>
        </w:rPr>
        <w:t xml:space="preserve"> </w:t>
      </w:r>
      <w:r>
        <w:rPr>
          <w:sz w:val="28"/>
          <w:szCs w:val="28"/>
          <w:lang w:val="en-US"/>
        </w:rPr>
        <w:t>dysfunction</w:t>
      </w:r>
      <w:r>
        <w:rPr>
          <w:sz w:val="28"/>
          <w:szCs w:val="28"/>
          <w:lang w:val="uk-UA"/>
        </w:rPr>
        <w:t xml:space="preserve"> </w:t>
      </w:r>
      <w:r>
        <w:rPr>
          <w:sz w:val="28"/>
          <w:szCs w:val="28"/>
          <w:lang w:val="en-US"/>
        </w:rPr>
        <w:t>in</w:t>
      </w:r>
      <w:r>
        <w:rPr>
          <w:sz w:val="28"/>
          <w:szCs w:val="28"/>
          <w:lang w:val="uk-UA"/>
        </w:rPr>
        <w:t xml:space="preserve"> </w:t>
      </w:r>
      <w:r>
        <w:rPr>
          <w:sz w:val="28"/>
          <w:szCs w:val="28"/>
          <w:lang w:val="en-US"/>
        </w:rPr>
        <w:t>patients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arterial</w:t>
      </w:r>
      <w:r>
        <w:rPr>
          <w:sz w:val="28"/>
          <w:szCs w:val="28"/>
          <w:lang w:val="uk-UA"/>
        </w:rPr>
        <w:t xml:space="preserve"> </w:t>
      </w:r>
      <w:r>
        <w:rPr>
          <w:sz w:val="28"/>
          <w:szCs w:val="28"/>
          <w:lang w:val="en-US"/>
        </w:rPr>
        <w:t>hypertension</w:t>
      </w:r>
      <w:r>
        <w:rPr>
          <w:sz w:val="28"/>
          <w:szCs w:val="28"/>
          <w:lang w:val="uk-UA"/>
        </w:rPr>
        <w:t xml:space="preserve"> </w:t>
      </w:r>
      <w:r>
        <w:rPr>
          <w:sz w:val="28"/>
          <w:szCs w:val="28"/>
          <w:lang w:val="en-US"/>
        </w:rPr>
        <w:t>and</w:t>
      </w:r>
      <w:r>
        <w:rPr>
          <w:sz w:val="28"/>
          <w:szCs w:val="28"/>
          <w:lang w:val="uk-UA"/>
        </w:rPr>
        <w:t xml:space="preserve"> </w:t>
      </w:r>
      <w:r>
        <w:rPr>
          <w:sz w:val="28"/>
          <w:szCs w:val="28"/>
          <w:lang w:val="en-US"/>
        </w:rPr>
        <w:t>comorbide</w:t>
      </w:r>
      <w:r>
        <w:rPr>
          <w:sz w:val="28"/>
          <w:szCs w:val="28"/>
          <w:lang w:val="uk-UA"/>
        </w:rPr>
        <w:t xml:space="preserve"> </w:t>
      </w:r>
      <w:r>
        <w:rPr>
          <w:sz w:val="28"/>
          <w:szCs w:val="28"/>
          <w:lang w:val="en-US"/>
        </w:rPr>
        <w:t>endocrinopathies</w:t>
      </w:r>
      <w:r>
        <w:rPr>
          <w:sz w:val="28"/>
          <w:szCs w:val="28"/>
          <w:lang w:val="uk-UA"/>
        </w:rPr>
        <w:t xml:space="preserve">. </w:t>
      </w:r>
      <w:r>
        <w:rPr>
          <w:sz w:val="28"/>
          <w:szCs w:val="28"/>
        </w:rPr>
        <w:t>Inter</w:t>
      </w:r>
      <w:r>
        <w:rPr>
          <w:sz w:val="28"/>
          <w:szCs w:val="28"/>
          <w:lang w:val="uk-UA"/>
        </w:rPr>
        <w:t xml:space="preserve"> </w:t>
      </w:r>
      <w:r>
        <w:rPr>
          <w:sz w:val="28"/>
          <w:szCs w:val="28"/>
        </w:rPr>
        <w:t>Collegas</w:t>
      </w:r>
      <w:r>
        <w:rPr>
          <w:sz w:val="28"/>
          <w:szCs w:val="28"/>
          <w:lang w:val="uk-UA"/>
        </w:rPr>
        <w:t xml:space="preserve">. </w:t>
      </w:r>
      <w:r>
        <w:rPr>
          <w:sz w:val="28"/>
          <w:szCs w:val="28"/>
        </w:rPr>
        <w:t>Experientia</w:t>
      </w:r>
      <w:r>
        <w:rPr>
          <w:sz w:val="28"/>
          <w:szCs w:val="28"/>
          <w:lang w:val="uk-UA"/>
        </w:rPr>
        <w:t xml:space="preserve"> </w:t>
      </w:r>
      <w:r>
        <w:rPr>
          <w:sz w:val="28"/>
          <w:szCs w:val="28"/>
        </w:rPr>
        <w:t>doce</w:t>
      </w:r>
      <w:r>
        <w:rPr>
          <w:sz w:val="28"/>
          <w:szCs w:val="28"/>
          <w:lang w:val="uk-UA"/>
        </w:rPr>
        <w:t>. 2019.№ 3 (6).-</w:t>
      </w:r>
      <w:r>
        <w:rPr>
          <w:sz w:val="28"/>
          <w:szCs w:val="28"/>
        </w:rPr>
        <w:t>P</w:t>
      </w:r>
      <w:r>
        <w:rPr>
          <w:sz w:val="28"/>
          <w:szCs w:val="28"/>
          <w:lang w:val="uk-UA"/>
        </w:rPr>
        <w:t>.132-136.</w:t>
      </w:r>
      <w:r>
        <w:rPr>
          <w:bCs/>
          <w:i/>
          <w:sz w:val="28"/>
          <w:szCs w:val="28"/>
          <w:lang w:val="uk-UA"/>
        </w:rPr>
        <w:t xml:space="preserve"> (Здобувачкою самостійно проводила обстеження тематичних хворих, аналіз отриманих результатів,підготувала статтю до друку)</w:t>
      </w:r>
      <w:r>
        <w:rPr>
          <w:sz w:val="28"/>
          <w:szCs w:val="28"/>
          <w:lang w:val="uk-UA"/>
        </w:rPr>
        <w:t>.</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Немцова В.Д., Ільченко І.А., Златкіна В.В. Вплив гормонального дисбалансу на зміну швидкості старіння у хворих на артеріальну гіпертензію і коморбідні ендокринопатії.</w:t>
      </w:r>
      <w:r>
        <w:rPr>
          <w:i/>
          <w:sz w:val="28"/>
          <w:szCs w:val="28"/>
          <w:lang w:val="uk-UA"/>
        </w:rPr>
        <w:t>Вісник Вінницького національного медичного університету.</w:t>
      </w:r>
      <w:r>
        <w:rPr>
          <w:sz w:val="28"/>
          <w:szCs w:val="28"/>
          <w:lang w:val="uk-UA"/>
        </w:rPr>
        <w:t>2019.№2 (т.23).  С.277-282.</w:t>
      </w:r>
      <w:r>
        <w:rPr>
          <w:rFonts w:eastAsia="NSimSun"/>
          <w:bCs/>
          <w:color w:val="00000A"/>
          <w:sz w:val="28"/>
          <w:szCs w:val="28"/>
          <w:lang w:val="uk-UA" w:eastAsia="zh-CN" w:bidi="hi-IN"/>
        </w:rPr>
        <w:t xml:space="preserve"> (</w:t>
      </w:r>
      <w:r>
        <w:rPr>
          <w:rFonts w:eastAsia="NSimSun"/>
          <w:bCs/>
          <w:i/>
          <w:iCs/>
          <w:color w:val="00000A"/>
          <w:sz w:val="28"/>
          <w:szCs w:val="28"/>
          <w:lang w:val="uk-UA" w:eastAsia="zh-CN" w:bidi="hi-IN"/>
        </w:rPr>
        <w:t>Здобувачкою сформовані групи, проведено клінічне обстеження пацієнтів, проведено аналіз та статистична обробка даних, підготовка статті до друку</w:t>
      </w:r>
      <w:r>
        <w:rPr>
          <w:rFonts w:eastAsia="NSimSun"/>
          <w:bCs/>
          <w:color w:val="00000A"/>
          <w:sz w:val="28"/>
          <w:szCs w:val="28"/>
          <w:lang w:val="uk-UA" w:eastAsia="zh-CN" w:bidi="hi-IN"/>
        </w:rPr>
        <w:t>).</w:t>
      </w:r>
    </w:p>
    <w:p w:rsidR="00E3259F" w:rsidRDefault="00E3259F" w:rsidP="00E3259F">
      <w:pPr>
        <w:pStyle w:val="a4"/>
        <w:numPr>
          <w:ilvl w:val="0"/>
          <w:numId w:val="4"/>
        </w:numPr>
        <w:tabs>
          <w:tab w:val="left" w:pos="1134"/>
          <w:tab w:val="left" w:pos="8931"/>
        </w:tabs>
        <w:spacing w:line="360" w:lineRule="auto"/>
        <w:ind w:left="0" w:firstLine="709"/>
        <w:jc w:val="both"/>
        <w:rPr>
          <w:sz w:val="28"/>
          <w:szCs w:val="28"/>
          <w:lang w:val="uk-UA"/>
        </w:rPr>
      </w:pPr>
      <w:r>
        <w:rPr>
          <w:sz w:val="28"/>
          <w:szCs w:val="28"/>
          <w:lang w:val="uk-UA"/>
        </w:rPr>
        <w:t xml:space="preserve">Немцова В.Д., Євтушенко О.М., Чайковська В.В. Вплив комбінованої терапії статинами та левотироксином на динаміку ліпідного профілю у пацієнтів з поєднаним перебігом артеріальної гіпертензії, цукрового діабету 2 типу та субклінічного гіпотиреозу. </w:t>
      </w:r>
      <w:r>
        <w:rPr>
          <w:i/>
          <w:sz w:val="28"/>
          <w:szCs w:val="28"/>
          <w:lang w:val="uk-UA"/>
        </w:rPr>
        <w:t>Клінічна фармація.</w:t>
      </w:r>
      <w:r>
        <w:rPr>
          <w:sz w:val="28"/>
          <w:szCs w:val="28"/>
          <w:lang w:val="uk-UA"/>
        </w:rPr>
        <w:t xml:space="preserve"> 2019. № 3(23). С.57-61.</w:t>
      </w:r>
      <w:r>
        <w:rPr>
          <w:bCs/>
          <w:i/>
          <w:sz w:val="28"/>
          <w:szCs w:val="28"/>
          <w:lang w:val="uk-UA"/>
        </w:rPr>
        <w:t>(Здобувачкою самостійно проводила обстеження тематичних хворих, аналіз отриманих результатів,підготувала статтю до друку)</w:t>
      </w:r>
      <w:r>
        <w:rPr>
          <w:sz w:val="28"/>
          <w:szCs w:val="28"/>
          <w:lang w:val="uk-UA"/>
        </w:rPr>
        <w:t>.</w:t>
      </w:r>
    </w:p>
    <w:p w:rsidR="00E3259F" w:rsidRDefault="00E3259F" w:rsidP="00E3259F">
      <w:pPr>
        <w:pStyle w:val="a4"/>
        <w:numPr>
          <w:ilvl w:val="0"/>
          <w:numId w:val="4"/>
        </w:numPr>
        <w:tabs>
          <w:tab w:val="left" w:pos="1134"/>
          <w:tab w:val="left" w:pos="8931"/>
        </w:tabs>
        <w:spacing w:line="360" w:lineRule="auto"/>
        <w:ind w:left="0" w:firstLine="709"/>
        <w:jc w:val="both"/>
        <w:rPr>
          <w:sz w:val="28"/>
          <w:szCs w:val="28"/>
          <w:lang w:val="uk-UA"/>
        </w:rPr>
      </w:pPr>
      <w:r>
        <w:rPr>
          <w:sz w:val="28"/>
          <w:szCs w:val="28"/>
          <w:lang w:val="uk-UA"/>
        </w:rPr>
        <w:t xml:space="preserve">Немцова В.Д., Ільченко І.А., Златкіна В.В., Запровальна О.Є. Прогностична роль і особливості впливу артеріальної гіпертензії, метаболічного і ендокринного дисбалансу на зміни темпів старіння у пацієнтів з коморбідною патологією різних вікових груп. </w:t>
      </w:r>
      <w:r>
        <w:rPr>
          <w:i/>
          <w:sz w:val="28"/>
          <w:szCs w:val="28"/>
          <w:lang w:val="uk-UA"/>
        </w:rPr>
        <w:t>Вісник проблем біології і медицини</w:t>
      </w:r>
      <w:r>
        <w:rPr>
          <w:sz w:val="28"/>
          <w:szCs w:val="28"/>
          <w:lang w:val="uk-UA"/>
        </w:rPr>
        <w:t xml:space="preserve">. 2019. Випуск 2, Том 2 (151). С. 139-143. </w:t>
      </w:r>
      <w:r>
        <w:rPr>
          <w:bCs/>
          <w:i/>
          <w:iCs/>
          <w:sz w:val="28"/>
          <w:szCs w:val="28"/>
          <w:lang w:val="uk-UA"/>
        </w:rPr>
        <w:t>(Здобувачкою зібрано частину клінічного матеріалу, проведено аналіз та узагальнення отриманих даних, здійснено підготовку статті до друку).</w:t>
      </w:r>
    </w:p>
    <w:p w:rsidR="00E3259F" w:rsidRDefault="00E3259F" w:rsidP="00E3259F">
      <w:pPr>
        <w:pStyle w:val="a4"/>
        <w:numPr>
          <w:ilvl w:val="0"/>
          <w:numId w:val="4"/>
        </w:numPr>
        <w:tabs>
          <w:tab w:val="left" w:pos="1134"/>
          <w:tab w:val="left" w:pos="8931"/>
        </w:tabs>
        <w:spacing w:line="360" w:lineRule="auto"/>
        <w:ind w:left="0" w:firstLine="709"/>
        <w:jc w:val="both"/>
        <w:rPr>
          <w:sz w:val="28"/>
          <w:szCs w:val="28"/>
          <w:lang w:val="uk-UA"/>
        </w:rPr>
      </w:pPr>
      <w:r>
        <w:rPr>
          <w:sz w:val="28"/>
          <w:szCs w:val="28"/>
          <w:lang w:val="uk-UA"/>
        </w:rPr>
        <w:t>Немцова В.Д., Біловол О.М., Ільченко І.А. Особливості змін антиоксидантного захисту в залежності від функціонального стану щитоподібної залози у пацієнтів різного віку з коморбідною патологією.</w:t>
      </w:r>
      <w:r>
        <w:rPr>
          <w:i/>
          <w:sz w:val="28"/>
          <w:szCs w:val="28"/>
          <w:lang w:val="uk-UA"/>
        </w:rPr>
        <w:t>Український журнал медицини, біології та спорту. -</w:t>
      </w:r>
      <w:r>
        <w:rPr>
          <w:sz w:val="28"/>
          <w:szCs w:val="28"/>
          <w:lang w:val="uk-UA"/>
        </w:rPr>
        <w:t xml:space="preserve"> 2018. Том 3, № 7 (16). С.129-135. </w:t>
      </w:r>
      <w:r>
        <w:rPr>
          <w:sz w:val="28"/>
          <w:szCs w:val="28"/>
          <w:shd w:val="clear" w:color="auto" w:fill="FFFFFF"/>
        </w:rPr>
        <w:t>(</w:t>
      </w:r>
      <w:r>
        <w:rPr>
          <w:i/>
          <w:sz w:val="28"/>
          <w:szCs w:val="28"/>
          <w:shd w:val="clear" w:color="auto" w:fill="FFFFFF"/>
        </w:rPr>
        <w:t>Здобувач</w:t>
      </w:r>
      <w:r>
        <w:rPr>
          <w:i/>
          <w:sz w:val="28"/>
          <w:szCs w:val="28"/>
          <w:shd w:val="clear" w:color="auto" w:fill="FFFFFF"/>
          <w:lang w:val="uk-UA"/>
        </w:rPr>
        <w:t xml:space="preserve">кою </w:t>
      </w:r>
      <w:r>
        <w:rPr>
          <w:i/>
          <w:sz w:val="28"/>
          <w:szCs w:val="28"/>
          <w:shd w:val="clear" w:color="auto" w:fill="FFFFFF"/>
        </w:rPr>
        <w:t>проведено обстеження хворих, аналіз отриманих даних, формування висновків</w:t>
      </w:r>
      <w:r>
        <w:rPr>
          <w:sz w:val="28"/>
          <w:szCs w:val="28"/>
          <w:shd w:val="clear" w:color="auto" w:fill="FFFFFF"/>
        </w:rPr>
        <w:t>).</w:t>
      </w:r>
    </w:p>
    <w:p w:rsidR="00E3259F" w:rsidRDefault="00E3259F" w:rsidP="00E3259F">
      <w:pPr>
        <w:pStyle w:val="a4"/>
        <w:numPr>
          <w:ilvl w:val="0"/>
          <w:numId w:val="4"/>
        </w:numPr>
        <w:tabs>
          <w:tab w:val="left" w:pos="0"/>
        </w:tabs>
        <w:spacing w:line="360" w:lineRule="auto"/>
        <w:ind w:left="0" w:firstLine="709"/>
        <w:jc w:val="both"/>
        <w:rPr>
          <w:rFonts w:eastAsia="NSimSun"/>
          <w:sz w:val="28"/>
          <w:szCs w:val="28"/>
          <w:lang w:val="uk-UA" w:eastAsia="zh-CN" w:bidi="hi-IN"/>
        </w:rPr>
      </w:pPr>
      <w:r>
        <w:rPr>
          <w:sz w:val="28"/>
          <w:szCs w:val="28"/>
          <w:lang w:val="uk-UA"/>
        </w:rPr>
        <w:t>Беловол А.Н., Немцова В.Д., Потапенко А.В. Факторы кардиоваскулярного риска в зависимости от  состояния сосудистого эндотелия у пациентов с артериальной гипертензией в сочетании с гипотериозом.</w:t>
      </w:r>
      <w:r>
        <w:rPr>
          <w:i/>
          <w:sz w:val="28"/>
          <w:szCs w:val="28"/>
          <w:lang w:val="uk-UA"/>
        </w:rPr>
        <w:t>Вісник Української медичної стоматологічної академії.</w:t>
      </w:r>
      <w:r>
        <w:rPr>
          <w:sz w:val="28"/>
          <w:szCs w:val="28"/>
          <w:lang w:val="uk-UA"/>
        </w:rPr>
        <w:t xml:space="preserve"> 2016.Т. 16, Випуск 4 (56) ч.1. С.67-71. </w:t>
      </w:r>
      <w:r>
        <w:rPr>
          <w:rFonts w:eastAsia="NSimSun"/>
          <w:i/>
          <w:sz w:val="28"/>
          <w:szCs w:val="28"/>
          <w:lang w:val="uk-UA" w:eastAsia="zh-CN" w:bidi="hi-IN"/>
        </w:rPr>
        <w:t>(Здобувачкою сформувала групи, здійснила аналіз  отриманих даних, підготувала статтю до друку).</w:t>
      </w:r>
    </w:p>
    <w:p w:rsidR="00E3259F" w:rsidRDefault="00E3259F" w:rsidP="00E3259F">
      <w:pPr>
        <w:pStyle w:val="a4"/>
        <w:numPr>
          <w:ilvl w:val="0"/>
          <w:numId w:val="4"/>
        </w:numPr>
        <w:tabs>
          <w:tab w:val="left" w:pos="1134"/>
          <w:tab w:val="left" w:pos="8931"/>
        </w:tabs>
        <w:spacing w:line="360" w:lineRule="auto"/>
        <w:ind w:left="0" w:firstLine="709"/>
        <w:jc w:val="both"/>
        <w:rPr>
          <w:sz w:val="28"/>
          <w:szCs w:val="28"/>
          <w:lang w:val="uk-UA" w:eastAsia="en-US"/>
        </w:rPr>
      </w:pPr>
      <w:r>
        <w:rPr>
          <w:sz w:val="28"/>
          <w:szCs w:val="28"/>
          <w:lang w:val="en-US"/>
        </w:rPr>
        <w:t>Bilovol</w:t>
      </w:r>
      <w:r>
        <w:rPr>
          <w:sz w:val="28"/>
          <w:szCs w:val="28"/>
          <w:lang w:val="uk-UA"/>
        </w:rPr>
        <w:t xml:space="preserve"> </w:t>
      </w:r>
      <w:r>
        <w:rPr>
          <w:sz w:val="28"/>
          <w:szCs w:val="28"/>
          <w:lang w:val="en-US"/>
        </w:rPr>
        <w:t>O</w:t>
      </w:r>
      <w:r>
        <w:rPr>
          <w:sz w:val="28"/>
          <w:szCs w:val="28"/>
          <w:lang w:val="uk-UA"/>
        </w:rPr>
        <w:t>.</w:t>
      </w:r>
      <w:r>
        <w:rPr>
          <w:sz w:val="28"/>
          <w:szCs w:val="28"/>
          <w:lang w:val="en-US"/>
        </w:rPr>
        <w:t>M</w:t>
      </w:r>
      <w:r>
        <w:rPr>
          <w:sz w:val="28"/>
          <w:szCs w:val="28"/>
          <w:lang w:val="uk-UA"/>
        </w:rPr>
        <w:t xml:space="preserve">., </w:t>
      </w:r>
      <w:r>
        <w:rPr>
          <w:sz w:val="28"/>
          <w:szCs w:val="28"/>
          <w:lang w:val="en-US"/>
        </w:rPr>
        <w:t>Nemtsova</w:t>
      </w:r>
      <w:r>
        <w:rPr>
          <w:sz w:val="28"/>
          <w:szCs w:val="28"/>
          <w:lang w:val="uk-UA"/>
        </w:rPr>
        <w:t xml:space="preserve"> </w:t>
      </w:r>
      <w:r>
        <w:rPr>
          <w:sz w:val="28"/>
          <w:szCs w:val="28"/>
          <w:lang w:val="en-US"/>
        </w:rPr>
        <w:t>V</w:t>
      </w:r>
      <w:r>
        <w:rPr>
          <w:sz w:val="28"/>
          <w:szCs w:val="28"/>
          <w:lang w:val="uk-UA"/>
        </w:rPr>
        <w:t>.</w:t>
      </w:r>
      <w:r>
        <w:rPr>
          <w:sz w:val="28"/>
          <w:szCs w:val="28"/>
          <w:lang w:val="en-US"/>
        </w:rPr>
        <w:t>D</w:t>
      </w:r>
      <w:r>
        <w:rPr>
          <w:sz w:val="28"/>
          <w:szCs w:val="28"/>
          <w:lang w:val="uk-UA"/>
        </w:rPr>
        <w:t xml:space="preserve">. </w:t>
      </w:r>
      <w:r>
        <w:rPr>
          <w:sz w:val="28"/>
          <w:szCs w:val="28"/>
          <w:lang w:val="en-US"/>
        </w:rPr>
        <w:t>Effect</w:t>
      </w:r>
      <w:r>
        <w:rPr>
          <w:sz w:val="28"/>
          <w:szCs w:val="28"/>
          <w:lang w:val="uk-UA"/>
        </w:rPr>
        <w:t xml:space="preserve"> </w:t>
      </w:r>
      <w:r>
        <w:rPr>
          <w:sz w:val="28"/>
          <w:szCs w:val="28"/>
          <w:lang w:val="en-US"/>
        </w:rPr>
        <w:t>of</w:t>
      </w:r>
      <w:r>
        <w:rPr>
          <w:sz w:val="28"/>
          <w:szCs w:val="28"/>
          <w:lang w:val="uk-UA"/>
        </w:rPr>
        <w:t xml:space="preserve"> </w:t>
      </w:r>
      <w:r>
        <w:rPr>
          <w:sz w:val="28"/>
          <w:szCs w:val="28"/>
          <w:lang w:val="en-US"/>
        </w:rPr>
        <w:t>carbohydrate</w:t>
      </w:r>
      <w:r>
        <w:rPr>
          <w:sz w:val="28"/>
          <w:szCs w:val="28"/>
          <w:lang w:val="uk-UA"/>
        </w:rPr>
        <w:t xml:space="preserve"> </w:t>
      </w:r>
      <w:r>
        <w:rPr>
          <w:sz w:val="28"/>
          <w:szCs w:val="28"/>
          <w:lang w:val="en-US"/>
        </w:rPr>
        <w:t>metabolism</w:t>
      </w:r>
      <w:r>
        <w:rPr>
          <w:sz w:val="28"/>
          <w:szCs w:val="28"/>
          <w:lang w:val="uk-UA"/>
        </w:rPr>
        <w:t xml:space="preserve"> </w:t>
      </w:r>
      <w:r>
        <w:rPr>
          <w:sz w:val="28"/>
          <w:szCs w:val="28"/>
          <w:lang w:val="en-US"/>
        </w:rPr>
        <w:t>levels</w:t>
      </w:r>
      <w:r>
        <w:rPr>
          <w:sz w:val="28"/>
          <w:szCs w:val="28"/>
          <w:lang w:val="uk-UA"/>
        </w:rPr>
        <w:t xml:space="preserve"> </w:t>
      </w:r>
      <w:r>
        <w:rPr>
          <w:sz w:val="28"/>
          <w:szCs w:val="28"/>
          <w:lang w:val="en-US"/>
        </w:rPr>
        <w:t>on</w:t>
      </w:r>
      <w:r>
        <w:rPr>
          <w:sz w:val="28"/>
          <w:szCs w:val="28"/>
          <w:lang w:val="uk-UA"/>
        </w:rPr>
        <w:t xml:space="preserve"> </w:t>
      </w:r>
      <w:r>
        <w:rPr>
          <w:sz w:val="28"/>
          <w:szCs w:val="28"/>
          <w:lang w:val="en-US"/>
        </w:rPr>
        <w:t>the</w:t>
      </w:r>
      <w:r>
        <w:rPr>
          <w:sz w:val="28"/>
          <w:szCs w:val="28"/>
          <w:lang w:val="uk-UA"/>
        </w:rPr>
        <w:t xml:space="preserve"> </w:t>
      </w:r>
      <w:r>
        <w:rPr>
          <w:sz w:val="28"/>
          <w:szCs w:val="28"/>
          <w:lang w:val="en-US"/>
        </w:rPr>
        <w:t>relative</w:t>
      </w:r>
      <w:r>
        <w:rPr>
          <w:sz w:val="28"/>
          <w:szCs w:val="28"/>
          <w:lang w:val="uk-UA"/>
        </w:rPr>
        <w:t xml:space="preserve"> </w:t>
      </w:r>
      <w:r>
        <w:rPr>
          <w:sz w:val="28"/>
          <w:szCs w:val="28"/>
          <w:lang w:val="en-US"/>
        </w:rPr>
        <w:t>length</w:t>
      </w:r>
      <w:r>
        <w:rPr>
          <w:sz w:val="28"/>
          <w:szCs w:val="28"/>
          <w:lang w:val="uk-UA"/>
        </w:rPr>
        <w:t xml:space="preserve"> </w:t>
      </w:r>
      <w:r>
        <w:rPr>
          <w:sz w:val="28"/>
          <w:szCs w:val="28"/>
          <w:lang w:val="en-US"/>
        </w:rPr>
        <w:t>of</w:t>
      </w:r>
      <w:r>
        <w:rPr>
          <w:sz w:val="28"/>
          <w:szCs w:val="28"/>
          <w:lang w:val="uk-UA"/>
        </w:rPr>
        <w:t xml:space="preserve"> </w:t>
      </w:r>
      <w:r>
        <w:rPr>
          <w:sz w:val="28"/>
          <w:szCs w:val="28"/>
          <w:lang w:val="en-US"/>
        </w:rPr>
        <w:t>telomeres</w:t>
      </w:r>
      <w:r>
        <w:rPr>
          <w:sz w:val="28"/>
          <w:szCs w:val="28"/>
          <w:lang w:val="uk-UA"/>
        </w:rPr>
        <w:t xml:space="preserve"> </w:t>
      </w:r>
      <w:r>
        <w:rPr>
          <w:sz w:val="28"/>
          <w:szCs w:val="28"/>
          <w:lang w:val="en-US"/>
        </w:rPr>
        <w:t>in</w:t>
      </w:r>
      <w:r>
        <w:rPr>
          <w:sz w:val="28"/>
          <w:szCs w:val="28"/>
          <w:lang w:val="uk-UA"/>
        </w:rPr>
        <w:t xml:space="preserve"> </w:t>
      </w:r>
      <w:r>
        <w:rPr>
          <w:sz w:val="28"/>
          <w:szCs w:val="28"/>
          <w:lang w:val="en-US"/>
        </w:rPr>
        <w:t>patients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hypertension</w:t>
      </w:r>
      <w:r>
        <w:rPr>
          <w:sz w:val="28"/>
          <w:szCs w:val="28"/>
          <w:lang w:val="uk-UA"/>
        </w:rPr>
        <w:t xml:space="preserve"> </w:t>
      </w:r>
      <w:r>
        <w:rPr>
          <w:sz w:val="28"/>
          <w:szCs w:val="28"/>
          <w:lang w:val="en-US"/>
        </w:rPr>
        <w:t>and</w:t>
      </w:r>
      <w:r>
        <w:rPr>
          <w:sz w:val="28"/>
          <w:szCs w:val="28"/>
          <w:lang w:val="uk-UA"/>
        </w:rPr>
        <w:t xml:space="preserve"> </w:t>
      </w:r>
      <w:r>
        <w:rPr>
          <w:sz w:val="28"/>
          <w:szCs w:val="28"/>
          <w:lang w:val="en-US"/>
        </w:rPr>
        <w:t>in</w:t>
      </w:r>
      <w:r>
        <w:rPr>
          <w:sz w:val="28"/>
          <w:szCs w:val="28"/>
          <w:lang w:val="uk-UA"/>
        </w:rPr>
        <w:t xml:space="preserve"> </w:t>
      </w:r>
      <w:r>
        <w:rPr>
          <w:sz w:val="28"/>
          <w:szCs w:val="28"/>
          <w:lang w:val="en-US"/>
        </w:rPr>
        <w:t>combination</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diabetes</w:t>
      </w:r>
      <w:r>
        <w:rPr>
          <w:sz w:val="28"/>
          <w:szCs w:val="28"/>
          <w:lang w:val="uk-UA"/>
        </w:rPr>
        <w:t xml:space="preserve"> </w:t>
      </w:r>
      <w:r>
        <w:rPr>
          <w:sz w:val="28"/>
          <w:szCs w:val="28"/>
          <w:lang w:val="en-US"/>
        </w:rPr>
        <w:t>mellitus</w:t>
      </w:r>
      <w:r>
        <w:rPr>
          <w:sz w:val="28"/>
          <w:szCs w:val="28"/>
          <w:lang w:val="uk-UA"/>
        </w:rPr>
        <w:t xml:space="preserve"> </w:t>
      </w:r>
      <w:r>
        <w:rPr>
          <w:sz w:val="28"/>
          <w:szCs w:val="28"/>
          <w:lang w:val="en-US"/>
        </w:rPr>
        <w:t>type</w:t>
      </w:r>
      <w:r>
        <w:rPr>
          <w:sz w:val="28"/>
          <w:szCs w:val="28"/>
          <w:lang w:val="uk-UA"/>
        </w:rPr>
        <w:t xml:space="preserve"> 2. </w:t>
      </w:r>
      <w:r>
        <w:rPr>
          <w:i/>
          <w:sz w:val="28"/>
          <w:szCs w:val="28"/>
          <w:lang w:val="uk-UA"/>
        </w:rPr>
        <w:t>Медицина сьогодні і завтра</w:t>
      </w:r>
      <w:r>
        <w:rPr>
          <w:sz w:val="28"/>
          <w:szCs w:val="28"/>
          <w:lang w:val="uk-UA"/>
        </w:rPr>
        <w:t xml:space="preserve">.2018. №4(81).-С.4-11. </w:t>
      </w:r>
      <w:r>
        <w:rPr>
          <w:sz w:val="28"/>
          <w:szCs w:val="28"/>
          <w:shd w:val="clear" w:color="auto" w:fill="FFFFFF"/>
        </w:rPr>
        <w:t>(</w:t>
      </w:r>
      <w:r>
        <w:rPr>
          <w:i/>
          <w:sz w:val="28"/>
          <w:szCs w:val="28"/>
          <w:shd w:val="clear" w:color="auto" w:fill="FFFFFF"/>
        </w:rPr>
        <w:t>Здобувач</w:t>
      </w:r>
      <w:r>
        <w:rPr>
          <w:i/>
          <w:sz w:val="28"/>
          <w:szCs w:val="28"/>
          <w:shd w:val="clear" w:color="auto" w:fill="FFFFFF"/>
          <w:lang w:val="uk-UA"/>
        </w:rPr>
        <w:t>кою</w:t>
      </w:r>
      <w:r>
        <w:rPr>
          <w:i/>
          <w:sz w:val="28"/>
          <w:szCs w:val="28"/>
          <w:shd w:val="clear" w:color="auto" w:fill="FFFFFF"/>
        </w:rPr>
        <w:t xml:space="preserve"> проведено обстеження хворих, аналіз отриманих даних, підготовка статті до друкуформування висновків</w:t>
      </w:r>
      <w:r>
        <w:rPr>
          <w:sz w:val="28"/>
          <w:szCs w:val="28"/>
          <w:shd w:val="clear" w:color="auto" w:fill="FFFFFF"/>
        </w:rPr>
        <w:t>).</w:t>
      </w:r>
    </w:p>
    <w:p w:rsidR="00E3259F" w:rsidRDefault="00E3259F" w:rsidP="00E3259F">
      <w:pPr>
        <w:pStyle w:val="a4"/>
        <w:numPr>
          <w:ilvl w:val="0"/>
          <w:numId w:val="4"/>
        </w:numPr>
        <w:spacing w:line="360" w:lineRule="auto"/>
        <w:ind w:left="0" w:firstLine="709"/>
        <w:jc w:val="both"/>
        <w:rPr>
          <w:rFonts w:eastAsia="NSimSun"/>
          <w:sz w:val="28"/>
          <w:szCs w:val="28"/>
          <w:lang w:val="uk-UA" w:eastAsia="zh-CN" w:bidi="hi-IN"/>
        </w:rPr>
      </w:pPr>
      <w:r>
        <w:rPr>
          <w:sz w:val="28"/>
          <w:szCs w:val="28"/>
          <w:lang w:val="uk-UA"/>
        </w:rPr>
        <w:t xml:space="preserve">Немцова В.Д., Златкіна В.В., Ільченко І.А. Дінамічні зміни метаболічних показників під впливом комбінованої терапії у хворих на гіпертонічну хворобу, що протікає на тлі супутнього цукрового діабету 2 типу та субклінічного гіпотиреозу. </w:t>
      </w:r>
      <w:r>
        <w:rPr>
          <w:i/>
          <w:sz w:val="28"/>
          <w:szCs w:val="28"/>
          <w:lang w:val="uk-UA"/>
        </w:rPr>
        <w:t>Український терапевтичний журнал.</w:t>
      </w:r>
      <w:r>
        <w:rPr>
          <w:sz w:val="28"/>
          <w:szCs w:val="28"/>
          <w:lang w:val="uk-UA"/>
        </w:rPr>
        <w:t xml:space="preserve"> 2019. №4. с.28-34.</w:t>
      </w:r>
      <w:r>
        <w:rPr>
          <w:rFonts w:eastAsia="NSimSun"/>
          <w:i/>
          <w:sz w:val="28"/>
          <w:szCs w:val="28"/>
          <w:lang w:val="uk-UA" w:eastAsia="zh-CN" w:bidi="hi-IN"/>
        </w:rPr>
        <w:t>(Здобувачкою сформувала групи, здійснила обстеження пацієнтів, аналіз та узагальнення отриманих даних).</w:t>
      </w:r>
    </w:p>
    <w:p w:rsidR="00E3259F" w:rsidRDefault="00E3259F" w:rsidP="00E3259F">
      <w:pPr>
        <w:pStyle w:val="a4"/>
        <w:numPr>
          <w:ilvl w:val="0"/>
          <w:numId w:val="4"/>
        </w:numPr>
        <w:spacing w:line="360" w:lineRule="auto"/>
        <w:ind w:left="0" w:firstLine="709"/>
        <w:jc w:val="both"/>
        <w:rPr>
          <w:sz w:val="28"/>
          <w:szCs w:val="28"/>
          <w:lang w:val="uk-UA" w:eastAsia="en-US"/>
        </w:rPr>
      </w:pPr>
      <w:r>
        <w:rPr>
          <w:sz w:val="28"/>
          <w:szCs w:val="28"/>
          <w:lang w:val="uk-UA"/>
        </w:rPr>
        <w:t xml:space="preserve">Біловол О.М., Немцова В.Д., Ільченко І.А., Златкіна В.В. Особливості впливу метаболічних змін на біологічний вік і темпи старіння в осіб похилого віку з артеріальною гіпертензією та цукровим діабетом 2 типу.  </w:t>
      </w:r>
      <w:r>
        <w:rPr>
          <w:i/>
          <w:sz w:val="28"/>
          <w:szCs w:val="28"/>
          <w:lang w:val="uk-UA"/>
        </w:rPr>
        <w:t>Одеський медичний журнал</w:t>
      </w:r>
      <w:r>
        <w:rPr>
          <w:sz w:val="28"/>
          <w:szCs w:val="28"/>
          <w:lang w:val="uk-UA"/>
        </w:rPr>
        <w:t>.2019.№2/3(172/173).-С.8-12.</w:t>
      </w:r>
      <w:r>
        <w:rPr>
          <w:color w:val="222222"/>
          <w:sz w:val="28"/>
          <w:szCs w:val="28"/>
          <w:shd w:val="clear" w:color="auto" w:fill="FFFFFF"/>
        </w:rPr>
        <w:t xml:space="preserve"> (</w:t>
      </w:r>
      <w:r>
        <w:rPr>
          <w:i/>
          <w:sz w:val="28"/>
          <w:szCs w:val="28"/>
          <w:shd w:val="clear" w:color="auto" w:fill="FFFFFF"/>
        </w:rPr>
        <w:t>Здобувач</w:t>
      </w:r>
      <w:r>
        <w:rPr>
          <w:i/>
          <w:sz w:val="28"/>
          <w:szCs w:val="28"/>
          <w:shd w:val="clear" w:color="auto" w:fill="FFFFFF"/>
          <w:lang w:val="uk-UA"/>
        </w:rPr>
        <w:t>кою</w:t>
      </w:r>
      <w:r>
        <w:rPr>
          <w:i/>
          <w:sz w:val="28"/>
          <w:szCs w:val="28"/>
          <w:shd w:val="clear" w:color="auto" w:fill="FFFFFF"/>
        </w:rPr>
        <w:t xml:space="preserve"> виконано пошук та аналіз літературних джерел, клінічне обстеження пацієнтів, аналіз та статистична обробка отриманих даних</w:t>
      </w:r>
      <w:r>
        <w:rPr>
          <w:color w:val="222222"/>
          <w:sz w:val="28"/>
          <w:szCs w:val="28"/>
          <w:shd w:val="clear" w:color="auto" w:fill="FFFFFF"/>
        </w:rPr>
        <w:t xml:space="preserve">). </w:t>
      </w:r>
    </w:p>
    <w:p w:rsidR="00E3259F" w:rsidRDefault="00E3259F" w:rsidP="00E3259F">
      <w:pPr>
        <w:pStyle w:val="a4"/>
        <w:numPr>
          <w:ilvl w:val="0"/>
          <w:numId w:val="4"/>
        </w:numPr>
        <w:spacing w:line="360" w:lineRule="auto"/>
        <w:ind w:left="0" w:firstLine="709"/>
        <w:jc w:val="both"/>
        <w:rPr>
          <w:sz w:val="28"/>
          <w:szCs w:val="28"/>
          <w:lang w:val="uk-UA"/>
        </w:rPr>
      </w:pPr>
      <w:r>
        <w:rPr>
          <w:sz w:val="28"/>
          <w:szCs w:val="28"/>
          <w:lang w:val="uk-UA"/>
        </w:rPr>
        <w:t xml:space="preserve"> Спосіб прогнозування розвитку та ступеня оксидативного стресу: пат. на винахід № 120486, Україна, МПК G01N 33/50 (2006.01). /  О.В. Висоцька, Немцова В.Д., Страшненко Г.М.; Харківський національний університет радіоелектроніки;  № а201812781; заявл. 21.12.2018; опубл. 10.19.2019, Бюл. № 23.</w:t>
      </w:r>
      <w:r>
        <w:rPr>
          <w:rFonts w:eastAsia="NSimSun"/>
          <w:bCs/>
          <w:i/>
          <w:sz w:val="28"/>
          <w:szCs w:val="28"/>
          <w:lang w:val="uk-UA" w:eastAsia="zh-CN" w:bidi="hi-IN"/>
        </w:rPr>
        <w:t xml:space="preserve"> (Здобувачкою запропоновано ідею, проведено клінічне обстеження пацієнтів, аналіз і узагальнення результатів, розроблено та оформлено заявку до розгляду БРіВ). </w:t>
      </w:r>
    </w:p>
    <w:p w:rsidR="00E3259F" w:rsidRDefault="00E3259F" w:rsidP="00E3259F">
      <w:pPr>
        <w:pStyle w:val="a4"/>
        <w:numPr>
          <w:ilvl w:val="0"/>
          <w:numId w:val="4"/>
        </w:numPr>
        <w:shd w:val="clear" w:color="auto" w:fill="FFFFFF"/>
        <w:tabs>
          <w:tab w:val="left" w:pos="851"/>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uk-UA"/>
        </w:rPr>
        <w:t xml:space="preserve">Немцова В.Д., Б.М.Жантуриев, В.В. Чайковская, Е.Н. Евтушенко, Д.Ж.Абуов, К.А. Толганбаева. Влияние субклинического гипотиреоза на относительную длину теломер у пациентов высокого кардиоваскулярного риска: фокус на артериальную гипертензию в сочетании с сахарным диабетом 2 типа. </w:t>
      </w:r>
      <w:r>
        <w:rPr>
          <w:i/>
          <w:color w:val="000000"/>
          <w:sz w:val="28"/>
          <w:szCs w:val="28"/>
          <w:shd w:val="clear" w:color="auto" w:fill="FFFFFF"/>
          <w:lang w:val="uk-UA"/>
        </w:rPr>
        <w:t>Вестник казахского национального университета</w:t>
      </w:r>
      <w:r>
        <w:rPr>
          <w:color w:val="000000"/>
          <w:sz w:val="28"/>
          <w:szCs w:val="28"/>
          <w:shd w:val="clear" w:color="auto" w:fill="FFFFFF"/>
          <w:lang w:val="uk-UA"/>
        </w:rPr>
        <w:t>. 2019.№4.С.285-289.</w:t>
      </w:r>
      <w:r>
        <w:rPr>
          <w:i/>
          <w:color w:val="000000"/>
          <w:sz w:val="28"/>
          <w:szCs w:val="28"/>
          <w:shd w:val="clear" w:color="auto" w:fill="FFFFFF"/>
          <w:lang w:val="uk-UA"/>
        </w:rPr>
        <w:t xml:space="preserve"> </w:t>
      </w:r>
      <w:r>
        <w:rPr>
          <w:i/>
          <w:color w:val="000000"/>
          <w:sz w:val="28"/>
          <w:szCs w:val="28"/>
          <w:shd w:val="clear" w:color="auto" w:fill="FFFFFF"/>
        </w:rPr>
        <w:t>(</w:t>
      </w:r>
      <w:r>
        <w:rPr>
          <w:i/>
          <w:iCs/>
          <w:color w:val="000000"/>
          <w:sz w:val="28"/>
          <w:szCs w:val="28"/>
          <w:shd w:val="clear" w:color="auto" w:fill="FFFFFF"/>
        </w:rPr>
        <w:t>Особисто здобувач</w:t>
      </w:r>
      <w:r>
        <w:rPr>
          <w:i/>
          <w:iCs/>
          <w:color w:val="000000"/>
          <w:sz w:val="28"/>
          <w:szCs w:val="28"/>
          <w:shd w:val="clear" w:color="auto" w:fill="FFFFFF"/>
          <w:lang w:val="uk-UA"/>
        </w:rPr>
        <w:t>кою</w:t>
      </w:r>
      <w:r>
        <w:rPr>
          <w:i/>
          <w:iCs/>
          <w:color w:val="000000"/>
          <w:sz w:val="28"/>
          <w:szCs w:val="28"/>
          <w:shd w:val="clear" w:color="auto" w:fill="FFFFFF"/>
        </w:rPr>
        <w:t xml:space="preserve"> розроблено дизайн дослідження, проведено обстеження хворих, </w:t>
      </w:r>
      <w:r>
        <w:rPr>
          <w:i/>
          <w:color w:val="000000"/>
          <w:sz w:val="28"/>
          <w:szCs w:val="28"/>
          <w:shd w:val="clear" w:color="auto" w:fill="FFFFFF"/>
        </w:rPr>
        <w:t xml:space="preserve"> </w:t>
      </w:r>
      <w:r>
        <w:rPr>
          <w:i/>
          <w:iCs/>
          <w:color w:val="000000"/>
          <w:sz w:val="28"/>
          <w:szCs w:val="28"/>
          <w:shd w:val="clear" w:color="auto" w:fill="FFFFFF"/>
        </w:rPr>
        <w:t>виконано статистичну обробку отриманих результатів та</w:t>
      </w:r>
      <w:r>
        <w:rPr>
          <w:i/>
          <w:color w:val="000000"/>
          <w:sz w:val="28"/>
          <w:szCs w:val="28"/>
          <w:shd w:val="clear" w:color="auto" w:fill="FFFFFF"/>
        </w:rPr>
        <w:t xml:space="preserve"> проаналізовані отримані дані)</w:t>
      </w:r>
      <w:r>
        <w:rPr>
          <w:i/>
          <w:iCs/>
          <w:color w:val="000000"/>
          <w:sz w:val="28"/>
          <w:szCs w:val="28"/>
          <w:shd w:val="clear" w:color="auto" w:fill="FFFFFF"/>
        </w:rPr>
        <w:t>.</w:t>
      </w:r>
    </w:p>
    <w:p w:rsidR="00E3259F" w:rsidRDefault="00E3259F" w:rsidP="00E3259F">
      <w:pPr>
        <w:pStyle w:val="a4"/>
        <w:numPr>
          <w:ilvl w:val="0"/>
          <w:numId w:val="4"/>
        </w:numPr>
        <w:shd w:val="clear" w:color="auto" w:fill="FFFFFF"/>
        <w:tabs>
          <w:tab w:val="left" w:pos="851"/>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uk-UA"/>
        </w:rPr>
        <w:t xml:space="preserve"> </w:t>
      </w:r>
      <w:r>
        <w:rPr>
          <w:color w:val="000000"/>
          <w:sz w:val="28"/>
          <w:szCs w:val="28"/>
          <w:shd w:val="clear" w:color="auto" w:fill="FFFFFF"/>
          <w:lang w:val="en-US"/>
        </w:rPr>
        <w:t>Nemtsova</w:t>
      </w:r>
      <w:r>
        <w:rPr>
          <w:color w:val="000000"/>
          <w:sz w:val="28"/>
          <w:szCs w:val="28"/>
          <w:shd w:val="clear" w:color="auto" w:fill="FFFFFF"/>
          <w:lang w:val="uk-UA"/>
        </w:rPr>
        <w:t xml:space="preserve"> </w:t>
      </w:r>
      <w:r>
        <w:rPr>
          <w:color w:val="000000"/>
          <w:sz w:val="28"/>
          <w:szCs w:val="28"/>
          <w:shd w:val="clear" w:color="auto" w:fill="FFFFFF"/>
          <w:lang w:val="en-US"/>
        </w:rPr>
        <w:t>V</w:t>
      </w:r>
      <w:r>
        <w:rPr>
          <w:color w:val="000000"/>
          <w:sz w:val="28"/>
          <w:szCs w:val="28"/>
          <w:shd w:val="clear" w:color="auto" w:fill="FFFFFF"/>
          <w:lang w:val="uk-UA"/>
        </w:rPr>
        <w:t xml:space="preserve">., </w:t>
      </w:r>
      <w:r>
        <w:rPr>
          <w:color w:val="000000"/>
          <w:sz w:val="28"/>
          <w:szCs w:val="28"/>
          <w:shd w:val="clear" w:color="auto" w:fill="FFFFFF"/>
          <w:lang w:val="en-US"/>
        </w:rPr>
        <w:t>Bilovol</w:t>
      </w:r>
      <w:r>
        <w:rPr>
          <w:color w:val="000000"/>
          <w:sz w:val="28"/>
          <w:szCs w:val="28"/>
          <w:shd w:val="clear" w:color="auto" w:fill="FFFFFF"/>
          <w:lang w:val="uk-UA"/>
        </w:rPr>
        <w:t xml:space="preserve"> </w:t>
      </w:r>
      <w:r>
        <w:rPr>
          <w:color w:val="000000"/>
          <w:sz w:val="28"/>
          <w:szCs w:val="28"/>
          <w:shd w:val="clear" w:color="auto" w:fill="FFFFFF"/>
          <w:lang w:val="en-US"/>
        </w:rPr>
        <w:t>O</w:t>
      </w:r>
      <w:r>
        <w:rPr>
          <w:color w:val="000000"/>
          <w:sz w:val="28"/>
          <w:szCs w:val="28"/>
          <w:shd w:val="clear" w:color="auto" w:fill="FFFFFF"/>
          <w:lang w:val="uk-UA"/>
        </w:rPr>
        <w:t xml:space="preserve">., </w:t>
      </w:r>
      <w:r>
        <w:rPr>
          <w:color w:val="000000"/>
          <w:sz w:val="28"/>
          <w:szCs w:val="28"/>
          <w:shd w:val="clear" w:color="auto" w:fill="FFFFFF"/>
          <w:lang w:val="en-US"/>
        </w:rPr>
        <w:t>Ilchenko I.,Shalimova</w:t>
      </w:r>
      <w:r>
        <w:rPr>
          <w:color w:val="000000"/>
          <w:sz w:val="28"/>
          <w:szCs w:val="28"/>
          <w:shd w:val="clear" w:color="auto" w:fill="FFFFFF"/>
          <w:lang w:val="uk-UA"/>
        </w:rPr>
        <w:t xml:space="preserve"> </w:t>
      </w:r>
      <w:r>
        <w:rPr>
          <w:color w:val="000000"/>
          <w:sz w:val="28"/>
          <w:szCs w:val="28"/>
          <w:shd w:val="clear" w:color="auto" w:fill="FFFFFF"/>
          <w:lang w:val="en-US"/>
        </w:rPr>
        <w:t>A</w:t>
      </w:r>
      <w:r>
        <w:rPr>
          <w:color w:val="000000"/>
          <w:sz w:val="28"/>
          <w:szCs w:val="28"/>
          <w:shd w:val="clear" w:color="auto" w:fill="FFFFFF"/>
          <w:lang w:val="uk-UA"/>
        </w:rPr>
        <w:t xml:space="preserve">. </w:t>
      </w:r>
      <w:r>
        <w:rPr>
          <w:color w:val="000000"/>
          <w:sz w:val="28"/>
          <w:szCs w:val="28"/>
          <w:shd w:val="clear" w:color="auto" w:fill="FFFFFF"/>
          <w:lang w:val="en-US"/>
        </w:rPr>
        <w:t>Age-assocaated features of oxidative stress as marker of vascular aging in comorbid course of hypertension and type 2 diabetes mellitus</w:t>
      </w:r>
      <w:r>
        <w:rPr>
          <w:color w:val="000000"/>
          <w:sz w:val="28"/>
          <w:szCs w:val="28"/>
          <w:shd w:val="clear" w:color="auto" w:fill="FFFFFF"/>
          <w:lang w:val="uk-UA"/>
        </w:rPr>
        <w:t>.</w:t>
      </w:r>
      <w:r>
        <w:rPr>
          <w:i/>
          <w:color w:val="000000"/>
          <w:sz w:val="28"/>
          <w:szCs w:val="28"/>
          <w:shd w:val="clear" w:color="auto" w:fill="FFFFFF"/>
          <w:lang w:val="en-US"/>
        </w:rPr>
        <w:t>Vessel Plus</w:t>
      </w:r>
      <w:r>
        <w:rPr>
          <w:color w:val="000000"/>
          <w:sz w:val="28"/>
          <w:szCs w:val="28"/>
          <w:shd w:val="clear" w:color="auto" w:fill="FFFFFF"/>
          <w:lang w:val="en-US"/>
        </w:rPr>
        <w:t>.2018</w:t>
      </w:r>
      <w:r>
        <w:rPr>
          <w:color w:val="000000"/>
          <w:sz w:val="28"/>
          <w:szCs w:val="28"/>
          <w:shd w:val="clear" w:color="auto" w:fill="FFFFFF"/>
          <w:lang w:val="uk-UA"/>
        </w:rPr>
        <w:t>.</w:t>
      </w:r>
      <w:r>
        <w:rPr>
          <w:color w:val="000000"/>
          <w:sz w:val="28"/>
          <w:szCs w:val="28"/>
          <w:shd w:val="clear" w:color="auto" w:fill="FFFFFF"/>
          <w:lang w:val="en-US"/>
        </w:rPr>
        <w:t xml:space="preserve">N2.P27. </w:t>
      </w:r>
      <w:r>
        <w:rPr>
          <w:i/>
          <w:color w:val="000000"/>
          <w:sz w:val="28"/>
          <w:szCs w:val="28"/>
          <w:shd w:val="clear" w:color="auto" w:fill="FFFFFF"/>
          <w:lang w:val="uk-UA"/>
        </w:rPr>
        <w:t>(Здобувачкою розроблено концепцію та дизайн дослідження, проведено аналіз та узагальнення отриманих даних, підготовлено статтю до друку).</w:t>
      </w:r>
    </w:p>
    <w:p w:rsidR="00E3259F" w:rsidRPr="00E3259F" w:rsidRDefault="00E3259F" w:rsidP="00E3259F">
      <w:pPr>
        <w:pStyle w:val="arefZag"/>
        <w:spacing w:before="0" w:after="0" w:line="360" w:lineRule="auto"/>
        <w:ind w:firstLine="709"/>
        <w:rPr>
          <w:b w:val="0"/>
          <w:lang w:val="ru-RU"/>
        </w:rPr>
      </w:pPr>
    </w:p>
    <w:p w:rsidR="00E3259F" w:rsidRDefault="00E3259F" w:rsidP="00E3259F">
      <w:pPr>
        <w:pStyle w:val="arefZag"/>
        <w:spacing w:before="0" w:after="0" w:line="360" w:lineRule="auto"/>
        <w:ind w:firstLine="709"/>
        <w:rPr>
          <w:b w:val="0"/>
        </w:rPr>
      </w:pPr>
      <w:r>
        <w:rPr>
          <w:b w:val="0"/>
        </w:rPr>
        <w:t>Наукові праці, які засвідчують апробацію матеріалів дисертації:</w:t>
      </w:r>
    </w:p>
    <w:p w:rsidR="00E3259F" w:rsidRDefault="00E3259F" w:rsidP="00E3259F">
      <w:pPr>
        <w:pStyle w:val="arefZag"/>
        <w:spacing w:before="0" w:after="0" w:line="360" w:lineRule="auto"/>
        <w:ind w:firstLine="709"/>
        <w:rPr>
          <w:b w:val="0"/>
        </w:rPr>
      </w:pPr>
    </w:p>
    <w:p w:rsidR="00E3259F" w:rsidRDefault="00E3259F" w:rsidP="00E3259F">
      <w:pPr>
        <w:pStyle w:val="a4"/>
        <w:numPr>
          <w:ilvl w:val="0"/>
          <w:numId w:val="4"/>
        </w:numPr>
        <w:tabs>
          <w:tab w:val="left" w:pos="0"/>
        </w:tabs>
        <w:spacing w:line="360" w:lineRule="auto"/>
        <w:ind w:left="0" w:firstLine="709"/>
        <w:jc w:val="both"/>
        <w:rPr>
          <w:rFonts w:eastAsia="NSimSun"/>
          <w:color w:val="00000A"/>
          <w:sz w:val="28"/>
          <w:szCs w:val="28"/>
          <w:lang w:val="uk-UA" w:eastAsia="zh-CN" w:bidi="hi-IN"/>
        </w:rPr>
      </w:pPr>
      <w:r>
        <w:rPr>
          <w:sz w:val="28"/>
          <w:szCs w:val="28"/>
          <w:lang w:val="uk-UA"/>
        </w:rPr>
        <w:t xml:space="preserve">Немцова В.Д. Вплив гіпофункції щитовидної залози на маркери судинного старіння у пацієнтів з коморбідною патологією. </w:t>
      </w:r>
      <w:r>
        <w:rPr>
          <w:i/>
          <w:sz w:val="28"/>
          <w:szCs w:val="28"/>
          <w:lang w:val="uk-UA"/>
        </w:rPr>
        <w:t xml:space="preserve">«Інформаційні системи та технології в медицині» </w:t>
      </w:r>
      <w:r>
        <w:rPr>
          <w:i/>
          <w:sz w:val="28"/>
          <w:szCs w:val="28"/>
        </w:rPr>
        <w:t>ISM</w:t>
      </w:r>
      <w:r>
        <w:rPr>
          <w:i/>
          <w:sz w:val="28"/>
          <w:szCs w:val="28"/>
          <w:lang w:val="uk-UA"/>
        </w:rPr>
        <w:t xml:space="preserve">-2018: </w:t>
      </w:r>
      <w:r>
        <w:rPr>
          <w:sz w:val="28"/>
          <w:szCs w:val="28"/>
          <w:lang w:val="uk-UA"/>
        </w:rPr>
        <w:t>матеріали І міжнародної наук.-практ. конф.(м. Харків, 28-30 листопада 2018р). Харків,2018.С.166-167.</w:t>
      </w:r>
    </w:p>
    <w:p w:rsidR="00E3259F" w:rsidRDefault="00E3259F" w:rsidP="00E3259F">
      <w:pPr>
        <w:pStyle w:val="a4"/>
        <w:numPr>
          <w:ilvl w:val="0"/>
          <w:numId w:val="4"/>
        </w:numPr>
        <w:tabs>
          <w:tab w:val="left" w:pos="0"/>
          <w:tab w:val="left" w:pos="1134"/>
          <w:tab w:val="left" w:pos="8931"/>
        </w:tabs>
        <w:spacing w:line="360" w:lineRule="auto"/>
        <w:ind w:left="0" w:firstLine="709"/>
        <w:jc w:val="both"/>
        <w:rPr>
          <w:sz w:val="28"/>
          <w:szCs w:val="28"/>
          <w:lang w:val="uk-UA" w:eastAsia="en-US"/>
        </w:rPr>
      </w:pPr>
      <w:r>
        <w:rPr>
          <w:sz w:val="28"/>
          <w:szCs w:val="28"/>
          <w:lang w:val="en-US"/>
        </w:rPr>
        <w:t>Nemtsova</w:t>
      </w:r>
      <w:r>
        <w:rPr>
          <w:sz w:val="28"/>
          <w:szCs w:val="28"/>
          <w:lang w:val="uk-UA"/>
        </w:rPr>
        <w:t xml:space="preserve"> </w:t>
      </w:r>
      <w:r>
        <w:rPr>
          <w:sz w:val="28"/>
          <w:szCs w:val="28"/>
          <w:lang w:val="en-US"/>
        </w:rPr>
        <w:t>V</w:t>
      </w:r>
      <w:r>
        <w:rPr>
          <w:sz w:val="28"/>
          <w:szCs w:val="28"/>
          <w:lang w:val="uk-UA"/>
        </w:rPr>
        <w:t>.</w:t>
      </w:r>
      <w:r>
        <w:rPr>
          <w:sz w:val="28"/>
          <w:szCs w:val="28"/>
          <w:lang w:val="en-US"/>
        </w:rPr>
        <w:t>, Bilovol O., Zlatkina V., Ilchenko I.</w:t>
      </w:r>
      <w:r>
        <w:rPr>
          <w:sz w:val="28"/>
          <w:szCs w:val="28"/>
          <w:lang w:val="uk-UA"/>
        </w:rPr>
        <w:t xml:space="preserve"> </w:t>
      </w:r>
      <w:r>
        <w:rPr>
          <w:sz w:val="28"/>
          <w:szCs w:val="28"/>
          <w:lang w:val="en-US"/>
        </w:rPr>
        <w:t>Impact of subclinical hypothyroidism on the relative leukocyte telomere length in elderly patients with the different comorbidity: focus on hypertension, type 2 diabetes</w:t>
      </w:r>
      <w:r>
        <w:rPr>
          <w:sz w:val="28"/>
          <w:szCs w:val="28"/>
          <w:lang w:val="uk-UA"/>
        </w:rPr>
        <w:t>.</w:t>
      </w:r>
      <w:r>
        <w:rPr>
          <w:sz w:val="28"/>
          <w:szCs w:val="28"/>
          <w:lang w:val="en-US"/>
        </w:rPr>
        <w:t xml:space="preserve">  </w:t>
      </w:r>
      <w:r>
        <w:rPr>
          <w:i/>
          <w:sz w:val="28"/>
          <w:szCs w:val="28"/>
          <w:lang w:val="en-US"/>
        </w:rPr>
        <w:t>15</w:t>
      </w:r>
      <w:r>
        <w:rPr>
          <w:i/>
          <w:sz w:val="28"/>
          <w:szCs w:val="28"/>
          <w:vertAlign w:val="superscript"/>
          <w:lang w:val="en-US"/>
        </w:rPr>
        <w:t>th</w:t>
      </w:r>
      <w:r>
        <w:rPr>
          <w:i/>
          <w:sz w:val="28"/>
          <w:szCs w:val="28"/>
          <w:lang w:val="en-US"/>
        </w:rPr>
        <w:t xml:space="preserve"> International Congress of the European Geriatric Society</w:t>
      </w:r>
      <w:r>
        <w:rPr>
          <w:i/>
          <w:sz w:val="28"/>
          <w:szCs w:val="28"/>
          <w:lang w:val="uk-UA"/>
        </w:rPr>
        <w:t>,</w:t>
      </w:r>
      <w:r>
        <w:rPr>
          <w:i/>
          <w:sz w:val="28"/>
          <w:szCs w:val="28"/>
          <w:lang w:val="en-US"/>
        </w:rPr>
        <w:t>25-27 September 2019</w:t>
      </w:r>
      <w:r>
        <w:rPr>
          <w:i/>
          <w:sz w:val="28"/>
          <w:szCs w:val="28"/>
          <w:lang w:val="uk-UA"/>
        </w:rPr>
        <w:t>.-</w:t>
      </w:r>
      <w:r>
        <w:rPr>
          <w:i/>
          <w:sz w:val="28"/>
          <w:szCs w:val="28"/>
          <w:lang w:val="en-US"/>
        </w:rPr>
        <w:t xml:space="preserve"> Krakow, Poland</w:t>
      </w:r>
      <w:r>
        <w:rPr>
          <w:sz w:val="28"/>
          <w:szCs w:val="28"/>
          <w:lang w:val="uk-UA"/>
        </w:rPr>
        <w:t xml:space="preserve">- </w:t>
      </w:r>
      <w:r>
        <w:rPr>
          <w:sz w:val="28"/>
          <w:szCs w:val="28"/>
          <w:lang w:val="en-US"/>
        </w:rPr>
        <w:t>Eur Geriatr Med. -2019- 10(Supl).-P.223</w:t>
      </w:r>
      <w:r>
        <w:rPr>
          <w:sz w:val="28"/>
          <w:szCs w:val="28"/>
          <w:lang w:val="uk-UA"/>
        </w:rPr>
        <w:t xml:space="preserve">. </w:t>
      </w:r>
      <w:r>
        <w:rPr>
          <w:rFonts w:eastAsia="NSimSun"/>
          <w:color w:val="00000A"/>
          <w:sz w:val="28"/>
          <w:szCs w:val="28"/>
          <w:lang w:val="uk-UA" w:eastAsia="zh-CN" w:bidi="hi-IN"/>
        </w:rPr>
        <w:t>(</w:t>
      </w:r>
      <w:r>
        <w:rPr>
          <w:rFonts w:eastAsia="NSimSun"/>
          <w:i/>
          <w:iCs/>
          <w:color w:val="00000A"/>
          <w:sz w:val="28"/>
          <w:szCs w:val="28"/>
          <w:lang w:val="uk-UA" w:eastAsia="zh-CN" w:bidi="hi-IN"/>
        </w:rPr>
        <w:t>Здобувачка здійснила аналіз та узагальнення отриманих матеріалів, підготувала матеріали до друку</w:t>
      </w:r>
      <w:r>
        <w:rPr>
          <w:rFonts w:eastAsia="NSimSun"/>
          <w:color w:val="00000A"/>
          <w:sz w:val="28"/>
          <w:szCs w:val="28"/>
          <w:lang w:val="uk-UA" w:eastAsia="zh-CN" w:bidi="hi-IN"/>
        </w:rPr>
        <w:t xml:space="preserve">). </w:t>
      </w:r>
    </w:p>
    <w:p w:rsidR="00E3259F" w:rsidRDefault="00E3259F" w:rsidP="00E3259F">
      <w:pPr>
        <w:pStyle w:val="a4"/>
        <w:numPr>
          <w:ilvl w:val="0"/>
          <w:numId w:val="4"/>
        </w:numPr>
        <w:tabs>
          <w:tab w:val="left" w:pos="0"/>
          <w:tab w:val="left" w:pos="1134"/>
          <w:tab w:val="left" w:pos="8931"/>
        </w:tabs>
        <w:spacing w:line="360" w:lineRule="auto"/>
        <w:ind w:left="0" w:firstLine="709"/>
        <w:jc w:val="both"/>
        <w:rPr>
          <w:sz w:val="28"/>
          <w:szCs w:val="28"/>
          <w:lang w:val="uk-UA"/>
        </w:rPr>
      </w:pPr>
      <w:r>
        <w:rPr>
          <w:sz w:val="28"/>
          <w:szCs w:val="28"/>
          <w:lang w:val="en-US"/>
        </w:rPr>
        <w:t>Nemtsova</w:t>
      </w:r>
      <w:r>
        <w:rPr>
          <w:sz w:val="28"/>
          <w:szCs w:val="28"/>
          <w:lang w:val="uk-UA"/>
        </w:rPr>
        <w:t xml:space="preserve"> </w:t>
      </w:r>
      <w:r>
        <w:rPr>
          <w:sz w:val="28"/>
          <w:szCs w:val="28"/>
          <w:lang w:val="en-US"/>
        </w:rPr>
        <w:t>V</w:t>
      </w:r>
      <w:r>
        <w:rPr>
          <w:sz w:val="28"/>
          <w:szCs w:val="28"/>
          <w:lang w:val="uk-UA"/>
        </w:rPr>
        <w:t xml:space="preserve">., </w:t>
      </w:r>
      <w:r>
        <w:rPr>
          <w:sz w:val="28"/>
          <w:szCs w:val="28"/>
          <w:lang w:val="en-US"/>
        </w:rPr>
        <w:t>Bilovol</w:t>
      </w:r>
      <w:r>
        <w:rPr>
          <w:sz w:val="28"/>
          <w:szCs w:val="28"/>
          <w:lang w:val="uk-UA"/>
        </w:rPr>
        <w:t xml:space="preserve"> </w:t>
      </w:r>
      <w:r>
        <w:rPr>
          <w:sz w:val="28"/>
          <w:szCs w:val="28"/>
          <w:lang w:val="en-US"/>
        </w:rPr>
        <w:t>O</w:t>
      </w:r>
      <w:r>
        <w:rPr>
          <w:sz w:val="28"/>
          <w:szCs w:val="28"/>
          <w:lang w:val="uk-UA"/>
        </w:rPr>
        <w:t xml:space="preserve">., </w:t>
      </w:r>
      <w:r>
        <w:rPr>
          <w:sz w:val="28"/>
          <w:szCs w:val="28"/>
          <w:lang w:val="en-US"/>
        </w:rPr>
        <w:t>Zlatkina</w:t>
      </w:r>
      <w:r>
        <w:rPr>
          <w:sz w:val="28"/>
          <w:szCs w:val="28"/>
          <w:lang w:val="uk-UA"/>
        </w:rPr>
        <w:t xml:space="preserve"> </w:t>
      </w:r>
      <w:r>
        <w:rPr>
          <w:sz w:val="28"/>
          <w:szCs w:val="28"/>
          <w:lang w:val="en-US"/>
        </w:rPr>
        <w:t>V</w:t>
      </w:r>
      <w:r>
        <w:rPr>
          <w:sz w:val="28"/>
          <w:szCs w:val="28"/>
          <w:lang w:val="uk-UA"/>
        </w:rPr>
        <w:t xml:space="preserve">. </w:t>
      </w:r>
      <w:r>
        <w:rPr>
          <w:sz w:val="28"/>
          <w:szCs w:val="28"/>
          <w:lang w:val="en-US"/>
        </w:rPr>
        <w:t>Cardiovascular</w:t>
      </w:r>
      <w:r>
        <w:rPr>
          <w:sz w:val="28"/>
          <w:szCs w:val="28"/>
          <w:lang w:val="uk-UA"/>
        </w:rPr>
        <w:t xml:space="preserve"> </w:t>
      </w:r>
      <w:r>
        <w:rPr>
          <w:sz w:val="28"/>
          <w:szCs w:val="28"/>
          <w:lang w:val="en-US"/>
        </w:rPr>
        <w:t>risk</w:t>
      </w:r>
      <w:r>
        <w:rPr>
          <w:sz w:val="28"/>
          <w:szCs w:val="28"/>
          <w:lang w:val="uk-UA"/>
        </w:rPr>
        <w:t xml:space="preserve"> </w:t>
      </w:r>
      <w:r>
        <w:rPr>
          <w:sz w:val="28"/>
          <w:szCs w:val="28"/>
          <w:lang w:val="en-US"/>
        </w:rPr>
        <w:t>factors</w:t>
      </w:r>
      <w:r>
        <w:rPr>
          <w:sz w:val="28"/>
          <w:szCs w:val="28"/>
          <w:lang w:val="uk-UA"/>
        </w:rPr>
        <w:t xml:space="preserve"> </w:t>
      </w:r>
      <w:r>
        <w:rPr>
          <w:sz w:val="28"/>
          <w:szCs w:val="28"/>
          <w:lang w:val="en-US"/>
        </w:rPr>
        <w:t>depending</w:t>
      </w:r>
      <w:r>
        <w:rPr>
          <w:sz w:val="28"/>
          <w:szCs w:val="28"/>
          <w:lang w:val="uk-UA"/>
        </w:rPr>
        <w:t xml:space="preserve"> </w:t>
      </w:r>
      <w:r>
        <w:rPr>
          <w:sz w:val="28"/>
          <w:szCs w:val="28"/>
          <w:lang w:val="en-US"/>
        </w:rPr>
        <w:t>on</w:t>
      </w:r>
      <w:r>
        <w:rPr>
          <w:sz w:val="28"/>
          <w:szCs w:val="28"/>
          <w:lang w:val="uk-UA"/>
        </w:rPr>
        <w:t xml:space="preserve"> </w:t>
      </w:r>
      <w:r>
        <w:rPr>
          <w:sz w:val="28"/>
          <w:szCs w:val="28"/>
          <w:lang w:val="en-US"/>
        </w:rPr>
        <w:t>the</w:t>
      </w:r>
      <w:r>
        <w:rPr>
          <w:sz w:val="28"/>
          <w:szCs w:val="28"/>
          <w:lang w:val="uk-UA"/>
        </w:rPr>
        <w:t xml:space="preserve"> </w:t>
      </w:r>
      <w:r>
        <w:rPr>
          <w:sz w:val="28"/>
          <w:szCs w:val="28"/>
          <w:lang w:val="en-US"/>
        </w:rPr>
        <w:t>vascular</w:t>
      </w:r>
      <w:r>
        <w:rPr>
          <w:sz w:val="28"/>
          <w:szCs w:val="28"/>
          <w:lang w:val="uk-UA"/>
        </w:rPr>
        <w:t xml:space="preserve"> </w:t>
      </w:r>
      <w:r>
        <w:rPr>
          <w:sz w:val="28"/>
          <w:szCs w:val="28"/>
          <w:lang w:val="en-US"/>
        </w:rPr>
        <w:t>endothelium</w:t>
      </w:r>
      <w:r>
        <w:rPr>
          <w:sz w:val="28"/>
          <w:szCs w:val="28"/>
          <w:lang w:val="uk-UA"/>
        </w:rPr>
        <w:t xml:space="preserve"> </w:t>
      </w:r>
      <w:r>
        <w:rPr>
          <w:sz w:val="28"/>
          <w:szCs w:val="28"/>
          <w:lang w:val="en-US"/>
        </w:rPr>
        <w:t>damage</w:t>
      </w:r>
      <w:r>
        <w:rPr>
          <w:sz w:val="28"/>
          <w:szCs w:val="28"/>
          <w:lang w:val="uk-UA"/>
        </w:rPr>
        <w:t xml:space="preserve"> </w:t>
      </w:r>
      <w:r>
        <w:rPr>
          <w:sz w:val="28"/>
          <w:szCs w:val="28"/>
          <w:lang w:val="en-US"/>
        </w:rPr>
        <w:t>in</w:t>
      </w:r>
      <w:r>
        <w:rPr>
          <w:sz w:val="28"/>
          <w:szCs w:val="28"/>
          <w:lang w:val="uk-UA"/>
        </w:rPr>
        <w:t xml:space="preserve"> </w:t>
      </w:r>
      <w:r>
        <w:rPr>
          <w:sz w:val="28"/>
          <w:szCs w:val="28"/>
          <w:lang w:val="en-US"/>
        </w:rPr>
        <w:t>patients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comorbid</w:t>
      </w:r>
      <w:r>
        <w:rPr>
          <w:sz w:val="28"/>
          <w:szCs w:val="28"/>
          <w:lang w:val="uk-UA"/>
        </w:rPr>
        <w:t xml:space="preserve"> </w:t>
      </w:r>
      <w:r>
        <w:rPr>
          <w:sz w:val="28"/>
          <w:szCs w:val="28"/>
          <w:lang w:val="en-US"/>
        </w:rPr>
        <w:t>course</w:t>
      </w:r>
      <w:r>
        <w:rPr>
          <w:sz w:val="28"/>
          <w:szCs w:val="28"/>
          <w:lang w:val="uk-UA"/>
        </w:rPr>
        <w:t xml:space="preserve"> </w:t>
      </w:r>
      <w:r>
        <w:rPr>
          <w:sz w:val="28"/>
          <w:szCs w:val="28"/>
          <w:lang w:val="en-US"/>
        </w:rPr>
        <w:t>of</w:t>
      </w:r>
      <w:r>
        <w:rPr>
          <w:sz w:val="28"/>
          <w:szCs w:val="28"/>
          <w:lang w:val="uk-UA"/>
        </w:rPr>
        <w:t xml:space="preserve"> </w:t>
      </w:r>
      <w:r>
        <w:rPr>
          <w:sz w:val="28"/>
          <w:szCs w:val="28"/>
          <w:lang w:val="en-US"/>
        </w:rPr>
        <w:t>arterial</w:t>
      </w:r>
      <w:r>
        <w:rPr>
          <w:sz w:val="28"/>
          <w:szCs w:val="28"/>
          <w:lang w:val="uk-UA"/>
        </w:rPr>
        <w:t xml:space="preserve"> </w:t>
      </w:r>
      <w:r>
        <w:rPr>
          <w:sz w:val="28"/>
          <w:szCs w:val="28"/>
          <w:lang w:val="en-US"/>
        </w:rPr>
        <w:t>hypertension</w:t>
      </w:r>
      <w:r>
        <w:rPr>
          <w:sz w:val="28"/>
          <w:szCs w:val="28"/>
          <w:lang w:val="uk-UA"/>
        </w:rPr>
        <w:t xml:space="preserve"> </w:t>
      </w:r>
      <w:r>
        <w:rPr>
          <w:sz w:val="28"/>
          <w:szCs w:val="28"/>
          <w:lang w:val="en-US"/>
        </w:rPr>
        <w:t>and</w:t>
      </w:r>
      <w:r>
        <w:rPr>
          <w:sz w:val="28"/>
          <w:szCs w:val="28"/>
          <w:lang w:val="uk-UA"/>
        </w:rPr>
        <w:t xml:space="preserve"> </w:t>
      </w:r>
      <w:r>
        <w:rPr>
          <w:sz w:val="28"/>
          <w:szCs w:val="28"/>
          <w:lang w:val="en-US"/>
        </w:rPr>
        <w:t>subclinical</w:t>
      </w:r>
      <w:r>
        <w:rPr>
          <w:sz w:val="28"/>
          <w:szCs w:val="28"/>
          <w:lang w:val="uk-UA"/>
        </w:rPr>
        <w:t xml:space="preserve"> </w:t>
      </w:r>
      <w:r>
        <w:rPr>
          <w:sz w:val="28"/>
          <w:szCs w:val="28"/>
          <w:lang w:val="en-US"/>
        </w:rPr>
        <w:t>hypothyroidism</w:t>
      </w:r>
      <w:r>
        <w:rPr>
          <w:sz w:val="28"/>
          <w:szCs w:val="28"/>
          <w:lang w:val="uk-UA"/>
        </w:rPr>
        <w:t xml:space="preserve">. </w:t>
      </w:r>
      <w:r>
        <w:rPr>
          <w:i/>
          <w:sz w:val="28"/>
          <w:szCs w:val="28"/>
        </w:rPr>
        <w:t>EuroPrevent</w:t>
      </w:r>
      <w:r>
        <w:rPr>
          <w:i/>
          <w:sz w:val="28"/>
          <w:szCs w:val="28"/>
          <w:lang w:val="uk-UA"/>
        </w:rPr>
        <w:t xml:space="preserve"> 2019 (11-13 </w:t>
      </w:r>
      <w:r>
        <w:rPr>
          <w:i/>
          <w:sz w:val="28"/>
          <w:szCs w:val="28"/>
        </w:rPr>
        <w:t>April</w:t>
      </w:r>
      <w:r>
        <w:rPr>
          <w:i/>
          <w:sz w:val="28"/>
          <w:szCs w:val="28"/>
          <w:lang w:val="uk-UA"/>
        </w:rPr>
        <w:t xml:space="preserve"> 2019, </w:t>
      </w:r>
      <w:r>
        <w:rPr>
          <w:i/>
          <w:sz w:val="28"/>
          <w:szCs w:val="28"/>
        </w:rPr>
        <w:t>Lisbon</w:t>
      </w:r>
      <w:r>
        <w:rPr>
          <w:i/>
          <w:sz w:val="28"/>
          <w:szCs w:val="28"/>
          <w:lang w:val="uk-UA"/>
        </w:rPr>
        <w:t xml:space="preserve">, </w:t>
      </w:r>
      <w:r>
        <w:rPr>
          <w:i/>
          <w:sz w:val="28"/>
          <w:szCs w:val="28"/>
        </w:rPr>
        <w:t>Portugal</w:t>
      </w:r>
      <w:r>
        <w:rPr>
          <w:i/>
          <w:sz w:val="28"/>
          <w:szCs w:val="28"/>
          <w:lang w:val="uk-UA"/>
        </w:rPr>
        <w:t>)</w:t>
      </w:r>
      <w:r>
        <w:rPr>
          <w:sz w:val="28"/>
          <w:szCs w:val="28"/>
          <w:lang w:val="uk-UA"/>
        </w:rPr>
        <w:t xml:space="preserve">.- аbstract book: </w:t>
      </w:r>
      <w:r>
        <w:rPr>
          <w:sz w:val="28"/>
          <w:szCs w:val="28"/>
        </w:rPr>
        <w:t>P</w:t>
      </w:r>
      <w:r>
        <w:rPr>
          <w:sz w:val="28"/>
          <w:szCs w:val="28"/>
          <w:lang w:val="uk-UA"/>
        </w:rPr>
        <w:t>216. (</w:t>
      </w:r>
      <w:r>
        <w:rPr>
          <w:i/>
          <w:sz w:val="28"/>
          <w:szCs w:val="28"/>
          <w:lang w:val="uk-UA"/>
        </w:rPr>
        <w:t xml:space="preserve">Здобувачкою проведено </w:t>
      </w:r>
      <w:r>
        <w:rPr>
          <w:i/>
          <w:sz w:val="28"/>
          <w:szCs w:val="28"/>
          <w:shd w:val="clear" w:color="auto" w:fill="FFFFFF"/>
          <w:lang w:val="uk-UA"/>
        </w:rPr>
        <w:t>обстеження хворих, аналіз даних, підготовлено матеріали для тез</w:t>
      </w:r>
      <w:r>
        <w:rPr>
          <w:sz w:val="28"/>
          <w:szCs w:val="28"/>
          <w:lang w:val="uk-UA"/>
        </w:rPr>
        <w:t xml:space="preserve">). </w:t>
      </w:r>
    </w:p>
    <w:p w:rsidR="00E3259F" w:rsidRDefault="00E3259F" w:rsidP="00E3259F">
      <w:pPr>
        <w:pStyle w:val="a4"/>
        <w:numPr>
          <w:ilvl w:val="0"/>
          <w:numId w:val="4"/>
        </w:numPr>
        <w:tabs>
          <w:tab w:val="left" w:pos="0"/>
          <w:tab w:val="left" w:pos="1134"/>
          <w:tab w:val="left" w:pos="8931"/>
        </w:tabs>
        <w:spacing w:line="360" w:lineRule="auto"/>
        <w:ind w:left="0" w:firstLine="709"/>
        <w:jc w:val="both"/>
        <w:rPr>
          <w:sz w:val="28"/>
          <w:szCs w:val="28"/>
          <w:lang w:val="uk-UA"/>
        </w:rPr>
      </w:pPr>
      <w:r>
        <w:rPr>
          <w:sz w:val="28"/>
          <w:szCs w:val="28"/>
          <w:lang w:val="en-US"/>
        </w:rPr>
        <w:t>Nemtsova</w:t>
      </w:r>
      <w:r>
        <w:rPr>
          <w:sz w:val="28"/>
          <w:szCs w:val="28"/>
          <w:lang w:val="uk-UA"/>
        </w:rPr>
        <w:t xml:space="preserve"> </w:t>
      </w:r>
      <w:r>
        <w:rPr>
          <w:sz w:val="28"/>
          <w:szCs w:val="28"/>
          <w:lang w:val="en-US"/>
        </w:rPr>
        <w:t>V</w:t>
      </w:r>
      <w:r>
        <w:rPr>
          <w:sz w:val="28"/>
          <w:szCs w:val="28"/>
          <w:lang w:val="uk-UA"/>
        </w:rPr>
        <w:t xml:space="preserve">., </w:t>
      </w:r>
      <w:r>
        <w:rPr>
          <w:sz w:val="28"/>
          <w:szCs w:val="28"/>
          <w:lang w:val="en-US"/>
        </w:rPr>
        <w:t>Bilovol</w:t>
      </w:r>
      <w:r>
        <w:rPr>
          <w:sz w:val="28"/>
          <w:szCs w:val="28"/>
          <w:lang w:val="uk-UA"/>
        </w:rPr>
        <w:t xml:space="preserve"> </w:t>
      </w:r>
      <w:r>
        <w:rPr>
          <w:sz w:val="28"/>
          <w:szCs w:val="28"/>
          <w:lang w:val="en-US"/>
        </w:rPr>
        <w:t>O</w:t>
      </w:r>
      <w:r>
        <w:rPr>
          <w:sz w:val="28"/>
          <w:szCs w:val="28"/>
          <w:lang w:val="uk-UA"/>
        </w:rPr>
        <w:t xml:space="preserve">., </w:t>
      </w:r>
      <w:r>
        <w:rPr>
          <w:sz w:val="28"/>
          <w:szCs w:val="28"/>
          <w:lang w:val="en-US"/>
        </w:rPr>
        <w:t>Zlatkina</w:t>
      </w:r>
      <w:r>
        <w:rPr>
          <w:sz w:val="28"/>
          <w:szCs w:val="28"/>
          <w:lang w:val="uk-UA"/>
        </w:rPr>
        <w:t xml:space="preserve"> </w:t>
      </w:r>
      <w:r>
        <w:rPr>
          <w:sz w:val="28"/>
          <w:szCs w:val="28"/>
          <w:lang w:val="en-US"/>
        </w:rPr>
        <w:t>V</w:t>
      </w:r>
      <w:r>
        <w:rPr>
          <w:sz w:val="28"/>
          <w:szCs w:val="28"/>
          <w:lang w:val="uk-UA"/>
        </w:rPr>
        <w:t xml:space="preserve">., </w:t>
      </w:r>
      <w:r>
        <w:rPr>
          <w:sz w:val="28"/>
          <w:szCs w:val="28"/>
          <w:lang w:val="en-US"/>
        </w:rPr>
        <w:t>Ilchenko</w:t>
      </w:r>
      <w:r>
        <w:rPr>
          <w:sz w:val="28"/>
          <w:szCs w:val="28"/>
          <w:lang w:val="uk-UA"/>
        </w:rPr>
        <w:t xml:space="preserve"> </w:t>
      </w:r>
      <w:r>
        <w:rPr>
          <w:sz w:val="28"/>
          <w:szCs w:val="28"/>
          <w:lang w:val="en-US"/>
        </w:rPr>
        <w:t>I</w:t>
      </w:r>
      <w:r>
        <w:rPr>
          <w:sz w:val="28"/>
          <w:szCs w:val="28"/>
          <w:lang w:val="uk-UA"/>
        </w:rPr>
        <w:t xml:space="preserve">. </w:t>
      </w:r>
      <w:r>
        <w:rPr>
          <w:sz w:val="28"/>
          <w:szCs w:val="28"/>
          <w:lang w:val="en-US"/>
        </w:rPr>
        <w:t>The</w:t>
      </w:r>
      <w:r>
        <w:rPr>
          <w:sz w:val="28"/>
          <w:szCs w:val="28"/>
          <w:lang w:val="uk-UA"/>
        </w:rPr>
        <w:t xml:space="preserve"> </w:t>
      </w:r>
      <w:r>
        <w:rPr>
          <w:sz w:val="28"/>
          <w:szCs w:val="28"/>
          <w:lang w:val="en-US"/>
        </w:rPr>
        <w:t>effect</w:t>
      </w:r>
      <w:r>
        <w:rPr>
          <w:sz w:val="28"/>
          <w:szCs w:val="28"/>
          <w:lang w:val="uk-UA"/>
        </w:rPr>
        <w:t xml:space="preserve"> </w:t>
      </w:r>
      <w:r>
        <w:rPr>
          <w:sz w:val="28"/>
          <w:szCs w:val="28"/>
          <w:lang w:val="en-US"/>
        </w:rPr>
        <w:t>of</w:t>
      </w:r>
      <w:r>
        <w:rPr>
          <w:sz w:val="28"/>
          <w:szCs w:val="28"/>
          <w:lang w:val="uk-UA"/>
        </w:rPr>
        <w:t xml:space="preserve"> </w:t>
      </w:r>
      <w:r>
        <w:rPr>
          <w:sz w:val="28"/>
          <w:szCs w:val="28"/>
          <w:lang w:val="en-US"/>
        </w:rPr>
        <w:t>middle</w:t>
      </w:r>
      <w:r>
        <w:rPr>
          <w:sz w:val="28"/>
          <w:szCs w:val="28"/>
          <w:lang w:val="uk-UA"/>
        </w:rPr>
        <w:t>-</w:t>
      </w:r>
      <w:r>
        <w:rPr>
          <w:sz w:val="28"/>
          <w:szCs w:val="28"/>
          <w:lang w:val="en-US"/>
        </w:rPr>
        <w:t>dose</w:t>
      </w:r>
      <w:r>
        <w:rPr>
          <w:sz w:val="28"/>
          <w:szCs w:val="28"/>
          <w:lang w:val="uk-UA"/>
        </w:rPr>
        <w:t xml:space="preserve"> </w:t>
      </w:r>
      <w:r>
        <w:rPr>
          <w:sz w:val="28"/>
          <w:szCs w:val="28"/>
          <w:lang w:val="en-US"/>
        </w:rPr>
        <w:t>statin</w:t>
      </w:r>
      <w:r>
        <w:rPr>
          <w:sz w:val="28"/>
          <w:szCs w:val="28"/>
          <w:lang w:val="uk-UA"/>
        </w:rPr>
        <w:t xml:space="preserve"> </w:t>
      </w:r>
      <w:r>
        <w:rPr>
          <w:sz w:val="28"/>
          <w:szCs w:val="28"/>
          <w:lang w:val="en-US"/>
        </w:rPr>
        <w:t>therapy</w:t>
      </w:r>
      <w:r>
        <w:rPr>
          <w:sz w:val="28"/>
          <w:szCs w:val="28"/>
          <w:lang w:val="uk-UA"/>
        </w:rPr>
        <w:t xml:space="preserve"> </w:t>
      </w:r>
      <w:r>
        <w:rPr>
          <w:sz w:val="28"/>
          <w:szCs w:val="28"/>
          <w:lang w:val="en-US"/>
        </w:rPr>
        <w:t>on</w:t>
      </w:r>
      <w:r>
        <w:rPr>
          <w:sz w:val="28"/>
          <w:szCs w:val="28"/>
          <w:lang w:val="uk-UA"/>
        </w:rPr>
        <w:t xml:space="preserve"> </w:t>
      </w:r>
      <w:r>
        <w:rPr>
          <w:sz w:val="28"/>
          <w:szCs w:val="28"/>
          <w:lang w:val="en-US"/>
        </w:rPr>
        <w:t>the</w:t>
      </w:r>
      <w:r>
        <w:rPr>
          <w:sz w:val="28"/>
          <w:szCs w:val="28"/>
          <w:lang w:val="uk-UA"/>
        </w:rPr>
        <w:t xml:space="preserve"> </w:t>
      </w:r>
      <w:r>
        <w:rPr>
          <w:sz w:val="28"/>
          <w:szCs w:val="28"/>
          <w:lang w:val="en-US"/>
        </w:rPr>
        <w:t>vascular</w:t>
      </w:r>
      <w:r>
        <w:rPr>
          <w:sz w:val="28"/>
          <w:szCs w:val="28"/>
          <w:lang w:val="uk-UA"/>
        </w:rPr>
        <w:t xml:space="preserve"> </w:t>
      </w:r>
      <w:r>
        <w:rPr>
          <w:sz w:val="28"/>
          <w:szCs w:val="28"/>
          <w:lang w:val="en-US"/>
        </w:rPr>
        <w:t>endothelium</w:t>
      </w:r>
      <w:r>
        <w:rPr>
          <w:sz w:val="28"/>
          <w:szCs w:val="28"/>
          <w:lang w:val="uk-UA"/>
        </w:rPr>
        <w:t xml:space="preserve"> </w:t>
      </w:r>
      <w:r>
        <w:rPr>
          <w:sz w:val="28"/>
          <w:szCs w:val="28"/>
          <w:lang w:val="en-US"/>
        </w:rPr>
        <w:t>function</w:t>
      </w:r>
      <w:r>
        <w:rPr>
          <w:sz w:val="28"/>
          <w:szCs w:val="28"/>
          <w:lang w:val="uk-UA"/>
        </w:rPr>
        <w:t xml:space="preserve"> </w:t>
      </w:r>
      <w:r>
        <w:rPr>
          <w:sz w:val="28"/>
          <w:szCs w:val="28"/>
          <w:lang w:val="en-US"/>
        </w:rPr>
        <w:t>in</w:t>
      </w:r>
      <w:r>
        <w:rPr>
          <w:sz w:val="28"/>
          <w:szCs w:val="28"/>
          <w:lang w:val="uk-UA"/>
        </w:rPr>
        <w:t xml:space="preserve"> </w:t>
      </w:r>
      <w:r>
        <w:rPr>
          <w:sz w:val="28"/>
          <w:szCs w:val="28"/>
          <w:lang w:val="en-US"/>
        </w:rPr>
        <w:t>patients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a</w:t>
      </w:r>
      <w:r>
        <w:rPr>
          <w:sz w:val="28"/>
          <w:szCs w:val="28"/>
          <w:lang w:val="uk-UA"/>
        </w:rPr>
        <w:t xml:space="preserve"> </w:t>
      </w:r>
      <w:r>
        <w:rPr>
          <w:sz w:val="28"/>
          <w:szCs w:val="28"/>
          <w:lang w:val="en-US"/>
        </w:rPr>
        <w:t>combined</w:t>
      </w:r>
      <w:r>
        <w:rPr>
          <w:sz w:val="28"/>
          <w:szCs w:val="28"/>
          <w:lang w:val="uk-UA"/>
        </w:rPr>
        <w:t xml:space="preserve"> </w:t>
      </w:r>
      <w:r>
        <w:rPr>
          <w:sz w:val="28"/>
          <w:szCs w:val="28"/>
          <w:lang w:val="en-US"/>
        </w:rPr>
        <w:t>course</w:t>
      </w:r>
      <w:r>
        <w:rPr>
          <w:sz w:val="28"/>
          <w:szCs w:val="28"/>
          <w:lang w:val="uk-UA"/>
        </w:rPr>
        <w:t xml:space="preserve"> </w:t>
      </w:r>
      <w:r>
        <w:rPr>
          <w:sz w:val="28"/>
          <w:szCs w:val="28"/>
          <w:lang w:val="en-US"/>
        </w:rPr>
        <w:t>of</w:t>
      </w:r>
      <w:r>
        <w:rPr>
          <w:sz w:val="28"/>
          <w:szCs w:val="28"/>
          <w:lang w:val="uk-UA"/>
        </w:rPr>
        <w:t xml:space="preserve"> </w:t>
      </w:r>
      <w:r>
        <w:rPr>
          <w:sz w:val="28"/>
          <w:szCs w:val="28"/>
          <w:lang w:val="en-US"/>
        </w:rPr>
        <w:t>hypertension</w:t>
      </w:r>
      <w:r>
        <w:rPr>
          <w:sz w:val="28"/>
          <w:szCs w:val="28"/>
          <w:lang w:val="uk-UA"/>
        </w:rPr>
        <w:t xml:space="preserve">, </w:t>
      </w:r>
      <w:r>
        <w:rPr>
          <w:sz w:val="28"/>
          <w:szCs w:val="28"/>
          <w:lang w:val="en-US"/>
        </w:rPr>
        <w:t>type</w:t>
      </w:r>
      <w:r>
        <w:rPr>
          <w:sz w:val="28"/>
          <w:szCs w:val="28"/>
          <w:lang w:val="uk-UA"/>
        </w:rPr>
        <w:t xml:space="preserve"> 2 </w:t>
      </w:r>
      <w:r>
        <w:rPr>
          <w:sz w:val="28"/>
          <w:szCs w:val="28"/>
          <w:lang w:val="en-US"/>
        </w:rPr>
        <w:t>diabetes</w:t>
      </w:r>
      <w:r>
        <w:rPr>
          <w:sz w:val="28"/>
          <w:szCs w:val="28"/>
          <w:lang w:val="uk-UA"/>
        </w:rPr>
        <w:t xml:space="preserve"> </w:t>
      </w:r>
      <w:r>
        <w:rPr>
          <w:sz w:val="28"/>
          <w:szCs w:val="28"/>
          <w:lang w:val="en-US"/>
        </w:rPr>
        <w:t>and</w:t>
      </w:r>
      <w:r>
        <w:rPr>
          <w:sz w:val="28"/>
          <w:szCs w:val="28"/>
          <w:lang w:val="uk-UA"/>
        </w:rPr>
        <w:t xml:space="preserve"> </w:t>
      </w:r>
      <w:r>
        <w:rPr>
          <w:sz w:val="28"/>
          <w:szCs w:val="28"/>
          <w:lang w:val="en-US"/>
        </w:rPr>
        <w:t>subclinical</w:t>
      </w:r>
      <w:r>
        <w:rPr>
          <w:sz w:val="28"/>
          <w:szCs w:val="28"/>
          <w:lang w:val="uk-UA"/>
        </w:rPr>
        <w:t xml:space="preserve"> </w:t>
      </w:r>
      <w:r>
        <w:rPr>
          <w:sz w:val="28"/>
          <w:szCs w:val="28"/>
          <w:lang w:val="en-US"/>
        </w:rPr>
        <w:t>hypothyroidism</w:t>
      </w:r>
      <w:r>
        <w:rPr>
          <w:sz w:val="28"/>
          <w:szCs w:val="28"/>
          <w:lang w:val="uk-UA"/>
        </w:rPr>
        <w:t xml:space="preserve">. </w:t>
      </w:r>
      <w:r>
        <w:rPr>
          <w:i/>
          <w:sz w:val="28"/>
          <w:szCs w:val="28"/>
          <w:lang w:val="uk-UA"/>
        </w:rPr>
        <w:t>87</w:t>
      </w:r>
      <w:r>
        <w:rPr>
          <w:i/>
          <w:sz w:val="28"/>
          <w:szCs w:val="28"/>
          <w:vertAlign w:val="superscript"/>
          <w:lang w:val="en-US"/>
        </w:rPr>
        <w:t>th</w:t>
      </w:r>
      <w:r>
        <w:rPr>
          <w:i/>
          <w:sz w:val="28"/>
          <w:szCs w:val="28"/>
          <w:lang w:val="uk-UA"/>
        </w:rPr>
        <w:t xml:space="preserve"> </w:t>
      </w:r>
      <w:r>
        <w:rPr>
          <w:i/>
          <w:sz w:val="28"/>
          <w:szCs w:val="28"/>
          <w:lang w:val="en-US"/>
        </w:rPr>
        <w:t>European</w:t>
      </w:r>
      <w:r>
        <w:rPr>
          <w:i/>
          <w:sz w:val="28"/>
          <w:szCs w:val="28"/>
          <w:lang w:val="uk-UA"/>
        </w:rPr>
        <w:t xml:space="preserve"> </w:t>
      </w:r>
      <w:r>
        <w:rPr>
          <w:i/>
          <w:sz w:val="28"/>
          <w:szCs w:val="28"/>
          <w:lang w:val="en-US"/>
        </w:rPr>
        <w:t>Atherosclerosis</w:t>
      </w:r>
      <w:r>
        <w:rPr>
          <w:i/>
          <w:sz w:val="28"/>
          <w:szCs w:val="28"/>
          <w:lang w:val="uk-UA"/>
        </w:rPr>
        <w:t xml:space="preserve"> </w:t>
      </w:r>
      <w:r>
        <w:rPr>
          <w:i/>
          <w:sz w:val="28"/>
          <w:szCs w:val="28"/>
          <w:lang w:val="en-US"/>
        </w:rPr>
        <w:t>society</w:t>
      </w:r>
      <w:r>
        <w:rPr>
          <w:i/>
          <w:sz w:val="28"/>
          <w:szCs w:val="28"/>
          <w:lang w:val="uk-UA"/>
        </w:rPr>
        <w:t xml:space="preserve"> </w:t>
      </w:r>
      <w:r>
        <w:rPr>
          <w:i/>
          <w:sz w:val="28"/>
          <w:szCs w:val="28"/>
          <w:lang w:val="en-US"/>
        </w:rPr>
        <w:t>Congress</w:t>
      </w:r>
      <w:r>
        <w:rPr>
          <w:i/>
          <w:sz w:val="28"/>
          <w:szCs w:val="28"/>
          <w:lang w:val="uk-UA"/>
        </w:rPr>
        <w:t xml:space="preserve">, 26-29 </w:t>
      </w:r>
      <w:r>
        <w:rPr>
          <w:i/>
          <w:sz w:val="28"/>
          <w:szCs w:val="28"/>
          <w:lang w:val="en-US"/>
        </w:rPr>
        <w:t>May</w:t>
      </w:r>
      <w:r>
        <w:rPr>
          <w:i/>
          <w:sz w:val="28"/>
          <w:szCs w:val="28"/>
          <w:lang w:val="uk-UA"/>
        </w:rPr>
        <w:t xml:space="preserve"> 2019, </w:t>
      </w:r>
      <w:r>
        <w:rPr>
          <w:i/>
          <w:sz w:val="28"/>
          <w:szCs w:val="28"/>
          <w:lang w:val="en-US"/>
        </w:rPr>
        <w:t>Maastricht</w:t>
      </w:r>
      <w:r>
        <w:rPr>
          <w:i/>
          <w:sz w:val="28"/>
          <w:szCs w:val="28"/>
          <w:lang w:val="uk-UA"/>
        </w:rPr>
        <w:t xml:space="preserve">, </w:t>
      </w:r>
      <w:r>
        <w:rPr>
          <w:i/>
          <w:sz w:val="28"/>
          <w:szCs w:val="28"/>
          <w:shd w:val="clear" w:color="auto" w:fill="FFFFFF"/>
          <w:lang w:val="en-US"/>
        </w:rPr>
        <w:t>Netherlands</w:t>
      </w:r>
      <w:r>
        <w:rPr>
          <w:sz w:val="28"/>
          <w:szCs w:val="28"/>
          <w:shd w:val="clear" w:color="auto" w:fill="FFFFFF"/>
          <w:lang w:val="uk-UA"/>
        </w:rPr>
        <w:t xml:space="preserve">.- </w:t>
      </w:r>
      <w:r>
        <w:rPr>
          <w:sz w:val="28"/>
          <w:szCs w:val="28"/>
          <w:shd w:val="clear" w:color="auto" w:fill="FFFFFF"/>
          <w:lang w:val="en-US"/>
        </w:rPr>
        <w:t>Atherosclerosis</w:t>
      </w:r>
      <w:r>
        <w:rPr>
          <w:sz w:val="28"/>
          <w:szCs w:val="28"/>
          <w:shd w:val="clear" w:color="auto" w:fill="FFFFFF"/>
          <w:lang w:val="uk-UA"/>
        </w:rPr>
        <w:t xml:space="preserve">. – 2019.- </w:t>
      </w:r>
      <w:r>
        <w:rPr>
          <w:sz w:val="28"/>
          <w:szCs w:val="28"/>
          <w:shd w:val="clear" w:color="auto" w:fill="FFFFFF"/>
          <w:lang w:val="en-US"/>
        </w:rPr>
        <w:t>V</w:t>
      </w:r>
      <w:r>
        <w:rPr>
          <w:sz w:val="28"/>
          <w:szCs w:val="28"/>
          <w:shd w:val="clear" w:color="auto" w:fill="FFFFFF"/>
          <w:lang w:val="uk-UA"/>
        </w:rPr>
        <w:t>.287.-</w:t>
      </w:r>
      <w:r>
        <w:rPr>
          <w:sz w:val="28"/>
          <w:szCs w:val="28"/>
          <w:shd w:val="clear" w:color="auto" w:fill="FFFFFF"/>
          <w:lang w:val="en-US"/>
        </w:rPr>
        <w:t>P</w:t>
      </w:r>
      <w:r>
        <w:rPr>
          <w:sz w:val="28"/>
          <w:szCs w:val="28"/>
          <w:shd w:val="clear" w:color="auto" w:fill="FFFFFF"/>
          <w:lang w:val="uk-UA"/>
        </w:rPr>
        <w:t>.</w:t>
      </w:r>
      <w:r>
        <w:rPr>
          <w:sz w:val="28"/>
          <w:szCs w:val="28"/>
          <w:shd w:val="clear" w:color="auto" w:fill="FFFFFF"/>
          <w:lang w:val="en-US"/>
        </w:rPr>
        <w:t>e</w:t>
      </w:r>
      <w:r>
        <w:rPr>
          <w:sz w:val="28"/>
          <w:szCs w:val="28"/>
          <w:shd w:val="clear" w:color="auto" w:fill="FFFFFF"/>
          <w:lang w:val="uk-UA"/>
        </w:rPr>
        <w:t>260.</w:t>
      </w:r>
      <w:r>
        <w:rPr>
          <w:sz w:val="28"/>
          <w:szCs w:val="28"/>
          <w:lang w:val="uk-UA"/>
        </w:rPr>
        <w:t xml:space="preserve"> (</w:t>
      </w:r>
      <w:r>
        <w:rPr>
          <w:i/>
          <w:color w:val="000000"/>
          <w:sz w:val="28"/>
          <w:szCs w:val="28"/>
          <w:lang w:val="uk-UA"/>
        </w:rPr>
        <w:t>Здобувачкою виконано клінічне обстеження пацієнтів, аналіз отриманих даних, оформлення тез до друку</w:t>
      </w:r>
      <w:r>
        <w:rPr>
          <w:color w:val="000000"/>
          <w:sz w:val="28"/>
          <w:szCs w:val="28"/>
          <w:lang w:val="uk-UA"/>
        </w:rPr>
        <w:t>).</w:t>
      </w:r>
    </w:p>
    <w:p w:rsidR="00E3259F" w:rsidRDefault="00E3259F" w:rsidP="00E3259F">
      <w:pPr>
        <w:pStyle w:val="a4"/>
        <w:numPr>
          <w:ilvl w:val="0"/>
          <w:numId w:val="4"/>
        </w:numPr>
        <w:tabs>
          <w:tab w:val="left" w:pos="0"/>
          <w:tab w:val="left" w:pos="1134"/>
          <w:tab w:val="left" w:pos="8931"/>
        </w:tabs>
        <w:spacing w:line="360" w:lineRule="auto"/>
        <w:ind w:left="0" w:firstLine="709"/>
        <w:jc w:val="both"/>
        <w:rPr>
          <w:sz w:val="28"/>
          <w:szCs w:val="28"/>
          <w:lang w:val="uk-UA"/>
        </w:rPr>
      </w:pPr>
      <w:r>
        <w:rPr>
          <w:sz w:val="28"/>
          <w:szCs w:val="28"/>
          <w:lang w:val="uk-UA"/>
        </w:rPr>
        <w:t xml:space="preserve">Немцова В. Д., Сємятічко Г.Е. Вплив замісної терапії на маркери судинного старіння у пацієнтів з коморбідною патологією. </w:t>
      </w:r>
      <w:r>
        <w:rPr>
          <w:i/>
          <w:sz w:val="28"/>
          <w:szCs w:val="28"/>
          <w:lang w:val="uk-UA"/>
        </w:rPr>
        <w:t xml:space="preserve">Матеріали </w:t>
      </w:r>
      <w:r>
        <w:rPr>
          <w:i/>
          <w:sz w:val="28"/>
          <w:szCs w:val="28"/>
        </w:rPr>
        <w:t>I</w:t>
      </w:r>
      <w:r>
        <w:rPr>
          <w:i/>
          <w:sz w:val="28"/>
          <w:szCs w:val="28"/>
          <w:lang w:val="uk-UA"/>
        </w:rPr>
        <w:t>І Міжнародної науково-практичної конференції «Інформаційні системи та технології в медицині» (</w:t>
      </w:r>
      <w:r>
        <w:rPr>
          <w:i/>
          <w:sz w:val="28"/>
          <w:szCs w:val="28"/>
        </w:rPr>
        <w:t>I</w:t>
      </w:r>
      <w:r>
        <w:rPr>
          <w:i/>
          <w:sz w:val="28"/>
          <w:szCs w:val="28"/>
          <w:lang w:val="uk-UA"/>
        </w:rPr>
        <w:t>С</w:t>
      </w:r>
      <w:r>
        <w:rPr>
          <w:i/>
          <w:sz w:val="28"/>
          <w:szCs w:val="28"/>
        </w:rPr>
        <w:t>M</w:t>
      </w:r>
      <w:r>
        <w:rPr>
          <w:i/>
          <w:sz w:val="28"/>
          <w:szCs w:val="28"/>
          <w:lang w:val="uk-UA"/>
        </w:rPr>
        <w:t>–2019) (м.Харків, 28–29 листопада 2019 р</w:t>
      </w:r>
      <w:r>
        <w:rPr>
          <w:sz w:val="28"/>
          <w:szCs w:val="28"/>
          <w:lang w:val="uk-UA"/>
        </w:rPr>
        <w:t>.). м.Харків, 2019.С.145-146. (</w:t>
      </w:r>
      <w:r>
        <w:rPr>
          <w:i/>
          <w:color w:val="000000"/>
          <w:sz w:val="28"/>
          <w:szCs w:val="28"/>
          <w:lang w:val="uk-UA"/>
        </w:rPr>
        <w:t>Здобувачкою виконано клінічне обстеження пацієнтів, статистична обробка та аналіз отриманих даних,  підготовлено матеріали  тез</w:t>
      </w:r>
      <w:r>
        <w:rPr>
          <w:color w:val="000000"/>
          <w:sz w:val="28"/>
          <w:szCs w:val="28"/>
          <w:lang w:val="uk-UA"/>
        </w:rPr>
        <w:t>).</w:t>
      </w:r>
    </w:p>
    <w:p w:rsidR="00E3259F" w:rsidRDefault="00E3259F" w:rsidP="00E3259F">
      <w:pPr>
        <w:pStyle w:val="atextRef"/>
        <w:numPr>
          <w:ilvl w:val="0"/>
          <w:numId w:val="4"/>
        </w:numPr>
        <w:spacing w:line="360" w:lineRule="auto"/>
        <w:ind w:left="0" w:firstLine="709"/>
        <w:rPr>
          <w:rFonts w:cs="Times New Roman"/>
        </w:rPr>
      </w:pPr>
      <w:r>
        <w:rPr>
          <w:rFonts w:cs="Times New Roman"/>
        </w:rPr>
        <w:t xml:space="preserve">О.М. Біловол, Немцова В.Д., Златкіна В.В., Ільченко І.А. Зміни метаболічних показників під впливом комбінованої терапії у хворих на гіпертонічну хворобу поєднану з цукровим діабетом 2 типу та субклінічним гіпотиреозом. </w:t>
      </w:r>
      <w:r>
        <w:rPr>
          <w:rFonts w:cs="Times New Roman"/>
          <w:i/>
        </w:rPr>
        <w:t>Матеріали ІХ з’їзду ендокринологів України, що присвячений 100-річному ювілею ДУ «Інститут проблем ендокринної патології ім.. В.Я. Данилевського НАМН України» (</w:t>
      </w:r>
      <w:r>
        <w:rPr>
          <w:rFonts w:cs="Times New Roman"/>
        </w:rPr>
        <w:t>м.Харків</w:t>
      </w:r>
      <w:r>
        <w:rPr>
          <w:rFonts w:cs="Times New Roman"/>
          <w:i/>
        </w:rPr>
        <w:t>,</w:t>
      </w:r>
      <w:r>
        <w:rPr>
          <w:rFonts w:cs="Times New Roman"/>
        </w:rPr>
        <w:t xml:space="preserve">19-22 листопада 2019) Харків, 2019.С.136-138. </w:t>
      </w:r>
      <w:r>
        <w:rPr>
          <w:rFonts w:eastAsia="Calibri" w:cs="Times New Roman"/>
          <w:bCs/>
          <w:i/>
        </w:rPr>
        <w:t>(Здобувачка здійснила відбір тематичних хворих, провела клінічне дослідження, підготовку тез до друку).</w:t>
      </w:r>
    </w:p>
    <w:p w:rsidR="00E3259F" w:rsidRDefault="00E3259F" w:rsidP="00E3259F">
      <w:pPr>
        <w:pStyle w:val="atextRef"/>
        <w:numPr>
          <w:ilvl w:val="0"/>
          <w:numId w:val="4"/>
        </w:numPr>
        <w:tabs>
          <w:tab w:val="left" w:pos="1134"/>
          <w:tab w:val="left" w:pos="8931"/>
        </w:tabs>
        <w:spacing w:line="360" w:lineRule="auto"/>
        <w:ind w:left="0" w:firstLine="709"/>
        <w:rPr>
          <w:rFonts w:cs="Times New Roman"/>
        </w:rPr>
      </w:pPr>
      <w:r>
        <w:rPr>
          <w:rFonts w:eastAsia="Calibri" w:cs="Times New Roman"/>
          <w:bCs/>
          <w:i/>
        </w:rPr>
        <w:t xml:space="preserve"> </w:t>
      </w:r>
      <w:r>
        <w:rPr>
          <w:rFonts w:cs="Times New Roman"/>
        </w:rPr>
        <w:t>Nemtsova V., Bilovol O., Zlatkina V. Dependence of cardiovascular risk factors on vascular endothelium damage in patients with comorbidity of arterial hypertension and subclinical hypothyroidism/.// Матеріали ХХ Національного конгресу кардіологів України, 25-27 вересня 2019.-Киів-С.</w:t>
      </w:r>
      <w:r>
        <w:rPr>
          <w:rFonts w:eastAsia="Calibri" w:cs="Times New Roman"/>
          <w:i/>
          <w:spacing w:val="-4"/>
        </w:rPr>
        <w:t xml:space="preserve"> (Здобувачкою </w:t>
      </w:r>
      <w:r>
        <w:rPr>
          <w:rFonts w:eastAsia="Calibri" w:cs="Times New Roman"/>
          <w:i/>
        </w:rPr>
        <w:t>проведено клінічне обстеження, статистичну обробку даних, аналіз отриманих даних).</w:t>
      </w:r>
    </w:p>
    <w:p w:rsidR="00E3259F" w:rsidRDefault="00E3259F" w:rsidP="00E3259F">
      <w:pPr>
        <w:pStyle w:val="atextRef"/>
        <w:numPr>
          <w:ilvl w:val="0"/>
          <w:numId w:val="4"/>
        </w:numPr>
        <w:tabs>
          <w:tab w:val="left" w:pos="1134"/>
          <w:tab w:val="left" w:pos="8931"/>
        </w:tabs>
        <w:spacing w:line="360" w:lineRule="auto"/>
        <w:ind w:left="0" w:firstLine="709"/>
        <w:rPr>
          <w:rFonts w:cs="Times New Roman"/>
        </w:rPr>
      </w:pPr>
      <w:r>
        <w:rPr>
          <w:rFonts w:cs="Times New Roman"/>
        </w:rPr>
        <w:t xml:space="preserve">Біловол О.М., Немцова В.Д.,  Ільченко І.А. Окислювальний стрес і старіння. Роль гіпофункції щитовидної залози в ґенезі вік-асоційованих захворювань. The third International scientific congress of scientists of Europe and Asia (Vienna, Austria, 19-20 April 2018) Vienna, Austria. </w:t>
      </w:r>
      <w:r>
        <w:rPr>
          <w:rFonts w:cs="Times New Roman"/>
          <w:lang w:val="ru-RU"/>
        </w:rPr>
        <w:t xml:space="preserve">2018. </w:t>
      </w:r>
      <w:r>
        <w:rPr>
          <w:rFonts w:cs="Times New Roman"/>
        </w:rPr>
        <w:t>C</w:t>
      </w:r>
      <w:r>
        <w:rPr>
          <w:rFonts w:cs="Times New Roman"/>
          <w:lang w:val="ru-RU"/>
        </w:rPr>
        <w:t>.117-132.</w:t>
      </w:r>
      <w:r>
        <w:rPr>
          <w:rFonts w:cs="Times New Roman"/>
          <w:i/>
          <w:iCs/>
        </w:rPr>
        <w:t xml:space="preserve"> (Здобувачкою сформовано групи, проведено клінічне обстеження пацієнтів, аналіз отриманих даних лабораторного дослідження, статистичну обробку даних).</w:t>
      </w:r>
    </w:p>
    <w:p w:rsidR="00E3259F" w:rsidRDefault="00E3259F" w:rsidP="00E3259F">
      <w:pPr>
        <w:pStyle w:val="atextRef"/>
        <w:numPr>
          <w:ilvl w:val="0"/>
          <w:numId w:val="4"/>
        </w:numPr>
        <w:tabs>
          <w:tab w:val="left" w:pos="1134"/>
          <w:tab w:val="left" w:pos="8931"/>
        </w:tabs>
        <w:spacing w:line="360" w:lineRule="auto"/>
        <w:ind w:left="0" w:firstLine="709"/>
        <w:rPr>
          <w:rFonts w:cs="Times New Roman"/>
        </w:rPr>
      </w:pPr>
      <w:r>
        <w:rPr>
          <w:rFonts w:cs="Times New Roman"/>
        </w:rPr>
        <w:t>Біловол О.М., Немцова В.Д., Ільченко І.А. Значення фактора росту ендотелію судин як маркеру ендотеліальної дисфункції у хворих з поєднаним перебігом артеріальної гіпертензії, цукрового діабету та субклінічного гіпотиреозу.</w:t>
      </w:r>
      <w:r>
        <w:rPr>
          <w:rFonts w:cs="Times New Roman"/>
          <w:i/>
        </w:rPr>
        <w:t>Матеріали науково-практичної конференції з міжнародною участю «Досягнення та перспективи експериментальної і клінічної ендокринології» (Сімнадцяті Данилевскі читання)</w:t>
      </w:r>
      <w:r>
        <w:rPr>
          <w:rFonts w:cs="Times New Roman"/>
        </w:rPr>
        <w:t>, (м.Харків,1-2 березня 2018)</w:t>
      </w:r>
      <w:r w:rsidR="00663D7B" w:rsidRPr="00663D7B">
        <w:rPr>
          <w:rFonts w:cs="Times New Roman"/>
        </w:rPr>
        <w:t xml:space="preserve"> </w:t>
      </w:r>
      <w:r>
        <w:rPr>
          <w:rFonts w:cs="Times New Roman"/>
        </w:rPr>
        <w:t>Харків, 2018. С.32-33.</w:t>
      </w:r>
      <w:r>
        <w:rPr>
          <w:i/>
          <w:iCs/>
        </w:rPr>
        <w:t xml:space="preserve"> </w:t>
      </w:r>
      <w:r>
        <w:rPr>
          <w:rFonts w:cs="Times New Roman"/>
          <w:i/>
          <w:iCs/>
        </w:rPr>
        <w:t>(Здобувачкою  проведено клінічне обстеження пацієнтів, аналіз отриманих даних, підготовку тез до друку).</w:t>
      </w:r>
    </w:p>
    <w:p w:rsidR="00E3259F" w:rsidRDefault="00E3259F" w:rsidP="00E3259F">
      <w:pPr>
        <w:pStyle w:val="a4"/>
        <w:numPr>
          <w:ilvl w:val="0"/>
          <w:numId w:val="4"/>
        </w:numPr>
        <w:tabs>
          <w:tab w:val="left" w:pos="1134"/>
          <w:tab w:val="left" w:pos="8931"/>
        </w:tabs>
        <w:spacing w:line="360" w:lineRule="auto"/>
        <w:ind w:left="0" w:firstLine="709"/>
        <w:jc w:val="both"/>
        <w:rPr>
          <w:sz w:val="28"/>
          <w:szCs w:val="28"/>
          <w:lang w:val="uk-UA"/>
        </w:rPr>
      </w:pPr>
      <w:r>
        <w:rPr>
          <w:sz w:val="28"/>
          <w:szCs w:val="28"/>
          <w:lang w:val="uk-UA"/>
        </w:rPr>
        <w:t xml:space="preserve">Беловол А.Н., Немцова В.Д., Ильченко И.А. Влияние функционального состояния щитовидной железы на эндотелиальную дисфункцию у больных с артериальной гипертензией и эндокринопатиями. </w:t>
      </w:r>
      <w:r>
        <w:rPr>
          <w:i/>
          <w:sz w:val="28"/>
          <w:szCs w:val="28"/>
          <w:lang w:val="uk-UA"/>
        </w:rPr>
        <w:t xml:space="preserve">Матеріали </w:t>
      </w:r>
      <w:r>
        <w:rPr>
          <w:i/>
          <w:sz w:val="28"/>
          <w:szCs w:val="28"/>
        </w:rPr>
        <w:t xml:space="preserve">10 –й юбилейной Международной конференции «Дисфункция эндотелия» Экспериментальные и клинические исследования </w:t>
      </w:r>
      <w:r>
        <w:rPr>
          <w:sz w:val="28"/>
          <w:szCs w:val="28"/>
        </w:rPr>
        <w:t>(</w:t>
      </w:r>
      <w:r>
        <w:rPr>
          <w:sz w:val="28"/>
          <w:szCs w:val="28"/>
          <w:lang w:val="uk-UA"/>
        </w:rPr>
        <w:t>м.</w:t>
      </w:r>
      <w:r>
        <w:rPr>
          <w:sz w:val="28"/>
          <w:szCs w:val="28"/>
        </w:rPr>
        <w:t>Витебск, 1 июня 2018) Витебск (Белорусь), 2018. С.146-151.</w:t>
      </w:r>
      <w:r>
        <w:rPr>
          <w:i/>
          <w:iCs/>
          <w:sz w:val="28"/>
          <w:szCs w:val="28"/>
          <w:lang w:val="uk-UA"/>
        </w:rPr>
        <w:t xml:space="preserve"> (Здобувачкою сформовано групи, проведено клінічне обстеження хворих, статистичну обробку даних, підготовлено тези до друку).</w:t>
      </w:r>
    </w:p>
    <w:p w:rsidR="00E3259F" w:rsidRDefault="00E3259F" w:rsidP="00E3259F">
      <w:pPr>
        <w:pStyle w:val="atextRef"/>
        <w:numPr>
          <w:ilvl w:val="0"/>
          <w:numId w:val="4"/>
        </w:numPr>
        <w:tabs>
          <w:tab w:val="left" w:pos="1134"/>
          <w:tab w:val="left" w:pos="8931"/>
        </w:tabs>
        <w:spacing w:line="360" w:lineRule="auto"/>
        <w:ind w:left="0" w:firstLine="709"/>
        <w:rPr>
          <w:rFonts w:cs="Times New Roman"/>
        </w:rPr>
      </w:pPr>
      <w:r>
        <w:rPr>
          <w:rFonts w:cs="Times New Roman"/>
          <w:bCs/>
          <w:color w:val="000000"/>
          <w:shd w:val="clear" w:color="auto" w:fill="FFFFFF"/>
        </w:rPr>
        <w:t>Біловол О.М., Немцова В.Д., Златкіна В.В., Ільченко І.А. «Вплив середньо-терапевтичних доз статинів на показники окислювального стресу у пацієнтів з артеріальною гіпертензією та цукровим діабетом 2 типу»,  Матеріали</w:t>
      </w:r>
      <w:r>
        <w:rPr>
          <w:rFonts w:cs="Times New Roman"/>
          <w:b/>
          <w:bCs/>
          <w:color w:val="000000"/>
          <w:shd w:val="clear" w:color="auto" w:fill="FFFFFF"/>
        </w:rPr>
        <w:t xml:space="preserve">  </w:t>
      </w:r>
      <w:r>
        <w:rPr>
          <w:rFonts w:cs="Times New Roman"/>
          <w:color w:val="000000"/>
          <w:shd w:val="clear" w:color="auto" w:fill="FFFFFF"/>
        </w:rPr>
        <w:t>ХІХ Національного Конгресу кардіологів України</w:t>
      </w:r>
      <w:r>
        <w:rPr>
          <w:rFonts w:cs="Times New Roman"/>
          <w:b/>
          <w:bCs/>
          <w:color w:val="000000"/>
          <w:shd w:val="clear" w:color="auto" w:fill="FFFFFF"/>
        </w:rPr>
        <w:t> (</w:t>
      </w:r>
      <w:r>
        <w:rPr>
          <w:rFonts w:cs="Times New Roman"/>
          <w:color w:val="000000"/>
          <w:shd w:val="clear" w:color="auto" w:fill="FFFFFF"/>
        </w:rPr>
        <w:t xml:space="preserve">26-28 вересня  2018, Київ, Україна). </w:t>
      </w:r>
      <w:r>
        <w:rPr>
          <w:rFonts w:cs="Times New Roman"/>
          <w:i/>
          <w:iCs/>
        </w:rPr>
        <w:t>(Здобувачкою сформовано групи, проведено клінічне обстеження пацієнтів, аналіз отриманих результатів та статистичну обробку даних).</w:t>
      </w:r>
    </w:p>
    <w:p w:rsidR="00E3259F" w:rsidRDefault="00E3259F" w:rsidP="00E3259F">
      <w:pPr>
        <w:pStyle w:val="a4"/>
        <w:numPr>
          <w:ilvl w:val="0"/>
          <w:numId w:val="4"/>
        </w:numPr>
        <w:tabs>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en-US"/>
        </w:rPr>
        <w:t>Bilovol</w:t>
      </w:r>
      <w:r>
        <w:rPr>
          <w:color w:val="000000"/>
          <w:sz w:val="28"/>
          <w:szCs w:val="28"/>
          <w:shd w:val="clear" w:color="auto" w:fill="FFFFFF"/>
          <w:lang w:val="uk-UA"/>
        </w:rPr>
        <w:t xml:space="preserve"> </w:t>
      </w:r>
      <w:r>
        <w:rPr>
          <w:color w:val="000000"/>
          <w:sz w:val="28"/>
          <w:szCs w:val="28"/>
          <w:shd w:val="clear" w:color="auto" w:fill="FFFFFF"/>
          <w:lang w:val="en-US"/>
        </w:rPr>
        <w:t>O</w:t>
      </w:r>
      <w:r>
        <w:rPr>
          <w:color w:val="000000"/>
          <w:sz w:val="28"/>
          <w:szCs w:val="28"/>
          <w:shd w:val="clear" w:color="auto" w:fill="FFFFFF"/>
          <w:lang w:val="uk-UA"/>
        </w:rPr>
        <w:t>.</w:t>
      </w:r>
      <w:r>
        <w:rPr>
          <w:color w:val="000000"/>
          <w:sz w:val="28"/>
          <w:szCs w:val="28"/>
          <w:shd w:val="clear" w:color="auto" w:fill="FFFFFF"/>
          <w:lang w:val="en-US"/>
        </w:rPr>
        <w:t xml:space="preserve"> M., Nemtsova</w:t>
      </w:r>
      <w:r>
        <w:rPr>
          <w:color w:val="000000"/>
          <w:sz w:val="28"/>
          <w:szCs w:val="28"/>
          <w:shd w:val="clear" w:color="auto" w:fill="FFFFFF"/>
          <w:lang w:val="uk-UA"/>
        </w:rPr>
        <w:t xml:space="preserve"> </w:t>
      </w:r>
      <w:r>
        <w:rPr>
          <w:color w:val="000000"/>
          <w:sz w:val="28"/>
          <w:szCs w:val="28"/>
          <w:shd w:val="clear" w:color="auto" w:fill="FFFFFF"/>
          <w:lang w:val="en-US"/>
        </w:rPr>
        <w:t>V</w:t>
      </w:r>
      <w:r>
        <w:rPr>
          <w:color w:val="000000"/>
          <w:sz w:val="28"/>
          <w:szCs w:val="28"/>
          <w:shd w:val="clear" w:color="auto" w:fill="FFFFFF"/>
          <w:lang w:val="uk-UA"/>
        </w:rPr>
        <w:t>.</w:t>
      </w:r>
      <w:r>
        <w:rPr>
          <w:color w:val="000000"/>
          <w:sz w:val="28"/>
          <w:szCs w:val="28"/>
          <w:shd w:val="clear" w:color="auto" w:fill="FFFFFF"/>
          <w:lang w:val="en-US"/>
        </w:rPr>
        <w:t>D,</w:t>
      </w:r>
      <w:r>
        <w:rPr>
          <w:color w:val="000000"/>
          <w:sz w:val="28"/>
          <w:szCs w:val="28"/>
          <w:shd w:val="clear" w:color="auto" w:fill="FFFFFF"/>
          <w:lang w:val="uk-UA"/>
        </w:rPr>
        <w:t xml:space="preserve"> </w:t>
      </w:r>
      <w:r>
        <w:rPr>
          <w:color w:val="000000"/>
          <w:sz w:val="28"/>
          <w:szCs w:val="28"/>
          <w:shd w:val="clear" w:color="auto" w:fill="FFFFFF"/>
          <w:lang w:val="en-US"/>
        </w:rPr>
        <w:t>Ilchenko I.A.Vascular endothelial growth factor as a marker of endothelial dysfunction in patients with arterial hypertension</w:t>
      </w:r>
      <w:r>
        <w:rPr>
          <w:color w:val="000000"/>
          <w:sz w:val="28"/>
          <w:szCs w:val="28"/>
          <w:shd w:val="clear" w:color="auto" w:fill="FFFFFF"/>
          <w:lang w:val="uk-UA"/>
        </w:rPr>
        <w:t xml:space="preserve">, </w:t>
      </w:r>
      <w:r>
        <w:rPr>
          <w:color w:val="000000"/>
          <w:sz w:val="28"/>
          <w:szCs w:val="28"/>
          <w:shd w:val="clear" w:color="auto" w:fill="FFFFFF"/>
          <w:lang w:val="en-US"/>
        </w:rPr>
        <w:t xml:space="preserve">type 2 diabetes and subclinical hypothyroidism comorbidity. </w:t>
      </w:r>
      <w:r>
        <w:rPr>
          <w:i/>
          <w:color w:val="000000"/>
          <w:sz w:val="28"/>
          <w:szCs w:val="28"/>
          <w:shd w:val="clear" w:color="auto" w:fill="FFFFFF"/>
          <w:lang w:val="en-US"/>
        </w:rPr>
        <w:t>International research and practice conference “Relevant issues of modern medicine: the experience of Poland and Ukraine”</w:t>
      </w:r>
      <w:r>
        <w:rPr>
          <w:color w:val="000000"/>
          <w:sz w:val="28"/>
          <w:szCs w:val="28"/>
          <w:shd w:val="clear" w:color="auto" w:fill="FFFFFF"/>
          <w:lang w:val="uk-UA"/>
        </w:rPr>
        <w:t>(</w:t>
      </w:r>
      <w:r>
        <w:rPr>
          <w:color w:val="000000"/>
          <w:sz w:val="28"/>
          <w:szCs w:val="28"/>
          <w:shd w:val="clear" w:color="auto" w:fill="FFFFFF"/>
          <w:lang w:val="en-US"/>
        </w:rPr>
        <w:t>Lublin</w:t>
      </w:r>
      <w:r>
        <w:rPr>
          <w:color w:val="000000"/>
          <w:sz w:val="28"/>
          <w:szCs w:val="28"/>
          <w:shd w:val="clear" w:color="auto" w:fill="FFFFFF"/>
          <w:lang w:val="uk-UA"/>
        </w:rPr>
        <w:t xml:space="preserve">, </w:t>
      </w:r>
      <w:r>
        <w:rPr>
          <w:color w:val="000000"/>
          <w:sz w:val="28"/>
          <w:szCs w:val="28"/>
          <w:shd w:val="clear" w:color="auto" w:fill="FFFFFF"/>
          <w:lang w:val="en-US"/>
        </w:rPr>
        <w:t>20-21 October 2017</w:t>
      </w:r>
      <w:r>
        <w:rPr>
          <w:color w:val="000000"/>
          <w:sz w:val="28"/>
          <w:szCs w:val="28"/>
          <w:shd w:val="clear" w:color="auto" w:fill="FFFFFF"/>
          <w:lang w:val="uk-UA"/>
        </w:rPr>
        <w:t>)</w:t>
      </w:r>
      <w:r>
        <w:rPr>
          <w:color w:val="000000"/>
          <w:sz w:val="28"/>
          <w:szCs w:val="28"/>
          <w:shd w:val="clear" w:color="auto" w:fill="FFFFFF"/>
          <w:lang w:val="en-US"/>
        </w:rPr>
        <w:t xml:space="preserve"> Lublin, Republic of Poland</w:t>
      </w:r>
      <w:r>
        <w:rPr>
          <w:color w:val="000000"/>
          <w:sz w:val="28"/>
          <w:szCs w:val="28"/>
          <w:shd w:val="clear" w:color="auto" w:fill="FFFFFF"/>
          <w:lang w:val="uk-UA"/>
        </w:rPr>
        <w:t>,</w:t>
      </w:r>
      <w:r>
        <w:rPr>
          <w:color w:val="000000"/>
          <w:sz w:val="28"/>
          <w:szCs w:val="28"/>
          <w:shd w:val="clear" w:color="auto" w:fill="FFFFFF"/>
          <w:lang w:val="en-US"/>
        </w:rPr>
        <w:t xml:space="preserve"> 2017</w:t>
      </w:r>
      <w:r>
        <w:rPr>
          <w:color w:val="000000"/>
          <w:sz w:val="28"/>
          <w:szCs w:val="28"/>
          <w:shd w:val="clear" w:color="auto" w:fill="FFFFFF"/>
          <w:lang w:val="uk-UA"/>
        </w:rPr>
        <w:t xml:space="preserve">. </w:t>
      </w:r>
      <w:r>
        <w:rPr>
          <w:color w:val="000000"/>
          <w:sz w:val="28"/>
          <w:szCs w:val="28"/>
          <w:shd w:val="clear" w:color="auto" w:fill="FFFFFF"/>
        </w:rPr>
        <w:t>P.14-18.</w:t>
      </w:r>
      <w:r>
        <w:rPr>
          <w:color w:val="000000"/>
          <w:sz w:val="28"/>
          <w:szCs w:val="28"/>
          <w:shd w:val="clear" w:color="auto" w:fill="FFFFFF"/>
          <w:lang w:val="uk-UA"/>
        </w:rPr>
        <w:t xml:space="preserve"> </w:t>
      </w:r>
      <w:r>
        <w:rPr>
          <w:i/>
          <w:iCs/>
          <w:color w:val="000000"/>
          <w:sz w:val="28"/>
          <w:szCs w:val="28"/>
          <w:shd w:val="clear" w:color="auto" w:fill="FFFFFF"/>
          <w:lang w:val="uk-UA"/>
        </w:rPr>
        <w:t>(Здобувачкою сформовано групи, проведено клінічне обстеження хворих, статистичну обробку даних, підготовлено тези до друку).</w:t>
      </w:r>
    </w:p>
    <w:p w:rsidR="00E3259F" w:rsidRDefault="00E3259F" w:rsidP="00E3259F">
      <w:pPr>
        <w:pStyle w:val="a4"/>
        <w:numPr>
          <w:ilvl w:val="0"/>
          <w:numId w:val="4"/>
        </w:numPr>
        <w:tabs>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en-US"/>
        </w:rPr>
        <w:t>Nemtsova V.D., Bilovol O.M., Ilchenko I.A.</w:t>
      </w:r>
      <w:r>
        <w:rPr>
          <w:color w:val="000000"/>
          <w:sz w:val="28"/>
          <w:szCs w:val="28"/>
          <w:shd w:val="clear" w:color="auto" w:fill="FFFFFF"/>
          <w:lang w:val="uk-UA"/>
        </w:rPr>
        <w:t xml:space="preserve"> </w:t>
      </w:r>
      <w:r>
        <w:rPr>
          <w:color w:val="000000"/>
          <w:sz w:val="28"/>
          <w:szCs w:val="28"/>
          <w:shd w:val="clear" w:color="auto" w:fill="FFFFFF"/>
          <w:lang w:val="en-US"/>
        </w:rPr>
        <w:t>Features of changes of antioxidant protection in patients with arterial hypertension and type 2 diabetes mellitus on the background of statins in medium doses</w:t>
      </w:r>
      <w:r>
        <w:rPr>
          <w:color w:val="000000"/>
          <w:sz w:val="28"/>
          <w:szCs w:val="28"/>
          <w:shd w:val="clear" w:color="auto" w:fill="FFFFFF"/>
          <w:lang w:val="uk-UA"/>
        </w:rPr>
        <w:t xml:space="preserve">. </w:t>
      </w:r>
      <w:r>
        <w:rPr>
          <w:i/>
          <w:color w:val="000000"/>
          <w:sz w:val="28"/>
          <w:szCs w:val="28"/>
          <w:shd w:val="clear" w:color="auto" w:fill="FFFFFF"/>
          <w:lang w:val="en-US"/>
        </w:rPr>
        <w:t>Science and society. Proceedings of the 5th International conference. Accent Graphics Communications &amp; Publishing</w:t>
      </w:r>
      <w:r>
        <w:rPr>
          <w:i/>
          <w:color w:val="000000"/>
          <w:sz w:val="28"/>
          <w:szCs w:val="28"/>
          <w:shd w:val="clear" w:color="auto" w:fill="FFFFFF"/>
          <w:lang w:val="uk-UA"/>
        </w:rPr>
        <w:t>.</w:t>
      </w:r>
      <w:r>
        <w:rPr>
          <w:color w:val="000000"/>
          <w:sz w:val="28"/>
          <w:szCs w:val="28"/>
          <w:shd w:val="clear" w:color="auto" w:fill="FFFFFF"/>
          <w:lang w:val="uk-UA"/>
        </w:rPr>
        <w:t xml:space="preserve"> (</w:t>
      </w:r>
      <w:r>
        <w:rPr>
          <w:color w:val="000000"/>
          <w:sz w:val="28"/>
          <w:szCs w:val="28"/>
          <w:shd w:val="clear" w:color="auto" w:fill="FFFFFF"/>
        </w:rPr>
        <w:t>Hamilton</w:t>
      </w:r>
      <w:r>
        <w:rPr>
          <w:color w:val="000000"/>
          <w:sz w:val="28"/>
          <w:szCs w:val="28"/>
          <w:shd w:val="clear" w:color="auto" w:fill="FFFFFF"/>
          <w:lang w:val="uk-UA"/>
        </w:rPr>
        <w:t xml:space="preserve">, 15 </w:t>
      </w:r>
      <w:r>
        <w:rPr>
          <w:color w:val="000000"/>
          <w:sz w:val="28"/>
          <w:szCs w:val="28"/>
          <w:shd w:val="clear" w:color="auto" w:fill="FFFFFF"/>
        </w:rPr>
        <w:t>June</w:t>
      </w:r>
      <w:r>
        <w:rPr>
          <w:color w:val="000000"/>
          <w:sz w:val="28"/>
          <w:szCs w:val="28"/>
          <w:shd w:val="clear" w:color="auto" w:fill="FFFFFF"/>
          <w:lang w:val="uk-UA"/>
        </w:rPr>
        <w:t xml:space="preserve"> 2018) </w:t>
      </w:r>
      <w:r>
        <w:rPr>
          <w:color w:val="000000"/>
          <w:sz w:val="28"/>
          <w:szCs w:val="28"/>
          <w:shd w:val="clear" w:color="auto" w:fill="FFFFFF"/>
        </w:rPr>
        <w:t>Hamilton</w:t>
      </w:r>
      <w:r>
        <w:rPr>
          <w:color w:val="000000"/>
          <w:sz w:val="28"/>
          <w:szCs w:val="28"/>
          <w:shd w:val="clear" w:color="auto" w:fill="FFFFFF"/>
          <w:lang w:val="uk-UA"/>
        </w:rPr>
        <w:t xml:space="preserve">, </w:t>
      </w:r>
      <w:r>
        <w:rPr>
          <w:color w:val="000000"/>
          <w:sz w:val="28"/>
          <w:szCs w:val="28"/>
          <w:shd w:val="clear" w:color="auto" w:fill="FFFFFF"/>
        </w:rPr>
        <w:t>Canada</w:t>
      </w:r>
      <w:r>
        <w:rPr>
          <w:color w:val="000000"/>
          <w:sz w:val="28"/>
          <w:szCs w:val="28"/>
          <w:shd w:val="clear" w:color="auto" w:fill="FFFFFF"/>
          <w:lang w:val="uk-UA"/>
        </w:rPr>
        <w:t xml:space="preserve">, 2018. </w:t>
      </w:r>
      <w:r>
        <w:rPr>
          <w:color w:val="000000"/>
          <w:sz w:val="28"/>
          <w:szCs w:val="28"/>
          <w:shd w:val="clear" w:color="auto" w:fill="FFFFFF"/>
        </w:rPr>
        <w:t>P</w:t>
      </w:r>
      <w:r>
        <w:rPr>
          <w:color w:val="000000"/>
          <w:sz w:val="28"/>
          <w:szCs w:val="28"/>
          <w:shd w:val="clear" w:color="auto" w:fill="FFFFFF"/>
          <w:lang w:val="uk-UA"/>
        </w:rPr>
        <w:t>. 879– 892.</w:t>
      </w:r>
      <w:r>
        <w:rPr>
          <w:i/>
          <w:color w:val="000000"/>
          <w:sz w:val="28"/>
          <w:szCs w:val="28"/>
          <w:shd w:val="clear" w:color="auto" w:fill="FFFFFF"/>
          <w:lang w:val="uk-UA"/>
        </w:rPr>
        <w:t xml:space="preserve"> (Здобувачкою проведено відбір хворих, статистичне опрацювання та аналіз отриманих результатів, підготовлено тези   до друку).</w:t>
      </w:r>
    </w:p>
    <w:p w:rsidR="00E3259F" w:rsidRDefault="00E3259F" w:rsidP="00E3259F">
      <w:pPr>
        <w:pStyle w:val="a4"/>
        <w:numPr>
          <w:ilvl w:val="0"/>
          <w:numId w:val="4"/>
        </w:numPr>
        <w:tabs>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uk-UA"/>
        </w:rPr>
        <w:t xml:space="preserve">Немцова В.Д., Ільченко І.А., Євтушенко О.М. Вік-асоційовані особливості оксидативного стресу при різному перебігу артеріальної гіпертензії та цукрового діабету 2 типу. </w:t>
      </w:r>
      <w:r>
        <w:rPr>
          <w:i/>
          <w:color w:val="000000"/>
          <w:sz w:val="28"/>
          <w:szCs w:val="28"/>
          <w:shd w:val="clear" w:color="auto" w:fill="FFFFFF"/>
          <w:lang w:val="uk-UA"/>
        </w:rPr>
        <w:t>Збірник тез матеріалів науково-практичної конференції з міжнародною участю: «Актуальні питання геронтології і геріатрії», присвяченої 95-річчю з дня народження видатного вченого Академіка В. В. Фролькіса</w:t>
      </w:r>
      <w:r>
        <w:rPr>
          <w:color w:val="000000"/>
          <w:sz w:val="28"/>
          <w:szCs w:val="28"/>
          <w:shd w:val="clear" w:color="auto" w:fill="FFFFFF"/>
          <w:lang w:val="uk-UA"/>
        </w:rPr>
        <w:t xml:space="preserve"> , (м. Київ ,28 січня 2019) Київ, 2019.С.36-37.</w:t>
      </w:r>
      <w:r>
        <w:rPr>
          <w:i/>
          <w:color w:val="000000"/>
          <w:sz w:val="28"/>
          <w:szCs w:val="28"/>
          <w:shd w:val="clear" w:color="auto" w:fill="FFFFFF"/>
          <w:lang w:val="uk-UA"/>
        </w:rPr>
        <w:t xml:space="preserve"> (Здобувачкою розроблено концепцію та дизайн дослідження, проведено аналіз та узагальнення отриманих даних, підготовлено тези до друку)</w:t>
      </w:r>
    </w:p>
    <w:p w:rsidR="00E3259F" w:rsidRDefault="00E3259F" w:rsidP="00E3259F">
      <w:pPr>
        <w:pStyle w:val="a4"/>
        <w:numPr>
          <w:ilvl w:val="0"/>
          <w:numId w:val="4"/>
        </w:numPr>
        <w:tabs>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uk-UA"/>
        </w:rPr>
        <w:t>Біловол О.М.,Немцова В.Д., Златкіна В.В.,  Ільченко І.А.,Штереб О.І.Вплив гіпофункції щитоподібної залози на ступінь оксидативного стресу у хворих похилого віку з коморбідною та поліморбідною патологією.</w:t>
      </w:r>
      <w:r>
        <w:rPr>
          <w:i/>
          <w:color w:val="000000"/>
          <w:sz w:val="28"/>
          <w:szCs w:val="28"/>
          <w:shd w:val="clear" w:color="auto" w:fill="FFFFFF"/>
          <w:lang w:val="uk-UA"/>
        </w:rPr>
        <w:t>Матеріали науково-практичної конференції з міжнародною участю "Новітні в діагностиці та лікуванні внутрішніх хвороб",присвяченої 100-річчю від дня народження академіка Л.Т. Малої</w:t>
      </w:r>
      <w:r>
        <w:rPr>
          <w:color w:val="000000"/>
          <w:sz w:val="28"/>
          <w:szCs w:val="28"/>
          <w:shd w:val="clear" w:color="auto" w:fill="FFFFFF"/>
          <w:lang w:val="uk-UA"/>
        </w:rPr>
        <w:t xml:space="preserve"> (м.Харків,</w:t>
      </w:r>
      <w:r>
        <w:rPr>
          <w:color w:val="000000"/>
          <w:sz w:val="28"/>
          <w:szCs w:val="28"/>
          <w:shd w:val="clear" w:color="auto" w:fill="FFFFFF"/>
        </w:rPr>
        <w:t> </w:t>
      </w:r>
      <w:r>
        <w:rPr>
          <w:color w:val="000000"/>
          <w:sz w:val="28"/>
          <w:szCs w:val="28"/>
          <w:shd w:val="clear" w:color="auto" w:fill="FFFFFF"/>
          <w:lang w:val="uk-UA"/>
        </w:rPr>
        <w:t>15-16</w:t>
      </w:r>
      <w:r>
        <w:rPr>
          <w:color w:val="000000"/>
          <w:sz w:val="28"/>
          <w:szCs w:val="28"/>
          <w:shd w:val="clear" w:color="auto" w:fill="FFFFFF"/>
        </w:rPr>
        <w:t> </w:t>
      </w:r>
      <w:r>
        <w:rPr>
          <w:color w:val="000000"/>
          <w:sz w:val="28"/>
          <w:szCs w:val="28"/>
          <w:shd w:val="clear" w:color="auto" w:fill="FFFFFF"/>
          <w:lang w:val="uk-UA"/>
        </w:rPr>
        <w:t>жовтня</w:t>
      </w:r>
      <w:r>
        <w:rPr>
          <w:color w:val="000000"/>
          <w:sz w:val="28"/>
          <w:szCs w:val="28"/>
          <w:shd w:val="clear" w:color="auto" w:fill="FFFFFF"/>
        </w:rPr>
        <w:t> </w:t>
      </w:r>
      <w:r>
        <w:rPr>
          <w:color w:val="000000"/>
          <w:sz w:val="28"/>
          <w:szCs w:val="28"/>
          <w:shd w:val="clear" w:color="auto" w:fill="FFFFFF"/>
          <w:lang w:val="uk-UA"/>
        </w:rPr>
        <w:t>2019) Харків, 2019. С25.</w:t>
      </w:r>
      <w:r>
        <w:rPr>
          <w:i/>
          <w:color w:val="000000"/>
          <w:sz w:val="28"/>
          <w:szCs w:val="28"/>
          <w:shd w:val="clear" w:color="auto" w:fill="FFFFFF"/>
          <w:lang w:val="uk-UA"/>
        </w:rPr>
        <w:t xml:space="preserve"> (Здобувачкою проведено відбір та клінічне обстеження хворих, статистичне опрацювання та аналіз отриманих результатів).</w:t>
      </w:r>
    </w:p>
    <w:p w:rsidR="00E3259F" w:rsidRDefault="00E3259F" w:rsidP="00E3259F">
      <w:pPr>
        <w:pStyle w:val="a4"/>
        <w:numPr>
          <w:ilvl w:val="0"/>
          <w:numId w:val="4"/>
        </w:numPr>
        <w:shd w:val="clear" w:color="auto" w:fill="FFFFFF"/>
        <w:tabs>
          <w:tab w:val="left" w:pos="1134"/>
          <w:tab w:val="left" w:pos="8931"/>
        </w:tabs>
        <w:spacing w:line="360" w:lineRule="auto"/>
        <w:ind w:left="0" w:firstLine="709"/>
        <w:jc w:val="both"/>
        <w:rPr>
          <w:color w:val="000000"/>
          <w:sz w:val="28"/>
          <w:szCs w:val="28"/>
          <w:shd w:val="clear" w:color="auto" w:fill="FFFFFF"/>
          <w:lang w:val="uk-UA"/>
        </w:rPr>
      </w:pPr>
      <w:r>
        <w:rPr>
          <w:color w:val="000000"/>
          <w:sz w:val="28"/>
          <w:szCs w:val="28"/>
          <w:shd w:val="clear" w:color="auto" w:fill="FFFFFF"/>
          <w:lang w:val="uk-UA"/>
        </w:rPr>
        <w:t>Беловол А.Н.,</w:t>
      </w:r>
      <w:r w:rsidR="00663D7B" w:rsidRPr="00663D7B">
        <w:rPr>
          <w:color w:val="000000"/>
          <w:sz w:val="28"/>
          <w:szCs w:val="28"/>
          <w:shd w:val="clear" w:color="auto" w:fill="FFFFFF"/>
        </w:rPr>
        <w:t xml:space="preserve"> </w:t>
      </w:r>
      <w:r>
        <w:rPr>
          <w:color w:val="000000"/>
          <w:sz w:val="28"/>
          <w:szCs w:val="28"/>
          <w:shd w:val="clear" w:color="auto" w:fill="FFFFFF"/>
          <w:lang w:val="uk-UA"/>
        </w:rPr>
        <w:t xml:space="preserve">Немцова В.Д. Сравнительная оценка фармакотерапевтического влияния статинотерапии на состояние эндотелия </w:t>
      </w:r>
      <w:r>
        <w:rPr>
          <w:color w:val="000000"/>
          <w:sz w:val="28"/>
          <w:szCs w:val="28"/>
          <w:shd w:val="clear" w:color="auto" w:fill="FFFFFF"/>
        </w:rPr>
        <w:t xml:space="preserve">у больных артериальной гипертензией в сочетании с гипотиреозом. </w:t>
      </w:r>
      <w:r>
        <w:rPr>
          <w:i/>
          <w:color w:val="000000"/>
          <w:sz w:val="28"/>
          <w:szCs w:val="28"/>
          <w:shd w:val="clear" w:color="auto" w:fill="FFFFFF"/>
        </w:rPr>
        <w:t xml:space="preserve">Науковий симпозіум "Соціальна фармація: стан, проблеми, перспективи" у рамках VIII Національного з'їзду фармацевтів України </w:t>
      </w:r>
      <w:r>
        <w:rPr>
          <w:color w:val="000000"/>
          <w:sz w:val="28"/>
          <w:szCs w:val="28"/>
          <w:shd w:val="clear" w:color="auto" w:fill="FFFFFF"/>
        </w:rPr>
        <w:t>(м</w:t>
      </w:r>
      <w:r>
        <w:rPr>
          <w:i/>
          <w:color w:val="000000"/>
          <w:sz w:val="28"/>
          <w:szCs w:val="28"/>
          <w:shd w:val="clear" w:color="auto" w:fill="FFFFFF"/>
        </w:rPr>
        <w:t>. Харків,</w:t>
      </w:r>
      <w:r>
        <w:rPr>
          <w:color w:val="000000"/>
          <w:sz w:val="28"/>
          <w:szCs w:val="28"/>
          <w:shd w:val="clear" w:color="auto" w:fill="FFFFFF"/>
        </w:rPr>
        <w:t>15-16 вересня 2016) Харків.</w:t>
      </w:r>
      <w:r>
        <w:rPr>
          <w:color w:val="000000"/>
          <w:sz w:val="28"/>
          <w:szCs w:val="28"/>
          <w:shd w:val="clear" w:color="auto" w:fill="FFFFFF"/>
          <w:lang w:val="uk-UA"/>
        </w:rPr>
        <w:t>2016.</w:t>
      </w:r>
      <w:r>
        <w:rPr>
          <w:color w:val="000000"/>
          <w:sz w:val="28"/>
          <w:szCs w:val="28"/>
          <w:shd w:val="clear" w:color="auto" w:fill="FFFFFF"/>
        </w:rPr>
        <w:t xml:space="preserve"> С.226</w:t>
      </w:r>
      <w:r>
        <w:rPr>
          <w:color w:val="000000"/>
          <w:sz w:val="28"/>
          <w:szCs w:val="28"/>
          <w:shd w:val="clear" w:color="auto" w:fill="FFFFFF"/>
          <w:lang w:val="uk-UA"/>
        </w:rPr>
        <w:t xml:space="preserve">. </w:t>
      </w:r>
      <w:r>
        <w:rPr>
          <w:i/>
          <w:color w:val="000000"/>
          <w:sz w:val="28"/>
          <w:szCs w:val="28"/>
          <w:shd w:val="clear" w:color="auto" w:fill="FFFFFF"/>
          <w:lang w:val="uk-UA"/>
        </w:rPr>
        <w:t>(Здобувачкою проведено відбір та клінічне обстеження хворих, статистичне опрацювання  отриманих результатів, підготовка тез до друку).</w:t>
      </w:r>
    </w:p>
    <w:p w:rsidR="00E3259F" w:rsidRDefault="00E3259F" w:rsidP="00E3259F">
      <w:pPr>
        <w:pStyle w:val="a4"/>
        <w:numPr>
          <w:ilvl w:val="0"/>
          <w:numId w:val="4"/>
        </w:numPr>
        <w:shd w:val="clear" w:color="auto" w:fill="FFFFFF"/>
        <w:tabs>
          <w:tab w:val="left" w:pos="851"/>
          <w:tab w:val="left" w:pos="1134"/>
          <w:tab w:val="left" w:pos="8931"/>
        </w:tabs>
        <w:spacing w:line="360" w:lineRule="auto"/>
        <w:ind w:left="0" w:firstLine="709"/>
        <w:jc w:val="both"/>
        <w:rPr>
          <w:sz w:val="28"/>
          <w:szCs w:val="28"/>
          <w:lang w:val="uk-UA"/>
        </w:rPr>
      </w:pPr>
      <w:r>
        <w:rPr>
          <w:color w:val="000000"/>
          <w:sz w:val="28"/>
          <w:szCs w:val="28"/>
          <w:shd w:val="clear" w:color="auto" w:fill="FFFFFF"/>
        </w:rPr>
        <w:t>Немцова В.Д., Олейник О.В.</w:t>
      </w:r>
      <w:r>
        <w:rPr>
          <w:color w:val="000000"/>
          <w:sz w:val="28"/>
          <w:szCs w:val="28"/>
          <w:shd w:val="clear" w:color="auto" w:fill="FFFFFF"/>
          <w:lang w:val="uk-UA"/>
        </w:rPr>
        <w:t xml:space="preserve"> </w:t>
      </w:r>
      <w:r>
        <w:rPr>
          <w:color w:val="000000"/>
          <w:sz w:val="28"/>
          <w:szCs w:val="28"/>
          <w:shd w:val="clear" w:color="auto" w:fill="FFFFFF"/>
        </w:rPr>
        <w:t xml:space="preserve">Факторы кардио-васкулярного риска в зависимости от состояния эндотелия у пациентов с артериальной гипертензией в сочетании с гипотиреозом. </w:t>
      </w:r>
      <w:r>
        <w:rPr>
          <w:i/>
          <w:color w:val="000000"/>
          <w:sz w:val="28"/>
          <w:szCs w:val="28"/>
          <w:shd w:val="clear" w:color="auto" w:fill="FFFFFF"/>
        </w:rPr>
        <w:t>Матер</w:t>
      </w:r>
      <w:r>
        <w:rPr>
          <w:i/>
          <w:color w:val="000000"/>
          <w:sz w:val="28"/>
          <w:szCs w:val="28"/>
          <w:shd w:val="clear" w:color="auto" w:fill="FFFFFF"/>
          <w:lang w:val="uk-UA"/>
        </w:rPr>
        <w:t>іали науково-практичної конференції з міжнародною участю «Щорічні терапевтичні читання: медикаментозна та не медикаментозна профілактика неінфекційних захворювань: погляд в майбутнє» присвячена пам’яті академіка Л.Т.Малої</w:t>
      </w:r>
      <w:r>
        <w:rPr>
          <w:color w:val="000000"/>
          <w:sz w:val="28"/>
          <w:szCs w:val="28"/>
          <w:shd w:val="clear" w:color="auto" w:fill="FFFFFF"/>
          <w:lang w:val="uk-UA"/>
        </w:rPr>
        <w:t xml:space="preserve"> (м.Харків, 20 квітня 2017 року) Харків. 2017.С.206.</w:t>
      </w:r>
      <w:r>
        <w:rPr>
          <w:i/>
          <w:color w:val="000000"/>
          <w:sz w:val="28"/>
          <w:szCs w:val="28"/>
          <w:shd w:val="clear" w:color="auto" w:fill="FFFFFF"/>
        </w:rPr>
        <w:t xml:space="preserve"> (</w:t>
      </w:r>
      <w:r>
        <w:rPr>
          <w:i/>
          <w:iCs/>
          <w:color w:val="000000"/>
          <w:sz w:val="28"/>
          <w:szCs w:val="28"/>
          <w:shd w:val="clear" w:color="auto" w:fill="FFFFFF"/>
        </w:rPr>
        <w:t>Особисто здобувач</w:t>
      </w:r>
      <w:r>
        <w:rPr>
          <w:i/>
          <w:iCs/>
          <w:color w:val="000000"/>
          <w:sz w:val="28"/>
          <w:szCs w:val="28"/>
          <w:shd w:val="clear" w:color="auto" w:fill="FFFFFF"/>
          <w:lang w:val="uk-UA"/>
        </w:rPr>
        <w:t>кою</w:t>
      </w:r>
      <w:r>
        <w:rPr>
          <w:i/>
          <w:iCs/>
          <w:color w:val="000000"/>
          <w:sz w:val="28"/>
          <w:szCs w:val="28"/>
          <w:shd w:val="clear" w:color="auto" w:fill="FFFFFF"/>
        </w:rPr>
        <w:t xml:space="preserve"> виконано обстеження хворих, </w:t>
      </w:r>
      <w:r>
        <w:rPr>
          <w:i/>
          <w:color w:val="000000"/>
          <w:sz w:val="28"/>
          <w:szCs w:val="28"/>
          <w:shd w:val="clear" w:color="auto" w:fill="FFFFFF"/>
        </w:rPr>
        <w:t>проаналізовано характер змін показників, підготовлено тези до друку)</w:t>
      </w:r>
      <w:r>
        <w:rPr>
          <w:i/>
          <w:iCs/>
          <w:color w:val="000000"/>
          <w:sz w:val="28"/>
          <w:szCs w:val="28"/>
          <w:shd w:val="clear" w:color="auto" w:fill="FFFFFF"/>
        </w:rPr>
        <w:t>.</w:t>
      </w:r>
    </w:p>
    <w:p w:rsidR="00E3259F" w:rsidRDefault="00E3259F" w:rsidP="00E3259F">
      <w:pPr>
        <w:pStyle w:val="a4"/>
        <w:numPr>
          <w:ilvl w:val="0"/>
          <w:numId w:val="4"/>
        </w:numPr>
        <w:shd w:val="clear" w:color="auto" w:fill="FFFFFF"/>
        <w:tabs>
          <w:tab w:val="left" w:pos="851"/>
          <w:tab w:val="left" w:pos="1134"/>
          <w:tab w:val="left" w:pos="8931"/>
        </w:tabs>
        <w:spacing w:line="360" w:lineRule="auto"/>
        <w:ind w:left="0" w:firstLine="709"/>
        <w:jc w:val="both"/>
        <w:rPr>
          <w:sz w:val="28"/>
          <w:szCs w:val="28"/>
          <w:lang w:val="uk-UA"/>
        </w:rPr>
      </w:pPr>
      <w:r>
        <w:rPr>
          <w:color w:val="000000"/>
          <w:sz w:val="28"/>
          <w:szCs w:val="28"/>
          <w:shd w:val="clear" w:color="auto" w:fill="FFFFFF"/>
        </w:rPr>
        <w:t>Nemtsova</w:t>
      </w:r>
      <w:r>
        <w:rPr>
          <w:color w:val="000000"/>
          <w:sz w:val="28"/>
          <w:szCs w:val="28"/>
          <w:shd w:val="clear" w:color="auto" w:fill="FFFFFF"/>
          <w:lang w:val="uk-UA"/>
        </w:rPr>
        <w:t xml:space="preserve"> </w:t>
      </w:r>
      <w:r>
        <w:rPr>
          <w:color w:val="000000"/>
          <w:sz w:val="28"/>
          <w:szCs w:val="28"/>
          <w:shd w:val="clear" w:color="auto" w:fill="FFFFFF"/>
        </w:rPr>
        <w:t>V</w:t>
      </w:r>
      <w:r>
        <w:rPr>
          <w:color w:val="000000"/>
          <w:sz w:val="28"/>
          <w:szCs w:val="28"/>
          <w:shd w:val="clear" w:color="auto" w:fill="FFFFFF"/>
          <w:lang w:val="uk-UA"/>
        </w:rPr>
        <w:t>.</w:t>
      </w:r>
      <w:r>
        <w:rPr>
          <w:color w:val="000000"/>
          <w:sz w:val="28"/>
          <w:szCs w:val="28"/>
          <w:shd w:val="clear" w:color="auto" w:fill="FFFFFF"/>
        </w:rPr>
        <w:t>D</w:t>
      </w:r>
      <w:r>
        <w:rPr>
          <w:color w:val="000000"/>
          <w:sz w:val="28"/>
          <w:szCs w:val="28"/>
          <w:shd w:val="clear" w:color="auto" w:fill="FFFFFF"/>
          <w:lang w:val="uk-UA"/>
        </w:rPr>
        <w:t>., </w:t>
      </w:r>
      <w:r>
        <w:rPr>
          <w:color w:val="000000"/>
          <w:sz w:val="28"/>
          <w:szCs w:val="28"/>
          <w:shd w:val="clear" w:color="auto" w:fill="FFFFFF"/>
        </w:rPr>
        <w:t>Bilovol</w:t>
      </w:r>
      <w:r>
        <w:rPr>
          <w:color w:val="000000"/>
          <w:sz w:val="28"/>
          <w:szCs w:val="28"/>
          <w:shd w:val="clear" w:color="auto" w:fill="FFFFFF"/>
          <w:lang w:val="uk-UA"/>
        </w:rPr>
        <w:t xml:space="preserve"> </w:t>
      </w:r>
      <w:r>
        <w:rPr>
          <w:color w:val="000000"/>
          <w:sz w:val="28"/>
          <w:szCs w:val="28"/>
          <w:shd w:val="clear" w:color="auto" w:fill="FFFFFF"/>
        </w:rPr>
        <w:t>O</w:t>
      </w:r>
      <w:r>
        <w:rPr>
          <w:color w:val="000000"/>
          <w:sz w:val="28"/>
          <w:szCs w:val="28"/>
          <w:shd w:val="clear" w:color="auto" w:fill="FFFFFF"/>
          <w:lang w:val="uk-UA"/>
        </w:rPr>
        <w:t>.</w:t>
      </w:r>
      <w:r>
        <w:rPr>
          <w:color w:val="000000"/>
          <w:sz w:val="28"/>
          <w:szCs w:val="28"/>
          <w:shd w:val="clear" w:color="auto" w:fill="FFFFFF"/>
        </w:rPr>
        <w:t>M</w:t>
      </w:r>
      <w:r>
        <w:rPr>
          <w:color w:val="000000"/>
          <w:sz w:val="28"/>
          <w:szCs w:val="28"/>
          <w:shd w:val="clear" w:color="auto" w:fill="FFFFFF"/>
          <w:lang w:val="uk-UA"/>
        </w:rPr>
        <w:t>., </w:t>
      </w:r>
      <w:r>
        <w:rPr>
          <w:color w:val="000000"/>
          <w:sz w:val="28"/>
          <w:szCs w:val="28"/>
          <w:shd w:val="clear" w:color="auto" w:fill="FFFFFF"/>
        </w:rPr>
        <w:t>Oleynik</w:t>
      </w:r>
      <w:r>
        <w:rPr>
          <w:color w:val="000000"/>
          <w:sz w:val="28"/>
          <w:szCs w:val="28"/>
          <w:shd w:val="clear" w:color="auto" w:fill="FFFFFF"/>
          <w:lang w:val="uk-UA"/>
        </w:rPr>
        <w:t xml:space="preserve"> </w:t>
      </w:r>
      <w:r>
        <w:rPr>
          <w:color w:val="000000"/>
          <w:sz w:val="28"/>
          <w:szCs w:val="28"/>
          <w:shd w:val="clear" w:color="auto" w:fill="FFFFFF"/>
        </w:rPr>
        <w:t>O</w:t>
      </w:r>
      <w:r>
        <w:rPr>
          <w:color w:val="000000"/>
          <w:sz w:val="28"/>
          <w:szCs w:val="28"/>
          <w:shd w:val="clear" w:color="auto" w:fill="FFFFFF"/>
          <w:lang w:val="uk-UA"/>
        </w:rPr>
        <w:t>.</w:t>
      </w:r>
      <w:r>
        <w:rPr>
          <w:color w:val="000000"/>
          <w:sz w:val="28"/>
          <w:szCs w:val="28"/>
          <w:shd w:val="clear" w:color="auto" w:fill="FFFFFF"/>
        </w:rPr>
        <w:t>V</w:t>
      </w:r>
      <w:r>
        <w:rPr>
          <w:color w:val="000000"/>
          <w:sz w:val="28"/>
          <w:szCs w:val="28"/>
          <w:shd w:val="clear" w:color="auto" w:fill="FFFFFF"/>
          <w:lang w:val="uk-UA"/>
        </w:rPr>
        <w:t>. </w:t>
      </w:r>
      <w:r>
        <w:rPr>
          <w:color w:val="000000"/>
          <w:sz w:val="28"/>
          <w:szCs w:val="28"/>
          <w:shd w:val="clear" w:color="auto" w:fill="FFFFFF"/>
        </w:rPr>
        <w:t>Endothelium</w:t>
      </w:r>
      <w:r>
        <w:rPr>
          <w:color w:val="000000"/>
          <w:sz w:val="28"/>
          <w:szCs w:val="28"/>
          <w:shd w:val="clear" w:color="auto" w:fill="FFFFFF"/>
          <w:lang w:val="uk-UA"/>
        </w:rPr>
        <w:t>–</w:t>
      </w:r>
      <w:r>
        <w:rPr>
          <w:color w:val="000000"/>
          <w:sz w:val="28"/>
          <w:szCs w:val="28"/>
          <w:shd w:val="clear" w:color="auto" w:fill="FFFFFF"/>
        </w:rPr>
        <w:t>dependent</w:t>
      </w:r>
      <w:r>
        <w:rPr>
          <w:color w:val="000000"/>
          <w:sz w:val="28"/>
          <w:szCs w:val="28"/>
          <w:shd w:val="clear" w:color="auto" w:fill="FFFFFF"/>
          <w:lang w:val="uk-UA"/>
        </w:rPr>
        <w:t xml:space="preserve"> </w:t>
      </w:r>
      <w:r>
        <w:rPr>
          <w:color w:val="000000"/>
          <w:sz w:val="28"/>
          <w:szCs w:val="28"/>
          <w:shd w:val="clear" w:color="auto" w:fill="FFFFFF"/>
        </w:rPr>
        <w:t>cardio</w:t>
      </w:r>
      <w:r>
        <w:rPr>
          <w:color w:val="000000"/>
          <w:sz w:val="28"/>
          <w:szCs w:val="28"/>
          <w:shd w:val="clear" w:color="auto" w:fill="FFFFFF"/>
          <w:lang w:val="uk-UA"/>
        </w:rPr>
        <w:t>-</w:t>
      </w:r>
      <w:r>
        <w:rPr>
          <w:color w:val="000000"/>
          <w:sz w:val="28"/>
          <w:szCs w:val="28"/>
          <w:shd w:val="clear" w:color="auto" w:fill="FFFFFF"/>
        </w:rPr>
        <w:t>vascular</w:t>
      </w:r>
      <w:r>
        <w:rPr>
          <w:color w:val="000000"/>
          <w:sz w:val="28"/>
          <w:szCs w:val="28"/>
          <w:shd w:val="clear" w:color="auto" w:fill="FFFFFF"/>
          <w:lang w:val="uk-UA"/>
        </w:rPr>
        <w:t xml:space="preserve"> </w:t>
      </w:r>
      <w:r>
        <w:rPr>
          <w:color w:val="000000"/>
          <w:sz w:val="28"/>
          <w:szCs w:val="28"/>
          <w:shd w:val="clear" w:color="auto" w:fill="FFFFFF"/>
        </w:rPr>
        <w:t>risk</w:t>
      </w:r>
      <w:r>
        <w:rPr>
          <w:color w:val="000000"/>
          <w:sz w:val="28"/>
          <w:szCs w:val="28"/>
          <w:shd w:val="clear" w:color="auto" w:fill="FFFFFF"/>
          <w:lang w:val="uk-UA"/>
        </w:rPr>
        <w:t xml:space="preserve"> </w:t>
      </w:r>
      <w:r>
        <w:rPr>
          <w:color w:val="000000"/>
          <w:sz w:val="28"/>
          <w:szCs w:val="28"/>
          <w:shd w:val="clear" w:color="auto" w:fill="FFFFFF"/>
        </w:rPr>
        <w:t>factors</w:t>
      </w:r>
      <w:r>
        <w:rPr>
          <w:color w:val="000000"/>
          <w:sz w:val="28"/>
          <w:szCs w:val="28"/>
          <w:shd w:val="clear" w:color="auto" w:fill="FFFFFF"/>
          <w:lang w:val="uk-UA"/>
        </w:rPr>
        <w:t xml:space="preserve"> </w:t>
      </w:r>
      <w:r>
        <w:rPr>
          <w:color w:val="000000"/>
          <w:sz w:val="28"/>
          <w:szCs w:val="28"/>
          <w:shd w:val="clear" w:color="auto" w:fill="FFFFFF"/>
        </w:rPr>
        <w:t>in</w:t>
      </w:r>
      <w:r>
        <w:rPr>
          <w:color w:val="000000"/>
          <w:sz w:val="28"/>
          <w:szCs w:val="28"/>
          <w:shd w:val="clear" w:color="auto" w:fill="FFFFFF"/>
          <w:lang w:val="uk-UA"/>
        </w:rPr>
        <w:t xml:space="preserve"> </w:t>
      </w:r>
      <w:r>
        <w:rPr>
          <w:color w:val="000000"/>
          <w:sz w:val="28"/>
          <w:szCs w:val="28"/>
          <w:shd w:val="clear" w:color="auto" w:fill="FFFFFF"/>
        </w:rPr>
        <w:t>patients</w:t>
      </w:r>
      <w:r>
        <w:rPr>
          <w:color w:val="000000"/>
          <w:sz w:val="28"/>
          <w:szCs w:val="28"/>
          <w:shd w:val="clear" w:color="auto" w:fill="FFFFFF"/>
          <w:lang w:val="uk-UA"/>
        </w:rPr>
        <w:t xml:space="preserve"> </w:t>
      </w:r>
      <w:r>
        <w:rPr>
          <w:color w:val="000000"/>
          <w:sz w:val="28"/>
          <w:szCs w:val="28"/>
          <w:shd w:val="clear" w:color="auto" w:fill="FFFFFF"/>
        </w:rPr>
        <w:t>with</w:t>
      </w:r>
      <w:r>
        <w:rPr>
          <w:color w:val="000000"/>
          <w:sz w:val="28"/>
          <w:szCs w:val="28"/>
          <w:shd w:val="clear" w:color="auto" w:fill="FFFFFF"/>
          <w:lang w:val="uk-UA"/>
        </w:rPr>
        <w:t xml:space="preserve"> </w:t>
      </w:r>
      <w:r>
        <w:rPr>
          <w:color w:val="000000"/>
          <w:sz w:val="28"/>
          <w:szCs w:val="28"/>
          <w:shd w:val="clear" w:color="auto" w:fill="FFFFFF"/>
        </w:rPr>
        <w:t>arterial</w:t>
      </w:r>
      <w:r>
        <w:rPr>
          <w:color w:val="000000"/>
          <w:sz w:val="28"/>
          <w:szCs w:val="28"/>
          <w:shd w:val="clear" w:color="auto" w:fill="FFFFFF"/>
          <w:lang w:val="uk-UA"/>
        </w:rPr>
        <w:t xml:space="preserve"> </w:t>
      </w:r>
      <w:r>
        <w:rPr>
          <w:color w:val="000000"/>
          <w:sz w:val="28"/>
          <w:szCs w:val="28"/>
          <w:shd w:val="clear" w:color="auto" w:fill="FFFFFF"/>
        </w:rPr>
        <w:t>hypertension</w:t>
      </w:r>
      <w:r>
        <w:rPr>
          <w:color w:val="000000"/>
          <w:sz w:val="28"/>
          <w:szCs w:val="28"/>
          <w:shd w:val="clear" w:color="auto" w:fill="FFFFFF"/>
          <w:lang w:val="uk-UA"/>
        </w:rPr>
        <w:t xml:space="preserve"> </w:t>
      </w:r>
      <w:r>
        <w:rPr>
          <w:color w:val="000000"/>
          <w:sz w:val="28"/>
          <w:szCs w:val="28"/>
          <w:shd w:val="clear" w:color="auto" w:fill="FFFFFF"/>
        </w:rPr>
        <w:t>and</w:t>
      </w:r>
      <w:r>
        <w:rPr>
          <w:color w:val="000000"/>
          <w:sz w:val="28"/>
          <w:szCs w:val="28"/>
          <w:shd w:val="clear" w:color="auto" w:fill="FFFFFF"/>
          <w:lang w:val="uk-UA"/>
        </w:rPr>
        <w:t xml:space="preserve"> </w:t>
      </w:r>
      <w:r>
        <w:rPr>
          <w:color w:val="000000"/>
          <w:sz w:val="28"/>
          <w:szCs w:val="28"/>
          <w:shd w:val="clear" w:color="auto" w:fill="FFFFFF"/>
        </w:rPr>
        <w:t>diabetes</w:t>
      </w:r>
      <w:r>
        <w:rPr>
          <w:color w:val="000000"/>
          <w:sz w:val="28"/>
          <w:szCs w:val="28"/>
          <w:shd w:val="clear" w:color="auto" w:fill="FFFFFF"/>
          <w:lang w:val="uk-UA"/>
        </w:rPr>
        <w:t> 2 </w:t>
      </w:r>
      <w:r>
        <w:rPr>
          <w:color w:val="000000"/>
          <w:sz w:val="28"/>
          <w:szCs w:val="28"/>
          <w:shd w:val="clear" w:color="auto" w:fill="FFFFFF"/>
        </w:rPr>
        <w:t>type</w:t>
      </w:r>
      <w:r>
        <w:rPr>
          <w:color w:val="000000"/>
          <w:sz w:val="28"/>
          <w:szCs w:val="28"/>
          <w:shd w:val="clear" w:color="auto" w:fill="FFFFFF"/>
          <w:lang w:val="uk-UA"/>
        </w:rPr>
        <w:t xml:space="preserve">–с.102 </w:t>
      </w:r>
      <w:r>
        <w:rPr>
          <w:i/>
          <w:color w:val="000000"/>
          <w:sz w:val="28"/>
          <w:szCs w:val="28"/>
          <w:shd w:val="clear" w:color="auto" w:fill="FFFFFF"/>
          <w:lang w:val="uk-UA"/>
        </w:rPr>
        <w:t>Матеріали Республіканській науково-практичній конференції з міжнародною участю «Первоочередные задачи развития кардиологии и кардиохирургии в Узбекистане»</w:t>
      </w:r>
      <w:r>
        <w:rPr>
          <w:color w:val="000000"/>
          <w:sz w:val="28"/>
          <w:szCs w:val="28"/>
          <w:shd w:val="clear" w:color="auto" w:fill="FFFFFF"/>
          <w:lang w:val="uk-UA"/>
        </w:rPr>
        <w:t xml:space="preserve"> (25–26 мая</w:t>
      </w:r>
      <w:r>
        <w:rPr>
          <w:color w:val="000000"/>
          <w:sz w:val="28"/>
          <w:szCs w:val="28"/>
          <w:shd w:val="clear" w:color="auto" w:fill="FFFFFF"/>
        </w:rPr>
        <w:t> </w:t>
      </w:r>
      <w:r>
        <w:rPr>
          <w:color w:val="000000"/>
          <w:sz w:val="28"/>
          <w:szCs w:val="28"/>
          <w:shd w:val="clear" w:color="auto" w:fill="FFFFFF"/>
          <w:lang w:val="uk-UA"/>
        </w:rPr>
        <w:t>2017</w:t>
      </w:r>
      <w:r>
        <w:rPr>
          <w:color w:val="000000"/>
          <w:sz w:val="28"/>
          <w:szCs w:val="28"/>
          <w:shd w:val="clear" w:color="auto" w:fill="FFFFFF"/>
        </w:rPr>
        <w:t> </w:t>
      </w:r>
      <w:r>
        <w:rPr>
          <w:color w:val="000000"/>
          <w:sz w:val="28"/>
          <w:szCs w:val="28"/>
          <w:shd w:val="clear" w:color="auto" w:fill="FFFFFF"/>
          <w:lang w:val="uk-UA"/>
        </w:rPr>
        <w:t>года, г. Ташкент), Ташкент, Узбекістан</w:t>
      </w:r>
    </w:p>
    <w:p w:rsidR="00E3259F" w:rsidRDefault="00E3259F" w:rsidP="00E3259F">
      <w:pPr>
        <w:pStyle w:val="arefZag"/>
        <w:spacing w:before="0" w:after="0" w:line="360" w:lineRule="auto"/>
        <w:ind w:firstLine="709"/>
        <w:rPr>
          <w:b w:val="0"/>
        </w:rPr>
      </w:pPr>
    </w:p>
    <w:p w:rsidR="00E3259F" w:rsidRDefault="00E3259F" w:rsidP="00E3259F">
      <w:pPr>
        <w:pStyle w:val="arefZag"/>
        <w:spacing w:before="0" w:after="0" w:line="360" w:lineRule="auto"/>
        <w:ind w:firstLine="709"/>
        <w:rPr>
          <w:b w:val="0"/>
        </w:rPr>
      </w:pPr>
      <w:r>
        <w:rPr>
          <w:b w:val="0"/>
        </w:rPr>
        <w:t>Наукові праці, які додатково відображують наукові результати дисертації:</w:t>
      </w:r>
    </w:p>
    <w:p w:rsidR="00E3259F" w:rsidRDefault="00E3259F" w:rsidP="00E3259F">
      <w:pPr>
        <w:pStyle w:val="a4"/>
        <w:numPr>
          <w:ilvl w:val="0"/>
          <w:numId w:val="4"/>
        </w:numPr>
        <w:tabs>
          <w:tab w:val="left" w:pos="0"/>
        </w:tabs>
        <w:spacing w:line="360" w:lineRule="auto"/>
        <w:ind w:left="0" w:firstLine="709"/>
        <w:jc w:val="both"/>
        <w:rPr>
          <w:rFonts w:eastAsiaTheme="minorEastAsia"/>
          <w:sz w:val="28"/>
          <w:szCs w:val="28"/>
          <w:lang w:val="uk-UA"/>
        </w:rPr>
      </w:pPr>
      <w:r>
        <w:rPr>
          <w:sz w:val="28"/>
          <w:szCs w:val="28"/>
          <w:lang w:val="uk-UA"/>
        </w:rPr>
        <w:t>Спосіб діагностики порушень антиоксидантної системи у хворих при поєднаному перебігу артеріальної гіпертензії, цукрового діабету 2 типу та гіпотиреозу: пат. на корисну модель № 125567, Україна, МПК G01N 33/50 (2006.01). /О.М. Біловол, Немцова В.Д., Златкіна В.В., Ільченко І.А.; Харківський національний медичний університет; № u201712993; заявл. 27.12.2017; опубл. 10.05.2018, Бюл. № 9.</w:t>
      </w:r>
      <w:r>
        <w:rPr>
          <w:rFonts w:eastAsia="Calibri"/>
          <w:bCs/>
          <w:i/>
          <w:sz w:val="28"/>
          <w:szCs w:val="28"/>
          <w:lang w:val="uk-UA"/>
        </w:rPr>
        <w:t xml:space="preserve"> (Здобувачу належить ідея винаходу, проведено аналіз інформаційно-літературних джерел, клініко-інструментальне обстеження хворих, сформульовано формулу винаходу).</w:t>
      </w:r>
    </w:p>
    <w:p w:rsidR="00E3259F" w:rsidRPr="00663D7B" w:rsidRDefault="00E3259F" w:rsidP="00663D7B">
      <w:pPr>
        <w:pStyle w:val="1"/>
        <w:spacing w:before="0" w:beforeAutospacing="0" w:after="0" w:afterAutospacing="0" w:line="360" w:lineRule="auto"/>
        <w:rPr>
          <w:b w:val="0"/>
          <w:sz w:val="28"/>
          <w:szCs w:val="28"/>
          <w:shd w:val="clear" w:color="auto" w:fill="FFFFFF"/>
          <w:lang w:val="uk-UA"/>
        </w:rPr>
      </w:pPr>
      <w:r w:rsidRPr="00E3259F">
        <w:rPr>
          <w:b w:val="0"/>
          <w:bCs w:val="0"/>
          <w:sz w:val="28"/>
          <w:szCs w:val="28"/>
          <w:lang w:val="uk-UA"/>
        </w:rPr>
        <w:br w:type="page"/>
      </w:r>
      <w:r w:rsidRPr="00663D7B">
        <w:rPr>
          <w:b w:val="0"/>
          <w:sz w:val="28"/>
          <w:szCs w:val="28"/>
          <w:shd w:val="clear" w:color="auto" w:fill="FFFFFF"/>
          <w:lang w:val="uk-UA"/>
        </w:rPr>
        <w:t>ПЕРЕЛІК УМОВНИХ ПОЗНАЧЕНЬ ТА СКОРОЧЕНЬ</w:t>
      </w:r>
    </w:p>
    <w:tbl>
      <w:tblPr>
        <w:tblW w:w="4947" w:type="pct"/>
        <w:tblLook w:val="01E0" w:firstRow="1" w:lastRow="1" w:firstColumn="1" w:lastColumn="1" w:noHBand="0" w:noVBand="0"/>
      </w:tblPr>
      <w:tblGrid>
        <w:gridCol w:w="2375"/>
        <w:gridCol w:w="7094"/>
      </w:tblGrid>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 xml:space="preserve">АГ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артеріальна гіпертензія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AIT</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аутоімунний тиреоїдит</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АОЗ</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 антиоксидантний захист</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АТ</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артеріальний тиск</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БВ</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біологічний вік</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val="uk-UA" w:eastAsia="en-US"/>
              </w:rPr>
              <w:t>ВДТ</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rStyle w:val="tlid-translation"/>
                <w:rFonts w:eastAsiaTheme="majorEastAsia"/>
                <w:sz w:val="28"/>
                <w:szCs w:val="28"/>
                <w:lang w:val="uk-UA" w:eastAsia="en-US"/>
              </w:rPr>
              <w:t>відносна довжина теломер</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val="uk-UA" w:eastAsia="en-US"/>
              </w:rPr>
              <w:t>ВЕФР</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w:t>
            </w:r>
            <w:r w:rsidRPr="00663D7B">
              <w:rPr>
                <w:rStyle w:val="tlid-translation"/>
                <w:rFonts w:eastAsiaTheme="majorEastAsia"/>
                <w:sz w:val="28"/>
                <w:szCs w:val="28"/>
                <w:lang w:val="uk-UA" w:eastAsia="en-US"/>
              </w:rPr>
              <w:t>васкулоендотеліальний фактор росту</w:t>
            </w:r>
          </w:p>
        </w:tc>
      </w:tr>
      <w:tr w:rsidR="00E3259F" w:rsidRPr="00663D7B" w:rsidTr="00E3259F">
        <w:tc>
          <w:tcPr>
            <w:tcW w:w="1254" w:type="pct"/>
            <w:hideMark/>
          </w:tcPr>
          <w:p w:rsidR="00E3259F" w:rsidRPr="00663D7B" w:rsidRDefault="00E3259F" w:rsidP="00663D7B">
            <w:pPr>
              <w:widowControl w:val="0"/>
              <w:spacing w:line="360" w:lineRule="auto"/>
              <w:jc w:val="both"/>
              <w:rPr>
                <w:rStyle w:val="tlid-translation"/>
                <w:rFonts w:eastAsiaTheme="majorEastAsia"/>
                <w:sz w:val="28"/>
                <w:szCs w:val="28"/>
                <w:lang w:val="uk-UA"/>
              </w:rPr>
            </w:pPr>
            <w:r w:rsidRPr="00663D7B">
              <w:rPr>
                <w:sz w:val="28"/>
                <w:szCs w:val="28"/>
                <w:lang w:val="uk-UA" w:eastAsia="en-US"/>
              </w:rPr>
              <w:t>ГПО</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глутатіонпероксидаза</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shd w:val="clear" w:color="auto" w:fill="FFFFFF"/>
                <w:lang w:val="uk-UA" w:eastAsia="en-US"/>
              </w:rPr>
              <w:t>ГХ</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sz w:val="28"/>
                <w:szCs w:val="28"/>
                <w:shd w:val="clear" w:color="auto" w:fill="FFFFFF"/>
                <w:lang w:val="uk-UA" w:eastAsia="en-US"/>
              </w:rPr>
              <w:t xml:space="preserve"> гіпертонічна хвороба</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eastAsia="en-US"/>
              </w:rPr>
              <w:t>ДАТ</w:t>
            </w:r>
            <w:r w:rsidRPr="00663D7B">
              <w:rPr>
                <w:sz w:val="28"/>
                <w:szCs w:val="28"/>
                <w:lang w:val="uk-UA" w:eastAsia="en-US"/>
              </w:rPr>
              <w:t xml:space="preserve">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w:t>
            </w:r>
            <w:r w:rsidRPr="00663D7B">
              <w:rPr>
                <w:rStyle w:val="tlid-translation"/>
                <w:rFonts w:eastAsiaTheme="majorEastAsia"/>
                <w:sz w:val="28"/>
                <w:szCs w:val="28"/>
                <w:lang w:val="uk-UA" w:eastAsia="en-US"/>
              </w:rPr>
              <w:t>діастолічний</w:t>
            </w:r>
            <w:r w:rsidRPr="00663D7B">
              <w:rPr>
                <w:rStyle w:val="tlid-translation"/>
                <w:rFonts w:eastAsiaTheme="majorEastAsia"/>
                <w:sz w:val="28"/>
                <w:szCs w:val="28"/>
                <w:lang w:eastAsia="en-US"/>
              </w:rPr>
              <w:t xml:space="preserve"> артеріальний тиск</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eastAsia="en-US"/>
              </w:rPr>
              <w:t>ДЕ</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w:t>
            </w:r>
            <w:r w:rsidRPr="00663D7B">
              <w:rPr>
                <w:sz w:val="28"/>
                <w:szCs w:val="28"/>
                <w:lang w:eastAsia="en-US"/>
              </w:rPr>
              <w:t xml:space="preserve">дисфункції ендотелію </w:t>
            </w:r>
          </w:p>
        </w:tc>
      </w:tr>
      <w:tr w:rsidR="00E3259F" w:rsidRPr="00663D7B" w:rsidTr="00E3259F">
        <w:tc>
          <w:tcPr>
            <w:tcW w:w="1254" w:type="pct"/>
            <w:hideMark/>
          </w:tcPr>
          <w:p w:rsidR="00E3259F" w:rsidRPr="00663D7B" w:rsidRDefault="00E3259F" w:rsidP="00663D7B">
            <w:pPr>
              <w:widowControl w:val="0"/>
              <w:spacing w:line="360" w:lineRule="auto"/>
              <w:jc w:val="both"/>
              <w:rPr>
                <w:rStyle w:val="tlid-translation"/>
                <w:rFonts w:eastAsiaTheme="majorEastAsia"/>
                <w:sz w:val="28"/>
                <w:szCs w:val="28"/>
                <w:lang w:val="en-US"/>
              </w:rPr>
            </w:pPr>
            <w:r w:rsidRPr="00663D7B">
              <w:rPr>
                <w:rStyle w:val="tlid-translation"/>
                <w:rFonts w:eastAsiaTheme="majorEastAsia"/>
                <w:sz w:val="28"/>
                <w:szCs w:val="28"/>
                <w:lang w:eastAsia="en-US"/>
              </w:rPr>
              <w:t>ДТ</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sz w:val="28"/>
                <w:szCs w:val="28"/>
                <w:shd w:val="clear" w:color="auto" w:fill="FFFFFF"/>
                <w:lang w:val="uk-UA" w:eastAsia="en-US"/>
              </w:rPr>
              <w:t xml:space="preserve"> довжина теломер</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shd w:val="clear" w:color="auto" w:fill="FFFFFF"/>
                <w:lang w:val="uk-UA" w:eastAsia="en-US"/>
              </w:rPr>
              <w:t>ЗСА</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sz w:val="28"/>
                <w:szCs w:val="28"/>
                <w:shd w:val="clear" w:color="auto" w:fill="FFFFFF"/>
                <w:lang w:val="uk-UA" w:eastAsia="en-US"/>
              </w:rPr>
              <w:t xml:space="preserve"> загальна сонна артерія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ЗХС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загальний холестерин</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ІМТ</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індекс маси тіла</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ІР</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інсулінорезистентність</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ІХС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ішемічна хвороба серця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Інд. швид.стар.</w:t>
            </w:r>
          </w:p>
        </w:tc>
        <w:tc>
          <w:tcPr>
            <w:tcW w:w="3746" w:type="pct"/>
            <w:hideMark/>
          </w:tcPr>
          <w:p w:rsidR="00E3259F" w:rsidRPr="00663D7B" w:rsidRDefault="00E3259F" w:rsidP="00663D7B">
            <w:pPr>
              <w:pStyle w:val="a4"/>
              <w:widowControl w:val="0"/>
              <w:numPr>
                <w:ilvl w:val="0"/>
                <w:numId w:val="6"/>
              </w:numPr>
              <w:spacing w:line="360" w:lineRule="auto"/>
              <w:ind w:left="0" w:firstLine="0"/>
              <w:rPr>
                <w:sz w:val="28"/>
                <w:szCs w:val="28"/>
                <w:lang w:val="uk-UA" w:eastAsia="en-US"/>
              </w:rPr>
            </w:pPr>
            <w:r w:rsidRPr="00663D7B">
              <w:rPr>
                <w:sz w:val="28"/>
                <w:szCs w:val="28"/>
                <w:lang w:val="uk-UA" w:eastAsia="uk-UA"/>
              </w:rPr>
              <w:t>індекс швидкості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КВ</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календарний вік</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 xml:space="preserve">КВР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кардіо-васкулярний </w:t>
            </w:r>
            <w:r w:rsidRPr="00663D7B">
              <w:rPr>
                <w:sz w:val="28"/>
                <w:szCs w:val="28"/>
                <w:lang w:eastAsia="en-US"/>
              </w:rPr>
              <w:t xml:space="preserve"> ризик</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Коеф.стар</w:t>
            </w:r>
          </w:p>
        </w:tc>
        <w:tc>
          <w:tcPr>
            <w:tcW w:w="3746" w:type="pct"/>
            <w:hideMark/>
          </w:tcPr>
          <w:p w:rsidR="00E3259F" w:rsidRPr="00663D7B" w:rsidRDefault="00E3259F" w:rsidP="00663D7B">
            <w:pPr>
              <w:pStyle w:val="a4"/>
              <w:widowControl w:val="0"/>
              <w:numPr>
                <w:ilvl w:val="0"/>
                <w:numId w:val="8"/>
              </w:numPr>
              <w:tabs>
                <w:tab w:val="left" w:pos="319"/>
              </w:tabs>
              <w:spacing w:line="360" w:lineRule="auto"/>
              <w:ind w:left="0" w:firstLine="0"/>
              <w:rPr>
                <w:sz w:val="28"/>
                <w:szCs w:val="28"/>
                <w:lang w:val="uk-UA" w:eastAsia="en-US"/>
              </w:rPr>
            </w:pPr>
            <w:r w:rsidRPr="00663D7B">
              <w:rPr>
                <w:sz w:val="28"/>
                <w:szCs w:val="28"/>
                <w:lang w:val="uk-UA" w:eastAsia="uk-UA"/>
              </w:rPr>
              <w:t>коефіцієнт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Кт. швид.стар.</w:t>
            </w:r>
          </w:p>
        </w:tc>
        <w:tc>
          <w:tcPr>
            <w:tcW w:w="3746" w:type="pct"/>
            <w:hideMark/>
          </w:tcPr>
          <w:p w:rsidR="00E3259F" w:rsidRPr="00663D7B" w:rsidRDefault="00E3259F" w:rsidP="00663D7B">
            <w:pPr>
              <w:pStyle w:val="a4"/>
              <w:widowControl w:val="0"/>
              <w:numPr>
                <w:ilvl w:val="0"/>
                <w:numId w:val="8"/>
              </w:numPr>
              <w:tabs>
                <w:tab w:val="left" w:pos="319"/>
              </w:tabs>
              <w:spacing w:line="360" w:lineRule="auto"/>
              <w:ind w:left="0" w:firstLine="0"/>
              <w:rPr>
                <w:sz w:val="28"/>
                <w:szCs w:val="28"/>
                <w:lang w:val="uk-UA" w:eastAsia="en-US"/>
              </w:rPr>
            </w:pPr>
            <w:r w:rsidRPr="00663D7B">
              <w:rPr>
                <w:sz w:val="28"/>
                <w:szCs w:val="28"/>
                <w:lang w:val="uk-UA" w:eastAsia="uk-UA"/>
              </w:rPr>
              <w:t>коефіцієнт швидкості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shd w:val="clear" w:color="auto" w:fill="FFFFFF"/>
                <w:lang w:val="uk-UA" w:eastAsia="en-US"/>
              </w:rPr>
              <w:t>МДА</w:t>
            </w:r>
            <w:r w:rsidRPr="00663D7B">
              <w:rPr>
                <w:sz w:val="28"/>
                <w:szCs w:val="28"/>
                <w:lang w:val="uk-UA" w:eastAsia="en-US"/>
              </w:rPr>
              <w:t xml:space="preserve">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w:t>
            </w:r>
            <w:r w:rsidRPr="00663D7B">
              <w:rPr>
                <w:sz w:val="28"/>
                <w:szCs w:val="28"/>
                <w:shd w:val="clear" w:color="auto" w:fill="FFFFFF"/>
                <w:lang w:val="uk-UA" w:eastAsia="en-US"/>
              </w:rPr>
              <w:t>малоновий діальдегід</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shd w:val="clear" w:color="auto" w:fill="FFFFFF"/>
                <w:lang w:val="uk-UA" w:eastAsia="en-US"/>
              </w:rPr>
            </w:pPr>
            <w:r w:rsidRPr="00663D7B">
              <w:rPr>
                <w:sz w:val="28"/>
                <w:szCs w:val="28"/>
                <w:lang w:val="uk-UA" w:eastAsia="en-US"/>
              </w:rPr>
              <w:t>НБВ</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належний біологічний вік</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ОС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оксидативний стрес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 xml:space="preserve">ПОЛ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перекисне окислення ліпідів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ПС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передчасне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ПТС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–передчасний темп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val="uk-UA" w:eastAsia="en-US"/>
              </w:rPr>
              <w:t>РКД</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rStyle w:val="tlid-translation"/>
                <w:rFonts w:eastAsiaTheme="majorEastAsia"/>
                <w:sz w:val="28"/>
                <w:szCs w:val="28"/>
                <w:lang w:val="uk-UA" w:eastAsia="en-US"/>
              </w:rPr>
              <w:t>– рандомізовані клінічні дослідження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СГТ</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субклінічний гіпотиреоз</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eastAsia="en-US"/>
              </w:rPr>
              <w:t>СРП</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rStyle w:val="tlid-translation"/>
                <w:rFonts w:eastAsiaTheme="majorEastAsia"/>
                <w:sz w:val="28"/>
                <w:szCs w:val="28"/>
                <w:lang w:eastAsia="en-US"/>
              </w:rPr>
              <w:t xml:space="preserve"> С -реактивний протеїн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val="uk-UA" w:eastAsia="en-US"/>
              </w:rPr>
              <w:t>САТ</w:t>
            </w:r>
            <w:r w:rsidRPr="00663D7B">
              <w:rPr>
                <w:sz w:val="28"/>
                <w:szCs w:val="28"/>
                <w:lang w:val="uk-UA" w:eastAsia="en-US"/>
              </w:rPr>
              <w:t xml:space="preserve">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w:t>
            </w:r>
            <w:r w:rsidRPr="00663D7B">
              <w:rPr>
                <w:rStyle w:val="tlid-translation"/>
                <w:rFonts w:eastAsiaTheme="majorEastAsia"/>
                <w:sz w:val="28"/>
                <w:szCs w:val="28"/>
                <w:lang w:val="uk-UA" w:eastAsia="en-US"/>
              </w:rPr>
              <w:t>систолічний артеріальний тиск</w:t>
            </w:r>
          </w:p>
        </w:tc>
      </w:tr>
      <w:tr w:rsidR="00E3259F" w:rsidRPr="00663D7B" w:rsidTr="00E3259F">
        <w:tc>
          <w:tcPr>
            <w:tcW w:w="1254" w:type="pct"/>
            <w:hideMark/>
          </w:tcPr>
          <w:p w:rsidR="00E3259F" w:rsidRPr="00663D7B" w:rsidRDefault="00E3259F" w:rsidP="00663D7B">
            <w:pPr>
              <w:widowControl w:val="0"/>
              <w:spacing w:line="360" w:lineRule="auto"/>
              <w:jc w:val="both"/>
              <w:rPr>
                <w:rStyle w:val="tlid-translation"/>
                <w:rFonts w:eastAsiaTheme="majorEastAsia"/>
                <w:sz w:val="28"/>
                <w:szCs w:val="28"/>
                <w:lang w:val="uk-UA"/>
              </w:rPr>
            </w:pPr>
            <w:r w:rsidRPr="00663D7B">
              <w:rPr>
                <w:rStyle w:val="tlid-translation"/>
                <w:rFonts w:eastAsiaTheme="majorEastAsia"/>
                <w:sz w:val="28"/>
                <w:szCs w:val="28"/>
                <w:lang w:val="uk-UA" w:eastAsia="en-US"/>
              </w:rPr>
              <w:t>ССЗ</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серцево-судинні захворювання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val="uk-UA" w:eastAsia="en-US"/>
              </w:rPr>
              <w:t>ССУ</w:t>
            </w:r>
            <w:r w:rsidRPr="00663D7B">
              <w:rPr>
                <w:sz w:val="28"/>
                <w:szCs w:val="28"/>
                <w:lang w:val="uk-UA" w:eastAsia="en-US"/>
              </w:rPr>
              <w:t xml:space="preserve">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rStyle w:val="tlid-translation"/>
                <w:rFonts w:eastAsiaTheme="majorEastAsia"/>
                <w:sz w:val="28"/>
                <w:szCs w:val="28"/>
                <w:lang w:val="uk-UA" w:eastAsia="en-US"/>
              </w:rPr>
              <w:t xml:space="preserve"> серцево-судинні ускладнення</w:t>
            </w:r>
          </w:p>
        </w:tc>
      </w:tr>
      <w:tr w:rsidR="00E3259F" w:rsidRPr="00663D7B" w:rsidTr="00E3259F">
        <w:tc>
          <w:tcPr>
            <w:tcW w:w="1254" w:type="pct"/>
            <w:hideMark/>
          </w:tcPr>
          <w:p w:rsidR="00E3259F" w:rsidRPr="00663D7B" w:rsidRDefault="00E3259F" w:rsidP="00663D7B">
            <w:pPr>
              <w:widowControl w:val="0"/>
              <w:spacing w:line="360" w:lineRule="auto"/>
              <w:jc w:val="both"/>
              <w:rPr>
                <w:rStyle w:val="tlid-translation"/>
                <w:rFonts w:eastAsiaTheme="majorEastAsia"/>
                <w:sz w:val="28"/>
                <w:szCs w:val="28"/>
                <w:lang w:val="uk-UA"/>
              </w:rPr>
            </w:pPr>
            <w:r w:rsidRPr="00663D7B">
              <w:rPr>
                <w:sz w:val="28"/>
                <w:szCs w:val="28"/>
                <w:lang w:val="uk-UA" w:eastAsia="en-US"/>
              </w:rPr>
              <w:t>Т3віл</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–Т3 вільний</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Т4віл</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–Т4 (тироксин)  вільний</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ТГ</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тригліцериди</w:t>
            </w:r>
            <w:r w:rsidRPr="00663D7B">
              <w:rPr>
                <w:rStyle w:val="tlid-translation"/>
                <w:rFonts w:eastAsiaTheme="majorEastAsia"/>
                <w:sz w:val="28"/>
                <w:szCs w:val="28"/>
                <w:lang w:val="uk-UA" w:eastAsia="en-US"/>
              </w:rPr>
              <w:t xml:space="preserve">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vertAlign w:val="subscript"/>
                <w:lang w:val="uk-UA" w:eastAsia="en-US"/>
              </w:rPr>
            </w:pPr>
            <w:r w:rsidRPr="00663D7B">
              <w:rPr>
                <w:sz w:val="28"/>
                <w:szCs w:val="28"/>
                <w:shd w:val="clear" w:color="auto" w:fill="FFFFFF"/>
                <w:lang w:val="uk-UA" w:eastAsia="en-US"/>
              </w:rPr>
              <w:t>ТТГ</w:t>
            </w:r>
            <w:r w:rsidRPr="00663D7B">
              <w:rPr>
                <w:sz w:val="28"/>
                <w:szCs w:val="28"/>
                <w:lang w:val="uk-UA" w:eastAsia="en-US"/>
              </w:rPr>
              <w:t xml:space="preserve">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w:t>
            </w:r>
            <w:r w:rsidRPr="00663D7B">
              <w:rPr>
                <w:sz w:val="28"/>
                <w:szCs w:val="28"/>
                <w:shd w:val="clear" w:color="auto" w:fill="FFFFFF"/>
                <w:lang w:val="uk-UA" w:eastAsia="en-US"/>
              </w:rPr>
              <w:t>тиреотропний гормон</w:t>
            </w:r>
          </w:p>
        </w:tc>
      </w:tr>
      <w:tr w:rsidR="00E3259F" w:rsidRPr="00663D7B" w:rsidTr="00E3259F">
        <w:trPr>
          <w:trHeight w:val="343"/>
        </w:trPr>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ТКІМ</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товщина комплексу інтима-медіа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 xml:space="preserve">ТС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темпи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ум.од</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умовних одиниць</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УТС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уповільнений  темп старіння</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 xml:space="preserve">ФС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xml:space="preserve">– фізіологічне старіння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ФНП-α</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–фактор некрозу пухлини–α</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ХС ЛПВЩ</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холестерин ліпопротеїдів високої щільності</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ХС ЛПДНЩ</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холестерин ліпопротеїдів дуже низької щільності</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ХС ЛПНЩ</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холестерин ліпопротеїдів низької щільності</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ХСН</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хронічна серцева недостатність</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ЦД</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цукровий діабет</w:t>
            </w:r>
          </w:p>
        </w:tc>
      </w:tr>
      <w:tr w:rsidR="00E3259F" w:rsidRPr="00663D7B" w:rsidTr="00E3259F">
        <w:tc>
          <w:tcPr>
            <w:tcW w:w="1254" w:type="pct"/>
            <w:hideMark/>
          </w:tcPr>
          <w:p w:rsidR="00E3259F" w:rsidRPr="00663D7B" w:rsidRDefault="00E3259F" w:rsidP="00663D7B">
            <w:pPr>
              <w:widowControl w:val="0"/>
              <w:spacing w:line="360" w:lineRule="auto"/>
              <w:rPr>
                <w:sz w:val="28"/>
                <w:szCs w:val="28"/>
                <w:lang w:eastAsia="en-US"/>
              </w:rPr>
            </w:pPr>
            <w:r w:rsidRPr="00663D7B">
              <w:rPr>
                <w:sz w:val="28"/>
                <w:szCs w:val="28"/>
                <w:lang w:val="uk-UA" w:eastAsia="en-US"/>
              </w:rPr>
              <w:t xml:space="preserve">ЦДЕК </w:t>
            </w:r>
          </w:p>
        </w:tc>
        <w:tc>
          <w:tcPr>
            <w:tcW w:w="3746" w:type="pct"/>
            <w:hideMark/>
          </w:tcPr>
          <w:p w:rsidR="00E3259F" w:rsidRPr="00663D7B" w:rsidRDefault="00E3259F" w:rsidP="00663D7B">
            <w:pPr>
              <w:widowControl w:val="0"/>
              <w:spacing w:line="360" w:lineRule="auto"/>
              <w:rPr>
                <w:sz w:val="28"/>
                <w:szCs w:val="28"/>
                <w:lang w:eastAsia="en-US"/>
              </w:rPr>
            </w:pPr>
            <w:r w:rsidRPr="00663D7B">
              <w:rPr>
                <w:sz w:val="28"/>
                <w:szCs w:val="28"/>
                <w:lang w:val="uk-UA" w:eastAsia="en-US"/>
              </w:rPr>
              <w:t xml:space="preserve"> – циркулюючі десквамовані ендотеліальні клітини </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uk-UA" w:eastAsia="en-US"/>
              </w:rPr>
              <w:t xml:space="preserve">ЩЗ </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щитоподібна залоза</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Fonts w:eastAsia="Calibri"/>
                <w:sz w:val="28"/>
                <w:szCs w:val="28"/>
                <w:lang w:eastAsia="en-US"/>
              </w:rPr>
              <w:t>HRQ</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rFonts w:eastAsia="Calibri"/>
                <w:sz w:val="28"/>
                <w:szCs w:val="28"/>
                <w:lang w:eastAsia="en-US"/>
              </w:rPr>
              <w:t>Hypothyroid</w:t>
            </w:r>
            <w:r w:rsidRPr="00663D7B">
              <w:rPr>
                <w:rFonts w:eastAsia="Calibri"/>
                <w:sz w:val="28"/>
                <w:szCs w:val="28"/>
                <w:lang w:val="uk-UA" w:eastAsia="en-US"/>
              </w:rPr>
              <w:t xml:space="preserve"> </w:t>
            </w:r>
            <w:r w:rsidRPr="00663D7B">
              <w:rPr>
                <w:rFonts w:eastAsia="Calibri"/>
                <w:sz w:val="28"/>
                <w:szCs w:val="28"/>
                <w:lang w:eastAsia="en-US"/>
              </w:rPr>
              <w:t>Risk</w:t>
            </w:r>
            <w:r w:rsidRPr="00663D7B">
              <w:rPr>
                <w:rFonts w:eastAsia="Calibri"/>
                <w:sz w:val="28"/>
                <w:szCs w:val="28"/>
                <w:lang w:val="uk-UA" w:eastAsia="en-US"/>
              </w:rPr>
              <w:t xml:space="preserve"> </w:t>
            </w:r>
            <w:r w:rsidRPr="00663D7B">
              <w:rPr>
                <w:rFonts w:eastAsia="Calibri"/>
                <w:sz w:val="28"/>
                <w:szCs w:val="28"/>
                <w:lang w:eastAsia="en-US"/>
              </w:rPr>
              <w:t>Questionnaire</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rStyle w:val="tlid-translation"/>
                <w:rFonts w:eastAsiaTheme="majorEastAsia"/>
                <w:sz w:val="28"/>
                <w:szCs w:val="28"/>
                <w:lang w:val="uk-UA" w:eastAsia="en-US"/>
              </w:rPr>
              <w:t>8-OHdG</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w:t>
            </w:r>
            <w:r w:rsidRPr="00663D7B">
              <w:rPr>
                <w:rStyle w:val="tlid-translation"/>
                <w:rFonts w:eastAsiaTheme="majorEastAsia"/>
                <w:sz w:val="28"/>
                <w:szCs w:val="28"/>
                <w:lang w:val="uk-UA" w:eastAsia="en-US"/>
              </w:rPr>
              <w:t xml:space="preserve"> 8-гідрокси-2-дезоксигуанозин</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vertAlign w:val="subscript"/>
                <w:lang w:val="uk-UA" w:eastAsia="en-US"/>
              </w:rPr>
            </w:pPr>
            <w:r w:rsidRPr="00663D7B">
              <w:rPr>
                <w:sz w:val="28"/>
                <w:szCs w:val="28"/>
                <w:lang w:val="uk-UA" w:eastAsia="en-US"/>
              </w:rPr>
              <w:t>НbА</w:t>
            </w:r>
            <w:r w:rsidRPr="00663D7B">
              <w:rPr>
                <w:sz w:val="28"/>
                <w:szCs w:val="28"/>
                <w:vertAlign w:val="subscript"/>
                <w:lang w:val="uk-UA" w:eastAsia="en-US"/>
              </w:rPr>
              <w:t>1с</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глікозильований гемоглобін</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en-US" w:eastAsia="en-US"/>
              </w:rPr>
            </w:pPr>
            <w:r w:rsidRPr="00663D7B">
              <w:rPr>
                <w:sz w:val="28"/>
                <w:szCs w:val="28"/>
                <w:lang w:val="uk-UA" w:eastAsia="en-US"/>
              </w:rPr>
              <w:t>НОМА</w:t>
            </w:r>
            <w:r w:rsidR="00663D7B" w:rsidRPr="00663D7B">
              <w:rPr>
                <w:sz w:val="28"/>
                <w:szCs w:val="28"/>
                <w:lang w:val="uk-UA" w:eastAsia="en-US"/>
              </w:rPr>
              <w:t>-</w:t>
            </w:r>
            <w:r w:rsidR="00663D7B" w:rsidRPr="00663D7B">
              <w:rPr>
                <w:sz w:val="28"/>
                <w:szCs w:val="28"/>
                <w:lang w:val="en-US" w:eastAsia="en-US"/>
              </w:rPr>
              <w:t>IR</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Homeostasis Model Assessment</w:t>
            </w:r>
          </w:p>
        </w:tc>
      </w:tr>
      <w:tr w:rsidR="00E3259F" w:rsidRPr="00663D7B" w:rsidTr="00E3259F">
        <w:tc>
          <w:tcPr>
            <w:tcW w:w="1254" w:type="pct"/>
            <w:hideMark/>
          </w:tcPr>
          <w:p w:rsidR="00E3259F" w:rsidRPr="00663D7B" w:rsidRDefault="00E3259F" w:rsidP="00663D7B">
            <w:pPr>
              <w:widowControl w:val="0"/>
              <w:spacing w:line="360" w:lineRule="auto"/>
              <w:jc w:val="both"/>
              <w:rPr>
                <w:sz w:val="28"/>
                <w:szCs w:val="28"/>
                <w:lang w:val="uk-UA" w:eastAsia="en-US"/>
              </w:rPr>
            </w:pPr>
            <w:r w:rsidRPr="00663D7B">
              <w:rPr>
                <w:sz w:val="28"/>
                <w:szCs w:val="28"/>
                <w:lang w:val="en-AU" w:eastAsia="en-US"/>
              </w:rPr>
              <w:t>SH</w:t>
            </w:r>
            <w:r w:rsidRPr="00663D7B">
              <w:rPr>
                <w:sz w:val="28"/>
                <w:szCs w:val="28"/>
                <w:lang w:val="uk-UA" w:eastAsia="en-US"/>
              </w:rPr>
              <w:t>-групи</w:t>
            </w:r>
          </w:p>
        </w:tc>
        <w:tc>
          <w:tcPr>
            <w:tcW w:w="3746" w:type="pct"/>
            <w:hideMark/>
          </w:tcPr>
          <w:p w:rsidR="00E3259F" w:rsidRPr="00663D7B" w:rsidRDefault="00E3259F" w:rsidP="00663D7B">
            <w:pPr>
              <w:widowControl w:val="0"/>
              <w:spacing w:line="360" w:lineRule="auto"/>
              <w:rPr>
                <w:sz w:val="28"/>
                <w:szCs w:val="28"/>
                <w:lang w:val="uk-UA" w:eastAsia="en-US"/>
              </w:rPr>
            </w:pPr>
            <w:r w:rsidRPr="00663D7B">
              <w:rPr>
                <w:sz w:val="28"/>
                <w:szCs w:val="28"/>
                <w:lang w:val="uk-UA" w:eastAsia="en-US"/>
              </w:rPr>
              <w:t>– сульфгідрильні групи</w:t>
            </w:r>
          </w:p>
        </w:tc>
      </w:tr>
    </w:tbl>
    <w:p w:rsidR="00E3259F" w:rsidRDefault="00E3259F" w:rsidP="00E3259F">
      <w:pPr>
        <w:ind w:firstLine="709"/>
        <w:rPr>
          <w:color w:val="000000"/>
          <w:sz w:val="28"/>
          <w:szCs w:val="28"/>
          <w:shd w:val="clear" w:color="auto" w:fill="FFFFFF"/>
          <w:lang w:val="uk-UA" w:eastAsia="en-US"/>
        </w:rPr>
      </w:pPr>
    </w:p>
    <w:p w:rsidR="00E3259F" w:rsidRDefault="00E3259F" w:rsidP="00E3259F">
      <w:pPr>
        <w:spacing w:after="200" w:line="276" w:lineRule="auto"/>
        <w:rPr>
          <w:sz w:val="28"/>
          <w:szCs w:val="28"/>
          <w:lang w:val="uk-UA"/>
        </w:rPr>
      </w:pPr>
      <w:r>
        <w:rPr>
          <w:sz w:val="28"/>
          <w:szCs w:val="28"/>
          <w:lang w:val="uk-UA"/>
        </w:rPr>
        <w:br w:type="page"/>
      </w:r>
    </w:p>
    <w:p w:rsidR="00E3259F" w:rsidRDefault="00E3259F" w:rsidP="00E3259F">
      <w:pPr>
        <w:spacing w:line="360" w:lineRule="auto"/>
        <w:ind w:firstLine="708"/>
        <w:jc w:val="center"/>
        <w:rPr>
          <w:sz w:val="28"/>
          <w:szCs w:val="28"/>
          <w:lang w:val="uk-UA"/>
        </w:rPr>
      </w:pPr>
      <w:r>
        <w:rPr>
          <w:sz w:val="28"/>
          <w:szCs w:val="28"/>
        </w:rPr>
        <w:t>ЗМІСТ</w:t>
      </w:r>
    </w:p>
    <w:tbl>
      <w:tblPr>
        <w:tblW w:w="9750" w:type="dxa"/>
        <w:tblLayout w:type="fixed"/>
        <w:tblLook w:val="00A0" w:firstRow="1" w:lastRow="0" w:firstColumn="1" w:lastColumn="0" w:noHBand="0" w:noVBand="0"/>
      </w:tblPr>
      <w:tblGrid>
        <w:gridCol w:w="9042"/>
        <w:gridCol w:w="708"/>
      </w:tblGrid>
      <w:tr w:rsidR="00E3259F" w:rsidTr="00D43235">
        <w:trPr>
          <w:trHeight w:val="391"/>
        </w:trPr>
        <w:tc>
          <w:tcPr>
            <w:tcW w:w="9042" w:type="dxa"/>
            <w:hideMark/>
          </w:tcPr>
          <w:p w:rsidR="00E3259F" w:rsidRDefault="00E3259F">
            <w:pPr>
              <w:spacing w:line="360" w:lineRule="auto"/>
              <w:rPr>
                <w:sz w:val="28"/>
                <w:szCs w:val="28"/>
                <w:lang w:val="uk-UA" w:eastAsia="en-US"/>
              </w:rPr>
            </w:pPr>
            <w:r>
              <w:rPr>
                <w:sz w:val="28"/>
                <w:szCs w:val="28"/>
                <w:lang w:val="uk-UA" w:eastAsia="en-US"/>
              </w:rPr>
              <w:t>АННОТАЦІЯ …………………………………………………………..</w:t>
            </w:r>
          </w:p>
        </w:tc>
        <w:tc>
          <w:tcPr>
            <w:tcW w:w="708" w:type="dxa"/>
            <w:hideMark/>
          </w:tcPr>
          <w:p w:rsidR="00E3259F" w:rsidRDefault="00E3259F">
            <w:pPr>
              <w:spacing w:line="384" w:lineRule="auto"/>
              <w:jc w:val="center"/>
              <w:rPr>
                <w:sz w:val="28"/>
                <w:szCs w:val="28"/>
                <w:lang w:val="uk-UA" w:eastAsia="en-US"/>
              </w:rPr>
            </w:pPr>
            <w:r>
              <w:rPr>
                <w:sz w:val="28"/>
                <w:szCs w:val="28"/>
                <w:lang w:val="uk-UA" w:eastAsia="en-US"/>
              </w:rPr>
              <w:t>2</w:t>
            </w:r>
          </w:p>
        </w:tc>
      </w:tr>
      <w:tr w:rsidR="00E3259F" w:rsidTr="00E3259F">
        <w:trPr>
          <w:trHeight w:val="451"/>
        </w:trPr>
        <w:tc>
          <w:tcPr>
            <w:tcW w:w="9042" w:type="dxa"/>
            <w:hideMark/>
          </w:tcPr>
          <w:p w:rsidR="00E3259F" w:rsidRDefault="00E3259F">
            <w:pPr>
              <w:spacing w:line="360" w:lineRule="auto"/>
              <w:rPr>
                <w:sz w:val="28"/>
                <w:szCs w:val="28"/>
                <w:lang w:val="uk-UA" w:eastAsia="en-US"/>
              </w:rPr>
            </w:pPr>
            <w:r>
              <w:rPr>
                <w:sz w:val="28"/>
                <w:szCs w:val="28"/>
                <w:lang w:val="en-US" w:eastAsia="en-US"/>
              </w:rPr>
              <w:t>ANNOTATION</w:t>
            </w:r>
            <w:r>
              <w:rPr>
                <w:sz w:val="28"/>
                <w:szCs w:val="28"/>
                <w:lang w:val="uk-UA" w:eastAsia="en-US"/>
              </w:rPr>
              <w:t>………………………………………………………….</w:t>
            </w:r>
          </w:p>
        </w:tc>
        <w:tc>
          <w:tcPr>
            <w:tcW w:w="708" w:type="dxa"/>
            <w:hideMark/>
          </w:tcPr>
          <w:p w:rsidR="00E3259F" w:rsidRDefault="00E3259F">
            <w:pPr>
              <w:spacing w:line="384" w:lineRule="auto"/>
              <w:jc w:val="center"/>
              <w:rPr>
                <w:sz w:val="28"/>
                <w:szCs w:val="28"/>
                <w:lang w:val="uk-UA" w:eastAsia="en-US"/>
              </w:rPr>
            </w:pPr>
            <w:r>
              <w:rPr>
                <w:sz w:val="28"/>
                <w:szCs w:val="28"/>
                <w:lang w:val="uk-UA" w:eastAsia="en-US"/>
              </w:rPr>
              <w:t>10</w:t>
            </w:r>
          </w:p>
        </w:tc>
      </w:tr>
      <w:tr w:rsidR="00E3259F" w:rsidTr="00E3259F">
        <w:trPr>
          <w:trHeight w:val="509"/>
        </w:trPr>
        <w:tc>
          <w:tcPr>
            <w:tcW w:w="9042" w:type="dxa"/>
            <w:hideMark/>
          </w:tcPr>
          <w:p w:rsidR="00E3259F" w:rsidRDefault="00E3259F">
            <w:pPr>
              <w:spacing w:line="360" w:lineRule="auto"/>
              <w:rPr>
                <w:sz w:val="28"/>
                <w:szCs w:val="28"/>
                <w:lang w:val="uk-UA" w:eastAsia="en-US"/>
              </w:rPr>
            </w:pPr>
            <w:r>
              <w:rPr>
                <w:sz w:val="28"/>
                <w:szCs w:val="28"/>
                <w:lang w:val="uk-UA" w:eastAsia="en-US"/>
              </w:rPr>
              <w:t>СПИСОК ПУБЛІКАЦІЙ ЗДОБУВАЧА ЗА ТЕМОЮ ДИСЕРТАЦІЇ……</w:t>
            </w:r>
          </w:p>
        </w:tc>
        <w:tc>
          <w:tcPr>
            <w:tcW w:w="708" w:type="dxa"/>
            <w:hideMark/>
          </w:tcPr>
          <w:p w:rsidR="00E3259F" w:rsidRDefault="00E3259F">
            <w:pPr>
              <w:spacing w:line="384" w:lineRule="auto"/>
              <w:jc w:val="center"/>
              <w:rPr>
                <w:sz w:val="28"/>
                <w:szCs w:val="28"/>
                <w:lang w:val="uk-UA" w:eastAsia="en-US"/>
              </w:rPr>
            </w:pPr>
            <w:r>
              <w:rPr>
                <w:sz w:val="28"/>
                <w:szCs w:val="28"/>
                <w:lang w:val="uk-UA" w:eastAsia="en-US"/>
              </w:rPr>
              <w:t>17</w:t>
            </w:r>
          </w:p>
        </w:tc>
      </w:tr>
      <w:tr w:rsidR="00E3259F" w:rsidTr="00E3259F">
        <w:trPr>
          <w:trHeight w:val="559"/>
        </w:trPr>
        <w:tc>
          <w:tcPr>
            <w:tcW w:w="9042" w:type="dxa"/>
            <w:hideMark/>
          </w:tcPr>
          <w:p w:rsidR="00E3259F" w:rsidRDefault="00E3259F">
            <w:pPr>
              <w:spacing w:line="360" w:lineRule="auto"/>
              <w:rPr>
                <w:sz w:val="28"/>
                <w:szCs w:val="28"/>
                <w:lang w:val="uk-UA" w:eastAsia="en-US"/>
              </w:rPr>
            </w:pPr>
            <w:r>
              <w:rPr>
                <w:sz w:val="28"/>
                <w:szCs w:val="28"/>
                <w:lang w:eastAsia="en-US"/>
              </w:rPr>
              <w:t>ПЕРЕЛ</w:t>
            </w:r>
            <w:r>
              <w:rPr>
                <w:sz w:val="28"/>
                <w:szCs w:val="28"/>
                <w:lang w:val="uk-UA" w:eastAsia="en-US"/>
              </w:rPr>
              <w:t>І</w:t>
            </w:r>
            <w:r>
              <w:rPr>
                <w:sz w:val="28"/>
                <w:szCs w:val="28"/>
                <w:lang w:eastAsia="en-US"/>
              </w:rPr>
              <w:t>К УМОВНИХ СКОРОЧЕНЬ,</w:t>
            </w:r>
            <w:r w:rsidR="00663D7B" w:rsidRPr="00663D7B">
              <w:rPr>
                <w:sz w:val="28"/>
                <w:szCs w:val="28"/>
                <w:lang w:eastAsia="en-US"/>
              </w:rPr>
              <w:t xml:space="preserve"> </w:t>
            </w:r>
            <w:r>
              <w:rPr>
                <w:sz w:val="28"/>
                <w:szCs w:val="28"/>
                <w:lang w:eastAsia="en-US"/>
              </w:rPr>
              <w:t>ПОЗНАЧЕНЬ, СИМВОЛ</w:t>
            </w:r>
            <w:r>
              <w:rPr>
                <w:sz w:val="28"/>
                <w:szCs w:val="28"/>
                <w:lang w:val="uk-UA" w:eastAsia="en-US"/>
              </w:rPr>
              <w:t>І</w:t>
            </w:r>
            <w:r>
              <w:rPr>
                <w:sz w:val="28"/>
                <w:szCs w:val="28"/>
                <w:lang w:eastAsia="en-US"/>
              </w:rPr>
              <w:t>В</w:t>
            </w:r>
            <w:r>
              <w:rPr>
                <w:sz w:val="28"/>
                <w:szCs w:val="28"/>
                <w:lang w:val="uk-UA" w:eastAsia="en-US"/>
              </w:rPr>
              <w:t>……</w:t>
            </w:r>
          </w:p>
        </w:tc>
        <w:tc>
          <w:tcPr>
            <w:tcW w:w="708" w:type="dxa"/>
            <w:hideMark/>
          </w:tcPr>
          <w:p w:rsidR="00E3259F" w:rsidRDefault="00E3259F">
            <w:pPr>
              <w:spacing w:line="384" w:lineRule="auto"/>
              <w:jc w:val="center"/>
              <w:rPr>
                <w:sz w:val="28"/>
                <w:szCs w:val="28"/>
                <w:lang w:val="uk-UA" w:eastAsia="en-US"/>
              </w:rPr>
            </w:pPr>
            <w:r>
              <w:rPr>
                <w:sz w:val="28"/>
                <w:szCs w:val="28"/>
                <w:lang w:val="uk-UA" w:eastAsia="en-US"/>
              </w:rPr>
              <w:t>27</w:t>
            </w:r>
          </w:p>
        </w:tc>
      </w:tr>
      <w:tr w:rsidR="00E3259F" w:rsidTr="00E3259F">
        <w:trPr>
          <w:trHeight w:val="525"/>
        </w:trPr>
        <w:tc>
          <w:tcPr>
            <w:tcW w:w="9042" w:type="dxa"/>
            <w:hideMark/>
          </w:tcPr>
          <w:p w:rsidR="00E3259F" w:rsidRDefault="00E3259F">
            <w:pPr>
              <w:spacing w:line="360" w:lineRule="auto"/>
              <w:rPr>
                <w:spacing w:val="-3"/>
                <w:sz w:val="28"/>
                <w:szCs w:val="28"/>
                <w:lang w:val="uk-UA" w:eastAsia="en-US"/>
              </w:rPr>
            </w:pPr>
            <w:r>
              <w:rPr>
                <w:spacing w:val="-3"/>
                <w:sz w:val="28"/>
                <w:szCs w:val="28"/>
                <w:lang w:val="uk-UA" w:eastAsia="en-US"/>
              </w:rPr>
              <w:t>ВСТУП……………………………………………………………………</w:t>
            </w:r>
          </w:p>
        </w:tc>
        <w:tc>
          <w:tcPr>
            <w:tcW w:w="708" w:type="dxa"/>
            <w:hideMark/>
          </w:tcPr>
          <w:p w:rsidR="00E3259F" w:rsidRDefault="00E3259F">
            <w:pPr>
              <w:spacing w:line="384" w:lineRule="auto"/>
              <w:jc w:val="center"/>
              <w:rPr>
                <w:sz w:val="28"/>
                <w:szCs w:val="28"/>
                <w:lang w:val="uk-UA" w:eastAsia="en-US"/>
              </w:rPr>
            </w:pPr>
            <w:r>
              <w:rPr>
                <w:sz w:val="28"/>
                <w:szCs w:val="28"/>
                <w:lang w:val="uk-UA" w:eastAsia="en-US"/>
              </w:rPr>
              <w:t>34</w:t>
            </w:r>
          </w:p>
        </w:tc>
      </w:tr>
      <w:tr w:rsidR="00E3259F" w:rsidTr="00E3259F">
        <w:trPr>
          <w:trHeight w:val="482"/>
        </w:trPr>
        <w:tc>
          <w:tcPr>
            <w:tcW w:w="9042" w:type="dxa"/>
            <w:hideMark/>
          </w:tcPr>
          <w:p w:rsidR="00E3259F" w:rsidRDefault="00E3259F">
            <w:pPr>
              <w:shd w:val="clear" w:color="auto" w:fill="FFFFFF"/>
              <w:tabs>
                <w:tab w:val="left" w:leader="dot" w:pos="8362"/>
              </w:tabs>
              <w:spacing w:line="360" w:lineRule="auto"/>
              <w:jc w:val="both"/>
              <w:rPr>
                <w:spacing w:val="-1"/>
                <w:sz w:val="28"/>
                <w:szCs w:val="28"/>
                <w:lang w:val="uk-UA" w:eastAsia="en-US"/>
              </w:rPr>
            </w:pPr>
            <w:r>
              <w:rPr>
                <w:spacing w:val="-1"/>
                <w:sz w:val="28"/>
                <w:szCs w:val="28"/>
                <w:lang w:val="uk-UA" w:eastAsia="en-US"/>
              </w:rPr>
              <w:t xml:space="preserve">РОЗДІЛ 1. </w:t>
            </w:r>
            <w:r>
              <w:rPr>
                <w:sz w:val="28"/>
                <w:szCs w:val="28"/>
                <w:lang w:val="uk-UA" w:eastAsia="en-US"/>
              </w:rPr>
              <w:t>ОГЛЯД ЛІТЕРАТУРИ……………………………………..</w:t>
            </w:r>
          </w:p>
        </w:tc>
        <w:tc>
          <w:tcPr>
            <w:tcW w:w="708" w:type="dxa"/>
            <w:hideMark/>
          </w:tcPr>
          <w:p w:rsidR="00E3259F" w:rsidRDefault="00E3259F">
            <w:pPr>
              <w:spacing w:line="384" w:lineRule="auto"/>
              <w:jc w:val="center"/>
              <w:rPr>
                <w:sz w:val="28"/>
                <w:szCs w:val="28"/>
                <w:lang w:val="uk-UA" w:eastAsia="en-US"/>
              </w:rPr>
            </w:pPr>
            <w:r>
              <w:rPr>
                <w:sz w:val="28"/>
                <w:szCs w:val="28"/>
                <w:lang w:val="uk-UA" w:eastAsia="en-US"/>
              </w:rPr>
              <w:t>46</w:t>
            </w:r>
          </w:p>
        </w:tc>
      </w:tr>
      <w:tr w:rsidR="00E3259F" w:rsidTr="00E3259F">
        <w:trPr>
          <w:trHeight w:val="882"/>
        </w:trPr>
        <w:tc>
          <w:tcPr>
            <w:tcW w:w="9042" w:type="dxa"/>
            <w:hideMark/>
          </w:tcPr>
          <w:p w:rsidR="00E3259F" w:rsidRDefault="00E3259F">
            <w:pPr>
              <w:tabs>
                <w:tab w:val="left" w:pos="851"/>
              </w:tabs>
              <w:spacing w:line="360" w:lineRule="auto"/>
              <w:jc w:val="both"/>
              <w:rPr>
                <w:sz w:val="28"/>
                <w:szCs w:val="28"/>
                <w:lang w:val="uk-UA" w:eastAsia="en-US"/>
              </w:rPr>
            </w:pPr>
            <w:r>
              <w:rPr>
                <w:sz w:val="28"/>
                <w:szCs w:val="28"/>
                <w:lang w:val="uk-UA" w:eastAsia="en-US"/>
              </w:rPr>
              <w:t xml:space="preserve">1.1 </w:t>
            </w:r>
            <w:r>
              <w:rPr>
                <w:sz w:val="28"/>
                <w:szCs w:val="28"/>
                <w:lang w:eastAsia="en-US"/>
              </w:rPr>
              <w:t xml:space="preserve">Проблема </w:t>
            </w:r>
            <w:r>
              <w:rPr>
                <w:sz w:val="28"/>
                <w:szCs w:val="28"/>
                <w:lang w:val="uk-UA" w:eastAsia="en-US"/>
              </w:rPr>
              <w:t>гіпертонічної хвороби</w:t>
            </w:r>
            <w:r>
              <w:rPr>
                <w:sz w:val="28"/>
                <w:szCs w:val="28"/>
                <w:lang w:eastAsia="en-US"/>
              </w:rPr>
              <w:t xml:space="preserve"> та цукрового діабету 2 типу в різних вікових групах</w:t>
            </w:r>
            <w:r>
              <w:rPr>
                <w:sz w:val="28"/>
                <w:szCs w:val="28"/>
                <w:lang w:val="uk-UA" w:eastAsia="en-US"/>
              </w:rPr>
              <w:t>……………………………………………………………</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r>
              <w:rPr>
                <w:sz w:val="28"/>
                <w:szCs w:val="28"/>
                <w:lang w:val="uk-UA" w:eastAsia="en-US"/>
              </w:rPr>
              <w:t>46</w:t>
            </w:r>
          </w:p>
        </w:tc>
      </w:tr>
      <w:tr w:rsidR="00E3259F" w:rsidTr="00E3259F">
        <w:tc>
          <w:tcPr>
            <w:tcW w:w="9042" w:type="dxa"/>
            <w:hideMark/>
          </w:tcPr>
          <w:p w:rsidR="00E3259F" w:rsidRDefault="00E3259F">
            <w:pPr>
              <w:tabs>
                <w:tab w:val="left" w:pos="1134"/>
              </w:tabs>
              <w:spacing w:line="360" w:lineRule="auto"/>
              <w:jc w:val="both"/>
              <w:rPr>
                <w:sz w:val="28"/>
                <w:szCs w:val="28"/>
                <w:lang w:val="uk-UA" w:eastAsia="en-US"/>
              </w:rPr>
            </w:pPr>
            <w:r>
              <w:rPr>
                <w:sz w:val="28"/>
                <w:szCs w:val="28"/>
                <w:lang w:val="uk-UA" w:eastAsia="en-US"/>
              </w:rPr>
              <w:t xml:space="preserve">1.2 </w:t>
            </w:r>
            <w:r>
              <w:rPr>
                <w:sz w:val="28"/>
                <w:szCs w:val="28"/>
                <w:lang w:eastAsia="en-US"/>
              </w:rPr>
              <w:t xml:space="preserve">Роль </w:t>
            </w:r>
            <w:r>
              <w:rPr>
                <w:sz w:val="28"/>
                <w:szCs w:val="28"/>
                <w:lang w:val="uk-UA" w:eastAsia="en-US"/>
              </w:rPr>
              <w:t xml:space="preserve">субклінічного </w:t>
            </w:r>
            <w:r>
              <w:rPr>
                <w:sz w:val="28"/>
                <w:szCs w:val="28"/>
                <w:lang w:eastAsia="en-US"/>
              </w:rPr>
              <w:t>гіпотиреоз</w:t>
            </w:r>
            <w:r>
              <w:rPr>
                <w:sz w:val="28"/>
                <w:szCs w:val="28"/>
                <w:lang w:val="uk-UA" w:eastAsia="en-US"/>
              </w:rPr>
              <w:t>у</w:t>
            </w:r>
            <w:r>
              <w:rPr>
                <w:sz w:val="28"/>
                <w:szCs w:val="28"/>
                <w:lang w:eastAsia="en-US"/>
              </w:rPr>
              <w:t xml:space="preserve"> як додаткового фактора ризику прогресування </w:t>
            </w:r>
            <w:r>
              <w:rPr>
                <w:sz w:val="28"/>
                <w:szCs w:val="28"/>
                <w:lang w:val="uk-UA" w:eastAsia="en-US"/>
              </w:rPr>
              <w:t>гіпертонічної хвороби</w:t>
            </w:r>
            <w:r>
              <w:rPr>
                <w:sz w:val="28"/>
                <w:szCs w:val="28"/>
                <w:lang w:eastAsia="en-US"/>
              </w:rPr>
              <w:t xml:space="preserve"> в поєднанні з цукровим діабетом 2 типу.</w:t>
            </w:r>
            <w:r>
              <w:rPr>
                <w:sz w:val="28"/>
                <w:szCs w:val="28"/>
                <w:lang w:val="uk-UA" w:eastAsia="en-US"/>
              </w:rPr>
              <w:t xml:space="preserve">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r>
              <w:rPr>
                <w:sz w:val="28"/>
                <w:szCs w:val="28"/>
                <w:lang w:val="uk-UA" w:eastAsia="en-US"/>
              </w:rPr>
              <w:t>49</w:t>
            </w:r>
          </w:p>
        </w:tc>
      </w:tr>
      <w:tr w:rsidR="00E3259F" w:rsidTr="00E3259F">
        <w:tc>
          <w:tcPr>
            <w:tcW w:w="9042" w:type="dxa"/>
            <w:hideMark/>
          </w:tcPr>
          <w:p w:rsidR="00E3259F" w:rsidRDefault="00E3259F">
            <w:pPr>
              <w:spacing w:line="360" w:lineRule="auto"/>
              <w:jc w:val="both"/>
              <w:rPr>
                <w:sz w:val="28"/>
                <w:szCs w:val="28"/>
                <w:lang w:val="uk-UA" w:eastAsia="en-US"/>
              </w:rPr>
            </w:pPr>
            <w:r>
              <w:rPr>
                <w:bCs/>
                <w:sz w:val="28"/>
                <w:szCs w:val="28"/>
                <w:lang w:eastAsia="en-US"/>
              </w:rPr>
              <w:t>1.</w:t>
            </w:r>
            <w:r>
              <w:rPr>
                <w:bCs/>
                <w:sz w:val="28"/>
                <w:szCs w:val="28"/>
                <w:lang w:val="uk-UA" w:eastAsia="en-US"/>
              </w:rPr>
              <w:t xml:space="preserve">3 </w:t>
            </w:r>
            <w:r>
              <w:rPr>
                <w:sz w:val="28"/>
                <w:szCs w:val="28"/>
                <w:lang w:eastAsia="en-US"/>
              </w:rPr>
              <w:t xml:space="preserve">Коморбідність </w:t>
            </w:r>
            <w:r>
              <w:rPr>
                <w:sz w:val="28"/>
                <w:szCs w:val="28"/>
                <w:lang w:val="uk-UA" w:eastAsia="en-US"/>
              </w:rPr>
              <w:t>гіпертонічної хвороби</w:t>
            </w:r>
            <w:r>
              <w:rPr>
                <w:sz w:val="28"/>
                <w:szCs w:val="28"/>
                <w:lang w:eastAsia="en-US"/>
              </w:rPr>
              <w:t xml:space="preserve">, цукрового діабету 2 типу та </w:t>
            </w:r>
            <w:r>
              <w:rPr>
                <w:sz w:val="28"/>
                <w:szCs w:val="28"/>
                <w:lang w:val="uk-UA" w:eastAsia="en-US"/>
              </w:rPr>
              <w:t xml:space="preserve">субклінічного </w:t>
            </w:r>
            <w:r>
              <w:rPr>
                <w:sz w:val="28"/>
                <w:szCs w:val="28"/>
                <w:lang w:eastAsia="en-US"/>
              </w:rPr>
              <w:t>гіпотиреоз</w:t>
            </w:r>
            <w:r>
              <w:rPr>
                <w:sz w:val="28"/>
                <w:szCs w:val="28"/>
                <w:lang w:val="uk-UA" w:eastAsia="en-US"/>
              </w:rPr>
              <w:t>у</w:t>
            </w:r>
            <w:r>
              <w:rPr>
                <w:sz w:val="28"/>
                <w:szCs w:val="28"/>
                <w:lang w:eastAsia="en-US"/>
              </w:rPr>
              <w:t>: єдність патогенезів…</w:t>
            </w:r>
            <w:r>
              <w:rPr>
                <w:sz w:val="28"/>
                <w:szCs w:val="28"/>
                <w:lang w:val="uk-UA" w:eastAsia="en-US"/>
              </w:rPr>
              <w:t>……………………..</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r>
              <w:rPr>
                <w:sz w:val="28"/>
                <w:szCs w:val="28"/>
                <w:lang w:val="uk-UA" w:eastAsia="en-US"/>
              </w:rPr>
              <w:t>53</w:t>
            </w:r>
          </w:p>
        </w:tc>
      </w:tr>
      <w:tr w:rsidR="00E3259F" w:rsidTr="00E3259F">
        <w:tc>
          <w:tcPr>
            <w:tcW w:w="9042" w:type="dxa"/>
            <w:hideMark/>
          </w:tcPr>
          <w:p w:rsidR="00E3259F" w:rsidRDefault="00E3259F">
            <w:pPr>
              <w:spacing w:line="360" w:lineRule="auto"/>
              <w:jc w:val="both"/>
              <w:rPr>
                <w:bCs/>
                <w:sz w:val="28"/>
                <w:szCs w:val="28"/>
                <w:lang w:val="uk-UA" w:eastAsia="en-US"/>
              </w:rPr>
            </w:pPr>
            <w:r>
              <w:rPr>
                <w:bCs/>
                <w:sz w:val="28"/>
                <w:szCs w:val="28"/>
                <w:lang w:val="uk-UA" w:eastAsia="en-US"/>
              </w:rPr>
              <w:t>1.4.</w:t>
            </w:r>
            <w:r>
              <w:rPr>
                <w:sz w:val="28"/>
                <w:szCs w:val="28"/>
                <w:lang w:eastAsia="en-US"/>
              </w:rPr>
              <w:t xml:space="preserve"> Сучасні теорії передчасного старіння: місце передчасного судинного старіння як фактора прогресування та ризику розвитку серцево-судинних ускладнень</w:t>
            </w:r>
            <w:r>
              <w:rPr>
                <w:sz w:val="28"/>
                <w:szCs w:val="28"/>
                <w:lang w:val="uk-UA" w:eastAsia="en-US"/>
              </w:rPr>
              <w:t xml:space="preserve">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2C0AFC">
            <w:pPr>
              <w:spacing w:line="384" w:lineRule="auto"/>
              <w:jc w:val="center"/>
              <w:rPr>
                <w:sz w:val="28"/>
                <w:szCs w:val="28"/>
                <w:lang w:val="uk-UA" w:eastAsia="en-US"/>
              </w:rPr>
            </w:pPr>
            <w:r>
              <w:rPr>
                <w:sz w:val="28"/>
                <w:szCs w:val="28"/>
                <w:lang w:val="uk-UA" w:eastAsia="en-US"/>
              </w:rPr>
              <w:t>6</w:t>
            </w:r>
            <w:r w:rsidR="002C0AFC">
              <w:rPr>
                <w:sz w:val="28"/>
                <w:szCs w:val="28"/>
                <w:lang w:val="uk-UA" w:eastAsia="en-US"/>
              </w:rPr>
              <w:t>5</w:t>
            </w:r>
          </w:p>
        </w:tc>
      </w:tr>
      <w:tr w:rsidR="00E3259F" w:rsidTr="00E3259F">
        <w:tc>
          <w:tcPr>
            <w:tcW w:w="9042" w:type="dxa"/>
            <w:hideMark/>
          </w:tcPr>
          <w:p w:rsidR="00E3259F" w:rsidRDefault="00E3259F">
            <w:pPr>
              <w:pStyle w:val="a4"/>
              <w:spacing w:line="360" w:lineRule="auto"/>
              <w:ind w:left="0"/>
              <w:jc w:val="both"/>
              <w:rPr>
                <w:rFonts w:eastAsiaTheme="minorHAnsi"/>
                <w:bCs/>
                <w:sz w:val="28"/>
                <w:szCs w:val="28"/>
                <w:lang w:val="uk-UA" w:eastAsia="en-US"/>
              </w:rPr>
            </w:pPr>
            <w:r>
              <w:rPr>
                <w:rFonts w:eastAsiaTheme="minorHAnsi"/>
                <w:bCs/>
                <w:sz w:val="28"/>
                <w:szCs w:val="28"/>
                <w:lang w:val="uk-UA" w:eastAsia="en-US"/>
              </w:rPr>
              <w:t>1.5</w:t>
            </w:r>
            <w:r>
              <w:rPr>
                <w:rFonts w:eastAsiaTheme="minorHAnsi"/>
                <w:sz w:val="28"/>
                <w:szCs w:val="28"/>
                <w:lang w:val="uk-UA" w:eastAsia="en-US"/>
              </w:rPr>
              <w:t xml:space="preserve"> Сучасні підходи до лікування  та профілактики, що впливають на різні ланки прогресування гіпертонічної хвороби в поєднанні з цукровим діабетом 2 типу та субклінічним гіпотиреозом………………………..</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r>
              <w:rPr>
                <w:sz w:val="28"/>
                <w:szCs w:val="28"/>
                <w:lang w:val="uk-UA" w:eastAsia="en-US"/>
              </w:rPr>
              <w:t>76</w:t>
            </w:r>
          </w:p>
        </w:tc>
      </w:tr>
      <w:tr w:rsidR="00E3259F" w:rsidTr="00E3259F">
        <w:tc>
          <w:tcPr>
            <w:tcW w:w="9042" w:type="dxa"/>
            <w:hideMark/>
          </w:tcPr>
          <w:p w:rsidR="00E3259F" w:rsidRDefault="00E3259F" w:rsidP="008532D4">
            <w:pPr>
              <w:shd w:val="clear" w:color="auto" w:fill="FFFFFF"/>
              <w:spacing w:line="360" w:lineRule="auto"/>
              <w:jc w:val="both"/>
              <w:rPr>
                <w:sz w:val="28"/>
                <w:szCs w:val="28"/>
                <w:lang w:val="uk-UA" w:eastAsia="en-US"/>
              </w:rPr>
            </w:pPr>
            <w:r>
              <w:rPr>
                <w:spacing w:val="-1"/>
                <w:sz w:val="28"/>
                <w:szCs w:val="28"/>
                <w:lang w:val="uk-UA" w:eastAsia="en-US"/>
              </w:rPr>
              <w:t>РОЗДІЛ</w:t>
            </w:r>
            <w:r w:rsidR="008532D4">
              <w:rPr>
                <w:spacing w:val="-1"/>
                <w:sz w:val="28"/>
                <w:szCs w:val="28"/>
                <w:lang w:val="uk-UA" w:eastAsia="en-US"/>
              </w:rPr>
              <w:t xml:space="preserve"> </w:t>
            </w:r>
            <w:r>
              <w:rPr>
                <w:spacing w:val="7"/>
                <w:sz w:val="28"/>
                <w:szCs w:val="28"/>
                <w:lang w:val="uk-UA" w:eastAsia="en-US"/>
              </w:rPr>
              <w:t xml:space="preserve">2. </w:t>
            </w:r>
            <w:r w:rsidR="008532D4" w:rsidRPr="008532D4">
              <w:rPr>
                <w:caps/>
                <w:sz w:val="28"/>
                <w:szCs w:val="28"/>
                <w:lang w:val="uk-UA"/>
              </w:rPr>
              <w:t>КЛІНІЧНА ХАРАКТЕРИСТИКА</w:t>
            </w:r>
            <w:r w:rsidR="008532D4">
              <w:rPr>
                <w:spacing w:val="-3"/>
                <w:sz w:val="28"/>
                <w:szCs w:val="28"/>
                <w:lang w:val="uk-UA" w:eastAsia="en-US"/>
              </w:rPr>
              <w:t xml:space="preserve"> </w:t>
            </w:r>
            <w:r>
              <w:rPr>
                <w:spacing w:val="-3"/>
                <w:sz w:val="28"/>
                <w:szCs w:val="28"/>
                <w:lang w:val="uk-UA" w:eastAsia="en-US"/>
              </w:rPr>
              <w:t>ТА МЕТОДИ ДОСЛІДЖЕННЯ</w:t>
            </w:r>
            <w:r w:rsidR="008532D4">
              <w:rPr>
                <w:spacing w:val="-3"/>
                <w:sz w:val="28"/>
                <w:szCs w:val="28"/>
                <w:lang w:val="uk-UA" w:eastAsia="en-US"/>
              </w:rPr>
              <w:t>…………………………………………………………….</w:t>
            </w:r>
          </w:p>
        </w:tc>
        <w:tc>
          <w:tcPr>
            <w:tcW w:w="708" w:type="dxa"/>
            <w:hideMark/>
          </w:tcPr>
          <w:p w:rsidR="008532D4" w:rsidRDefault="008532D4">
            <w:pPr>
              <w:spacing w:line="384" w:lineRule="auto"/>
              <w:jc w:val="center"/>
              <w:rPr>
                <w:sz w:val="28"/>
                <w:szCs w:val="28"/>
                <w:lang w:val="uk-UA" w:eastAsia="en-US"/>
              </w:rPr>
            </w:pPr>
          </w:p>
          <w:p w:rsidR="00E3259F" w:rsidRDefault="00E3259F" w:rsidP="001F5FF9">
            <w:pPr>
              <w:spacing w:line="384" w:lineRule="auto"/>
              <w:jc w:val="center"/>
              <w:rPr>
                <w:sz w:val="28"/>
                <w:szCs w:val="28"/>
                <w:lang w:val="uk-UA" w:eastAsia="en-US"/>
              </w:rPr>
            </w:pPr>
            <w:r>
              <w:rPr>
                <w:sz w:val="28"/>
                <w:szCs w:val="28"/>
                <w:lang w:val="uk-UA" w:eastAsia="en-US"/>
              </w:rPr>
              <w:t>8</w:t>
            </w:r>
            <w:r w:rsidR="001F5FF9">
              <w:rPr>
                <w:sz w:val="28"/>
                <w:szCs w:val="28"/>
                <w:lang w:val="uk-UA" w:eastAsia="en-US"/>
              </w:rPr>
              <w:t>5</w:t>
            </w:r>
          </w:p>
        </w:tc>
      </w:tr>
      <w:tr w:rsidR="00E3259F" w:rsidTr="00E3259F">
        <w:tc>
          <w:tcPr>
            <w:tcW w:w="9042" w:type="dxa"/>
            <w:hideMark/>
          </w:tcPr>
          <w:p w:rsidR="00E3259F" w:rsidRDefault="00E3259F" w:rsidP="006E2C95">
            <w:pPr>
              <w:shd w:val="clear" w:color="auto" w:fill="FFFFFF"/>
              <w:spacing w:line="360" w:lineRule="auto"/>
              <w:jc w:val="both"/>
              <w:rPr>
                <w:spacing w:val="-1"/>
                <w:sz w:val="28"/>
                <w:szCs w:val="28"/>
                <w:lang w:val="uk-UA" w:eastAsia="en-US"/>
              </w:rPr>
            </w:pPr>
            <w:r>
              <w:rPr>
                <w:spacing w:val="-1"/>
                <w:sz w:val="28"/>
                <w:szCs w:val="28"/>
                <w:lang w:val="uk-UA" w:eastAsia="en-US"/>
              </w:rPr>
              <w:t>2.1 Клінічна характеристика хворих</w:t>
            </w:r>
            <w:r w:rsidR="006E2C95">
              <w:rPr>
                <w:spacing w:val="-1"/>
                <w:sz w:val="28"/>
                <w:szCs w:val="28"/>
                <w:lang w:val="uk-UA" w:eastAsia="en-US"/>
              </w:rPr>
              <w:t xml:space="preserve"> та об'єкт дослідження….………..</w:t>
            </w:r>
          </w:p>
        </w:tc>
        <w:tc>
          <w:tcPr>
            <w:tcW w:w="708" w:type="dxa"/>
            <w:hideMark/>
          </w:tcPr>
          <w:p w:rsidR="00E3259F" w:rsidRDefault="00E3259F" w:rsidP="001F5FF9">
            <w:pPr>
              <w:spacing w:line="384" w:lineRule="auto"/>
              <w:jc w:val="center"/>
              <w:rPr>
                <w:sz w:val="28"/>
                <w:szCs w:val="28"/>
                <w:lang w:val="uk-UA" w:eastAsia="en-US"/>
              </w:rPr>
            </w:pPr>
            <w:r>
              <w:rPr>
                <w:sz w:val="28"/>
                <w:szCs w:val="28"/>
                <w:lang w:val="uk-UA" w:eastAsia="en-US"/>
              </w:rPr>
              <w:t>8</w:t>
            </w:r>
            <w:r w:rsidR="001F5FF9">
              <w:rPr>
                <w:sz w:val="28"/>
                <w:szCs w:val="28"/>
                <w:lang w:val="uk-UA" w:eastAsia="en-US"/>
              </w:rPr>
              <w:t>5</w:t>
            </w:r>
          </w:p>
        </w:tc>
      </w:tr>
      <w:tr w:rsidR="00E3259F" w:rsidTr="00E3259F">
        <w:trPr>
          <w:trHeight w:val="1118"/>
        </w:trPr>
        <w:tc>
          <w:tcPr>
            <w:tcW w:w="9042" w:type="dxa"/>
            <w:hideMark/>
          </w:tcPr>
          <w:p w:rsidR="00E3259F" w:rsidRDefault="00E3259F">
            <w:pPr>
              <w:shd w:val="clear" w:color="auto" w:fill="FFFFFF"/>
              <w:spacing w:line="360" w:lineRule="auto"/>
              <w:jc w:val="both"/>
              <w:rPr>
                <w:spacing w:val="-1"/>
                <w:sz w:val="28"/>
                <w:szCs w:val="28"/>
                <w:lang w:val="uk-UA" w:eastAsia="en-US"/>
              </w:rPr>
            </w:pPr>
            <w:r>
              <w:rPr>
                <w:spacing w:val="-1"/>
                <w:sz w:val="28"/>
                <w:szCs w:val="28"/>
                <w:lang w:val="uk-UA" w:eastAsia="en-US"/>
              </w:rPr>
              <w:t>2.2 Методи дослідження………………………………………………….</w:t>
            </w:r>
          </w:p>
          <w:p w:rsidR="00E3259F" w:rsidRDefault="00E3259F">
            <w:pPr>
              <w:shd w:val="clear" w:color="auto" w:fill="FFFFFF"/>
              <w:spacing w:line="360" w:lineRule="auto"/>
              <w:jc w:val="both"/>
              <w:rPr>
                <w:spacing w:val="-1"/>
                <w:sz w:val="28"/>
                <w:szCs w:val="28"/>
                <w:lang w:val="uk-UA" w:eastAsia="en-US"/>
              </w:rPr>
            </w:pPr>
            <w:r>
              <w:rPr>
                <w:spacing w:val="-1"/>
                <w:sz w:val="28"/>
                <w:szCs w:val="28"/>
                <w:lang w:val="uk-UA" w:eastAsia="en-US"/>
              </w:rPr>
              <w:t>2.3 Методи статистичного аналізу………………………………………….</w:t>
            </w:r>
          </w:p>
        </w:tc>
        <w:tc>
          <w:tcPr>
            <w:tcW w:w="708" w:type="dxa"/>
            <w:hideMark/>
          </w:tcPr>
          <w:p w:rsidR="00E3259F" w:rsidRDefault="00063C1A">
            <w:pPr>
              <w:spacing w:line="384" w:lineRule="auto"/>
              <w:jc w:val="center"/>
              <w:rPr>
                <w:sz w:val="28"/>
                <w:szCs w:val="28"/>
                <w:lang w:val="uk-UA" w:eastAsia="en-US"/>
              </w:rPr>
            </w:pPr>
            <w:r>
              <w:rPr>
                <w:sz w:val="28"/>
                <w:szCs w:val="28"/>
                <w:lang w:val="uk-UA" w:eastAsia="en-US"/>
              </w:rPr>
              <w:t>100</w:t>
            </w:r>
          </w:p>
          <w:p w:rsidR="00E3259F" w:rsidRDefault="00E3259F" w:rsidP="00E62AEF">
            <w:pPr>
              <w:spacing w:line="384" w:lineRule="auto"/>
              <w:jc w:val="center"/>
              <w:rPr>
                <w:sz w:val="28"/>
                <w:szCs w:val="28"/>
                <w:lang w:val="uk-UA" w:eastAsia="en-US"/>
              </w:rPr>
            </w:pPr>
            <w:r>
              <w:rPr>
                <w:sz w:val="28"/>
                <w:szCs w:val="28"/>
                <w:lang w:val="uk-UA" w:eastAsia="en-US"/>
              </w:rPr>
              <w:t>11</w:t>
            </w:r>
            <w:r w:rsidR="00E62AEF">
              <w:rPr>
                <w:sz w:val="28"/>
                <w:szCs w:val="28"/>
                <w:lang w:val="uk-UA" w:eastAsia="en-US"/>
              </w:rPr>
              <w:t>3</w:t>
            </w:r>
          </w:p>
        </w:tc>
      </w:tr>
      <w:tr w:rsidR="00E3259F" w:rsidTr="00E3259F">
        <w:tc>
          <w:tcPr>
            <w:tcW w:w="9042" w:type="dxa"/>
            <w:hideMark/>
          </w:tcPr>
          <w:p w:rsidR="00E3259F" w:rsidRDefault="00E3259F" w:rsidP="00E62AEF">
            <w:pPr>
              <w:spacing w:line="360" w:lineRule="auto"/>
              <w:jc w:val="both"/>
              <w:rPr>
                <w:spacing w:val="-1"/>
                <w:sz w:val="28"/>
                <w:szCs w:val="28"/>
                <w:lang w:val="uk-UA" w:eastAsia="en-US"/>
              </w:rPr>
            </w:pPr>
            <w:r>
              <w:rPr>
                <w:spacing w:val="-1"/>
                <w:sz w:val="28"/>
                <w:szCs w:val="28"/>
                <w:lang w:val="uk-UA" w:eastAsia="en-US"/>
              </w:rPr>
              <w:t xml:space="preserve">РОЗДІЛ 3. КЛІНІКО-МЕТАБОЛІЧНІ ОСОБЛИВОСТІ ГІПЕРТОНІЧНОЇ ХВОРОБИ </w:t>
            </w:r>
            <w:r w:rsidR="00E62AEF">
              <w:rPr>
                <w:spacing w:val="-1"/>
                <w:sz w:val="28"/>
                <w:szCs w:val="28"/>
                <w:lang w:val="uk-UA" w:eastAsia="en-US"/>
              </w:rPr>
              <w:t>В</w:t>
            </w:r>
            <w:r>
              <w:rPr>
                <w:spacing w:val="-1"/>
                <w:sz w:val="28"/>
                <w:szCs w:val="28"/>
                <w:lang w:val="uk-UA" w:eastAsia="en-US"/>
              </w:rPr>
              <w:t xml:space="preserve"> ПОЄДНАННІ З ЦУКРОВИМ ДІАБЕТОМ 2 ТИПУ БЕЗ ПОРУШЕННЯ ФУНКЦІЇЇ Щ</w:t>
            </w:r>
            <w:r w:rsidR="00E62AEF">
              <w:rPr>
                <w:spacing w:val="-1"/>
                <w:sz w:val="28"/>
                <w:szCs w:val="28"/>
                <w:lang w:val="uk-UA" w:eastAsia="en-US"/>
              </w:rPr>
              <w:t>И</w:t>
            </w:r>
            <w:r>
              <w:rPr>
                <w:spacing w:val="-1"/>
                <w:sz w:val="28"/>
                <w:szCs w:val="28"/>
                <w:lang w:val="uk-UA" w:eastAsia="en-US"/>
              </w:rPr>
              <w:t>ТОПОДІБНОЇ ЗАЛОЗИ ТА ПРИ НАЯВНОСТІ СУБКЛІНІЧНОГО ГІПОТИРЕОЗУ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E62AEF">
            <w:pPr>
              <w:spacing w:line="384" w:lineRule="auto"/>
              <w:jc w:val="center"/>
              <w:rPr>
                <w:sz w:val="28"/>
                <w:szCs w:val="28"/>
                <w:lang w:val="uk-UA" w:eastAsia="en-US"/>
              </w:rPr>
            </w:pPr>
            <w:r>
              <w:rPr>
                <w:sz w:val="28"/>
                <w:szCs w:val="28"/>
                <w:lang w:val="uk-UA" w:eastAsia="en-US"/>
              </w:rPr>
              <w:t>11</w:t>
            </w:r>
            <w:r w:rsidR="00E62AEF">
              <w:rPr>
                <w:sz w:val="28"/>
                <w:szCs w:val="28"/>
                <w:lang w:val="uk-UA" w:eastAsia="en-US"/>
              </w:rPr>
              <w:t>5</w:t>
            </w:r>
          </w:p>
        </w:tc>
      </w:tr>
      <w:tr w:rsidR="00E3259F" w:rsidTr="00E3259F">
        <w:tc>
          <w:tcPr>
            <w:tcW w:w="9042" w:type="dxa"/>
            <w:hideMark/>
          </w:tcPr>
          <w:p w:rsidR="00E3259F" w:rsidRDefault="00E3259F" w:rsidP="0003474B">
            <w:pPr>
              <w:spacing w:line="360" w:lineRule="auto"/>
              <w:jc w:val="both"/>
              <w:rPr>
                <w:spacing w:val="-1"/>
                <w:sz w:val="28"/>
                <w:szCs w:val="28"/>
                <w:lang w:val="uk-UA" w:eastAsia="en-US"/>
              </w:rPr>
            </w:pPr>
            <w:r>
              <w:rPr>
                <w:sz w:val="28"/>
                <w:szCs w:val="28"/>
                <w:lang w:val="uk-UA" w:eastAsia="en-US"/>
              </w:rPr>
              <w:t>3.1</w:t>
            </w:r>
            <w:r>
              <w:rPr>
                <w:sz w:val="28"/>
                <w:szCs w:val="28"/>
                <w:lang w:val="uk-UA" w:eastAsia="en-US"/>
              </w:rPr>
              <w:tab/>
              <w:t xml:space="preserve">Особливості ліпідного  та вуглеводного обміну у хворих на гіпертонічну хворобу </w:t>
            </w:r>
            <w:r w:rsidR="0003474B">
              <w:rPr>
                <w:sz w:val="28"/>
                <w:szCs w:val="28"/>
                <w:lang w:val="uk-UA" w:eastAsia="en-US"/>
              </w:rPr>
              <w:t>в</w:t>
            </w:r>
            <w:r>
              <w:rPr>
                <w:sz w:val="28"/>
                <w:szCs w:val="28"/>
                <w:lang w:val="uk-UA" w:eastAsia="en-US"/>
              </w:rPr>
              <w:t xml:space="preserve"> поєднанні з цукровим діабетом 2 типу </w:t>
            </w:r>
            <w:r w:rsidR="0003474B">
              <w:rPr>
                <w:sz w:val="28"/>
                <w:szCs w:val="28"/>
                <w:lang w:val="uk-UA" w:eastAsia="en-US"/>
              </w:rPr>
              <w:t>без порушення</w:t>
            </w:r>
            <w:r>
              <w:rPr>
                <w:sz w:val="28"/>
                <w:szCs w:val="28"/>
                <w:lang w:val="uk-UA" w:eastAsia="en-US"/>
              </w:rPr>
              <w:t xml:space="preserve"> функці</w:t>
            </w:r>
            <w:r w:rsidR="0003474B">
              <w:rPr>
                <w:sz w:val="28"/>
                <w:szCs w:val="28"/>
                <w:lang w:val="uk-UA" w:eastAsia="en-US"/>
              </w:rPr>
              <w:t>ї</w:t>
            </w:r>
            <w:r>
              <w:rPr>
                <w:sz w:val="28"/>
                <w:szCs w:val="28"/>
                <w:lang w:val="uk-UA" w:eastAsia="en-US"/>
              </w:rPr>
              <w:t xml:space="preserve"> щитоподібної залози та</w:t>
            </w:r>
            <w:r w:rsidR="0003474B">
              <w:rPr>
                <w:sz w:val="28"/>
                <w:szCs w:val="28"/>
                <w:lang w:val="uk-UA" w:eastAsia="en-US"/>
              </w:rPr>
              <w:t xml:space="preserve"> з</w:t>
            </w:r>
            <w:r>
              <w:rPr>
                <w:sz w:val="28"/>
                <w:szCs w:val="28"/>
                <w:lang w:val="uk-UA" w:eastAsia="en-US"/>
              </w:rPr>
              <w:t xml:space="preserve"> субклінічним гіпотиреозом з урахуванням гендерних та вікових особливостей…</w:t>
            </w:r>
            <w:r w:rsidR="0003474B">
              <w:rPr>
                <w:sz w:val="28"/>
                <w:szCs w:val="28"/>
                <w:lang w:val="uk-UA" w:eastAsia="en-US"/>
              </w:rPr>
              <w:t>…………..</w:t>
            </w:r>
            <w:r>
              <w:rPr>
                <w:sz w:val="28"/>
                <w:szCs w:val="28"/>
                <w:lang w:val="uk-UA" w:eastAsia="en-US"/>
              </w:rPr>
              <w:t>….</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r>
              <w:rPr>
                <w:sz w:val="28"/>
                <w:szCs w:val="28"/>
                <w:lang w:val="uk-UA" w:eastAsia="en-US"/>
              </w:rPr>
              <w:t>114</w:t>
            </w:r>
          </w:p>
        </w:tc>
      </w:tr>
      <w:tr w:rsidR="00E3259F" w:rsidTr="00E3259F">
        <w:tc>
          <w:tcPr>
            <w:tcW w:w="9042" w:type="dxa"/>
            <w:hideMark/>
          </w:tcPr>
          <w:p w:rsidR="00E3259F" w:rsidRPr="00663D7B" w:rsidRDefault="00E3259F" w:rsidP="009066B2">
            <w:pPr>
              <w:shd w:val="clear" w:color="auto" w:fill="FFFFFF"/>
              <w:spacing w:line="360" w:lineRule="auto"/>
              <w:jc w:val="both"/>
              <w:rPr>
                <w:spacing w:val="-1"/>
                <w:sz w:val="28"/>
                <w:szCs w:val="28"/>
                <w:lang w:val="uk-UA" w:eastAsia="en-US"/>
              </w:rPr>
            </w:pPr>
            <w:r>
              <w:rPr>
                <w:sz w:val="28"/>
                <w:szCs w:val="28"/>
                <w:lang w:val="uk-UA" w:eastAsia="en-US"/>
              </w:rPr>
              <w:t>3.2</w:t>
            </w:r>
            <w:r>
              <w:rPr>
                <w:sz w:val="28"/>
                <w:szCs w:val="28"/>
                <w:lang w:val="uk-UA" w:eastAsia="en-US"/>
              </w:rPr>
              <w:tab/>
              <w:t>Оцінка біологічного віку та темпів старіння у хворих на гіпертонічну хворобу у поєднанні з цукровим діабетом 2 типу без</w:t>
            </w:r>
            <w:r w:rsidR="009066B2">
              <w:rPr>
                <w:sz w:val="28"/>
                <w:szCs w:val="28"/>
                <w:lang w:val="uk-UA" w:eastAsia="en-US"/>
              </w:rPr>
              <w:t xml:space="preserve"> </w:t>
            </w:r>
            <w:r>
              <w:rPr>
                <w:sz w:val="28"/>
                <w:szCs w:val="28"/>
                <w:lang w:val="uk-UA" w:eastAsia="en-US"/>
              </w:rPr>
              <w:t>порушення функції щитоподібної залози та з субклінічним гіпотиреозом</w:t>
            </w:r>
            <w:r w:rsidR="009066B2">
              <w:rPr>
                <w:sz w:val="28"/>
                <w:szCs w:val="28"/>
                <w:lang w:val="uk-UA" w:eastAsia="en-US"/>
              </w:rPr>
              <w:t>………………………………………………………………</w:t>
            </w:r>
            <w:r>
              <w:rPr>
                <w:sz w:val="28"/>
                <w:szCs w:val="28"/>
                <w:lang w:val="uk-UA" w:eastAsia="en-US"/>
              </w:rPr>
              <w:t xml:space="preserve">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r>
              <w:rPr>
                <w:sz w:val="28"/>
                <w:szCs w:val="28"/>
                <w:lang w:val="uk-UA" w:eastAsia="en-US"/>
              </w:rPr>
              <w:t>129</w:t>
            </w:r>
          </w:p>
        </w:tc>
      </w:tr>
      <w:tr w:rsidR="00E3259F" w:rsidTr="00E3259F">
        <w:tc>
          <w:tcPr>
            <w:tcW w:w="9042" w:type="dxa"/>
            <w:hideMark/>
          </w:tcPr>
          <w:p w:rsidR="00E3259F" w:rsidRDefault="00E3259F" w:rsidP="00ED67B0">
            <w:pPr>
              <w:spacing w:line="360" w:lineRule="auto"/>
              <w:jc w:val="both"/>
              <w:rPr>
                <w:sz w:val="28"/>
                <w:szCs w:val="28"/>
                <w:lang w:val="uk-UA" w:eastAsia="en-US"/>
              </w:rPr>
            </w:pPr>
            <w:r>
              <w:rPr>
                <w:sz w:val="28"/>
                <w:szCs w:val="28"/>
                <w:lang w:val="uk-UA" w:eastAsia="en-US"/>
              </w:rPr>
              <w:t>РОЗДІЛ 4. ОЦІНКА ОКСИДАТИВНОГО СТРЕС</w:t>
            </w:r>
            <w:r w:rsidR="00663D7B">
              <w:rPr>
                <w:sz w:val="28"/>
                <w:szCs w:val="28"/>
                <w:lang w:val="uk-UA" w:eastAsia="en-US"/>
              </w:rPr>
              <w:t>У</w:t>
            </w:r>
            <w:r>
              <w:rPr>
                <w:sz w:val="28"/>
                <w:szCs w:val="28"/>
                <w:lang w:val="uk-UA" w:eastAsia="en-US"/>
              </w:rPr>
              <w:t xml:space="preserve"> У ХВОРИХ НА ГІПЕРТОНІЧНУ ХВОРОБУ </w:t>
            </w:r>
            <w:r w:rsidR="00ED67B0">
              <w:rPr>
                <w:sz w:val="28"/>
                <w:szCs w:val="28"/>
                <w:lang w:val="uk-UA" w:eastAsia="en-US"/>
              </w:rPr>
              <w:t>В</w:t>
            </w:r>
            <w:r>
              <w:rPr>
                <w:sz w:val="28"/>
                <w:szCs w:val="28"/>
                <w:lang w:val="uk-UA" w:eastAsia="en-US"/>
              </w:rPr>
              <w:t xml:space="preserve"> ПОЄДНАННІ З ЦУКРОВИМ ДІАБЕТОМ 2 ТИПУ БЕЗ ПОРУШЕННЯ ФУНКЦІЇ ЩИТОПОДІБНОЇ ЗАЛОЗИ ТА  З СУБКЛІНІЧНИМ ГІПОТИРЕОЗОМ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ED67B0">
            <w:pPr>
              <w:spacing w:line="384" w:lineRule="auto"/>
              <w:jc w:val="center"/>
              <w:rPr>
                <w:sz w:val="28"/>
                <w:szCs w:val="28"/>
                <w:lang w:val="uk-UA" w:eastAsia="en-US"/>
              </w:rPr>
            </w:pPr>
            <w:r>
              <w:rPr>
                <w:sz w:val="28"/>
                <w:szCs w:val="28"/>
                <w:lang w:val="uk-UA" w:eastAsia="en-US"/>
              </w:rPr>
              <w:t>15</w:t>
            </w:r>
            <w:r w:rsidR="00ED67B0">
              <w:rPr>
                <w:sz w:val="28"/>
                <w:szCs w:val="28"/>
                <w:lang w:val="uk-UA" w:eastAsia="en-US"/>
              </w:rPr>
              <w:t>6</w:t>
            </w:r>
          </w:p>
        </w:tc>
      </w:tr>
      <w:tr w:rsidR="00E3259F" w:rsidTr="00E3259F">
        <w:tc>
          <w:tcPr>
            <w:tcW w:w="9042" w:type="dxa"/>
            <w:hideMark/>
          </w:tcPr>
          <w:p w:rsidR="00E3259F" w:rsidRDefault="00E3259F" w:rsidP="00ED67B0">
            <w:pPr>
              <w:shd w:val="clear" w:color="auto" w:fill="FFFFFF"/>
              <w:spacing w:line="360" w:lineRule="auto"/>
              <w:jc w:val="both"/>
              <w:rPr>
                <w:sz w:val="28"/>
                <w:szCs w:val="28"/>
                <w:lang w:val="uk-UA" w:eastAsia="en-US"/>
              </w:rPr>
            </w:pPr>
            <w:r>
              <w:rPr>
                <w:sz w:val="28"/>
                <w:szCs w:val="28"/>
                <w:lang w:eastAsia="en-US"/>
              </w:rPr>
              <w:t>4.1</w:t>
            </w:r>
            <w:r>
              <w:rPr>
                <w:sz w:val="28"/>
                <w:szCs w:val="28"/>
                <w:lang w:eastAsia="en-US"/>
              </w:rPr>
              <w:tab/>
            </w:r>
            <w:r>
              <w:rPr>
                <w:sz w:val="28"/>
                <w:szCs w:val="28"/>
                <w:lang w:val="uk-UA" w:eastAsia="en-US"/>
              </w:rPr>
              <w:t xml:space="preserve">Особливості оксидативного стресу у хворих на гіпертонічну хворобу </w:t>
            </w:r>
            <w:r w:rsidR="00ED67B0">
              <w:rPr>
                <w:sz w:val="28"/>
                <w:szCs w:val="28"/>
                <w:lang w:val="uk-UA" w:eastAsia="en-US"/>
              </w:rPr>
              <w:t>в</w:t>
            </w:r>
            <w:r>
              <w:rPr>
                <w:sz w:val="28"/>
                <w:szCs w:val="28"/>
                <w:lang w:val="uk-UA" w:eastAsia="en-US"/>
              </w:rPr>
              <w:t xml:space="preserve"> поєднанні з цукровим діабетом 2 типу без порушення функції щитоподібної залози та з субклінічним гіпотиреозом……………….</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ED67B0">
            <w:pPr>
              <w:spacing w:line="384" w:lineRule="auto"/>
              <w:jc w:val="center"/>
              <w:rPr>
                <w:sz w:val="28"/>
                <w:szCs w:val="28"/>
                <w:lang w:val="uk-UA" w:eastAsia="en-US"/>
              </w:rPr>
            </w:pPr>
            <w:r>
              <w:rPr>
                <w:sz w:val="28"/>
                <w:szCs w:val="28"/>
                <w:lang w:val="uk-UA" w:eastAsia="en-US"/>
              </w:rPr>
              <w:t>15</w:t>
            </w:r>
            <w:r w:rsidR="00ED67B0">
              <w:rPr>
                <w:sz w:val="28"/>
                <w:szCs w:val="28"/>
                <w:lang w:val="uk-UA" w:eastAsia="en-US"/>
              </w:rPr>
              <w:t>6</w:t>
            </w:r>
          </w:p>
        </w:tc>
      </w:tr>
      <w:tr w:rsidR="00E3259F" w:rsidTr="00E3259F">
        <w:tc>
          <w:tcPr>
            <w:tcW w:w="9042" w:type="dxa"/>
            <w:hideMark/>
          </w:tcPr>
          <w:p w:rsidR="00E3259F" w:rsidRDefault="00E3259F">
            <w:pPr>
              <w:shd w:val="clear" w:color="auto" w:fill="FFFFFF"/>
              <w:spacing w:line="360" w:lineRule="auto"/>
              <w:jc w:val="both"/>
              <w:rPr>
                <w:sz w:val="28"/>
                <w:szCs w:val="28"/>
                <w:lang w:val="uk-UA" w:eastAsia="en-US"/>
              </w:rPr>
            </w:pPr>
            <w:r>
              <w:rPr>
                <w:sz w:val="28"/>
                <w:szCs w:val="28"/>
                <w:lang w:eastAsia="en-US"/>
              </w:rPr>
              <w:t>4.2</w:t>
            </w:r>
            <w:r>
              <w:rPr>
                <w:sz w:val="28"/>
                <w:szCs w:val="28"/>
                <w:lang w:val="uk-UA" w:eastAsia="en-US"/>
              </w:rPr>
              <w:t xml:space="preserve"> Діагностичне значення дослідження рівня 8-гідрокси -2'-деокси-гуанозину у хворих на гіпертонічну хворобу у поєднанні з цукровим діабетом  2 типу з нормальною функцією щитоподібної залози та субклінічним гіпотиреозом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FC103B">
            <w:pPr>
              <w:spacing w:line="384" w:lineRule="auto"/>
              <w:jc w:val="center"/>
              <w:rPr>
                <w:sz w:val="28"/>
                <w:szCs w:val="28"/>
                <w:lang w:val="uk-UA" w:eastAsia="en-US"/>
              </w:rPr>
            </w:pPr>
            <w:r>
              <w:rPr>
                <w:sz w:val="28"/>
                <w:szCs w:val="28"/>
                <w:lang w:val="uk-UA" w:eastAsia="en-US"/>
              </w:rPr>
              <w:t>16</w:t>
            </w:r>
            <w:r w:rsidR="00FC103B">
              <w:rPr>
                <w:sz w:val="28"/>
                <w:szCs w:val="28"/>
                <w:lang w:val="uk-UA" w:eastAsia="en-US"/>
              </w:rPr>
              <w:t>9</w:t>
            </w:r>
          </w:p>
        </w:tc>
      </w:tr>
      <w:tr w:rsidR="00E3259F" w:rsidTr="00E3259F">
        <w:tc>
          <w:tcPr>
            <w:tcW w:w="9042" w:type="dxa"/>
            <w:hideMark/>
          </w:tcPr>
          <w:p w:rsidR="00E3259F" w:rsidRDefault="00E3259F">
            <w:pPr>
              <w:shd w:val="clear" w:color="auto" w:fill="FFFFFF"/>
              <w:spacing w:line="360" w:lineRule="auto"/>
              <w:jc w:val="both"/>
              <w:rPr>
                <w:sz w:val="28"/>
                <w:szCs w:val="28"/>
                <w:lang w:val="uk-UA" w:eastAsia="en-US"/>
              </w:rPr>
            </w:pPr>
            <w:r>
              <w:rPr>
                <w:sz w:val="28"/>
                <w:szCs w:val="28"/>
                <w:lang w:val="uk-UA" w:eastAsia="en-US"/>
              </w:rPr>
              <w:t>4.3</w:t>
            </w:r>
            <w:r>
              <w:rPr>
                <w:sz w:val="28"/>
                <w:szCs w:val="28"/>
                <w:lang w:val="uk-UA" w:eastAsia="en-US"/>
              </w:rPr>
              <w:tab/>
            </w:r>
            <w:r w:rsidRPr="00D43235">
              <w:rPr>
                <w:sz w:val="28"/>
                <w:szCs w:val="28"/>
                <w:lang w:val="uk-UA" w:eastAsia="en-US"/>
              </w:rPr>
              <w:t>Особливості взаємозв’язку біологічного віку, процессів старіння та оксидативного стресу у хворих на гіпертонічну хворобу у поєднанні з цукровим діабетом 2 типу без порушення функції щитоподібної залози та  з субклінічним гіпотиреозом……………………………………………</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0027F2">
            <w:pPr>
              <w:spacing w:line="384" w:lineRule="auto"/>
              <w:rPr>
                <w:sz w:val="28"/>
                <w:szCs w:val="28"/>
                <w:lang w:val="uk-UA" w:eastAsia="en-US"/>
              </w:rPr>
            </w:pPr>
            <w:r>
              <w:rPr>
                <w:sz w:val="28"/>
                <w:szCs w:val="28"/>
                <w:lang w:val="uk-UA" w:eastAsia="en-US"/>
              </w:rPr>
              <w:t>17</w:t>
            </w:r>
            <w:r w:rsidR="000027F2">
              <w:rPr>
                <w:sz w:val="28"/>
                <w:szCs w:val="28"/>
                <w:lang w:val="uk-UA" w:eastAsia="en-US"/>
              </w:rPr>
              <w:t>6</w:t>
            </w:r>
          </w:p>
        </w:tc>
      </w:tr>
      <w:tr w:rsidR="00E3259F" w:rsidTr="00E3259F">
        <w:tc>
          <w:tcPr>
            <w:tcW w:w="9042" w:type="dxa"/>
            <w:hideMark/>
          </w:tcPr>
          <w:p w:rsidR="00E3259F" w:rsidRDefault="00E3259F">
            <w:pPr>
              <w:spacing w:line="360" w:lineRule="auto"/>
              <w:rPr>
                <w:sz w:val="28"/>
                <w:szCs w:val="28"/>
                <w:lang w:val="uk-UA" w:eastAsia="en-US"/>
              </w:rPr>
            </w:pPr>
            <w:r>
              <w:rPr>
                <w:sz w:val="28"/>
                <w:szCs w:val="28"/>
                <w:lang w:val="uk-UA" w:eastAsia="en-US"/>
              </w:rPr>
              <w:t xml:space="preserve">4.4. </w:t>
            </w:r>
            <w:r>
              <w:rPr>
                <w:sz w:val="28"/>
                <w:szCs w:val="28"/>
                <w:lang w:eastAsia="en-US"/>
              </w:rPr>
              <w:t xml:space="preserve">Спосіб визначення прогресування оксидативного стресу у пацієнтів з </w:t>
            </w:r>
            <w:r>
              <w:rPr>
                <w:sz w:val="28"/>
                <w:szCs w:val="28"/>
                <w:lang w:val="uk-UA" w:eastAsia="en-US"/>
              </w:rPr>
              <w:t>гіпертонічною хворобою</w:t>
            </w:r>
            <w:r>
              <w:rPr>
                <w:sz w:val="28"/>
                <w:szCs w:val="28"/>
                <w:lang w:eastAsia="en-US"/>
              </w:rPr>
              <w:t xml:space="preserve"> та цукровим діабетом</w:t>
            </w:r>
            <w:r>
              <w:rPr>
                <w:sz w:val="28"/>
                <w:szCs w:val="28"/>
                <w:lang w:val="uk-UA" w:eastAsia="en-US"/>
              </w:rPr>
              <w:t xml:space="preserve"> 2 типу</w:t>
            </w:r>
            <w:r>
              <w:rPr>
                <w:sz w:val="28"/>
                <w:szCs w:val="28"/>
                <w:lang w:eastAsia="en-US"/>
              </w:rPr>
              <w:t xml:space="preserve"> в поєднанні з субклінічним гіпотереозом</w:t>
            </w:r>
            <w:r>
              <w:rPr>
                <w:sz w:val="28"/>
                <w:szCs w:val="28"/>
                <w:lang w:val="uk-UA" w:eastAsia="en-US"/>
              </w:rPr>
              <w:t>……………………………………………..</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6E540D">
            <w:pPr>
              <w:spacing w:line="384" w:lineRule="auto"/>
              <w:jc w:val="center"/>
              <w:rPr>
                <w:sz w:val="28"/>
                <w:szCs w:val="28"/>
                <w:lang w:val="uk-UA" w:eastAsia="en-US"/>
              </w:rPr>
            </w:pPr>
            <w:r>
              <w:rPr>
                <w:sz w:val="28"/>
                <w:szCs w:val="28"/>
                <w:lang w:val="uk-UA" w:eastAsia="en-US"/>
              </w:rPr>
              <w:t>18</w:t>
            </w:r>
            <w:r w:rsidR="006E540D">
              <w:rPr>
                <w:sz w:val="28"/>
                <w:szCs w:val="28"/>
                <w:lang w:val="uk-UA" w:eastAsia="en-US"/>
              </w:rPr>
              <w:t>3</w:t>
            </w:r>
          </w:p>
        </w:tc>
      </w:tr>
      <w:tr w:rsidR="00E3259F" w:rsidTr="00E3259F">
        <w:tc>
          <w:tcPr>
            <w:tcW w:w="9042" w:type="dxa"/>
            <w:hideMark/>
          </w:tcPr>
          <w:p w:rsidR="00E3259F" w:rsidRDefault="00E3259F" w:rsidP="005242C9">
            <w:pPr>
              <w:spacing w:line="360" w:lineRule="auto"/>
              <w:jc w:val="both"/>
              <w:rPr>
                <w:sz w:val="28"/>
                <w:szCs w:val="28"/>
                <w:lang w:val="uk-UA" w:eastAsia="en-US"/>
              </w:rPr>
            </w:pPr>
            <w:r>
              <w:rPr>
                <w:spacing w:val="-1"/>
                <w:sz w:val="28"/>
                <w:szCs w:val="28"/>
                <w:lang w:val="uk-UA" w:eastAsia="en-US"/>
              </w:rPr>
              <w:t>РОЗДІЛ</w:t>
            </w:r>
            <w:r>
              <w:rPr>
                <w:spacing w:val="-3"/>
                <w:sz w:val="28"/>
                <w:szCs w:val="28"/>
                <w:lang w:val="uk-UA" w:eastAsia="en-US"/>
              </w:rPr>
              <w:t xml:space="preserve"> 5.</w:t>
            </w:r>
            <w:r>
              <w:rPr>
                <w:sz w:val="28"/>
                <w:szCs w:val="28"/>
                <w:lang w:val="uk-UA" w:eastAsia="en-US"/>
              </w:rPr>
              <w:t xml:space="preserve"> ОЦІНКА СТАНУ СУДИННОГО ЕНДОТЕЛІЮ У ХВОРИХ НА ГІПЕРТОНІЧНУ ХВОРОБУ </w:t>
            </w:r>
            <w:r w:rsidR="005242C9">
              <w:rPr>
                <w:sz w:val="28"/>
                <w:szCs w:val="28"/>
                <w:lang w:val="uk-UA" w:eastAsia="en-US"/>
              </w:rPr>
              <w:t>В</w:t>
            </w:r>
            <w:r>
              <w:rPr>
                <w:sz w:val="28"/>
                <w:szCs w:val="28"/>
                <w:lang w:val="uk-UA" w:eastAsia="en-US"/>
              </w:rPr>
              <w:t xml:space="preserve"> ПОЄДНАННІ З ЦУКРОВИМ ДІАБЕТОМ 2 ТИПУ БЕЗ ПОРУШЕННЯ ФУНКЦІЇ ЩИТОПОДІБНОЇ ЗАЛОЗИ ТА  З СУБКЛІНІЧНИМ ГІПОТИРЕОЗОМ……………………..</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5242C9">
            <w:pPr>
              <w:spacing w:line="384" w:lineRule="auto"/>
              <w:rPr>
                <w:sz w:val="28"/>
                <w:szCs w:val="28"/>
                <w:lang w:val="uk-UA" w:eastAsia="en-US"/>
              </w:rPr>
            </w:pPr>
            <w:r>
              <w:rPr>
                <w:sz w:val="28"/>
                <w:szCs w:val="28"/>
                <w:lang w:val="uk-UA" w:eastAsia="en-US"/>
              </w:rPr>
              <w:t>19</w:t>
            </w:r>
            <w:r w:rsidR="005242C9">
              <w:rPr>
                <w:sz w:val="28"/>
                <w:szCs w:val="28"/>
                <w:lang w:val="uk-UA" w:eastAsia="en-US"/>
              </w:rPr>
              <w:t>5</w:t>
            </w:r>
          </w:p>
        </w:tc>
      </w:tr>
      <w:tr w:rsidR="00E3259F" w:rsidTr="00E3259F">
        <w:trPr>
          <w:trHeight w:val="1430"/>
        </w:trPr>
        <w:tc>
          <w:tcPr>
            <w:tcW w:w="9042" w:type="dxa"/>
            <w:hideMark/>
          </w:tcPr>
          <w:p w:rsidR="00E3259F" w:rsidRDefault="00E3259F" w:rsidP="00CF693D">
            <w:pPr>
              <w:spacing w:line="360" w:lineRule="auto"/>
              <w:jc w:val="both"/>
              <w:rPr>
                <w:sz w:val="28"/>
                <w:szCs w:val="28"/>
                <w:lang w:val="uk-UA" w:eastAsia="en-US"/>
              </w:rPr>
            </w:pPr>
            <w:r>
              <w:rPr>
                <w:sz w:val="28"/>
                <w:szCs w:val="28"/>
                <w:lang w:val="uk-UA" w:eastAsia="en-US"/>
              </w:rPr>
              <w:t xml:space="preserve">5.1 Діагностичне значення васкулоендотеліального фактора росту та циркулюючих </w:t>
            </w:r>
            <w:r w:rsidR="00CF693D">
              <w:rPr>
                <w:sz w:val="28"/>
                <w:szCs w:val="28"/>
                <w:lang w:val="uk-UA" w:eastAsia="en-US"/>
              </w:rPr>
              <w:t xml:space="preserve">десквамованих </w:t>
            </w:r>
            <w:r>
              <w:rPr>
                <w:sz w:val="28"/>
                <w:szCs w:val="28"/>
                <w:lang w:val="uk-UA" w:eastAsia="en-US"/>
              </w:rPr>
              <w:t xml:space="preserve">ендотеліальних клітин у хворих на гіпертонічну хворобу </w:t>
            </w:r>
            <w:r w:rsidR="00CF693D">
              <w:rPr>
                <w:sz w:val="28"/>
                <w:szCs w:val="28"/>
                <w:lang w:val="uk-UA" w:eastAsia="en-US"/>
              </w:rPr>
              <w:t>в</w:t>
            </w:r>
            <w:r>
              <w:rPr>
                <w:sz w:val="28"/>
                <w:szCs w:val="28"/>
                <w:lang w:val="uk-UA" w:eastAsia="en-US"/>
              </w:rPr>
              <w:t xml:space="preserve"> поєднанні з цукровим діабетом 2 типу без порушення функції щитоподібної залози та з субклінічним гіпотиреозом………………………………………………………….</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r>
              <w:rPr>
                <w:sz w:val="28"/>
                <w:szCs w:val="28"/>
                <w:lang w:val="uk-UA" w:eastAsia="en-US"/>
              </w:rPr>
              <w:t>194</w:t>
            </w:r>
          </w:p>
        </w:tc>
      </w:tr>
      <w:tr w:rsidR="00E3259F" w:rsidTr="00E3259F">
        <w:tc>
          <w:tcPr>
            <w:tcW w:w="9042" w:type="dxa"/>
            <w:hideMark/>
          </w:tcPr>
          <w:p w:rsidR="00E3259F" w:rsidRDefault="00E3259F">
            <w:pPr>
              <w:shd w:val="clear" w:color="auto" w:fill="FFFFFF"/>
              <w:tabs>
                <w:tab w:val="left" w:leader="dot" w:pos="8510"/>
              </w:tabs>
              <w:spacing w:line="360" w:lineRule="auto"/>
              <w:jc w:val="both"/>
              <w:rPr>
                <w:sz w:val="28"/>
                <w:szCs w:val="28"/>
                <w:lang w:val="uk-UA" w:eastAsia="en-US"/>
              </w:rPr>
            </w:pPr>
            <w:r>
              <w:rPr>
                <w:sz w:val="28"/>
                <w:szCs w:val="28"/>
                <w:lang w:val="uk-UA" w:eastAsia="en-US"/>
              </w:rPr>
              <w:t>5.2.Значення рівнів СРП та ФНП-α як маркерів хронічного системного запалення та їх влив на функцію ендотелію у хворих на гіпертонічну хворобу у поєднанні з цукровим діабетом 2 типу без порушення функції щитоподібної залози та  з субклінічним гіпотиреозом…………………..</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C239D8">
            <w:pPr>
              <w:spacing w:line="384" w:lineRule="auto"/>
              <w:jc w:val="center"/>
              <w:rPr>
                <w:sz w:val="28"/>
                <w:szCs w:val="28"/>
                <w:lang w:val="uk-UA" w:eastAsia="en-US"/>
              </w:rPr>
            </w:pPr>
            <w:r>
              <w:rPr>
                <w:sz w:val="28"/>
                <w:szCs w:val="28"/>
                <w:lang w:val="uk-UA" w:eastAsia="en-US"/>
              </w:rPr>
              <w:t>20</w:t>
            </w:r>
            <w:r w:rsidR="00C239D8">
              <w:rPr>
                <w:sz w:val="28"/>
                <w:szCs w:val="28"/>
                <w:lang w:val="uk-UA" w:eastAsia="en-US"/>
              </w:rPr>
              <w:t>8</w:t>
            </w:r>
          </w:p>
        </w:tc>
      </w:tr>
      <w:tr w:rsidR="00E3259F" w:rsidTr="00E3259F">
        <w:tc>
          <w:tcPr>
            <w:tcW w:w="9042" w:type="dxa"/>
            <w:hideMark/>
          </w:tcPr>
          <w:p w:rsidR="00E3259F" w:rsidRDefault="00E3259F" w:rsidP="007C524D">
            <w:pPr>
              <w:spacing w:line="360" w:lineRule="auto"/>
              <w:rPr>
                <w:sz w:val="28"/>
                <w:szCs w:val="28"/>
                <w:lang w:val="uk-UA" w:eastAsia="en-US"/>
              </w:rPr>
            </w:pPr>
            <w:r>
              <w:rPr>
                <w:spacing w:val="-1"/>
                <w:sz w:val="28"/>
                <w:szCs w:val="28"/>
                <w:lang w:val="uk-UA" w:eastAsia="en-US"/>
              </w:rPr>
              <w:t>РОЗДІЛ</w:t>
            </w:r>
            <w:r>
              <w:rPr>
                <w:sz w:val="28"/>
                <w:szCs w:val="28"/>
                <w:lang w:val="uk-UA" w:eastAsia="en-US"/>
              </w:rPr>
              <w:t xml:space="preserve"> 6. ОЦІНКА ДОВЖИНИ ТЕЛОМЕР ЯК МАРКЕРА РИЗИКУ РОЗВИТКУ СЕРЦЕВО-СУДИННИХ УСКЛАДНЕНЬ У ХВОРИХ НА  ГІПЕРТОНІЧНУ ХВОРОБУ </w:t>
            </w:r>
            <w:r w:rsidR="007C524D">
              <w:rPr>
                <w:sz w:val="28"/>
                <w:szCs w:val="28"/>
                <w:lang w:val="uk-UA" w:eastAsia="en-US"/>
              </w:rPr>
              <w:t>В</w:t>
            </w:r>
            <w:r>
              <w:rPr>
                <w:sz w:val="28"/>
                <w:szCs w:val="28"/>
                <w:lang w:val="uk-UA" w:eastAsia="en-US"/>
              </w:rPr>
              <w:t xml:space="preserve"> ПОЄДНАННІ З ЦУКРОВИМ ДІАБЕТОМ 2 ТИПУ З БЕЗ ПОРУШЕННЯ ФУНКЦІЇ ЩИТОПОДІБНОЇ ЗАЛОЗИ ТА  З СУБКЛІНІЧНИМ ГІПОТИРЕОЗОМ………………………………..</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7C524D">
            <w:pPr>
              <w:spacing w:line="384" w:lineRule="auto"/>
              <w:rPr>
                <w:sz w:val="28"/>
                <w:szCs w:val="28"/>
                <w:lang w:val="uk-UA" w:eastAsia="en-US"/>
              </w:rPr>
            </w:pPr>
            <w:r>
              <w:rPr>
                <w:sz w:val="28"/>
                <w:szCs w:val="28"/>
                <w:lang w:val="uk-UA" w:eastAsia="en-US"/>
              </w:rPr>
              <w:t>21</w:t>
            </w:r>
            <w:r w:rsidR="007C524D">
              <w:rPr>
                <w:sz w:val="28"/>
                <w:szCs w:val="28"/>
                <w:lang w:val="uk-UA" w:eastAsia="en-US"/>
              </w:rPr>
              <w:t>8</w:t>
            </w:r>
          </w:p>
        </w:tc>
      </w:tr>
      <w:tr w:rsidR="00E3259F" w:rsidTr="00E3259F">
        <w:tc>
          <w:tcPr>
            <w:tcW w:w="9042" w:type="dxa"/>
            <w:hideMark/>
          </w:tcPr>
          <w:p w:rsidR="00E3259F" w:rsidRDefault="00E3259F" w:rsidP="007C524D">
            <w:pPr>
              <w:spacing w:line="360" w:lineRule="auto"/>
              <w:jc w:val="both"/>
              <w:rPr>
                <w:spacing w:val="-1"/>
                <w:sz w:val="28"/>
                <w:szCs w:val="28"/>
                <w:lang w:val="uk-UA" w:eastAsia="en-US"/>
              </w:rPr>
            </w:pPr>
            <w:r>
              <w:rPr>
                <w:sz w:val="28"/>
                <w:szCs w:val="28"/>
                <w:lang w:val="uk-UA" w:eastAsia="en-US"/>
              </w:rPr>
              <w:t xml:space="preserve">6.1. Оцінка довжини теломер у хворих </w:t>
            </w:r>
            <w:r w:rsidR="007C524D">
              <w:rPr>
                <w:sz w:val="28"/>
                <w:szCs w:val="28"/>
                <w:lang w:val="uk-UA" w:eastAsia="en-US"/>
              </w:rPr>
              <w:t>з поєднаним перебігом</w:t>
            </w:r>
            <w:r>
              <w:rPr>
                <w:sz w:val="28"/>
                <w:szCs w:val="28"/>
                <w:lang w:val="uk-UA" w:eastAsia="en-US"/>
              </w:rPr>
              <w:t xml:space="preserve"> гіпертонічн</w:t>
            </w:r>
            <w:r w:rsidR="007C524D">
              <w:rPr>
                <w:sz w:val="28"/>
                <w:szCs w:val="28"/>
                <w:lang w:val="uk-UA" w:eastAsia="en-US"/>
              </w:rPr>
              <w:t>ої</w:t>
            </w:r>
            <w:r>
              <w:rPr>
                <w:sz w:val="28"/>
                <w:szCs w:val="28"/>
                <w:lang w:val="uk-UA" w:eastAsia="en-US"/>
              </w:rPr>
              <w:t xml:space="preserve"> хвороб</w:t>
            </w:r>
            <w:r w:rsidR="007C524D">
              <w:rPr>
                <w:sz w:val="28"/>
                <w:szCs w:val="28"/>
                <w:lang w:val="uk-UA" w:eastAsia="en-US"/>
              </w:rPr>
              <w:t>и</w:t>
            </w:r>
            <w:r>
              <w:rPr>
                <w:sz w:val="28"/>
                <w:szCs w:val="28"/>
                <w:lang w:val="uk-UA" w:eastAsia="en-US"/>
              </w:rPr>
              <w:t xml:space="preserve"> </w:t>
            </w:r>
            <w:r w:rsidR="007C524D">
              <w:rPr>
                <w:sz w:val="28"/>
                <w:szCs w:val="28"/>
                <w:lang w:val="uk-UA" w:eastAsia="en-US"/>
              </w:rPr>
              <w:t>та</w:t>
            </w:r>
            <w:r>
              <w:rPr>
                <w:sz w:val="28"/>
                <w:szCs w:val="28"/>
                <w:lang w:val="uk-UA" w:eastAsia="en-US"/>
              </w:rPr>
              <w:t xml:space="preserve"> цукров</w:t>
            </w:r>
            <w:r w:rsidR="007C524D">
              <w:rPr>
                <w:sz w:val="28"/>
                <w:szCs w:val="28"/>
                <w:lang w:val="uk-UA" w:eastAsia="en-US"/>
              </w:rPr>
              <w:t>ого</w:t>
            </w:r>
            <w:r>
              <w:rPr>
                <w:sz w:val="28"/>
                <w:szCs w:val="28"/>
                <w:lang w:val="uk-UA" w:eastAsia="en-US"/>
              </w:rPr>
              <w:t xml:space="preserve"> діабет</w:t>
            </w:r>
            <w:r w:rsidR="007C524D">
              <w:rPr>
                <w:sz w:val="28"/>
                <w:szCs w:val="28"/>
                <w:lang w:val="uk-UA" w:eastAsia="en-US"/>
              </w:rPr>
              <w:t>у</w:t>
            </w:r>
            <w:r>
              <w:rPr>
                <w:sz w:val="28"/>
                <w:szCs w:val="28"/>
                <w:lang w:val="uk-UA" w:eastAsia="en-US"/>
              </w:rPr>
              <w:t xml:space="preserve"> 2 типу без порушення функції щитоподібної залози та з субклінічним гіпотиреозом</w:t>
            </w:r>
            <w:r w:rsidR="007C524D">
              <w:rPr>
                <w:sz w:val="28"/>
                <w:szCs w:val="28"/>
                <w:lang w:val="uk-UA" w:eastAsia="en-US"/>
              </w:rPr>
              <w:t xml:space="preserve">…………. </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C078BE">
            <w:pPr>
              <w:spacing w:line="384" w:lineRule="auto"/>
              <w:rPr>
                <w:sz w:val="28"/>
                <w:szCs w:val="28"/>
                <w:lang w:val="uk-UA" w:eastAsia="en-US"/>
              </w:rPr>
            </w:pPr>
            <w:r>
              <w:rPr>
                <w:sz w:val="28"/>
                <w:szCs w:val="28"/>
                <w:lang w:val="uk-UA" w:eastAsia="en-US"/>
              </w:rPr>
              <w:t>21</w:t>
            </w:r>
            <w:r w:rsidR="00C078BE">
              <w:rPr>
                <w:sz w:val="28"/>
                <w:szCs w:val="28"/>
                <w:lang w:val="uk-UA" w:eastAsia="en-US"/>
              </w:rPr>
              <w:t>8</w:t>
            </w:r>
          </w:p>
        </w:tc>
      </w:tr>
      <w:tr w:rsidR="00E3259F" w:rsidTr="00E3259F">
        <w:tc>
          <w:tcPr>
            <w:tcW w:w="9042" w:type="dxa"/>
            <w:vMerge w:val="restart"/>
          </w:tcPr>
          <w:p w:rsidR="00E3259F" w:rsidRDefault="00E3259F">
            <w:pPr>
              <w:spacing w:line="360" w:lineRule="auto"/>
              <w:jc w:val="both"/>
              <w:rPr>
                <w:sz w:val="28"/>
                <w:szCs w:val="28"/>
                <w:lang w:val="uk-UA" w:eastAsia="en-US"/>
              </w:rPr>
            </w:pPr>
            <w:r>
              <w:rPr>
                <w:sz w:val="28"/>
                <w:szCs w:val="28"/>
                <w:lang w:val="uk-UA" w:eastAsia="en-US"/>
              </w:rPr>
              <w:t>6.2. Оцінка довжини теломер залежно від гормонально-метаболічного профілю та різного рівня факторів кардіоваскулярного ризику  у хворих</w:t>
            </w:r>
            <w:r>
              <w:rPr>
                <w:lang w:val="uk-UA" w:eastAsia="en-US"/>
              </w:rPr>
              <w:t xml:space="preserve"> </w:t>
            </w:r>
            <w:r>
              <w:rPr>
                <w:sz w:val="28"/>
                <w:szCs w:val="28"/>
                <w:lang w:val="uk-UA" w:eastAsia="en-US"/>
              </w:rPr>
              <w:t>на гіпертонічну хворобу у поєднанні з цукровим діабетом 2 типу без порушення функції щитоподібної залози та з субклінічним гіпотиреозом……………………………………………………………</w:t>
            </w:r>
          </w:p>
          <w:p w:rsidR="00E3259F" w:rsidRDefault="00E3259F" w:rsidP="001A5F74">
            <w:pPr>
              <w:spacing w:line="360" w:lineRule="auto"/>
              <w:jc w:val="both"/>
              <w:rPr>
                <w:spacing w:val="-1"/>
                <w:sz w:val="28"/>
                <w:szCs w:val="28"/>
                <w:lang w:val="uk-UA" w:eastAsia="en-US"/>
              </w:rPr>
            </w:pPr>
            <w:r>
              <w:rPr>
                <w:sz w:val="28"/>
                <w:szCs w:val="28"/>
                <w:lang w:val="uk-UA" w:eastAsia="en-US"/>
              </w:rPr>
              <w:t xml:space="preserve">РОЗДІЛ 7. </w:t>
            </w:r>
            <w:r>
              <w:rPr>
                <w:bCs/>
                <w:sz w:val="28"/>
                <w:szCs w:val="28"/>
                <w:lang w:val="uk-UA" w:eastAsia="en-US"/>
              </w:rPr>
              <w:t xml:space="preserve">ПРОГНОЗУВАННЯ РОЗВИТКУ СЕРЦЕВО-СУДИННИХ УСКЛАДНЕНЬ  У ПАЦІЄНТІВ </w:t>
            </w:r>
            <w:r w:rsidR="001A5F74">
              <w:rPr>
                <w:bCs/>
                <w:sz w:val="28"/>
                <w:szCs w:val="28"/>
                <w:lang w:val="uk-UA" w:eastAsia="en-US"/>
              </w:rPr>
              <w:t>НА</w:t>
            </w:r>
            <w:r>
              <w:rPr>
                <w:bCs/>
                <w:sz w:val="28"/>
                <w:szCs w:val="28"/>
                <w:lang w:val="uk-UA" w:eastAsia="en-US"/>
              </w:rPr>
              <w:t xml:space="preserve"> </w:t>
            </w:r>
            <w:r>
              <w:rPr>
                <w:sz w:val="28"/>
                <w:szCs w:val="28"/>
                <w:lang w:val="uk-UA" w:eastAsia="en-US"/>
              </w:rPr>
              <w:t>ГІПЕРТОНІЧН</w:t>
            </w:r>
            <w:r w:rsidR="001A5F74">
              <w:rPr>
                <w:sz w:val="28"/>
                <w:szCs w:val="28"/>
                <w:lang w:val="uk-UA" w:eastAsia="en-US"/>
              </w:rPr>
              <w:t>У</w:t>
            </w:r>
            <w:r>
              <w:rPr>
                <w:sz w:val="28"/>
                <w:szCs w:val="28"/>
                <w:lang w:val="uk-UA" w:eastAsia="en-US"/>
              </w:rPr>
              <w:t xml:space="preserve"> ХВОРОБ</w:t>
            </w:r>
            <w:r w:rsidR="001A5F74">
              <w:rPr>
                <w:sz w:val="28"/>
                <w:szCs w:val="28"/>
                <w:lang w:val="uk-UA" w:eastAsia="en-US"/>
              </w:rPr>
              <w:t>У</w:t>
            </w:r>
            <w:r>
              <w:rPr>
                <w:sz w:val="28"/>
                <w:szCs w:val="28"/>
                <w:lang w:val="uk-UA" w:eastAsia="en-US"/>
              </w:rPr>
              <w:t xml:space="preserve"> </w:t>
            </w:r>
            <w:r w:rsidR="001A5F74">
              <w:rPr>
                <w:sz w:val="28"/>
                <w:szCs w:val="28"/>
                <w:lang w:val="uk-UA" w:eastAsia="en-US"/>
              </w:rPr>
              <w:t>В</w:t>
            </w:r>
            <w:r>
              <w:rPr>
                <w:sz w:val="28"/>
                <w:szCs w:val="28"/>
                <w:lang w:val="uk-UA" w:eastAsia="en-US"/>
              </w:rPr>
              <w:t xml:space="preserve"> ПОЄДНАННІ З ЦУКРОВИМ ДІАБЕТОМ 2 ТИПУ </w:t>
            </w:r>
            <w:r w:rsidR="001A5F74">
              <w:rPr>
                <w:sz w:val="28"/>
                <w:szCs w:val="28"/>
                <w:lang w:val="uk-UA"/>
              </w:rPr>
              <w:t>БЕЗ ПОРУШЕННЯ ФУНКЦІЇ ЩИТОПОДІБНОЇ ЗАЛОЗИ ТА З СУБКЛІНІЧНИМ ГІПОТИРЕОЗОМ</w:t>
            </w:r>
            <w:r w:rsidR="001A5F74">
              <w:rPr>
                <w:sz w:val="28"/>
                <w:szCs w:val="28"/>
                <w:lang w:val="uk-UA" w:eastAsia="en-US"/>
              </w:rPr>
              <w:t xml:space="preserve"> </w:t>
            </w:r>
            <w:r>
              <w:rPr>
                <w:sz w:val="28"/>
                <w:szCs w:val="28"/>
                <w:lang w:val="uk-UA" w:eastAsia="en-US"/>
              </w:rPr>
              <w:t>……………</w:t>
            </w:r>
            <w:r w:rsidR="001A5F74">
              <w:rPr>
                <w:sz w:val="28"/>
                <w:szCs w:val="28"/>
                <w:lang w:val="uk-UA" w:eastAsia="en-US"/>
              </w:rPr>
              <w:t>…………………………………….</w:t>
            </w:r>
            <w:r>
              <w:rPr>
                <w:sz w:val="28"/>
                <w:szCs w:val="28"/>
                <w:lang w:val="uk-UA" w:eastAsia="en-US"/>
              </w:rPr>
              <w:t>…..</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60" w:lineRule="auto"/>
              <w:jc w:val="center"/>
              <w:rPr>
                <w:sz w:val="28"/>
                <w:szCs w:val="28"/>
                <w:lang w:val="uk-UA" w:eastAsia="en-US"/>
              </w:rPr>
            </w:pPr>
          </w:p>
          <w:p w:rsidR="00E3259F" w:rsidRDefault="00C078BE">
            <w:pPr>
              <w:spacing w:line="360" w:lineRule="auto"/>
              <w:jc w:val="center"/>
              <w:rPr>
                <w:sz w:val="28"/>
                <w:szCs w:val="28"/>
                <w:lang w:val="uk-UA" w:eastAsia="en-US"/>
              </w:rPr>
            </w:pPr>
            <w:r>
              <w:rPr>
                <w:sz w:val="28"/>
                <w:szCs w:val="28"/>
                <w:lang w:val="uk-UA" w:eastAsia="en-US"/>
              </w:rPr>
              <w:t>227</w:t>
            </w:r>
          </w:p>
        </w:tc>
      </w:tr>
      <w:tr w:rsidR="00E3259F" w:rsidTr="00E3259F">
        <w:tc>
          <w:tcPr>
            <w:tcW w:w="9042" w:type="dxa"/>
            <w:vMerge/>
            <w:vAlign w:val="center"/>
            <w:hideMark/>
          </w:tcPr>
          <w:p w:rsidR="00E3259F" w:rsidRDefault="00E3259F">
            <w:pPr>
              <w:rPr>
                <w:spacing w:val="-1"/>
                <w:sz w:val="28"/>
                <w:szCs w:val="28"/>
                <w:lang w:val="uk-UA" w:eastAsia="en-US"/>
              </w:rPr>
            </w:pP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E3259F" w:rsidRDefault="00E3259F" w:rsidP="001A5F74">
            <w:pPr>
              <w:spacing w:line="384" w:lineRule="auto"/>
              <w:jc w:val="center"/>
              <w:rPr>
                <w:sz w:val="28"/>
                <w:szCs w:val="28"/>
                <w:lang w:val="uk-UA" w:eastAsia="en-US"/>
              </w:rPr>
            </w:pPr>
            <w:r>
              <w:rPr>
                <w:sz w:val="28"/>
                <w:szCs w:val="28"/>
                <w:lang w:val="uk-UA" w:eastAsia="en-US"/>
              </w:rPr>
              <w:t>24</w:t>
            </w:r>
            <w:r w:rsidR="001A5F74">
              <w:rPr>
                <w:sz w:val="28"/>
                <w:szCs w:val="28"/>
                <w:lang w:val="uk-UA" w:eastAsia="en-US"/>
              </w:rPr>
              <w:t>4</w:t>
            </w:r>
          </w:p>
        </w:tc>
      </w:tr>
      <w:tr w:rsidR="00E3259F" w:rsidTr="00E3259F">
        <w:trPr>
          <w:trHeight w:val="827"/>
        </w:trPr>
        <w:tc>
          <w:tcPr>
            <w:tcW w:w="9042" w:type="dxa"/>
            <w:hideMark/>
          </w:tcPr>
          <w:p w:rsidR="00E3259F" w:rsidRDefault="00E3259F">
            <w:pPr>
              <w:spacing w:line="360" w:lineRule="auto"/>
              <w:jc w:val="both"/>
              <w:rPr>
                <w:sz w:val="28"/>
                <w:szCs w:val="28"/>
                <w:lang w:val="uk-UA" w:eastAsia="en-US"/>
              </w:rPr>
            </w:pPr>
            <w:r>
              <w:rPr>
                <w:sz w:val="28"/>
                <w:szCs w:val="28"/>
                <w:lang w:val="uk-UA" w:eastAsia="en-US"/>
              </w:rPr>
              <w:t>7.1. Модель індивідуалізованого прогнозування розвитку серцево-судинних ускладнень у хворих на на гіпертонічну  хворобу</w:t>
            </w:r>
            <w:r w:rsidR="004D60A2">
              <w:rPr>
                <w:sz w:val="28"/>
                <w:szCs w:val="28"/>
                <w:lang w:val="uk-UA" w:eastAsia="en-US"/>
              </w:rPr>
              <w:t xml:space="preserve"> у </w:t>
            </w:r>
            <w:r>
              <w:rPr>
                <w:sz w:val="28"/>
                <w:szCs w:val="28"/>
                <w:lang w:val="uk-UA" w:eastAsia="en-US"/>
              </w:rPr>
              <w:t xml:space="preserve"> поєднанні з цукровим діабетом 2 типу без порушення функції щитоподібної залози</w:t>
            </w:r>
            <w:r w:rsidR="00663D7B">
              <w:rPr>
                <w:sz w:val="28"/>
                <w:szCs w:val="28"/>
                <w:lang w:val="uk-UA" w:eastAsia="en-US"/>
              </w:rPr>
              <w:t>…</w:t>
            </w:r>
            <w:r w:rsidR="004D60A2">
              <w:rPr>
                <w:sz w:val="28"/>
                <w:szCs w:val="28"/>
                <w:lang w:val="uk-UA" w:eastAsia="en-US"/>
              </w:rPr>
              <w:t>…………………………………………………………………..</w:t>
            </w:r>
            <w:r>
              <w:rPr>
                <w:sz w:val="28"/>
                <w:szCs w:val="28"/>
                <w:lang w:val="uk-UA" w:eastAsia="en-US"/>
              </w:rPr>
              <w:t xml:space="preserve"> </w:t>
            </w:r>
          </w:p>
        </w:tc>
        <w:tc>
          <w:tcPr>
            <w:tcW w:w="708" w:type="dxa"/>
          </w:tcPr>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p w:rsidR="004D60A2" w:rsidRDefault="004D60A2">
            <w:pPr>
              <w:spacing w:line="384" w:lineRule="auto"/>
              <w:jc w:val="center"/>
              <w:rPr>
                <w:sz w:val="28"/>
                <w:szCs w:val="28"/>
                <w:lang w:val="uk-UA" w:eastAsia="en-US"/>
              </w:rPr>
            </w:pPr>
          </w:p>
          <w:p w:rsidR="00E3259F" w:rsidRDefault="00E3259F" w:rsidP="004D60A2">
            <w:pPr>
              <w:spacing w:line="384" w:lineRule="auto"/>
              <w:jc w:val="center"/>
              <w:rPr>
                <w:sz w:val="28"/>
                <w:szCs w:val="28"/>
                <w:lang w:val="uk-UA" w:eastAsia="en-US"/>
              </w:rPr>
            </w:pPr>
            <w:r>
              <w:rPr>
                <w:sz w:val="28"/>
                <w:szCs w:val="28"/>
                <w:lang w:val="uk-UA" w:eastAsia="en-US"/>
              </w:rPr>
              <w:t>24</w:t>
            </w:r>
            <w:r w:rsidR="004D60A2">
              <w:rPr>
                <w:sz w:val="28"/>
                <w:szCs w:val="28"/>
                <w:lang w:val="uk-UA" w:eastAsia="en-US"/>
              </w:rPr>
              <w:t>4</w:t>
            </w:r>
          </w:p>
        </w:tc>
      </w:tr>
      <w:tr w:rsidR="00E3259F" w:rsidTr="00E3259F">
        <w:trPr>
          <w:trHeight w:val="827"/>
        </w:trPr>
        <w:tc>
          <w:tcPr>
            <w:tcW w:w="9042" w:type="dxa"/>
            <w:hideMark/>
          </w:tcPr>
          <w:p w:rsidR="00E3259F" w:rsidRDefault="00E3259F">
            <w:pPr>
              <w:spacing w:line="360" w:lineRule="auto"/>
              <w:rPr>
                <w:sz w:val="28"/>
                <w:szCs w:val="28"/>
                <w:lang w:val="uk-UA" w:eastAsia="en-US"/>
              </w:rPr>
            </w:pPr>
            <w:r>
              <w:rPr>
                <w:sz w:val="28"/>
                <w:szCs w:val="28"/>
                <w:lang w:val="uk-UA" w:eastAsia="en-US"/>
              </w:rPr>
              <w:t xml:space="preserve">7.2.  Модель індивідуалізованого прогнозування розвитку серцево-судинних ускладнень у хворих на гіпертонічну  хворобу </w:t>
            </w:r>
            <w:r w:rsidR="00E45952">
              <w:rPr>
                <w:sz w:val="28"/>
                <w:szCs w:val="28"/>
                <w:lang w:val="uk-UA" w:eastAsia="en-US"/>
              </w:rPr>
              <w:t xml:space="preserve">у </w:t>
            </w:r>
            <w:r>
              <w:rPr>
                <w:sz w:val="28"/>
                <w:szCs w:val="28"/>
                <w:lang w:val="uk-UA" w:eastAsia="en-US"/>
              </w:rPr>
              <w:t>поєднанні з цукровим діабетом 2 типу та субклінічним гіпотиреозом……</w:t>
            </w:r>
            <w:r w:rsidR="00E45952">
              <w:rPr>
                <w:sz w:val="28"/>
                <w:szCs w:val="28"/>
                <w:lang w:val="uk-UA" w:eastAsia="en-US"/>
              </w:rPr>
              <w:t>….</w:t>
            </w:r>
            <w:r>
              <w:rPr>
                <w:sz w:val="28"/>
                <w:szCs w:val="28"/>
                <w:lang w:val="uk-UA" w:eastAsia="en-US"/>
              </w:rPr>
              <w:t>……..</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E45952">
            <w:pPr>
              <w:spacing w:line="384" w:lineRule="auto"/>
              <w:rPr>
                <w:sz w:val="28"/>
                <w:szCs w:val="28"/>
                <w:lang w:val="uk-UA" w:eastAsia="en-US"/>
              </w:rPr>
            </w:pPr>
            <w:r>
              <w:rPr>
                <w:sz w:val="28"/>
                <w:szCs w:val="28"/>
                <w:lang w:val="uk-UA" w:eastAsia="en-US"/>
              </w:rPr>
              <w:t>25</w:t>
            </w:r>
            <w:r w:rsidR="00E45952">
              <w:rPr>
                <w:sz w:val="28"/>
                <w:szCs w:val="28"/>
                <w:lang w:val="uk-UA" w:eastAsia="en-US"/>
              </w:rPr>
              <w:t>3</w:t>
            </w:r>
          </w:p>
        </w:tc>
      </w:tr>
      <w:tr w:rsidR="00E3259F" w:rsidTr="00E3259F">
        <w:trPr>
          <w:trHeight w:val="547"/>
        </w:trPr>
        <w:tc>
          <w:tcPr>
            <w:tcW w:w="9042" w:type="dxa"/>
            <w:hideMark/>
          </w:tcPr>
          <w:p w:rsidR="00E3259F" w:rsidRDefault="00E3259F" w:rsidP="00A60B23">
            <w:pPr>
              <w:spacing w:line="360" w:lineRule="auto"/>
              <w:rPr>
                <w:sz w:val="28"/>
                <w:szCs w:val="28"/>
                <w:lang w:val="uk-UA" w:eastAsia="en-US"/>
              </w:rPr>
            </w:pPr>
            <w:r>
              <w:rPr>
                <w:sz w:val="28"/>
                <w:szCs w:val="28"/>
                <w:lang w:val="uk-UA" w:eastAsia="en-US"/>
              </w:rPr>
              <w:t>РОЗДІЛ 8. ОЦІНКА ДИНАМИКИ ГОРМОНАЛЬНО-МЕТАБОЛІЧНИХ ТА АНТРОПОМЕТРИЧНИХ  ПОКАЗНИКІВ У</w:t>
            </w:r>
            <w:r>
              <w:rPr>
                <w:bCs/>
                <w:sz w:val="28"/>
                <w:szCs w:val="28"/>
                <w:lang w:val="uk-UA" w:eastAsia="en-US"/>
              </w:rPr>
              <w:t xml:space="preserve"> ПАЦІЄНТІВ </w:t>
            </w:r>
            <w:r w:rsidR="00A60B23">
              <w:rPr>
                <w:bCs/>
                <w:sz w:val="28"/>
                <w:szCs w:val="28"/>
                <w:lang w:val="uk-UA" w:eastAsia="en-US"/>
              </w:rPr>
              <w:t>НА</w:t>
            </w:r>
            <w:r>
              <w:rPr>
                <w:bCs/>
                <w:sz w:val="28"/>
                <w:szCs w:val="28"/>
                <w:lang w:val="uk-UA" w:eastAsia="en-US"/>
              </w:rPr>
              <w:t xml:space="preserve"> </w:t>
            </w:r>
            <w:r>
              <w:rPr>
                <w:sz w:val="28"/>
                <w:szCs w:val="28"/>
                <w:lang w:val="uk-UA" w:eastAsia="en-US"/>
              </w:rPr>
              <w:t>ГІПЕРТОНІЧН</w:t>
            </w:r>
            <w:r w:rsidR="00A60B23">
              <w:rPr>
                <w:sz w:val="28"/>
                <w:szCs w:val="28"/>
                <w:lang w:val="uk-UA" w:eastAsia="en-US"/>
              </w:rPr>
              <w:t>У</w:t>
            </w:r>
            <w:r>
              <w:rPr>
                <w:sz w:val="28"/>
                <w:szCs w:val="28"/>
                <w:lang w:val="uk-UA" w:eastAsia="en-US"/>
              </w:rPr>
              <w:t xml:space="preserve"> ХВОРОБ</w:t>
            </w:r>
            <w:r w:rsidR="00A60B23">
              <w:rPr>
                <w:sz w:val="28"/>
                <w:szCs w:val="28"/>
                <w:lang w:val="uk-UA" w:eastAsia="en-US"/>
              </w:rPr>
              <w:t>У В</w:t>
            </w:r>
            <w:r>
              <w:rPr>
                <w:sz w:val="28"/>
                <w:szCs w:val="28"/>
                <w:lang w:val="uk-UA" w:eastAsia="en-US"/>
              </w:rPr>
              <w:t xml:space="preserve"> ПОЄДНАННІ З ЦУКРОВИМ ДІАБЕТОМ 2 ТИПУ БЕЗ ПОРУШЕННЯ ФУНКЦІЇЇ ЩИТОПОДІБНОЇ ЗАЛОЗИ ТА З СУБКЛІНІЧНИМ  ГІПОТИРЕОЗОМ ПІД ВПЛИВОМ ЗАПРОПОНОВАНОЇ ТЕРАПІЇ…………………………………………….</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60" w:lineRule="auto"/>
              <w:rPr>
                <w:sz w:val="28"/>
                <w:szCs w:val="28"/>
                <w:lang w:val="uk-UA" w:eastAsia="en-US"/>
              </w:rPr>
            </w:pPr>
          </w:p>
          <w:p w:rsidR="00E3259F" w:rsidRDefault="00E3259F" w:rsidP="00A60B23">
            <w:pPr>
              <w:spacing w:line="360" w:lineRule="auto"/>
              <w:rPr>
                <w:sz w:val="28"/>
                <w:szCs w:val="28"/>
                <w:lang w:val="uk-UA" w:eastAsia="en-US"/>
              </w:rPr>
            </w:pPr>
            <w:r>
              <w:rPr>
                <w:sz w:val="28"/>
                <w:szCs w:val="28"/>
                <w:lang w:val="uk-UA" w:eastAsia="en-US"/>
              </w:rPr>
              <w:t>26</w:t>
            </w:r>
            <w:r w:rsidR="00A60B23">
              <w:rPr>
                <w:sz w:val="28"/>
                <w:szCs w:val="28"/>
                <w:lang w:val="uk-UA" w:eastAsia="en-US"/>
              </w:rPr>
              <w:t>4</w:t>
            </w:r>
          </w:p>
        </w:tc>
      </w:tr>
      <w:tr w:rsidR="00E3259F" w:rsidTr="00E3259F">
        <w:trPr>
          <w:trHeight w:val="547"/>
        </w:trPr>
        <w:tc>
          <w:tcPr>
            <w:tcW w:w="9042" w:type="dxa"/>
            <w:hideMark/>
          </w:tcPr>
          <w:p w:rsidR="00E3259F" w:rsidRDefault="00E3259F" w:rsidP="00A60B23">
            <w:pPr>
              <w:spacing w:line="360" w:lineRule="auto"/>
              <w:rPr>
                <w:sz w:val="28"/>
                <w:szCs w:val="28"/>
                <w:lang w:val="uk-UA" w:eastAsia="en-US"/>
              </w:rPr>
            </w:pPr>
            <w:r>
              <w:rPr>
                <w:sz w:val="28"/>
                <w:szCs w:val="28"/>
                <w:lang w:val="uk-UA" w:eastAsia="en-US"/>
              </w:rPr>
              <w:t xml:space="preserve">8.1.Вплив статинотерапії на показникі метаболічних процесів, оксидативного стресу, ендотеліальної дисфункції, </w:t>
            </w:r>
            <w:r w:rsidR="00A60B23">
              <w:rPr>
                <w:sz w:val="28"/>
                <w:szCs w:val="28"/>
                <w:lang w:val="uk-UA" w:eastAsia="en-US"/>
              </w:rPr>
              <w:t xml:space="preserve">відносну </w:t>
            </w:r>
            <w:r>
              <w:rPr>
                <w:sz w:val="28"/>
                <w:szCs w:val="28"/>
                <w:lang w:val="uk-UA" w:eastAsia="en-US"/>
              </w:rPr>
              <w:t xml:space="preserve">довжину теломер у хворих на гіпертонічну  хворобу </w:t>
            </w:r>
            <w:r w:rsidR="00A60B23">
              <w:rPr>
                <w:sz w:val="28"/>
                <w:szCs w:val="28"/>
                <w:lang w:val="uk-UA" w:eastAsia="en-US"/>
              </w:rPr>
              <w:t xml:space="preserve"> у </w:t>
            </w:r>
            <w:r>
              <w:rPr>
                <w:sz w:val="28"/>
                <w:szCs w:val="28"/>
                <w:lang w:val="uk-UA" w:eastAsia="en-US"/>
              </w:rPr>
              <w:t xml:space="preserve">поєднанні з цукровим діабетом 2 типу </w:t>
            </w:r>
            <w:r w:rsidR="00A60B23">
              <w:rPr>
                <w:sz w:val="28"/>
                <w:szCs w:val="28"/>
                <w:lang w:val="uk-UA" w:eastAsia="en-US"/>
              </w:rPr>
              <w:t>без порушення</w:t>
            </w:r>
            <w:r>
              <w:rPr>
                <w:sz w:val="28"/>
                <w:szCs w:val="28"/>
                <w:lang w:val="uk-UA" w:eastAsia="en-US"/>
              </w:rPr>
              <w:t xml:space="preserve"> функці</w:t>
            </w:r>
            <w:r w:rsidR="00A60B23">
              <w:rPr>
                <w:sz w:val="28"/>
                <w:szCs w:val="28"/>
                <w:lang w:val="uk-UA" w:eastAsia="en-US"/>
              </w:rPr>
              <w:t>ї</w:t>
            </w:r>
            <w:r>
              <w:rPr>
                <w:sz w:val="28"/>
                <w:szCs w:val="28"/>
                <w:lang w:val="uk-UA" w:eastAsia="en-US"/>
              </w:rPr>
              <w:t xml:space="preserve"> щитоподібної залози</w:t>
            </w:r>
            <w:r w:rsidR="00A60B23">
              <w:rPr>
                <w:sz w:val="28"/>
                <w:szCs w:val="28"/>
                <w:lang w:val="uk-UA" w:eastAsia="en-US"/>
              </w:rPr>
              <w:t>………….</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A60B23">
            <w:pPr>
              <w:spacing w:line="384" w:lineRule="auto"/>
              <w:rPr>
                <w:sz w:val="28"/>
                <w:szCs w:val="28"/>
                <w:lang w:val="uk-UA" w:eastAsia="en-US"/>
              </w:rPr>
            </w:pPr>
            <w:r>
              <w:rPr>
                <w:sz w:val="28"/>
                <w:szCs w:val="28"/>
                <w:lang w:val="uk-UA" w:eastAsia="en-US"/>
              </w:rPr>
              <w:t>26</w:t>
            </w:r>
            <w:r w:rsidR="00A60B23">
              <w:rPr>
                <w:sz w:val="28"/>
                <w:szCs w:val="28"/>
                <w:lang w:val="uk-UA" w:eastAsia="en-US"/>
              </w:rPr>
              <w:t>4</w:t>
            </w:r>
          </w:p>
        </w:tc>
      </w:tr>
      <w:tr w:rsidR="00E3259F" w:rsidTr="00E3259F">
        <w:trPr>
          <w:trHeight w:val="547"/>
        </w:trPr>
        <w:tc>
          <w:tcPr>
            <w:tcW w:w="9042" w:type="dxa"/>
            <w:hideMark/>
          </w:tcPr>
          <w:p w:rsidR="00E3259F" w:rsidRDefault="00E3259F" w:rsidP="00BC570A">
            <w:pPr>
              <w:spacing w:line="360" w:lineRule="auto"/>
              <w:jc w:val="both"/>
              <w:rPr>
                <w:sz w:val="28"/>
                <w:szCs w:val="28"/>
                <w:lang w:val="uk-UA" w:eastAsia="en-US"/>
              </w:rPr>
            </w:pPr>
            <w:r>
              <w:rPr>
                <w:sz w:val="28"/>
                <w:szCs w:val="28"/>
                <w:lang w:val="uk-UA" w:eastAsia="en-US"/>
              </w:rPr>
              <w:t xml:space="preserve">8.2.Вплив додаткового призначення замісної терапії левотироксином на показники метаболічних процесів, оксидативного стресу, ендотеліальної дисфункції, відносну довжину теломер у хворих на гіпертонічну  хворобу </w:t>
            </w:r>
            <w:r w:rsidR="00BC570A">
              <w:rPr>
                <w:sz w:val="28"/>
                <w:szCs w:val="28"/>
                <w:lang w:val="uk-UA" w:eastAsia="en-US"/>
              </w:rPr>
              <w:t>у</w:t>
            </w:r>
            <w:r>
              <w:rPr>
                <w:sz w:val="28"/>
                <w:szCs w:val="28"/>
                <w:lang w:val="uk-UA" w:eastAsia="en-US"/>
              </w:rPr>
              <w:t xml:space="preserve"> поєднанні з цукровим діабетом 2 типу та субклінічним гіпотиреозом………………………………………………………………</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BC570A">
            <w:pPr>
              <w:spacing w:line="384" w:lineRule="auto"/>
              <w:rPr>
                <w:sz w:val="28"/>
                <w:szCs w:val="28"/>
                <w:lang w:val="uk-UA" w:eastAsia="en-US"/>
              </w:rPr>
            </w:pPr>
            <w:r>
              <w:rPr>
                <w:sz w:val="28"/>
                <w:szCs w:val="28"/>
                <w:lang w:val="uk-UA" w:eastAsia="en-US"/>
              </w:rPr>
              <w:t>27</w:t>
            </w:r>
            <w:r w:rsidR="00BC570A">
              <w:rPr>
                <w:sz w:val="28"/>
                <w:szCs w:val="28"/>
                <w:lang w:val="uk-UA" w:eastAsia="en-US"/>
              </w:rPr>
              <w:t>5</w:t>
            </w:r>
          </w:p>
        </w:tc>
      </w:tr>
      <w:tr w:rsidR="00E3259F" w:rsidTr="00E3259F">
        <w:trPr>
          <w:trHeight w:val="547"/>
        </w:trPr>
        <w:tc>
          <w:tcPr>
            <w:tcW w:w="9042" w:type="dxa"/>
            <w:hideMark/>
          </w:tcPr>
          <w:p w:rsidR="00E3259F" w:rsidRDefault="00E3259F">
            <w:pPr>
              <w:spacing w:line="360" w:lineRule="auto"/>
              <w:jc w:val="both"/>
              <w:rPr>
                <w:sz w:val="28"/>
                <w:szCs w:val="28"/>
                <w:lang w:val="uk-UA" w:eastAsia="en-US"/>
              </w:rPr>
            </w:pPr>
            <w:r>
              <w:rPr>
                <w:spacing w:val="-1"/>
                <w:sz w:val="28"/>
                <w:szCs w:val="28"/>
                <w:lang w:val="uk-UA" w:eastAsia="en-US"/>
              </w:rPr>
              <w:t>РОЗДІЛ</w:t>
            </w:r>
            <w:r>
              <w:rPr>
                <w:sz w:val="28"/>
                <w:szCs w:val="28"/>
                <w:lang w:val="uk-UA" w:eastAsia="en-US"/>
              </w:rPr>
              <w:t xml:space="preserve"> 9. АЛГОРИТМ</w:t>
            </w:r>
            <w:r w:rsidR="00D43235">
              <w:rPr>
                <w:sz w:val="28"/>
                <w:szCs w:val="28"/>
                <w:lang w:val="uk-UA" w:eastAsia="en-US"/>
              </w:rPr>
              <w:t xml:space="preserve"> </w:t>
            </w:r>
            <w:r>
              <w:rPr>
                <w:sz w:val="28"/>
                <w:szCs w:val="28"/>
                <w:lang w:val="uk-UA" w:eastAsia="en-US"/>
              </w:rPr>
              <w:t xml:space="preserve"> РАННЬОЇ ДІАГНОСТИКИ ТА ЛІКУВАЛЬНОЇ ТАКТИКИ ДЛЯ ЗАПОБІГАННЯ СЕРЦЕВО-СУДИННИХ УСКЛАДНЕНЬ У ХВОРИХ НА ПОЄДНАНИЙ ПЕРЕБІГ ГІПЕРТОНІЧНОЇ ХВОРОБИ, ЦУКРОВОГО ДІАБЕТУ 2 ТИПУ  В ЗАЛЕЖНОСТІ ВІД ФУНКЦІОНАЛЬНОГО СТАНУ ЩИТОВИДНОЇ ЗАЛОЗИ………………………………………………………..………</w:t>
            </w:r>
          </w:p>
        </w:tc>
        <w:tc>
          <w:tcPr>
            <w:tcW w:w="708" w:type="dxa"/>
          </w:tcPr>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pPr>
              <w:spacing w:line="384" w:lineRule="auto"/>
              <w:rPr>
                <w:sz w:val="28"/>
                <w:szCs w:val="28"/>
                <w:lang w:val="uk-UA" w:eastAsia="en-US"/>
              </w:rPr>
            </w:pPr>
          </w:p>
          <w:p w:rsidR="00E3259F" w:rsidRDefault="00E3259F" w:rsidP="00D43235">
            <w:pPr>
              <w:spacing w:line="384" w:lineRule="auto"/>
              <w:rPr>
                <w:sz w:val="28"/>
                <w:szCs w:val="28"/>
                <w:lang w:val="uk-UA" w:eastAsia="en-US"/>
              </w:rPr>
            </w:pPr>
            <w:r>
              <w:rPr>
                <w:sz w:val="28"/>
                <w:szCs w:val="28"/>
                <w:lang w:val="uk-UA" w:eastAsia="en-US"/>
              </w:rPr>
              <w:t>30</w:t>
            </w:r>
            <w:r w:rsidR="00D43235">
              <w:rPr>
                <w:sz w:val="28"/>
                <w:szCs w:val="28"/>
                <w:lang w:val="uk-UA" w:eastAsia="en-US"/>
              </w:rPr>
              <w:t>1</w:t>
            </w:r>
          </w:p>
        </w:tc>
      </w:tr>
      <w:tr w:rsidR="00E3259F" w:rsidTr="00E3259F">
        <w:tc>
          <w:tcPr>
            <w:tcW w:w="9042" w:type="dxa"/>
            <w:hideMark/>
          </w:tcPr>
          <w:p w:rsidR="00E3259F" w:rsidRDefault="00E3259F" w:rsidP="00D43235">
            <w:pPr>
              <w:spacing w:line="360" w:lineRule="auto"/>
              <w:jc w:val="both"/>
              <w:rPr>
                <w:sz w:val="28"/>
                <w:szCs w:val="28"/>
                <w:lang w:val="uk-UA" w:eastAsia="en-US"/>
              </w:rPr>
            </w:pPr>
            <w:r>
              <w:rPr>
                <w:sz w:val="28"/>
                <w:szCs w:val="28"/>
                <w:lang w:val="uk-UA" w:eastAsia="en-US"/>
              </w:rPr>
              <w:t xml:space="preserve"> АНАЛІЗ ТА УЗАГАЛЬНЕННЯ РЕЗУЛЬТАТІВ ДОСЛІДЖЕННЯ…….</w:t>
            </w:r>
          </w:p>
        </w:tc>
        <w:tc>
          <w:tcPr>
            <w:tcW w:w="708" w:type="dxa"/>
          </w:tcPr>
          <w:p w:rsidR="00E3259F" w:rsidRDefault="00E3259F" w:rsidP="00D43235">
            <w:pPr>
              <w:spacing w:line="384" w:lineRule="auto"/>
              <w:jc w:val="center"/>
              <w:rPr>
                <w:sz w:val="28"/>
                <w:szCs w:val="28"/>
                <w:lang w:val="uk-UA" w:eastAsia="en-US"/>
              </w:rPr>
            </w:pPr>
            <w:r>
              <w:rPr>
                <w:sz w:val="28"/>
                <w:szCs w:val="28"/>
                <w:lang w:val="uk-UA" w:eastAsia="en-US"/>
              </w:rPr>
              <w:t>30</w:t>
            </w:r>
            <w:r w:rsidR="00D43235">
              <w:rPr>
                <w:sz w:val="28"/>
                <w:szCs w:val="28"/>
                <w:lang w:val="uk-UA" w:eastAsia="en-US"/>
              </w:rPr>
              <w:t>6</w:t>
            </w:r>
          </w:p>
        </w:tc>
      </w:tr>
      <w:tr w:rsidR="00E3259F" w:rsidTr="00E3259F">
        <w:tc>
          <w:tcPr>
            <w:tcW w:w="9042" w:type="dxa"/>
            <w:hideMark/>
          </w:tcPr>
          <w:p w:rsidR="00E3259F" w:rsidRDefault="00E3259F">
            <w:pPr>
              <w:spacing w:line="360" w:lineRule="auto"/>
              <w:rPr>
                <w:sz w:val="28"/>
                <w:szCs w:val="28"/>
                <w:lang w:val="uk-UA" w:eastAsia="en-US"/>
              </w:rPr>
            </w:pPr>
            <w:r>
              <w:rPr>
                <w:spacing w:val="-3"/>
                <w:sz w:val="28"/>
                <w:szCs w:val="28"/>
                <w:lang w:val="uk-UA" w:eastAsia="en-US"/>
              </w:rPr>
              <w:t>ВИСНОВКИ………………………………………………………………….</w:t>
            </w:r>
          </w:p>
        </w:tc>
        <w:tc>
          <w:tcPr>
            <w:tcW w:w="708" w:type="dxa"/>
            <w:hideMark/>
          </w:tcPr>
          <w:p w:rsidR="00E3259F" w:rsidRDefault="00E3259F" w:rsidP="003C2169">
            <w:pPr>
              <w:spacing w:line="384" w:lineRule="auto"/>
              <w:jc w:val="center"/>
              <w:rPr>
                <w:sz w:val="28"/>
                <w:szCs w:val="28"/>
                <w:lang w:val="uk-UA" w:eastAsia="en-US"/>
              </w:rPr>
            </w:pPr>
            <w:r>
              <w:rPr>
                <w:sz w:val="28"/>
                <w:szCs w:val="28"/>
                <w:lang w:val="uk-UA" w:eastAsia="en-US"/>
              </w:rPr>
              <w:t>3</w:t>
            </w:r>
            <w:r w:rsidR="003C2169">
              <w:rPr>
                <w:sz w:val="28"/>
                <w:szCs w:val="28"/>
                <w:lang w:val="uk-UA" w:eastAsia="en-US"/>
              </w:rPr>
              <w:t>41</w:t>
            </w:r>
          </w:p>
        </w:tc>
      </w:tr>
      <w:tr w:rsidR="00E3259F" w:rsidTr="00E3259F">
        <w:tc>
          <w:tcPr>
            <w:tcW w:w="9042" w:type="dxa"/>
            <w:hideMark/>
          </w:tcPr>
          <w:p w:rsidR="00E3259F" w:rsidRDefault="00E3259F">
            <w:pPr>
              <w:shd w:val="clear" w:color="auto" w:fill="FFFFFF"/>
              <w:tabs>
                <w:tab w:val="left" w:leader="dot" w:pos="8376"/>
              </w:tabs>
              <w:spacing w:line="360" w:lineRule="auto"/>
              <w:jc w:val="both"/>
              <w:rPr>
                <w:sz w:val="28"/>
                <w:szCs w:val="28"/>
                <w:lang w:val="uk-UA" w:eastAsia="en-US"/>
              </w:rPr>
            </w:pPr>
            <w:r>
              <w:rPr>
                <w:sz w:val="28"/>
                <w:szCs w:val="28"/>
                <w:lang w:val="uk-UA" w:eastAsia="en-US"/>
              </w:rPr>
              <w:t>ПРАКТИЧНІ РЕКОМЕНДАЦІЇ…………………………………………..</w:t>
            </w:r>
          </w:p>
        </w:tc>
        <w:tc>
          <w:tcPr>
            <w:tcW w:w="708" w:type="dxa"/>
            <w:hideMark/>
          </w:tcPr>
          <w:p w:rsidR="00E3259F" w:rsidRDefault="00E3259F" w:rsidP="003C2169">
            <w:pPr>
              <w:spacing w:line="384" w:lineRule="auto"/>
              <w:jc w:val="center"/>
              <w:rPr>
                <w:sz w:val="28"/>
                <w:szCs w:val="28"/>
                <w:lang w:val="uk-UA" w:eastAsia="en-US"/>
              </w:rPr>
            </w:pPr>
            <w:r>
              <w:rPr>
                <w:sz w:val="28"/>
                <w:szCs w:val="28"/>
                <w:lang w:val="uk-UA" w:eastAsia="en-US"/>
              </w:rPr>
              <w:t>34</w:t>
            </w:r>
            <w:r w:rsidR="003C2169">
              <w:rPr>
                <w:sz w:val="28"/>
                <w:szCs w:val="28"/>
                <w:lang w:val="uk-UA" w:eastAsia="en-US"/>
              </w:rPr>
              <w:t>4</w:t>
            </w:r>
          </w:p>
        </w:tc>
      </w:tr>
      <w:tr w:rsidR="00E3259F" w:rsidTr="00E3259F">
        <w:tc>
          <w:tcPr>
            <w:tcW w:w="9042" w:type="dxa"/>
            <w:hideMark/>
          </w:tcPr>
          <w:p w:rsidR="00E3259F" w:rsidRDefault="00E3259F">
            <w:pPr>
              <w:spacing w:line="360" w:lineRule="auto"/>
              <w:rPr>
                <w:sz w:val="28"/>
                <w:szCs w:val="28"/>
                <w:lang w:val="uk-UA" w:eastAsia="en-US"/>
              </w:rPr>
            </w:pPr>
            <w:r>
              <w:rPr>
                <w:spacing w:val="-3"/>
                <w:sz w:val="28"/>
                <w:szCs w:val="28"/>
                <w:lang w:eastAsia="en-US"/>
              </w:rPr>
              <w:t>СПИСОК ВИКОР</w:t>
            </w:r>
            <w:r>
              <w:rPr>
                <w:spacing w:val="-3"/>
                <w:sz w:val="28"/>
                <w:szCs w:val="28"/>
                <w:lang w:val="uk-UA" w:eastAsia="en-US"/>
              </w:rPr>
              <w:t>И</w:t>
            </w:r>
            <w:r>
              <w:rPr>
                <w:spacing w:val="-3"/>
                <w:sz w:val="28"/>
                <w:szCs w:val="28"/>
                <w:lang w:eastAsia="en-US"/>
              </w:rPr>
              <w:t>СТАНИХ ДЖЕРЕЛ</w:t>
            </w:r>
            <w:r>
              <w:rPr>
                <w:spacing w:val="-3"/>
                <w:sz w:val="28"/>
                <w:szCs w:val="28"/>
                <w:lang w:val="uk-UA" w:eastAsia="en-US"/>
              </w:rPr>
              <w:t>…………………………………..</w:t>
            </w:r>
          </w:p>
        </w:tc>
        <w:tc>
          <w:tcPr>
            <w:tcW w:w="708" w:type="dxa"/>
            <w:hideMark/>
          </w:tcPr>
          <w:p w:rsidR="00E3259F" w:rsidRDefault="00E3259F" w:rsidP="003C2169">
            <w:pPr>
              <w:spacing w:line="384" w:lineRule="auto"/>
              <w:jc w:val="center"/>
              <w:rPr>
                <w:sz w:val="28"/>
                <w:szCs w:val="28"/>
                <w:lang w:val="uk-UA" w:eastAsia="en-US"/>
              </w:rPr>
            </w:pPr>
            <w:r>
              <w:rPr>
                <w:sz w:val="28"/>
                <w:szCs w:val="28"/>
                <w:lang w:val="uk-UA" w:eastAsia="en-US"/>
              </w:rPr>
              <w:t>34</w:t>
            </w:r>
            <w:r w:rsidR="003C2169">
              <w:rPr>
                <w:sz w:val="28"/>
                <w:szCs w:val="28"/>
                <w:lang w:val="uk-UA" w:eastAsia="en-US"/>
              </w:rPr>
              <w:t>5</w:t>
            </w:r>
          </w:p>
        </w:tc>
      </w:tr>
      <w:tr w:rsidR="00E3259F" w:rsidTr="00E3259F">
        <w:tc>
          <w:tcPr>
            <w:tcW w:w="9042" w:type="dxa"/>
            <w:hideMark/>
          </w:tcPr>
          <w:p w:rsidR="00E3259F" w:rsidRDefault="00E3259F">
            <w:pPr>
              <w:spacing w:line="360" w:lineRule="auto"/>
              <w:rPr>
                <w:spacing w:val="-3"/>
                <w:sz w:val="28"/>
                <w:szCs w:val="28"/>
                <w:lang w:val="uk-UA" w:eastAsia="en-US"/>
              </w:rPr>
            </w:pPr>
            <w:r>
              <w:rPr>
                <w:spacing w:val="-3"/>
                <w:sz w:val="28"/>
                <w:szCs w:val="28"/>
                <w:lang w:val="uk-UA" w:eastAsia="en-US"/>
              </w:rPr>
              <w:t>Додатки……………………………………………………………………….</w:t>
            </w:r>
          </w:p>
        </w:tc>
        <w:tc>
          <w:tcPr>
            <w:tcW w:w="708" w:type="dxa"/>
          </w:tcPr>
          <w:p w:rsidR="00E3259F" w:rsidRDefault="00D83BD4">
            <w:pPr>
              <w:spacing w:line="384" w:lineRule="auto"/>
              <w:jc w:val="center"/>
              <w:rPr>
                <w:sz w:val="28"/>
                <w:szCs w:val="28"/>
                <w:lang w:val="uk-UA" w:eastAsia="en-US"/>
              </w:rPr>
            </w:pPr>
            <w:r>
              <w:rPr>
                <w:sz w:val="28"/>
                <w:szCs w:val="28"/>
                <w:lang w:val="uk-UA" w:eastAsia="en-US"/>
              </w:rPr>
              <w:t>398</w:t>
            </w:r>
          </w:p>
          <w:p w:rsidR="00E3259F" w:rsidRDefault="00E3259F">
            <w:pPr>
              <w:spacing w:line="384" w:lineRule="auto"/>
              <w:jc w:val="center"/>
              <w:rPr>
                <w:sz w:val="28"/>
                <w:szCs w:val="28"/>
                <w:lang w:val="uk-UA" w:eastAsia="en-US"/>
              </w:rPr>
            </w:pPr>
          </w:p>
          <w:p w:rsidR="00E3259F" w:rsidRDefault="00E3259F">
            <w:pPr>
              <w:spacing w:line="384" w:lineRule="auto"/>
              <w:jc w:val="center"/>
              <w:rPr>
                <w:sz w:val="28"/>
                <w:szCs w:val="28"/>
                <w:lang w:val="uk-UA" w:eastAsia="en-US"/>
              </w:rPr>
            </w:pPr>
          </w:p>
        </w:tc>
      </w:tr>
    </w:tbl>
    <w:p w:rsidR="00E3259F" w:rsidRDefault="00E3259F" w:rsidP="00E3259F">
      <w:pPr>
        <w:rPr>
          <w:rFonts w:ascii="Calibri" w:hAnsi="Calibri"/>
          <w:sz w:val="22"/>
          <w:szCs w:val="22"/>
          <w:lang w:eastAsia="en-US"/>
        </w:rPr>
      </w:pPr>
    </w:p>
    <w:p w:rsidR="00E3259F" w:rsidRDefault="00E3259F" w:rsidP="00E3259F">
      <w:pPr>
        <w:spacing w:after="200" w:line="276" w:lineRule="auto"/>
        <w:rPr>
          <w:bCs/>
          <w:iCs/>
          <w:color w:val="FF0000"/>
          <w:sz w:val="28"/>
          <w:szCs w:val="28"/>
          <w:lang w:val="uk-UA"/>
        </w:rPr>
      </w:pPr>
      <w:r>
        <w:rPr>
          <w:bCs/>
          <w:iCs/>
          <w:color w:val="FF0000"/>
          <w:sz w:val="28"/>
          <w:szCs w:val="28"/>
          <w:lang w:val="uk-UA"/>
        </w:rPr>
        <w:br w:type="page"/>
      </w:r>
    </w:p>
    <w:p w:rsidR="00E3259F" w:rsidRDefault="00E3259F" w:rsidP="00E3259F">
      <w:pPr>
        <w:pStyle w:val="a4"/>
        <w:spacing w:line="360" w:lineRule="auto"/>
        <w:ind w:left="180" w:hanging="180"/>
        <w:jc w:val="center"/>
        <w:rPr>
          <w:b/>
          <w:bCs/>
          <w:color w:val="000000"/>
          <w:sz w:val="28"/>
          <w:szCs w:val="28"/>
          <w:lang w:val="uk-UA"/>
        </w:rPr>
      </w:pPr>
      <w:r>
        <w:rPr>
          <w:b/>
          <w:color w:val="000000"/>
          <w:sz w:val="28"/>
          <w:szCs w:val="28"/>
          <w:lang w:val="uk-UA"/>
        </w:rPr>
        <w:t>ВСТУП</w:t>
      </w:r>
    </w:p>
    <w:p w:rsidR="00E3259F" w:rsidRPr="00663D7B" w:rsidRDefault="00E3259F" w:rsidP="00663D7B">
      <w:pPr>
        <w:pStyle w:val="a4"/>
        <w:spacing w:line="360" w:lineRule="auto"/>
        <w:ind w:left="0" w:firstLine="709"/>
        <w:jc w:val="both"/>
        <w:rPr>
          <w:rStyle w:val="tlid-translation"/>
          <w:lang w:val="uk-UA"/>
        </w:rPr>
      </w:pPr>
      <w:r w:rsidRPr="00663D7B">
        <w:rPr>
          <w:sz w:val="28"/>
          <w:szCs w:val="28"/>
          <w:lang w:val="uk-UA"/>
        </w:rPr>
        <w:t>Актуальність теми.</w:t>
      </w:r>
      <w:r w:rsidRPr="00663D7B">
        <w:rPr>
          <w:b/>
          <w:sz w:val="28"/>
          <w:szCs w:val="28"/>
          <w:lang w:val="uk-UA"/>
        </w:rPr>
        <w:t xml:space="preserve"> </w:t>
      </w:r>
      <w:r w:rsidRPr="00663D7B">
        <w:rPr>
          <w:sz w:val="28"/>
          <w:szCs w:val="28"/>
          <w:shd w:val="clear" w:color="auto" w:fill="FFFFFF"/>
          <w:lang w:val="uk-UA"/>
        </w:rPr>
        <w:t>Серед серцево-судинних захворювань (ССЗ) показники захворюваності, смертності та інвалідності, особливо які пов'язані з гіпертонічною хворобою (ГХ), продовжують залишатися провідним фактором ризику передчасної смерті та втрати працездатності, вражаючи 26,4% дорослого населення світу [208], а в країнах з низьким економічним рівнем розвитку -39,2% [</w:t>
      </w:r>
      <w:r w:rsidRPr="00663D7B">
        <w:rPr>
          <w:sz w:val="28"/>
          <w:szCs w:val="28"/>
          <w:shd w:val="clear" w:color="auto" w:fill="FFFFFF"/>
        </w:rPr>
        <w:t>89</w:t>
      </w:r>
      <w:r w:rsidRPr="00663D7B">
        <w:rPr>
          <w:sz w:val="28"/>
          <w:szCs w:val="28"/>
          <w:shd w:val="clear" w:color="auto" w:fill="FFFFFF"/>
          <w:lang w:val="uk-UA"/>
        </w:rPr>
        <w:t>]. В Україні</w:t>
      </w:r>
      <w:r w:rsidRPr="00663D7B">
        <w:rPr>
          <w:sz w:val="28"/>
          <w:szCs w:val="28"/>
          <w:lang w:val="uk-UA"/>
        </w:rPr>
        <w:t xml:space="preserve"> за даними ННЦ «Інститут кардіології ім. акад. М.Д. Стражеска» НАМН України, питома вага артеріальної гіпертензії (АГ) у структурі захворюваності на ССЗ сягає 41,2 % [34]. На даний час спостерігається зростання захворюваності на ГХ з віком, </w:t>
      </w:r>
      <w:r w:rsidRPr="00663D7B">
        <w:rPr>
          <w:rStyle w:val="tlid-translation"/>
          <w:rFonts w:eastAsiaTheme="majorEastAsia"/>
          <w:sz w:val="28"/>
          <w:szCs w:val="28"/>
          <w:lang w:val="uk-UA"/>
        </w:rPr>
        <w:t xml:space="preserve">перевищуючи 60% у осіб старше 60 років [89], та коморбідності з ендокринопатіями, наочним, але маловивченим, прикладом якої є поєднання ГХ, цукрового діабету  (ЦД) 2 типу та субклінічного гіпотиреозу (СГТ). </w:t>
      </w:r>
      <w:r w:rsidRPr="00663D7B">
        <w:rPr>
          <w:sz w:val="28"/>
          <w:szCs w:val="28"/>
          <w:lang w:val="uk-UA"/>
        </w:rPr>
        <w:t>ГХ відзначається у 80% хворих на  ЦД 2 типу [41]. За даними Американської асоціації ендокринологів, СГТ спостерігають у 3% чоловіків та 10% жінок, а у осіб старше 60 років майже у 20% [339]. П</w:t>
      </w:r>
      <w:r w:rsidRPr="00663D7B">
        <w:rPr>
          <w:rStyle w:val="tlid-translation"/>
          <w:rFonts w:eastAsiaTheme="majorEastAsia"/>
          <w:sz w:val="28"/>
          <w:szCs w:val="28"/>
          <w:lang w:val="uk-UA"/>
        </w:rPr>
        <w:t>ри ЦД 5,1% пацієнтів мають СГТ [318]</w:t>
      </w:r>
      <w:r w:rsidRPr="00663D7B">
        <w:rPr>
          <w:sz w:val="28"/>
          <w:szCs w:val="28"/>
          <w:lang w:val="uk-UA"/>
        </w:rPr>
        <w:t>, тоді як наявність одночасного перебігу ГХ та ЦД 2 типу, призводить до зростанню захворюваності на СГТ до 28,9%</w:t>
      </w:r>
      <w:r w:rsidRPr="00663D7B">
        <w:rPr>
          <w:rStyle w:val="tlid-translation"/>
          <w:rFonts w:eastAsiaTheme="majorEastAsia"/>
          <w:sz w:val="28"/>
          <w:szCs w:val="28"/>
          <w:lang w:val="uk-UA"/>
        </w:rPr>
        <w:t xml:space="preserve"> [367]</w:t>
      </w:r>
      <w:r w:rsidRPr="00663D7B">
        <w:rPr>
          <w:rStyle w:val="doi"/>
          <w:sz w:val="28"/>
          <w:szCs w:val="28"/>
          <w:lang w:val="uk-UA"/>
        </w:rPr>
        <w:t xml:space="preserve">. </w:t>
      </w:r>
      <w:r w:rsidRPr="00663D7B">
        <w:rPr>
          <w:rStyle w:val="tlid-translation"/>
          <w:rFonts w:eastAsiaTheme="majorEastAsia"/>
          <w:sz w:val="28"/>
          <w:szCs w:val="28"/>
          <w:lang w:val="uk-UA"/>
        </w:rPr>
        <w:t xml:space="preserve">Якщо в ряді випадків таке поєднання носить випадковий характер, то в інших випадках є спільність патогенетичних процесів, взаємозв`язок змін, які впливають на прогноз хворих, тактику ведення та ефективність терапії. </w:t>
      </w:r>
    </w:p>
    <w:p w:rsidR="00E3259F" w:rsidRPr="00663D7B" w:rsidRDefault="00E3259F" w:rsidP="00663D7B">
      <w:pPr>
        <w:spacing w:line="360" w:lineRule="auto"/>
        <w:ind w:firstLine="709"/>
        <w:jc w:val="both"/>
        <w:rPr>
          <w:lang w:val="uk-UA"/>
        </w:rPr>
      </w:pPr>
      <w:r w:rsidRPr="00663D7B">
        <w:rPr>
          <w:sz w:val="28"/>
          <w:szCs w:val="28"/>
          <w:lang w:val="uk-UA"/>
        </w:rPr>
        <w:t>Аналіз накопичених даних, в тому числі мета-аналіз проспективних когортних досліджень, свідчить про наявність асоціації СГТ з підвищеним ризиком смертності від усіх причин, особливо у осіб з високим кардіо-васкулярним ризиком (КВР) [191,352,364], але бракує даних</w:t>
      </w:r>
      <w:r w:rsidRPr="00663D7B">
        <w:rPr>
          <w:rStyle w:val="tlid-translation"/>
          <w:rFonts w:eastAsiaTheme="majorEastAsia"/>
          <w:sz w:val="28"/>
          <w:szCs w:val="28"/>
          <w:lang w:val="uk-UA"/>
        </w:rPr>
        <w:t xml:space="preserve"> щодо вкладу СГТ в загальний КВР, а також щодо маркера, що дозволяє оцінити прогностичний вплив СГТ [119,338]. </w:t>
      </w:r>
      <w:r w:rsidRPr="00663D7B">
        <w:rPr>
          <w:sz w:val="28"/>
          <w:szCs w:val="28"/>
          <w:lang w:val="uk-UA"/>
        </w:rPr>
        <w:t xml:space="preserve">Особливу увагу привертає ступінь підвищення ТТГ в субклінічному діапазоні та визначення розділового рівня ТТГ і ідентифікація діапазону його значень, в якому ймовірність підвищення КВР і розвитку серцево-судинних ускладнень (ССУ) стає значущою. Складна взаємодія між ендотеліальною дисфункцією, порушенням метаболічних процесів, розвитком інсулінорезистентності та оксидативного стресу може мати ключове значення для зв'язку між субклінічною гіпофункцією </w:t>
      </w:r>
      <w:r w:rsidRPr="00663D7B">
        <w:rPr>
          <w:sz w:val="28"/>
          <w:szCs w:val="28"/>
        </w:rPr>
        <w:t xml:space="preserve">ЩЗ на тлі ГХ та </w:t>
      </w:r>
      <w:r w:rsidRPr="00663D7B">
        <w:rPr>
          <w:sz w:val="28"/>
          <w:szCs w:val="28"/>
          <w:lang w:val="uk-UA"/>
        </w:rPr>
        <w:t>ЦД 2 типу</w:t>
      </w:r>
      <w:r w:rsidRPr="00663D7B">
        <w:rPr>
          <w:b/>
          <w:sz w:val="28"/>
          <w:szCs w:val="28"/>
          <w:lang w:val="uk-UA"/>
        </w:rPr>
        <w:t xml:space="preserve"> </w:t>
      </w:r>
      <w:r w:rsidRPr="00663D7B">
        <w:rPr>
          <w:sz w:val="28"/>
          <w:szCs w:val="28"/>
        </w:rPr>
        <w:t xml:space="preserve"> і ризиком розвитку ССУ.</w:t>
      </w:r>
      <w:r w:rsidRPr="00663D7B">
        <w:rPr>
          <w:rStyle w:val="tlid-translation"/>
          <w:rFonts w:eastAsiaTheme="majorEastAsia"/>
          <w:sz w:val="28"/>
          <w:szCs w:val="28"/>
          <w:lang w:val="uk-UA"/>
        </w:rPr>
        <w:t xml:space="preserve"> </w:t>
      </w:r>
      <w:r w:rsidRPr="00663D7B">
        <w:rPr>
          <w:sz w:val="28"/>
          <w:szCs w:val="28"/>
          <w:lang w:val="uk-UA"/>
        </w:rPr>
        <w:t>Для попередження розвитку серцево-судинних подій та їх ускладнень у хворих на поєднаний перебіг ГХ, ЦД 2 типу</w:t>
      </w:r>
      <w:r w:rsidRPr="00663D7B">
        <w:rPr>
          <w:b/>
          <w:sz w:val="28"/>
          <w:szCs w:val="28"/>
          <w:lang w:val="uk-UA"/>
        </w:rPr>
        <w:t xml:space="preserve"> </w:t>
      </w:r>
      <w:r w:rsidRPr="00663D7B">
        <w:rPr>
          <w:sz w:val="28"/>
          <w:szCs w:val="28"/>
          <w:lang w:val="uk-UA"/>
        </w:rPr>
        <w:t xml:space="preserve"> та СГТ суттєве значення має виявлення ранніх предикторів, до яких можуть бути віднесені маркери ЕД: васкулоендотеліальний фактор росту (ВЕФР), циркулюючі десквамовані ендотеліальні клітини (ЦДЕК); маркер хроничного запалення – С-реактивний протеїн (СРП) та фактор некрозу пухлин – α (ФНП-α); маркери ОС, в тому числі маркер окисного пошкодження ДНК – 8-гідроксі-2'-деоксігуанозин (8-OH-dG), маркер судинного старіння – довжина теломер, сукупний вплив яких при даній коморбідній патології визначний недостаньо. Ще одним фактором, що модифікує зв'язок СГТ з серцево-судинними порушеннями, може бути вік, тому, уточнення ролі віку як фактора, здатного, поряд з рівнем ТТГ, модифікувати дію СГТ на серцево-судинну систему є актуальним. Крім того, існуюча в</w:t>
      </w:r>
      <w:r w:rsidRPr="00663D7B">
        <w:rPr>
          <w:rStyle w:val="tlid-translationtranslation"/>
          <w:sz w:val="28"/>
          <w:szCs w:val="28"/>
          <w:lang w:val="uk-UA"/>
        </w:rPr>
        <w:t>ажливість визначення темпів старіння (ТС) обґрунтовується тим, що цей показник може мати реальну прогностичну цінність для оцінки здоров'я як окремої людини, так і груп, що мають певні фактори ризику розвитку захворювань, а кількісні характеристики ТС можуть слугувати об'єктивною мірою ефективності, різних методів терапевтичного або профілактичного втручання і т.п  [167,415]</w:t>
      </w:r>
      <w:r w:rsidRPr="00663D7B">
        <w:rPr>
          <w:sz w:val="28"/>
          <w:szCs w:val="28"/>
          <w:shd w:val="clear" w:color="auto" w:fill="FFFFFF"/>
          <w:lang w:val="uk-UA"/>
        </w:rPr>
        <w:t xml:space="preserve">. </w:t>
      </w:r>
      <w:r w:rsidRPr="00663D7B">
        <w:rPr>
          <w:sz w:val="28"/>
          <w:szCs w:val="28"/>
          <w:lang w:val="uk-UA"/>
        </w:rPr>
        <w:t xml:space="preserve">Незважаючі на те, що в останні роки з`явилось чимало робіт присвячених погіршенню перебігу [2,170] або появленню нових випадків ЦД 2 типу на тлі статинотерапії особливо у літніх осіб [310,368], призначення статинів при ЦД 2 типу є одним з основоположних принципів сучасної антидіабетичної терапії [189, 223,359]. </w:t>
      </w:r>
      <w:r w:rsidRPr="00663D7B">
        <w:rPr>
          <w:sz w:val="28"/>
          <w:szCs w:val="28"/>
          <w:shd w:val="clear" w:color="auto" w:fill="FFFFFF"/>
          <w:lang w:val="uk-UA"/>
        </w:rPr>
        <w:t xml:space="preserve">Крім визначених плейотропних ефектів статинів активно досліджується здатність статинів покращувати функціональну активність клітин, пригнічувати процес вкорочення теломер [149], таким чином затримувати процес старіння, </w:t>
      </w:r>
      <w:r w:rsidRPr="00663D7B">
        <w:rPr>
          <w:rStyle w:val="tlid-translation"/>
          <w:sz w:val="28"/>
          <w:szCs w:val="28"/>
          <w:lang w:val="uk-UA"/>
        </w:rPr>
        <w:t>що з'явилось підставою припущення</w:t>
      </w:r>
      <w:r w:rsidRPr="00663D7B">
        <w:rPr>
          <w:sz w:val="28"/>
          <w:szCs w:val="28"/>
          <w:shd w:val="clear" w:color="auto" w:fill="FFFFFF"/>
          <w:lang w:val="uk-UA"/>
        </w:rPr>
        <w:t xml:space="preserve"> щодо антиейджингової дії статинів, яка дискутується в останні роки [244,265]. </w:t>
      </w:r>
      <w:r w:rsidRPr="00663D7B">
        <w:rPr>
          <w:sz w:val="28"/>
          <w:szCs w:val="28"/>
          <w:lang w:val="uk-UA"/>
        </w:rPr>
        <w:t>Проте вплив статинів на процеси судинного старіння ще потребує уточнення, тому що не можна ігнорувати появу даних, щодо можливого посилення оксидативного стресу (ОС), функціонального стану ендотелію на тлі лікуванням статинами [269,412]. Неоднозначним залишається на сьогоднішній момент питання замісної терапії при СГТ в різних вікових групах, при наявності різної супутньої патології і ступеня КВР, особливо при середньо-нормальних рівнях ТТГ.</w:t>
      </w:r>
    </w:p>
    <w:p w:rsidR="00E3259F" w:rsidRPr="00663D7B" w:rsidRDefault="00E3259F" w:rsidP="00663D7B">
      <w:pPr>
        <w:spacing w:line="360" w:lineRule="auto"/>
        <w:ind w:firstLine="709"/>
        <w:jc w:val="both"/>
        <w:rPr>
          <w:sz w:val="28"/>
          <w:szCs w:val="28"/>
          <w:lang w:val="uk-UA"/>
        </w:rPr>
      </w:pPr>
      <w:r w:rsidRPr="00663D7B">
        <w:rPr>
          <w:sz w:val="28"/>
          <w:szCs w:val="28"/>
          <w:lang w:val="uk-UA"/>
        </w:rPr>
        <w:t>З урахуванням вищезазначеного є актуальним вивчення гормонально-метаболічних особливостей  та судинних маркерів  розвитку та перебігу ГХ у поєднанні з ЦД 2 типу</w:t>
      </w:r>
      <w:r w:rsidRPr="00663D7B">
        <w:rPr>
          <w:b/>
          <w:sz w:val="28"/>
          <w:szCs w:val="28"/>
          <w:lang w:val="uk-UA"/>
        </w:rPr>
        <w:t xml:space="preserve"> </w:t>
      </w:r>
      <w:r w:rsidRPr="00663D7B">
        <w:rPr>
          <w:sz w:val="28"/>
          <w:szCs w:val="28"/>
          <w:lang w:val="uk-UA"/>
        </w:rPr>
        <w:t xml:space="preserve"> та СГТ з подальшим аналізом предикторності, що дозволить суттєво оптимізувати ранню діагностику та індивідуалізувати стратегію лікувально-профілактичних заходів щодо розвитку кардіоваскулярних подій у пацієнтів  з даною коморбідною патологією. </w:t>
      </w:r>
    </w:p>
    <w:p w:rsidR="00E3259F" w:rsidRPr="00663D7B" w:rsidRDefault="00E3259F" w:rsidP="00663D7B">
      <w:pPr>
        <w:spacing w:line="360" w:lineRule="auto"/>
        <w:ind w:firstLine="709"/>
        <w:jc w:val="both"/>
        <w:rPr>
          <w:sz w:val="28"/>
          <w:szCs w:val="28"/>
          <w:lang w:val="uk-UA"/>
        </w:rPr>
      </w:pPr>
      <w:r w:rsidRPr="00663D7B">
        <w:rPr>
          <w:sz w:val="28"/>
          <w:szCs w:val="28"/>
          <w:lang w:val="uk-UA"/>
        </w:rPr>
        <w:t xml:space="preserve"> Зв’язок роботи з науковими програмами, планами, темами. Дисертаційна робота є фрагментом науково-дослідних робіт кафедри клінічної фармакології та внутрішній медицини Харківського національного медичного університету МОЗ України «Оптимізувати діагностику артеріальної гіпертензії та виявлення субклінічного ураження органів-мішеней в осіб молодого віку» (державний реєстраційний номер 0112U002385) (2013-2016 рр), «Оптимізація діагностики та лікування коморбідної патології (гіпертонічної хвороби та цукрового діабету 2 типу) на підставі оцінки кардіогемодинаміки, метаболізму і фармакогенетичного аналізу» (державний реєстраційний номер 0118</w:t>
      </w:r>
      <w:r w:rsidRPr="00663D7B">
        <w:rPr>
          <w:sz w:val="28"/>
          <w:szCs w:val="28"/>
        </w:rPr>
        <w:t>U</w:t>
      </w:r>
      <w:r w:rsidRPr="00663D7B">
        <w:rPr>
          <w:sz w:val="28"/>
          <w:szCs w:val="28"/>
          <w:lang w:val="uk-UA"/>
        </w:rPr>
        <w:t>000923) (2016-2019 рр.). Здобувачем проведено аналіз наукової літератури за проблемою, виконано патентно-інформаційний пошук. Здобувач брала участь у проведенні відбору тематичних хворих, інтерпретації отриманих результатів, написанні наукових праць, впровадженні результатів дослідження в заклади практичної охорони здоров`я.</w:t>
      </w:r>
    </w:p>
    <w:p w:rsidR="00E3259F" w:rsidRPr="00663D7B" w:rsidRDefault="00E3259F" w:rsidP="00663D7B">
      <w:pPr>
        <w:pStyle w:val="a4"/>
        <w:spacing w:line="360" w:lineRule="auto"/>
        <w:ind w:left="0" w:firstLine="709"/>
        <w:jc w:val="both"/>
        <w:rPr>
          <w:sz w:val="28"/>
          <w:szCs w:val="28"/>
          <w:lang w:val="uk-UA"/>
        </w:rPr>
      </w:pPr>
      <w:r w:rsidRPr="00663D7B">
        <w:rPr>
          <w:sz w:val="28"/>
          <w:szCs w:val="28"/>
          <w:lang w:val="uk-UA"/>
        </w:rPr>
        <w:t>Мета дослідження</w:t>
      </w:r>
      <w:r w:rsidR="00663D7B" w:rsidRPr="00663D7B">
        <w:rPr>
          <w:sz w:val="28"/>
          <w:szCs w:val="28"/>
          <w:lang w:val="uk-UA"/>
        </w:rPr>
        <w:t>:</w:t>
      </w:r>
      <w:r w:rsidRPr="00663D7B">
        <w:rPr>
          <w:sz w:val="28"/>
          <w:szCs w:val="28"/>
          <w:lang w:val="uk-UA"/>
        </w:rPr>
        <w:t xml:space="preserve"> </w:t>
      </w:r>
      <w:r w:rsidR="00663D7B" w:rsidRPr="00663D7B">
        <w:rPr>
          <w:sz w:val="28"/>
          <w:szCs w:val="28"/>
          <w:lang w:val="uk-UA"/>
        </w:rPr>
        <w:t>о</w:t>
      </w:r>
      <w:r w:rsidRPr="00663D7B">
        <w:rPr>
          <w:sz w:val="28"/>
          <w:szCs w:val="28"/>
          <w:lang w:val="uk-UA"/>
        </w:rPr>
        <w:t xml:space="preserve">птимізація ранньої діагностики, прогнозування перебігу, ризику розвитку ускладнень та лікувальної тактики у пацієнтів з гіпертонічною хворобою у поєднанні з цукровим діабетом 2 типу та субклінічним гіпотиреозом на підставі комплексного визначення клініко-патогенетичних механізмів, ендотеліальної дисфункції, оксидативного стресу, системного запалення та процесів судинного старіння. </w:t>
      </w:r>
    </w:p>
    <w:p w:rsidR="00E3259F" w:rsidRPr="00663D7B" w:rsidRDefault="00E3259F" w:rsidP="00663D7B">
      <w:pPr>
        <w:pStyle w:val="a4"/>
        <w:spacing w:line="360" w:lineRule="auto"/>
        <w:ind w:left="0" w:firstLine="709"/>
        <w:jc w:val="both"/>
        <w:rPr>
          <w:sz w:val="28"/>
          <w:szCs w:val="28"/>
          <w:lang w:val="uk-UA"/>
        </w:rPr>
      </w:pPr>
      <w:r w:rsidRPr="00663D7B">
        <w:rPr>
          <w:sz w:val="28"/>
          <w:szCs w:val="28"/>
          <w:lang w:val="uk-UA"/>
        </w:rPr>
        <w:t>Для досягнення визначеної мети було сформульовано такі завдання дослідження:</w:t>
      </w:r>
    </w:p>
    <w:p w:rsidR="00E3259F" w:rsidRPr="00663D7B" w:rsidRDefault="00E3259F" w:rsidP="00663D7B">
      <w:pPr>
        <w:shd w:val="clear" w:color="auto" w:fill="FFFFFF"/>
        <w:spacing w:line="360" w:lineRule="auto"/>
        <w:ind w:firstLine="709"/>
        <w:jc w:val="both"/>
        <w:outlineLvl w:val="2"/>
        <w:rPr>
          <w:b/>
          <w:bCs/>
          <w:sz w:val="28"/>
          <w:szCs w:val="28"/>
          <w:lang w:val="uk-UA"/>
        </w:rPr>
      </w:pPr>
      <w:r w:rsidRPr="00663D7B">
        <w:rPr>
          <w:sz w:val="28"/>
          <w:szCs w:val="28"/>
          <w:lang w:val="uk-UA"/>
        </w:rPr>
        <w:t>1.</w:t>
      </w:r>
      <w:r w:rsidRPr="00663D7B">
        <w:rPr>
          <w:bCs/>
          <w:sz w:val="28"/>
          <w:szCs w:val="28"/>
          <w:lang w:val="uk-UA"/>
        </w:rPr>
        <w:t xml:space="preserve"> Оцінити показники вуглеводного та ліпідного обмінів у хворих </w:t>
      </w:r>
      <w:r w:rsidRPr="00663D7B">
        <w:rPr>
          <w:sz w:val="28"/>
          <w:szCs w:val="28"/>
          <w:lang w:val="uk-UA"/>
        </w:rPr>
        <w:t>на</w:t>
      </w:r>
      <w:r w:rsidRPr="00663D7B">
        <w:rPr>
          <w:bCs/>
          <w:sz w:val="28"/>
          <w:szCs w:val="28"/>
          <w:lang w:val="uk-UA"/>
        </w:rPr>
        <w:t> гіпертонічну хворобу</w:t>
      </w:r>
      <w:r w:rsidRPr="00663D7B">
        <w:rPr>
          <w:sz w:val="28"/>
          <w:szCs w:val="28"/>
          <w:lang w:val="uk-UA"/>
        </w:rPr>
        <w:t xml:space="preserve"> в поєднанні із цукровим діабетом 2 типу  залежно від наявності субклінічного гіпотиреозу .</w:t>
      </w:r>
    </w:p>
    <w:p w:rsidR="00E3259F" w:rsidRPr="00663D7B" w:rsidRDefault="00E3259F" w:rsidP="00663D7B">
      <w:pPr>
        <w:shd w:val="clear" w:color="auto" w:fill="FFFFFF"/>
        <w:spacing w:line="360" w:lineRule="auto"/>
        <w:ind w:firstLine="709"/>
        <w:jc w:val="both"/>
        <w:rPr>
          <w:sz w:val="28"/>
          <w:szCs w:val="28"/>
          <w:lang w:val="uk-UA"/>
        </w:rPr>
      </w:pPr>
      <w:r w:rsidRPr="00663D7B">
        <w:rPr>
          <w:sz w:val="28"/>
          <w:szCs w:val="28"/>
          <w:lang w:val="uk-UA"/>
        </w:rPr>
        <w:t xml:space="preserve">2. Вивчити особливості темпів старіння та біологічного віку в пацієнтів з </w:t>
      </w:r>
      <w:r w:rsidRPr="00663D7B">
        <w:rPr>
          <w:bCs/>
          <w:sz w:val="28"/>
          <w:szCs w:val="28"/>
          <w:lang w:val="uk-UA"/>
        </w:rPr>
        <w:t>гіпертонічною хворобою</w:t>
      </w:r>
      <w:r w:rsidRPr="00663D7B">
        <w:rPr>
          <w:sz w:val="28"/>
          <w:szCs w:val="28"/>
          <w:lang w:val="uk-UA"/>
        </w:rPr>
        <w:t xml:space="preserve"> в поєднанні із цукровим діабетом 2 типу залежно від наявності субклінічного гіпотиреозу.</w:t>
      </w:r>
    </w:p>
    <w:p w:rsidR="00E3259F" w:rsidRPr="00663D7B" w:rsidRDefault="00E3259F" w:rsidP="00663D7B">
      <w:pPr>
        <w:shd w:val="clear" w:color="auto" w:fill="FFFFFF"/>
        <w:spacing w:line="360" w:lineRule="auto"/>
        <w:ind w:firstLine="709"/>
        <w:jc w:val="both"/>
        <w:rPr>
          <w:sz w:val="28"/>
          <w:szCs w:val="28"/>
          <w:lang w:val="uk-UA"/>
        </w:rPr>
      </w:pPr>
      <w:r w:rsidRPr="00663D7B">
        <w:rPr>
          <w:sz w:val="28"/>
          <w:szCs w:val="28"/>
          <w:lang w:val="uk-UA"/>
        </w:rPr>
        <w:t>3. З’ясувати особливості оксидантно-антиоксидантного балансу, процесів хронічного системного запалення, функціонального стану ендотелію, довжини теломер  у пацієнтів з поєднаним перебігом гіпертонічної хвороби, цукрового діабету 2 типу та</w:t>
      </w:r>
      <w:r w:rsidRPr="00663D7B">
        <w:rPr>
          <w:bCs/>
          <w:sz w:val="28"/>
          <w:szCs w:val="28"/>
          <w:lang w:val="uk-UA"/>
        </w:rPr>
        <w:t xml:space="preserve"> субклінічного гіпотиреозу. </w:t>
      </w:r>
    </w:p>
    <w:p w:rsidR="00E3259F" w:rsidRPr="00663D7B" w:rsidRDefault="00E3259F" w:rsidP="00663D7B">
      <w:pPr>
        <w:shd w:val="clear" w:color="auto" w:fill="FFFFFF"/>
        <w:spacing w:line="360" w:lineRule="auto"/>
        <w:ind w:firstLine="709"/>
        <w:jc w:val="both"/>
        <w:rPr>
          <w:sz w:val="28"/>
          <w:szCs w:val="28"/>
          <w:lang w:val="uk-UA"/>
        </w:rPr>
      </w:pPr>
      <w:r w:rsidRPr="00663D7B">
        <w:rPr>
          <w:sz w:val="28"/>
          <w:szCs w:val="28"/>
          <w:lang w:val="uk-UA"/>
        </w:rPr>
        <w:t xml:space="preserve">4. Установити вплив віку на </w:t>
      </w:r>
      <w:r w:rsidRPr="00663D7B">
        <w:rPr>
          <w:sz w:val="28"/>
          <w:szCs w:val="28"/>
          <w:shd w:val="clear" w:color="auto" w:fill="FFFFFF"/>
          <w:lang w:val="uk-UA"/>
        </w:rPr>
        <w:t>гормонально-метаболічні процеси та процеси судинного старіння</w:t>
      </w:r>
      <w:r w:rsidRPr="00663D7B">
        <w:rPr>
          <w:lang w:val="uk-UA"/>
        </w:rPr>
        <w:t xml:space="preserve"> </w:t>
      </w:r>
      <w:r w:rsidRPr="00663D7B">
        <w:rPr>
          <w:sz w:val="28"/>
          <w:szCs w:val="28"/>
          <w:lang w:val="uk-UA"/>
        </w:rPr>
        <w:t>в пацієнтів з поєднаним перебігом гіпертонічної хвороби й цукрового діабету 2 типу</w:t>
      </w:r>
      <w:r w:rsidRPr="00663D7B">
        <w:rPr>
          <w:bCs/>
          <w:sz w:val="28"/>
          <w:szCs w:val="28"/>
          <w:lang w:val="uk-UA"/>
        </w:rPr>
        <w:t xml:space="preserve"> за умови різної функціональної активності щитоподібної залози.</w:t>
      </w:r>
    </w:p>
    <w:p w:rsidR="00E3259F" w:rsidRPr="00663D7B" w:rsidRDefault="00E3259F" w:rsidP="00663D7B">
      <w:pPr>
        <w:shd w:val="clear" w:color="auto" w:fill="FFFFFF"/>
        <w:spacing w:line="360" w:lineRule="auto"/>
        <w:ind w:firstLine="709"/>
        <w:jc w:val="both"/>
        <w:rPr>
          <w:sz w:val="28"/>
          <w:szCs w:val="28"/>
          <w:lang w:val="uk-UA"/>
        </w:rPr>
      </w:pPr>
      <w:r w:rsidRPr="00663D7B">
        <w:rPr>
          <w:spacing w:val="-6"/>
          <w:sz w:val="28"/>
          <w:szCs w:val="28"/>
          <w:lang w:val="uk-UA"/>
        </w:rPr>
        <w:t xml:space="preserve"> 5. Визначити відсоток хворих з наявністю вкорочених теломер та зіставити довжину теломер з антропометричними та метаболічними показниками, </w:t>
      </w:r>
      <w:r w:rsidRPr="00663D7B">
        <w:rPr>
          <w:sz w:val="28"/>
          <w:szCs w:val="28"/>
          <w:lang w:val="uk-UA"/>
        </w:rPr>
        <w:t>показниками ендотеліальної дисфункції, хронічного системного запалення й оксидативного стресу в пацієнтів з гіпертонічною хворобою в поєднанні із цукровим діабетом 2 типу без порушення функції щитоподібної залози та при субклінічному гіпотиреозі.</w:t>
      </w:r>
    </w:p>
    <w:p w:rsidR="00E3259F" w:rsidRPr="00663D7B" w:rsidRDefault="00E3259F" w:rsidP="00663D7B">
      <w:pPr>
        <w:shd w:val="clear" w:color="auto" w:fill="FFFFFF"/>
        <w:spacing w:line="360" w:lineRule="auto"/>
        <w:ind w:firstLine="709"/>
        <w:jc w:val="both"/>
        <w:rPr>
          <w:sz w:val="28"/>
          <w:szCs w:val="28"/>
          <w:lang w:val="uk-UA"/>
        </w:rPr>
      </w:pPr>
      <w:r w:rsidRPr="00663D7B">
        <w:rPr>
          <w:sz w:val="28"/>
          <w:szCs w:val="28"/>
          <w:lang w:val="uk-UA"/>
        </w:rPr>
        <w:t xml:space="preserve">6. Оцінити вплив статинотерапії на функціональний стан ендотелію, оксидативний стрес, довжину теломер у хворих на гіпертонічну хворобу в поєднанні із цукровим діабетом 2 типу. </w:t>
      </w:r>
    </w:p>
    <w:p w:rsidR="00E3259F" w:rsidRPr="00663D7B" w:rsidRDefault="00E3259F" w:rsidP="00663D7B">
      <w:pPr>
        <w:shd w:val="clear" w:color="auto" w:fill="FFFFFF"/>
        <w:spacing w:line="360" w:lineRule="auto"/>
        <w:ind w:firstLine="709"/>
        <w:jc w:val="both"/>
        <w:rPr>
          <w:sz w:val="28"/>
          <w:szCs w:val="28"/>
          <w:lang w:val="uk-UA"/>
        </w:rPr>
      </w:pPr>
      <w:r w:rsidRPr="00663D7B">
        <w:rPr>
          <w:sz w:val="28"/>
          <w:szCs w:val="28"/>
          <w:lang w:val="uk-UA"/>
        </w:rPr>
        <w:t>7. Здійснити оцінювання ефективності додаткового призначення левотироксину до комплексу лікувально-профілактичних заходів  у пацієнтів з поєднаним перебігом гіпертонічної хвороби, цукрового діабету 2 типу</w:t>
      </w:r>
      <w:r w:rsidRPr="00663D7B">
        <w:rPr>
          <w:b/>
          <w:bCs/>
          <w:sz w:val="28"/>
          <w:szCs w:val="28"/>
          <w:lang w:val="uk-UA"/>
        </w:rPr>
        <w:t> </w:t>
      </w:r>
      <w:r w:rsidRPr="00663D7B">
        <w:rPr>
          <w:sz w:val="28"/>
          <w:szCs w:val="28"/>
          <w:lang w:val="uk-UA"/>
        </w:rPr>
        <w:t> та субклінічним гіпотиреозом.</w:t>
      </w:r>
    </w:p>
    <w:p w:rsidR="00E3259F" w:rsidRPr="00663D7B" w:rsidRDefault="00E3259F" w:rsidP="00663D7B">
      <w:pPr>
        <w:shd w:val="clear" w:color="auto" w:fill="FFFFFF"/>
        <w:spacing w:line="360" w:lineRule="auto"/>
        <w:ind w:firstLine="709"/>
        <w:jc w:val="both"/>
        <w:rPr>
          <w:sz w:val="28"/>
          <w:szCs w:val="28"/>
          <w:lang w:val="uk-UA"/>
        </w:rPr>
      </w:pPr>
      <w:r w:rsidRPr="00663D7B">
        <w:rPr>
          <w:sz w:val="28"/>
          <w:szCs w:val="28"/>
          <w:lang w:val="uk-UA"/>
        </w:rPr>
        <w:t>8. На основі одержаних результатів дослідження побудувати багатофакторну модель прогнозування кардіоваскулярних ускладнень та розробити систему стратифікації ризику у хворих на гіпертонічну хворобу в поєднанні із цукровим діабетом 2 типу без порушення функції щитоподібної залози та при субклінічному гіпотиреозі.</w:t>
      </w:r>
    </w:p>
    <w:p w:rsidR="00E3259F" w:rsidRPr="00663D7B" w:rsidRDefault="00E3259F" w:rsidP="00663D7B">
      <w:pPr>
        <w:shd w:val="clear" w:color="auto" w:fill="FFFFFF"/>
        <w:spacing w:line="360" w:lineRule="auto"/>
        <w:ind w:firstLine="709"/>
        <w:jc w:val="both"/>
        <w:outlineLvl w:val="2"/>
        <w:rPr>
          <w:sz w:val="28"/>
          <w:szCs w:val="28"/>
          <w:lang w:val="uk-UA"/>
        </w:rPr>
      </w:pPr>
      <w:r w:rsidRPr="00663D7B">
        <w:rPr>
          <w:i/>
          <w:sz w:val="28"/>
          <w:szCs w:val="28"/>
          <w:lang w:val="uk-UA"/>
        </w:rPr>
        <w:t xml:space="preserve">Об'єкт дослідження: </w:t>
      </w:r>
      <w:r w:rsidRPr="00663D7B">
        <w:rPr>
          <w:sz w:val="28"/>
          <w:szCs w:val="28"/>
          <w:lang w:val="uk-UA"/>
        </w:rPr>
        <w:t xml:space="preserve">гіпертонічна хвороба у поєднанні з цукровим діабетом 2 типу та субклінічним гіпотиреозом. </w:t>
      </w:r>
    </w:p>
    <w:p w:rsidR="00E3259F" w:rsidRPr="00663D7B" w:rsidRDefault="00E3259F" w:rsidP="00663D7B">
      <w:pPr>
        <w:pStyle w:val="a4"/>
        <w:spacing w:line="360" w:lineRule="auto"/>
        <w:ind w:left="0" w:firstLine="709"/>
        <w:jc w:val="both"/>
        <w:rPr>
          <w:sz w:val="28"/>
          <w:szCs w:val="28"/>
          <w:lang w:val="uk-UA"/>
        </w:rPr>
      </w:pPr>
      <w:r w:rsidRPr="00663D7B">
        <w:rPr>
          <w:i/>
          <w:sz w:val="28"/>
          <w:szCs w:val="28"/>
          <w:lang w:val="uk-UA"/>
        </w:rPr>
        <w:t>Предмет дослідження:</w:t>
      </w:r>
      <w:r w:rsidRPr="00663D7B">
        <w:rPr>
          <w:sz w:val="28"/>
          <w:szCs w:val="28"/>
          <w:lang w:val="uk-UA"/>
        </w:rPr>
        <w:t xml:space="preserve"> антропометричні показники, анамнестичні, біологічний вік, темпи старіння, сонографічні ознаки змін каротидних судин з визначенням ТКІМ, показники вуглеводного та ліпідного обмінів, гормонів ЩЗ, рівень МДА, </w:t>
      </w:r>
      <w:r w:rsidRPr="00663D7B">
        <w:rPr>
          <w:sz w:val="28"/>
          <w:szCs w:val="28"/>
        </w:rPr>
        <w:t>SH</w:t>
      </w:r>
      <w:r w:rsidRPr="00663D7B">
        <w:rPr>
          <w:sz w:val="28"/>
          <w:szCs w:val="28"/>
          <w:lang w:val="uk-UA"/>
        </w:rPr>
        <w:t xml:space="preserve">-груп, активність ГПО, рівень 8-гідрокси-2'-деоксигуанозину, ВЕФР, кількість ЦДЕК, рівень СРП, ФНП-α, відносна довжина теломер (базальні та в динаміці). </w:t>
      </w:r>
    </w:p>
    <w:p w:rsidR="00E3259F" w:rsidRPr="00663D7B" w:rsidRDefault="00E3259F" w:rsidP="00663D7B">
      <w:pPr>
        <w:pStyle w:val="a4"/>
        <w:spacing w:line="360" w:lineRule="auto"/>
        <w:ind w:left="0" w:firstLine="709"/>
        <w:jc w:val="both"/>
        <w:rPr>
          <w:sz w:val="28"/>
          <w:szCs w:val="28"/>
          <w:lang w:val="uk-UA"/>
        </w:rPr>
      </w:pPr>
      <w:r w:rsidRPr="00663D7B">
        <w:rPr>
          <w:i/>
          <w:sz w:val="28"/>
          <w:szCs w:val="28"/>
          <w:lang w:val="uk-UA"/>
        </w:rPr>
        <w:t>Методи дослідження:</w:t>
      </w:r>
      <w:r w:rsidRPr="00663D7B">
        <w:rPr>
          <w:sz w:val="28"/>
          <w:szCs w:val="28"/>
          <w:lang w:val="uk-UA"/>
        </w:rPr>
        <w:t xml:space="preserve"> клініко-анамнестичні, анкетування, антропометричні, інструментальні, біохімічні, імуноферментні, спектрофотометричні, генетичні, статистичні.</w:t>
      </w:r>
    </w:p>
    <w:p w:rsidR="00E3259F" w:rsidRPr="00663D7B" w:rsidRDefault="00E3259F" w:rsidP="00663D7B">
      <w:pPr>
        <w:pStyle w:val="a4"/>
        <w:spacing w:line="360" w:lineRule="auto"/>
        <w:ind w:left="0" w:firstLine="709"/>
        <w:jc w:val="both"/>
        <w:rPr>
          <w:sz w:val="28"/>
          <w:szCs w:val="28"/>
          <w:shd w:val="clear" w:color="auto" w:fill="FFFFFF"/>
          <w:lang w:val="uk-UA"/>
        </w:rPr>
      </w:pPr>
      <w:r w:rsidRPr="00663D7B">
        <w:rPr>
          <w:sz w:val="28"/>
          <w:szCs w:val="28"/>
          <w:lang w:val="uk-UA"/>
        </w:rPr>
        <w:t>Наукова новизна одержаних результатів. Розроблено концепцію оптимізації ранньої діагностики, прогнозування перебігу й диференційованої терапевтичної тактики у хворих з поєднаним перебігом гіпертонічної хвороби, цукрового діабету 2 типу та субклінічного гіпотиреозу на підставі дослідження гормонально-метаболічних і антропометричних показників та процесів судинного старіння</w:t>
      </w:r>
      <w:r w:rsidRPr="00663D7B">
        <w:rPr>
          <w:sz w:val="28"/>
          <w:szCs w:val="28"/>
          <w:shd w:val="clear" w:color="auto" w:fill="FFFFFF"/>
          <w:lang w:val="uk-UA"/>
        </w:rPr>
        <w:t>.</w:t>
      </w:r>
    </w:p>
    <w:p w:rsidR="00E3259F" w:rsidRPr="00663D7B" w:rsidRDefault="00E3259F" w:rsidP="00663D7B">
      <w:pPr>
        <w:pStyle w:val="a4"/>
        <w:spacing w:line="360" w:lineRule="auto"/>
        <w:ind w:left="0" w:firstLine="709"/>
        <w:jc w:val="both"/>
        <w:rPr>
          <w:sz w:val="28"/>
          <w:szCs w:val="28"/>
          <w:lang w:val="uk-UA"/>
        </w:rPr>
      </w:pPr>
      <w:r w:rsidRPr="00663D7B">
        <w:rPr>
          <w:sz w:val="28"/>
          <w:szCs w:val="28"/>
          <w:shd w:val="clear" w:color="auto" w:fill="FFFFFF"/>
          <w:lang w:val="uk-UA"/>
        </w:rPr>
        <w:t xml:space="preserve">Визначено особливості гормонально-метаболічних змін та </w:t>
      </w:r>
      <w:r w:rsidRPr="00663D7B">
        <w:rPr>
          <w:sz w:val="28"/>
          <w:szCs w:val="28"/>
          <w:lang w:val="uk-UA"/>
        </w:rPr>
        <w:t>процесів судинного старіння</w:t>
      </w:r>
      <w:r w:rsidRPr="00663D7B">
        <w:rPr>
          <w:sz w:val="28"/>
          <w:szCs w:val="28"/>
          <w:shd w:val="clear" w:color="auto" w:fill="FFFFFF"/>
          <w:lang w:val="uk-UA"/>
        </w:rPr>
        <w:t xml:space="preserve"> у хворих з коморбідною патологією, яка включає гіпертонічну хворобу та цукровий діабет 2 типу без порушення функції  щитоподібної залози або з субклінічним гіпотиреозом, залежно від вікової групи.</w:t>
      </w:r>
      <w:r w:rsidRPr="00663D7B">
        <w:rPr>
          <w:sz w:val="28"/>
          <w:szCs w:val="28"/>
          <w:lang w:val="uk-UA"/>
        </w:rPr>
        <w:t xml:space="preserve"> </w:t>
      </w:r>
    </w:p>
    <w:p w:rsidR="00E3259F" w:rsidRPr="00663D7B" w:rsidRDefault="00E3259F" w:rsidP="00663D7B">
      <w:pPr>
        <w:pStyle w:val="a4"/>
        <w:spacing w:line="360" w:lineRule="auto"/>
        <w:ind w:left="0" w:firstLine="709"/>
        <w:jc w:val="both"/>
        <w:rPr>
          <w:sz w:val="28"/>
          <w:szCs w:val="28"/>
          <w:shd w:val="clear" w:color="auto" w:fill="FFFFFF"/>
          <w:lang w:val="uk-UA"/>
        </w:rPr>
      </w:pPr>
      <w:r w:rsidRPr="00663D7B">
        <w:rPr>
          <w:spacing w:val="-4"/>
          <w:kern w:val="2"/>
          <w:sz w:val="28"/>
          <w:szCs w:val="28"/>
          <w:lang w:val="uk-UA"/>
        </w:rPr>
        <w:t xml:space="preserve">Установлено вікові особливості ліпідного, вуглеводного, тиреоїдного обмінів, оксидантно-антиоксидантного балансу, ендотеліальної дисфункції, хронічного системного запалення й </w:t>
      </w:r>
      <w:r w:rsidRPr="00663D7B">
        <w:rPr>
          <w:sz w:val="28"/>
          <w:szCs w:val="28"/>
          <w:lang w:val="uk-UA"/>
        </w:rPr>
        <w:t>процесів судинного старіння</w:t>
      </w:r>
      <w:r w:rsidRPr="00663D7B">
        <w:rPr>
          <w:sz w:val="28"/>
          <w:szCs w:val="28"/>
          <w:shd w:val="clear" w:color="auto" w:fill="FFFFFF"/>
          <w:lang w:val="uk-UA"/>
        </w:rPr>
        <w:t xml:space="preserve"> у хворих на  гіпертонічну хворобу та цукровий діабет 2 типу залежно від наявності субклінічного гіпотиреозу.</w:t>
      </w:r>
    </w:p>
    <w:p w:rsidR="00E3259F" w:rsidRPr="00663D7B" w:rsidRDefault="00E3259F" w:rsidP="00663D7B">
      <w:pPr>
        <w:pStyle w:val="a4"/>
        <w:spacing w:line="360" w:lineRule="auto"/>
        <w:ind w:left="0" w:firstLine="709"/>
        <w:jc w:val="both"/>
        <w:rPr>
          <w:sz w:val="28"/>
          <w:szCs w:val="28"/>
          <w:shd w:val="clear" w:color="auto" w:fill="FFFFFF"/>
          <w:lang w:val="uk-UA"/>
        </w:rPr>
      </w:pPr>
      <w:r w:rsidRPr="00663D7B">
        <w:rPr>
          <w:sz w:val="28"/>
          <w:szCs w:val="28"/>
          <w:lang w:val="uk-UA"/>
        </w:rPr>
        <w:t xml:space="preserve">Доведено особливість </w:t>
      </w:r>
      <w:r w:rsidRPr="00663D7B">
        <w:rPr>
          <w:sz w:val="28"/>
          <w:szCs w:val="28"/>
          <w:shd w:val="clear" w:color="auto" w:fill="FFFFFF"/>
          <w:lang w:val="uk-UA"/>
        </w:rPr>
        <w:t xml:space="preserve">гормонально-метаболічних факторів та </w:t>
      </w:r>
      <w:r w:rsidRPr="00663D7B">
        <w:rPr>
          <w:sz w:val="28"/>
          <w:szCs w:val="28"/>
          <w:lang w:val="uk-UA"/>
        </w:rPr>
        <w:t>процесів судинного старіння</w:t>
      </w:r>
      <w:r w:rsidRPr="00663D7B">
        <w:rPr>
          <w:sz w:val="28"/>
          <w:szCs w:val="28"/>
          <w:shd w:val="clear" w:color="auto" w:fill="FFFFFF"/>
          <w:lang w:val="uk-UA"/>
        </w:rPr>
        <w:t xml:space="preserve"> при прискореному темпі старіння у хворих на  ГХ та </w:t>
      </w:r>
      <w:r w:rsidRPr="00663D7B">
        <w:rPr>
          <w:rStyle w:val="tlid-translation"/>
          <w:rFonts w:eastAsiaTheme="majorEastAsia"/>
          <w:sz w:val="28"/>
          <w:szCs w:val="28"/>
          <w:lang w:val="uk-UA"/>
        </w:rPr>
        <w:t>ЦД 2 типу</w:t>
      </w:r>
      <w:r w:rsidRPr="00663D7B">
        <w:rPr>
          <w:sz w:val="28"/>
          <w:szCs w:val="28"/>
          <w:shd w:val="clear" w:color="auto" w:fill="FFFFFF"/>
          <w:lang w:val="uk-UA"/>
        </w:rPr>
        <w:t xml:space="preserve"> залежно від наявності СГТ</w:t>
      </w:r>
    </w:p>
    <w:p w:rsidR="00E3259F" w:rsidRPr="00663D7B" w:rsidRDefault="00E3259F" w:rsidP="00663D7B">
      <w:pPr>
        <w:pStyle w:val="a4"/>
        <w:spacing w:line="360" w:lineRule="auto"/>
        <w:ind w:left="0" w:firstLine="709"/>
        <w:jc w:val="both"/>
        <w:rPr>
          <w:sz w:val="28"/>
          <w:szCs w:val="28"/>
          <w:lang w:val="uk-UA" w:eastAsia="en-US"/>
        </w:rPr>
      </w:pPr>
      <w:r w:rsidRPr="00663D7B">
        <w:rPr>
          <w:sz w:val="28"/>
          <w:szCs w:val="28"/>
          <w:shd w:val="clear" w:color="auto" w:fill="FFFFFF"/>
          <w:lang w:val="uk-UA"/>
        </w:rPr>
        <w:t xml:space="preserve">Уперше запропоновано метод оцінювання вираженості й прогресування оксидативного стресу в пацієнтів з поєднаним перебігом гіпертонічної хвороби, цукрового діабету 2 типу та субклінічного гіпотиреозу </w:t>
      </w:r>
      <w:r w:rsidRPr="00663D7B">
        <w:rPr>
          <w:sz w:val="28"/>
          <w:szCs w:val="28"/>
          <w:lang w:val="uk-UA"/>
        </w:rPr>
        <w:t xml:space="preserve">шляхом комплексного аналізу лабораторних показників (рівень тиреотропного гормона, малонового діальдегіду, 8-гідрокси-2'-дезоксигуанозину, тіолових груп, активність глутатіонпероксидази), рівнів систолічного  артеріального тиску й інформації щодо вживання статинів. </w:t>
      </w:r>
    </w:p>
    <w:p w:rsidR="00E3259F" w:rsidRPr="00663D7B" w:rsidRDefault="00E3259F" w:rsidP="00663D7B">
      <w:pPr>
        <w:pStyle w:val="xfmc2"/>
        <w:shd w:val="clear" w:color="auto" w:fill="FFFFFF"/>
        <w:spacing w:before="0" w:beforeAutospacing="0" w:after="0" w:afterAutospacing="0" w:line="360" w:lineRule="auto"/>
        <w:ind w:firstLine="709"/>
        <w:jc w:val="both"/>
        <w:rPr>
          <w:sz w:val="28"/>
          <w:szCs w:val="28"/>
        </w:rPr>
      </w:pPr>
      <w:r w:rsidRPr="00663D7B">
        <w:rPr>
          <w:sz w:val="28"/>
          <w:szCs w:val="28"/>
          <w:shd w:val="clear" w:color="auto" w:fill="FFFFFF"/>
          <w:lang w:val="uk-UA"/>
        </w:rPr>
        <w:t>У</w:t>
      </w:r>
      <w:r w:rsidRPr="00663D7B">
        <w:rPr>
          <w:sz w:val="28"/>
          <w:szCs w:val="28"/>
          <w:shd w:val="clear" w:color="auto" w:fill="FFFFFF"/>
        </w:rPr>
        <w:t>становлен</w:t>
      </w:r>
      <w:r w:rsidRPr="00663D7B">
        <w:rPr>
          <w:sz w:val="28"/>
          <w:szCs w:val="28"/>
          <w:shd w:val="clear" w:color="auto" w:fill="FFFFFF"/>
          <w:lang w:val="uk-UA"/>
        </w:rPr>
        <w:t>о</w:t>
      </w:r>
      <w:r w:rsidRPr="00663D7B">
        <w:rPr>
          <w:sz w:val="28"/>
          <w:szCs w:val="28"/>
          <w:shd w:val="clear" w:color="auto" w:fill="FFFFFF"/>
        </w:rPr>
        <w:t xml:space="preserve"> діагностичн</w:t>
      </w:r>
      <w:r w:rsidRPr="00663D7B">
        <w:rPr>
          <w:sz w:val="28"/>
          <w:szCs w:val="28"/>
          <w:shd w:val="clear" w:color="auto" w:fill="FFFFFF"/>
          <w:lang w:val="uk-UA"/>
        </w:rPr>
        <w:t xml:space="preserve">у </w:t>
      </w:r>
      <w:r w:rsidRPr="00663D7B">
        <w:rPr>
          <w:sz w:val="28"/>
          <w:szCs w:val="28"/>
          <w:shd w:val="clear" w:color="auto" w:fill="FFFFFF"/>
        </w:rPr>
        <w:t>та прогностичн</w:t>
      </w:r>
      <w:r w:rsidRPr="00663D7B">
        <w:rPr>
          <w:sz w:val="28"/>
          <w:szCs w:val="28"/>
          <w:shd w:val="clear" w:color="auto" w:fill="FFFFFF"/>
          <w:lang w:val="uk-UA"/>
        </w:rPr>
        <w:t>у</w:t>
      </w:r>
      <w:r w:rsidRPr="00663D7B">
        <w:rPr>
          <w:sz w:val="28"/>
          <w:szCs w:val="28"/>
          <w:shd w:val="clear" w:color="auto" w:fill="FFFFFF"/>
        </w:rPr>
        <w:t xml:space="preserve"> цінність довжини теломер як біомаркера серцево-судинного ризику </w:t>
      </w:r>
      <w:r w:rsidRPr="00663D7B">
        <w:rPr>
          <w:sz w:val="28"/>
          <w:szCs w:val="28"/>
          <w:shd w:val="clear" w:color="auto" w:fill="FFFFFF"/>
          <w:lang w:val="uk-UA"/>
        </w:rPr>
        <w:t>в</w:t>
      </w:r>
      <w:r w:rsidRPr="00663D7B">
        <w:rPr>
          <w:sz w:val="28"/>
          <w:szCs w:val="28"/>
          <w:shd w:val="clear" w:color="auto" w:fill="FFFFFF"/>
        </w:rPr>
        <w:t xml:space="preserve"> пацієнтів різних вікових груп з</w:t>
      </w:r>
      <w:r w:rsidRPr="00663D7B">
        <w:rPr>
          <w:sz w:val="28"/>
          <w:szCs w:val="28"/>
          <w:shd w:val="clear" w:color="auto" w:fill="FFFFFF"/>
          <w:lang w:val="uk-UA"/>
        </w:rPr>
        <w:t xml:space="preserve"> ГХ, </w:t>
      </w:r>
      <w:r w:rsidRPr="00663D7B">
        <w:rPr>
          <w:rStyle w:val="tlid-translation"/>
          <w:rFonts w:eastAsiaTheme="majorEastAsia"/>
          <w:sz w:val="28"/>
          <w:szCs w:val="28"/>
          <w:lang w:val="uk-UA"/>
        </w:rPr>
        <w:t>ЦД 2 типу</w:t>
      </w:r>
      <w:r w:rsidRPr="00663D7B">
        <w:rPr>
          <w:sz w:val="28"/>
          <w:szCs w:val="28"/>
          <w:shd w:val="clear" w:color="auto" w:fill="FFFFFF"/>
          <w:lang w:val="uk-UA"/>
        </w:rPr>
        <w:t xml:space="preserve"> без порушення</w:t>
      </w:r>
      <w:r w:rsidRPr="00663D7B">
        <w:rPr>
          <w:sz w:val="28"/>
          <w:szCs w:val="28"/>
          <w:shd w:val="clear" w:color="auto" w:fill="FFFFFF"/>
        </w:rPr>
        <w:t xml:space="preserve"> функці</w:t>
      </w:r>
      <w:r w:rsidRPr="00663D7B">
        <w:rPr>
          <w:sz w:val="28"/>
          <w:szCs w:val="28"/>
          <w:shd w:val="clear" w:color="auto" w:fill="FFFFFF"/>
          <w:lang w:val="uk-UA"/>
        </w:rPr>
        <w:t>ї</w:t>
      </w:r>
      <w:r w:rsidRPr="00663D7B">
        <w:rPr>
          <w:sz w:val="28"/>
          <w:szCs w:val="28"/>
          <w:shd w:val="clear" w:color="auto" w:fill="FFFFFF"/>
        </w:rPr>
        <w:t xml:space="preserve"> ЩЗ та </w:t>
      </w:r>
      <w:r w:rsidRPr="00663D7B">
        <w:rPr>
          <w:sz w:val="28"/>
          <w:szCs w:val="28"/>
          <w:shd w:val="clear" w:color="auto" w:fill="FFFFFF"/>
          <w:lang w:val="uk-UA"/>
        </w:rPr>
        <w:t>за</w:t>
      </w:r>
      <w:r w:rsidRPr="00663D7B">
        <w:rPr>
          <w:sz w:val="28"/>
          <w:szCs w:val="28"/>
          <w:shd w:val="clear" w:color="auto" w:fill="FFFFFF"/>
        </w:rPr>
        <w:t xml:space="preserve"> наявності СГТ.</w:t>
      </w:r>
    </w:p>
    <w:p w:rsidR="00E3259F" w:rsidRPr="00663D7B" w:rsidRDefault="00E3259F" w:rsidP="00663D7B">
      <w:pPr>
        <w:pStyle w:val="xfmc2"/>
        <w:shd w:val="clear" w:color="auto" w:fill="FFFFFF"/>
        <w:spacing w:before="0" w:beforeAutospacing="0" w:after="0" w:afterAutospacing="0" w:line="360" w:lineRule="auto"/>
        <w:ind w:firstLine="709"/>
        <w:jc w:val="both"/>
        <w:rPr>
          <w:sz w:val="28"/>
          <w:szCs w:val="28"/>
          <w:lang w:val="uk-UA"/>
        </w:rPr>
      </w:pPr>
      <w:r w:rsidRPr="00663D7B">
        <w:rPr>
          <w:rStyle w:val="xfmc3"/>
          <w:rFonts w:eastAsiaTheme="majorEastAsia"/>
          <w:sz w:val="28"/>
          <w:szCs w:val="28"/>
          <w:shd w:val="clear" w:color="auto" w:fill="FFFFFF"/>
        </w:rPr>
        <w:t xml:space="preserve">Доведено зв'язок кардіометаболічних порушень, погіршення функціонального стану ендотелію, </w:t>
      </w:r>
      <w:r w:rsidRPr="00663D7B">
        <w:rPr>
          <w:rStyle w:val="xfmc3"/>
          <w:rFonts w:eastAsiaTheme="majorEastAsia"/>
          <w:sz w:val="28"/>
          <w:szCs w:val="28"/>
          <w:shd w:val="clear" w:color="auto" w:fill="FFFFFF"/>
          <w:lang w:val="uk-UA"/>
        </w:rPr>
        <w:t xml:space="preserve">посилення процесів </w:t>
      </w:r>
      <w:r w:rsidRPr="00663D7B">
        <w:rPr>
          <w:rStyle w:val="xfmc3"/>
          <w:rFonts w:eastAsiaTheme="majorEastAsia"/>
          <w:sz w:val="28"/>
          <w:szCs w:val="28"/>
          <w:shd w:val="clear" w:color="auto" w:fill="FFFFFF"/>
        </w:rPr>
        <w:t>хронічного</w:t>
      </w:r>
      <w:r w:rsidRPr="00663D7B">
        <w:rPr>
          <w:rStyle w:val="xfmc3"/>
          <w:rFonts w:eastAsiaTheme="majorEastAsia"/>
          <w:sz w:val="28"/>
          <w:szCs w:val="28"/>
          <w:shd w:val="clear" w:color="auto" w:fill="FFFFFF"/>
          <w:lang w:val="uk-UA"/>
        </w:rPr>
        <w:t xml:space="preserve"> системного</w:t>
      </w:r>
      <w:r w:rsidRPr="00663D7B">
        <w:rPr>
          <w:rStyle w:val="xfmc3"/>
          <w:rFonts w:eastAsiaTheme="majorEastAsia"/>
          <w:sz w:val="28"/>
          <w:szCs w:val="28"/>
          <w:shd w:val="clear" w:color="auto" w:fill="FFFFFF"/>
        </w:rPr>
        <w:t xml:space="preserve"> запалення </w:t>
      </w:r>
      <w:r w:rsidRPr="00663D7B">
        <w:rPr>
          <w:rStyle w:val="xfmc3"/>
          <w:rFonts w:eastAsiaTheme="majorEastAsia"/>
          <w:sz w:val="28"/>
          <w:szCs w:val="28"/>
          <w:shd w:val="clear" w:color="auto" w:fill="FFFFFF"/>
          <w:lang w:val="uk-UA"/>
        </w:rPr>
        <w:t>й</w:t>
      </w:r>
      <w:r w:rsidRPr="00663D7B">
        <w:rPr>
          <w:rStyle w:val="xfmc3"/>
          <w:rFonts w:eastAsiaTheme="majorEastAsia"/>
          <w:sz w:val="28"/>
          <w:szCs w:val="28"/>
          <w:shd w:val="clear" w:color="auto" w:fill="FFFFFF"/>
        </w:rPr>
        <w:t xml:space="preserve"> судинного старіння зі ступенем мінімальної тиреоїдної недостатності. </w:t>
      </w:r>
      <w:r w:rsidRPr="00663D7B">
        <w:rPr>
          <w:rStyle w:val="xfmc3"/>
          <w:rFonts w:eastAsiaTheme="majorEastAsia"/>
          <w:sz w:val="28"/>
          <w:szCs w:val="28"/>
          <w:shd w:val="clear" w:color="auto" w:fill="FFFFFF"/>
          <w:lang w:val="uk-UA"/>
        </w:rPr>
        <w:t>Визначено</w:t>
      </w:r>
      <w:r w:rsidRPr="00663D7B">
        <w:rPr>
          <w:rStyle w:val="xfmc3"/>
          <w:rFonts w:eastAsiaTheme="majorEastAsia"/>
          <w:sz w:val="28"/>
          <w:szCs w:val="28"/>
          <w:shd w:val="clear" w:color="auto" w:fill="FFFFFF"/>
        </w:rPr>
        <w:t xml:space="preserve">, що </w:t>
      </w:r>
      <w:r w:rsidRPr="00663D7B">
        <w:rPr>
          <w:rStyle w:val="xfmc3"/>
          <w:rFonts w:eastAsiaTheme="majorEastAsia"/>
          <w:sz w:val="28"/>
          <w:szCs w:val="28"/>
          <w:shd w:val="clear" w:color="auto" w:fill="FFFFFF"/>
          <w:lang w:val="uk-UA"/>
        </w:rPr>
        <w:t>в разі</w:t>
      </w:r>
      <w:r w:rsidRPr="00663D7B">
        <w:rPr>
          <w:rStyle w:val="xfmc3"/>
          <w:rFonts w:eastAsiaTheme="majorEastAsia"/>
          <w:sz w:val="28"/>
          <w:szCs w:val="28"/>
          <w:shd w:val="clear" w:color="auto" w:fill="FFFFFF"/>
        </w:rPr>
        <w:t xml:space="preserve"> поєднано</w:t>
      </w:r>
      <w:r w:rsidRPr="00663D7B">
        <w:rPr>
          <w:rStyle w:val="xfmc3"/>
          <w:rFonts w:eastAsiaTheme="majorEastAsia"/>
          <w:sz w:val="28"/>
          <w:szCs w:val="28"/>
          <w:shd w:val="clear" w:color="auto" w:fill="FFFFFF"/>
          <w:lang w:val="uk-UA"/>
        </w:rPr>
        <w:t>го</w:t>
      </w:r>
      <w:r w:rsidRPr="00663D7B">
        <w:rPr>
          <w:rStyle w:val="xfmc3"/>
          <w:rFonts w:eastAsiaTheme="majorEastAsia"/>
          <w:sz w:val="28"/>
          <w:szCs w:val="28"/>
          <w:shd w:val="clear" w:color="auto" w:fill="FFFFFF"/>
        </w:rPr>
        <w:t xml:space="preserve"> перебігу Г</w:t>
      </w:r>
      <w:r w:rsidRPr="00663D7B">
        <w:rPr>
          <w:rStyle w:val="xfmc3"/>
          <w:rFonts w:eastAsiaTheme="majorEastAsia"/>
          <w:sz w:val="28"/>
          <w:szCs w:val="28"/>
          <w:shd w:val="clear" w:color="auto" w:fill="FFFFFF"/>
          <w:lang w:val="uk-UA"/>
        </w:rPr>
        <w:t>Х</w:t>
      </w:r>
      <w:r w:rsidRPr="00663D7B">
        <w:rPr>
          <w:rStyle w:val="xfmc3"/>
          <w:rFonts w:eastAsiaTheme="majorEastAsia"/>
          <w:sz w:val="28"/>
          <w:szCs w:val="28"/>
          <w:shd w:val="clear" w:color="auto" w:fill="FFFFFF"/>
        </w:rPr>
        <w:t xml:space="preserve">, </w:t>
      </w:r>
      <w:r w:rsidRPr="00663D7B">
        <w:rPr>
          <w:rStyle w:val="tlid-translation"/>
          <w:rFonts w:eastAsiaTheme="majorEastAsia"/>
          <w:sz w:val="28"/>
          <w:szCs w:val="28"/>
          <w:lang w:val="uk-UA"/>
        </w:rPr>
        <w:t>ЦД 2 типу</w:t>
      </w:r>
      <w:r w:rsidRPr="00663D7B">
        <w:rPr>
          <w:rStyle w:val="xfmc3"/>
          <w:rFonts w:eastAsiaTheme="majorEastAsia"/>
          <w:sz w:val="28"/>
          <w:szCs w:val="28"/>
          <w:shd w:val="clear" w:color="auto" w:fill="FFFFFF"/>
        </w:rPr>
        <w:t xml:space="preserve"> і СГТ  рівні ТТГ </w:t>
      </w:r>
      <w:r w:rsidRPr="00663D7B">
        <w:rPr>
          <w:rStyle w:val="xfmc3"/>
          <w:rFonts w:eastAsiaTheme="majorEastAsia"/>
          <w:sz w:val="28"/>
          <w:szCs w:val="28"/>
          <w:shd w:val="clear" w:color="auto" w:fill="FFFFFF"/>
          <w:lang w:val="uk-UA"/>
        </w:rPr>
        <w:t>у</w:t>
      </w:r>
      <w:r w:rsidRPr="00663D7B">
        <w:rPr>
          <w:rStyle w:val="xfmc3"/>
          <w:rFonts w:eastAsiaTheme="majorEastAsia"/>
          <w:sz w:val="28"/>
          <w:szCs w:val="28"/>
          <w:shd w:val="clear" w:color="auto" w:fill="FFFFFF"/>
        </w:rPr>
        <w:t xml:space="preserve"> діапазоні 6,1 - 10,00 мкМО/мл (&gt;6,0 мкМО/мл</w:t>
      </w:r>
      <w:r w:rsidRPr="00663D7B">
        <w:rPr>
          <w:sz w:val="28"/>
          <w:szCs w:val="28"/>
          <w:shd w:val="clear" w:color="auto" w:fill="FFFFFF"/>
        </w:rPr>
        <w:t xml:space="preserve"> для більшості </w:t>
      </w:r>
      <w:r w:rsidRPr="00663D7B">
        <w:rPr>
          <w:sz w:val="28"/>
          <w:szCs w:val="28"/>
          <w:shd w:val="clear" w:color="auto" w:fill="FFFFFF"/>
          <w:lang w:val="uk-UA"/>
        </w:rPr>
        <w:t>чинників</w:t>
      </w:r>
      <w:r w:rsidRPr="00663D7B">
        <w:rPr>
          <w:sz w:val="28"/>
          <w:szCs w:val="28"/>
          <w:shd w:val="clear" w:color="auto" w:fill="FFFFFF"/>
        </w:rPr>
        <w:t xml:space="preserve">) надають більш виражений негативний вплив на маркери </w:t>
      </w:r>
      <w:r w:rsidRPr="00663D7B">
        <w:rPr>
          <w:sz w:val="28"/>
          <w:szCs w:val="28"/>
          <w:shd w:val="clear" w:color="auto" w:fill="FFFFFF"/>
          <w:lang w:val="uk-UA"/>
        </w:rPr>
        <w:t>КВР</w:t>
      </w:r>
      <w:r w:rsidRPr="00663D7B">
        <w:rPr>
          <w:sz w:val="28"/>
          <w:szCs w:val="28"/>
          <w:shd w:val="clear" w:color="auto" w:fill="FFFFFF"/>
        </w:rPr>
        <w:t xml:space="preserve">, ніж </w:t>
      </w:r>
      <w:r w:rsidRPr="00663D7B">
        <w:rPr>
          <w:sz w:val="28"/>
          <w:szCs w:val="28"/>
          <w:shd w:val="clear" w:color="auto" w:fill="FFFFFF"/>
          <w:lang w:val="uk-UA"/>
        </w:rPr>
        <w:t xml:space="preserve">нижчі </w:t>
      </w:r>
      <w:r w:rsidRPr="00663D7B">
        <w:rPr>
          <w:sz w:val="28"/>
          <w:szCs w:val="28"/>
          <w:shd w:val="clear" w:color="auto" w:fill="FFFFFF"/>
        </w:rPr>
        <w:t>значення цього показника.</w:t>
      </w:r>
    </w:p>
    <w:p w:rsidR="00E3259F" w:rsidRPr="00663D7B" w:rsidRDefault="00E3259F" w:rsidP="00663D7B">
      <w:pPr>
        <w:pStyle w:val="xfmc2"/>
        <w:shd w:val="clear" w:color="auto" w:fill="FFFFFF"/>
        <w:spacing w:before="0" w:beforeAutospacing="0" w:after="0" w:afterAutospacing="0" w:line="360" w:lineRule="auto"/>
        <w:ind w:firstLine="709"/>
        <w:jc w:val="both"/>
        <w:rPr>
          <w:sz w:val="28"/>
          <w:szCs w:val="28"/>
          <w:lang w:val="uk-UA"/>
        </w:rPr>
      </w:pPr>
      <w:r w:rsidRPr="00663D7B">
        <w:rPr>
          <w:sz w:val="28"/>
          <w:szCs w:val="28"/>
          <w:lang w:val="uk-UA"/>
        </w:rPr>
        <w:t xml:space="preserve">Доведено наявність довшої довжини теломер крові та клітин букального епітелію у випадку нормалізації визначених модифікованих чинників кардіоваскулярного ризику (рівнів ЗХС, ХС ЛПНЩ, ХС ЛПВЩ, глюкози крові натще, артеріального тиску) у  хворих </w:t>
      </w:r>
      <w:r w:rsidRPr="00663D7B">
        <w:rPr>
          <w:sz w:val="28"/>
          <w:szCs w:val="28"/>
          <w:shd w:val="clear" w:color="auto" w:fill="FFFFFF"/>
          <w:lang w:val="uk-UA"/>
        </w:rPr>
        <w:t>на  гіпертонічну хворобу та цукровий діабет 2 типу переважно при відсутності порушення функціонального стану щитовидної залози</w:t>
      </w:r>
      <w:r w:rsidRPr="00663D7B">
        <w:rPr>
          <w:sz w:val="28"/>
          <w:szCs w:val="28"/>
          <w:lang w:val="uk-UA"/>
        </w:rPr>
        <w:t>.</w:t>
      </w:r>
    </w:p>
    <w:p w:rsidR="00E3259F" w:rsidRPr="00663D7B" w:rsidRDefault="00E3259F" w:rsidP="00663D7B">
      <w:pPr>
        <w:pStyle w:val="xfmc2"/>
        <w:shd w:val="clear" w:color="auto" w:fill="FFFFFF"/>
        <w:spacing w:before="0" w:beforeAutospacing="0" w:after="0" w:afterAutospacing="0" w:line="360" w:lineRule="auto"/>
        <w:ind w:firstLine="709"/>
        <w:jc w:val="both"/>
        <w:rPr>
          <w:sz w:val="28"/>
          <w:szCs w:val="28"/>
          <w:shd w:val="clear" w:color="auto" w:fill="FFFFFF"/>
          <w:lang w:val="uk-UA"/>
        </w:rPr>
      </w:pPr>
      <w:r w:rsidRPr="00663D7B">
        <w:rPr>
          <w:sz w:val="28"/>
          <w:szCs w:val="28"/>
          <w:shd w:val="clear" w:color="auto" w:fill="FFFFFF"/>
          <w:lang w:val="uk-UA"/>
        </w:rPr>
        <w:t xml:space="preserve">Науково обґрунтовано доцільність залучення левотироксину до комплексного лікування пацієнтів з поєднаним перебігом ГХ, </w:t>
      </w:r>
      <w:r w:rsidRPr="00663D7B">
        <w:rPr>
          <w:rStyle w:val="tlid-translation"/>
          <w:rFonts w:eastAsiaTheme="majorEastAsia"/>
          <w:sz w:val="28"/>
          <w:szCs w:val="28"/>
          <w:lang w:val="uk-UA"/>
        </w:rPr>
        <w:t>ЦД 2 типу</w:t>
      </w:r>
      <w:r w:rsidRPr="00663D7B">
        <w:rPr>
          <w:sz w:val="28"/>
          <w:szCs w:val="28"/>
          <w:shd w:val="clear" w:color="auto" w:fill="FFFFFF"/>
          <w:lang w:val="uk-UA"/>
        </w:rPr>
        <w:t xml:space="preserve"> та СГТ для зниження ризику розвитку серцево-судинних ускладнень за рахунок покращення гормонально-метаболічних, антропометричних факторів та </w:t>
      </w:r>
      <w:r w:rsidRPr="00663D7B">
        <w:rPr>
          <w:sz w:val="28"/>
          <w:szCs w:val="28"/>
          <w:lang w:val="uk-UA"/>
        </w:rPr>
        <w:t>процесів судинного старіння</w:t>
      </w:r>
      <w:r w:rsidRPr="00663D7B">
        <w:rPr>
          <w:sz w:val="28"/>
          <w:szCs w:val="28"/>
          <w:shd w:val="clear" w:color="auto" w:fill="FFFFFF"/>
          <w:lang w:val="uk-UA"/>
        </w:rPr>
        <w:t>.</w:t>
      </w:r>
    </w:p>
    <w:p w:rsidR="00E3259F" w:rsidRPr="00663D7B" w:rsidRDefault="00E3259F" w:rsidP="00663D7B">
      <w:pPr>
        <w:pStyle w:val="a4"/>
        <w:spacing w:line="360" w:lineRule="auto"/>
        <w:ind w:left="0" w:firstLine="709"/>
        <w:jc w:val="both"/>
        <w:rPr>
          <w:sz w:val="28"/>
          <w:szCs w:val="28"/>
        </w:rPr>
      </w:pPr>
      <w:r w:rsidRPr="00663D7B">
        <w:rPr>
          <w:sz w:val="28"/>
          <w:szCs w:val="28"/>
          <w:shd w:val="clear" w:color="auto" w:fill="FFFFFF"/>
          <w:lang w:val="uk-UA"/>
        </w:rPr>
        <w:t>Уперше запропоновано науково обґрунтовану багатофакторну модель прогнозування розвитку серцево-судинних ускладнень у хворих на ГХ</w:t>
      </w:r>
      <w:r w:rsidRPr="00663D7B">
        <w:rPr>
          <w:sz w:val="28"/>
          <w:szCs w:val="28"/>
          <w:lang w:val="uk-UA"/>
        </w:rPr>
        <w:t xml:space="preserve"> </w:t>
      </w:r>
      <w:r w:rsidRPr="00663D7B">
        <w:rPr>
          <w:sz w:val="28"/>
          <w:szCs w:val="28"/>
          <w:shd w:val="clear" w:color="auto" w:fill="FFFFFF"/>
          <w:lang w:val="uk-UA"/>
        </w:rPr>
        <w:t xml:space="preserve">у поєднанні із </w:t>
      </w:r>
      <w:r w:rsidRPr="00663D7B">
        <w:rPr>
          <w:rStyle w:val="tlid-translation"/>
          <w:rFonts w:eastAsiaTheme="majorEastAsia"/>
          <w:sz w:val="28"/>
          <w:szCs w:val="28"/>
          <w:lang w:val="uk-UA"/>
        </w:rPr>
        <w:t>ЦД 2 типу</w:t>
      </w:r>
      <w:r w:rsidRPr="00663D7B">
        <w:rPr>
          <w:sz w:val="28"/>
          <w:szCs w:val="28"/>
          <w:shd w:val="clear" w:color="auto" w:fill="FFFFFF"/>
          <w:lang w:val="uk-UA"/>
        </w:rPr>
        <w:t xml:space="preserve"> без порушення функції ЩЗ та за наявності СГТ на підставі нових даних про прогностичну значущість: ХС ЛПВЩ, </w:t>
      </w:r>
      <w:r w:rsidRPr="00663D7B">
        <w:rPr>
          <w:sz w:val="28"/>
          <w:szCs w:val="28"/>
          <w:shd w:val="clear" w:color="auto" w:fill="FFFFFF"/>
        </w:rPr>
        <w:t>HOMA</w:t>
      </w:r>
      <w:r w:rsidRPr="00663D7B">
        <w:rPr>
          <w:sz w:val="28"/>
          <w:szCs w:val="28"/>
          <w:shd w:val="clear" w:color="auto" w:fill="FFFFFF"/>
          <w:lang w:val="uk-UA"/>
        </w:rPr>
        <w:t>-</w:t>
      </w:r>
      <w:r w:rsidRPr="00663D7B">
        <w:rPr>
          <w:sz w:val="28"/>
          <w:szCs w:val="28"/>
          <w:shd w:val="clear" w:color="auto" w:fill="FFFFFF"/>
        </w:rPr>
        <w:t>IR</w:t>
      </w:r>
      <w:r w:rsidRPr="00663D7B">
        <w:rPr>
          <w:sz w:val="28"/>
          <w:szCs w:val="28"/>
          <w:shd w:val="clear" w:color="auto" w:fill="FFFFFF"/>
          <w:lang w:val="uk-UA"/>
        </w:rPr>
        <w:t>, глюкози крові натще, ЦДЕК, ХС ЛПНЩ, </w:t>
      </w:r>
      <w:r w:rsidRPr="00663D7B">
        <w:rPr>
          <w:bCs/>
          <w:sz w:val="28"/>
          <w:szCs w:val="28"/>
          <w:shd w:val="clear" w:color="auto" w:fill="FFFFFF"/>
          <w:lang w:val="uk-UA"/>
        </w:rPr>
        <w:t>8-</w:t>
      </w:r>
      <w:r w:rsidRPr="00663D7B">
        <w:rPr>
          <w:bCs/>
          <w:sz w:val="28"/>
          <w:szCs w:val="28"/>
          <w:shd w:val="clear" w:color="auto" w:fill="FFFFFF"/>
        </w:rPr>
        <w:t>OH</w:t>
      </w:r>
      <w:r w:rsidRPr="00663D7B">
        <w:rPr>
          <w:bCs/>
          <w:sz w:val="28"/>
          <w:szCs w:val="28"/>
          <w:shd w:val="clear" w:color="auto" w:fill="FFFFFF"/>
          <w:lang w:val="uk-UA"/>
        </w:rPr>
        <w:t>-</w:t>
      </w:r>
      <w:r w:rsidRPr="00663D7B">
        <w:rPr>
          <w:bCs/>
          <w:sz w:val="28"/>
          <w:szCs w:val="28"/>
          <w:shd w:val="clear" w:color="auto" w:fill="FFFFFF"/>
        </w:rPr>
        <w:t>dG</w:t>
      </w:r>
      <w:r w:rsidRPr="00663D7B">
        <w:rPr>
          <w:bCs/>
          <w:sz w:val="28"/>
          <w:szCs w:val="28"/>
          <w:shd w:val="clear" w:color="auto" w:fill="FFFFFF"/>
          <w:lang w:val="uk-UA"/>
        </w:rPr>
        <w:t> плазми</w:t>
      </w:r>
      <w:r w:rsidRPr="00663D7B">
        <w:rPr>
          <w:sz w:val="28"/>
          <w:szCs w:val="28"/>
          <w:shd w:val="clear" w:color="auto" w:fill="FFFFFF"/>
          <w:lang w:val="uk-UA"/>
        </w:rPr>
        <w:t> та ВДТ крові (при відсутності порушення функції ЩЗ) і  рівней  ТТГ, САТ, ПАТ, 8-</w:t>
      </w:r>
      <w:r w:rsidRPr="00663D7B">
        <w:rPr>
          <w:sz w:val="28"/>
          <w:szCs w:val="28"/>
          <w:shd w:val="clear" w:color="auto" w:fill="FFFFFF"/>
        </w:rPr>
        <w:t>OH</w:t>
      </w:r>
      <w:r w:rsidRPr="00663D7B">
        <w:rPr>
          <w:sz w:val="28"/>
          <w:szCs w:val="28"/>
          <w:shd w:val="clear" w:color="auto" w:fill="FFFFFF"/>
          <w:lang w:val="uk-UA"/>
        </w:rPr>
        <w:t>-</w:t>
      </w:r>
      <w:r w:rsidRPr="00663D7B">
        <w:rPr>
          <w:sz w:val="28"/>
          <w:szCs w:val="28"/>
          <w:shd w:val="clear" w:color="auto" w:fill="FFFFFF"/>
        </w:rPr>
        <w:t>dG</w:t>
      </w:r>
      <w:r w:rsidRPr="00663D7B">
        <w:rPr>
          <w:sz w:val="28"/>
          <w:szCs w:val="28"/>
          <w:shd w:val="clear" w:color="auto" w:fill="FFFFFF"/>
          <w:lang w:val="uk-UA"/>
        </w:rPr>
        <w:t> плазми, ВЕФР та  ВДТ крові й клітин букального епітелію (за наявності СГТ).</w:t>
      </w:r>
      <w:r w:rsidRPr="00663D7B">
        <w:rPr>
          <w:sz w:val="28"/>
          <w:szCs w:val="28"/>
        </w:rPr>
        <w:t>Наукова новизна роботи підтверджена державним патентом України на винахід: Спосіб прогнозування розвитку та ступеня оксидативного стресу: пат. </w:t>
      </w:r>
      <w:r w:rsidRPr="00663D7B">
        <w:rPr>
          <w:sz w:val="28"/>
          <w:szCs w:val="28"/>
          <w:lang w:val="uk-UA"/>
        </w:rPr>
        <w:t xml:space="preserve"> на винахід №120486</w:t>
      </w:r>
      <w:r w:rsidRPr="00663D7B">
        <w:rPr>
          <w:sz w:val="28"/>
          <w:szCs w:val="28"/>
        </w:rPr>
        <w:t> </w:t>
      </w:r>
      <w:r w:rsidRPr="00663D7B">
        <w:rPr>
          <w:sz w:val="28"/>
          <w:szCs w:val="28"/>
          <w:lang w:val="uk-UA"/>
        </w:rPr>
        <w:t>Україна:</w:t>
      </w:r>
      <w:r w:rsidRPr="00663D7B">
        <w:rPr>
          <w:sz w:val="28"/>
          <w:szCs w:val="28"/>
        </w:rPr>
        <w:t> </w:t>
      </w:r>
      <w:r w:rsidRPr="00663D7B">
        <w:rPr>
          <w:sz w:val="28"/>
          <w:szCs w:val="28"/>
          <w:lang w:val="uk-UA"/>
        </w:rPr>
        <w:t xml:space="preserve">МПК </w:t>
      </w:r>
      <w:r w:rsidRPr="00663D7B">
        <w:rPr>
          <w:sz w:val="28"/>
          <w:szCs w:val="28"/>
        </w:rPr>
        <w:t>G</w:t>
      </w:r>
      <w:r w:rsidRPr="00663D7B">
        <w:rPr>
          <w:sz w:val="28"/>
          <w:szCs w:val="28"/>
          <w:lang w:val="uk-UA"/>
        </w:rPr>
        <w:t>01</w:t>
      </w:r>
      <w:r w:rsidRPr="00663D7B">
        <w:rPr>
          <w:sz w:val="28"/>
          <w:szCs w:val="28"/>
        </w:rPr>
        <w:t>N</w:t>
      </w:r>
      <w:r w:rsidRPr="00663D7B">
        <w:rPr>
          <w:sz w:val="28"/>
          <w:szCs w:val="28"/>
          <w:lang w:val="uk-UA"/>
        </w:rPr>
        <w:t>33/50(2006.01)</w:t>
      </w:r>
      <w:r w:rsidRPr="00663D7B">
        <w:rPr>
          <w:sz w:val="28"/>
          <w:szCs w:val="28"/>
        </w:rPr>
        <w:t> </w:t>
      </w:r>
      <w:r w:rsidRPr="00663D7B">
        <w:rPr>
          <w:sz w:val="28"/>
          <w:szCs w:val="28"/>
          <w:lang w:val="uk-UA"/>
        </w:rPr>
        <w:t>/ Висоцька О.В., Немцова В.Д., Страшненко Г.М., Харківський національний університет радіоелектроніки;</w:t>
      </w:r>
      <w:r w:rsidRPr="00663D7B">
        <w:rPr>
          <w:sz w:val="28"/>
          <w:szCs w:val="28"/>
        </w:rPr>
        <w:t> </w:t>
      </w:r>
      <w:r w:rsidRPr="00663D7B">
        <w:rPr>
          <w:sz w:val="28"/>
          <w:szCs w:val="28"/>
          <w:lang w:val="uk-UA"/>
        </w:rPr>
        <w:t>заявл.</w:t>
      </w:r>
      <w:r w:rsidRPr="00663D7B">
        <w:rPr>
          <w:sz w:val="28"/>
          <w:szCs w:val="28"/>
        </w:rPr>
        <w:t> 21.12.2018; опубл.10.12.2019. Бюл. № 23., державним патентом України на корисну модель «Спосіб діагностики порушень антиоксидантної системи у хворих при поєднаному перебігу артеріальної гіпертензії, цукрового діабету 2 типу та гіпотиреозу» № 125567 Україна: МПК G01N33/49(2006.01) /Біловол О.М., Немцова В.Д., Златкіна В.В., Ільченко І.А., Харківський національний медичний університет; заявл. 27.12.2017; опубл.10.05.2018. Бюл. № 9.</w:t>
      </w:r>
    </w:p>
    <w:p w:rsidR="00E3259F" w:rsidRPr="00663D7B" w:rsidRDefault="00E3259F" w:rsidP="00663D7B">
      <w:pPr>
        <w:spacing w:line="360" w:lineRule="auto"/>
        <w:ind w:firstLine="709"/>
        <w:jc w:val="both"/>
        <w:rPr>
          <w:sz w:val="28"/>
          <w:szCs w:val="28"/>
          <w:lang w:val="uk-UA"/>
        </w:rPr>
      </w:pPr>
      <w:r w:rsidRPr="00663D7B">
        <w:rPr>
          <w:sz w:val="28"/>
          <w:szCs w:val="28"/>
          <w:lang w:val="uk-UA"/>
        </w:rPr>
        <w:t xml:space="preserve">Практичне значення отриманих результатів. Упроваджено ранню оцінку наявності СГТ у хворих з поєднаним перебігом ГХ та </w:t>
      </w:r>
      <w:r w:rsidRPr="00663D7B">
        <w:rPr>
          <w:rStyle w:val="tlid-translation"/>
          <w:rFonts w:eastAsiaTheme="majorEastAsia"/>
          <w:sz w:val="28"/>
          <w:szCs w:val="28"/>
          <w:lang w:val="uk-UA"/>
        </w:rPr>
        <w:t>ЦД 2 типу</w:t>
      </w:r>
      <w:r w:rsidRPr="00663D7B">
        <w:rPr>
          <w:sz w:val="28"/>
          <w:szCs w:val="28"/>
          <w:lang w:val="uk-UA"/>
        </w:rPr>
        <w:t xml:space="preserve">, урахування якої дає можливість лікарям загальної практики – сімейної медицини вчасно вплинути на гормонально-метаболічні зміни, темпи прогресування цих захворювань та попередити розвиток серцево-судинних ускладнень. Визначено, обґрунтовано та апробовано клініко-лабораторні критерії серцево-судинного ризику для пацієнтів з ГХ, </w:t>
      </w:r>
      <w:r w:rsidRPr="00663D7B">
        <w:rPr>
          <w:rStyle w:val="tlid-translation"/>
          <w:rFonts w:eastAsiaTheme="majorEastAsia"/>
          <w:sz w:val="28"/>
          <w:szCs w:val="28"/>
          <w:lang w:val="uk-UA"/>
        </w:rPr>
        <w:t>ЦД 2 типу</w:t>
      </w:r>
      <w:r w:rsidRPr="00663D7B">
        <w:rPr>
          <w:sz w:val="28"/>
          <w:szCs w:val="28"/>
          <w:lang w:val="uk-UA"/>
        </w:rPr>
        <w:t xml:space="preserve"> в поєднанні із СГТ, які дають змогу лікарю загальної практики - сімейної медицини, терапевту, ендокринологу здійснити персоніфікований підхід до терапії зазначеній коморбідності з метою покращити прогнозування та зменшити КВР.</w:t>
      </w:r>
    </w:p>
    <w:p w:rsidR="00E3259F" w:rsidRPr="00663D7B" w:rsidRDefault="00E3259F" w:rsidP="00663D7B">
      <w:pPr>
        <w:pStyle w:val="a4"/>
        <w:spacing w:line="360" w:lineRule="auto"/>
        <w:ind w:left="0" w:firstLine="709"/>
        <w:jc w:val="both"/>
        <w:rPr>
          <w:sz w:val="28"/>
          <w:szCs w:val="28"/>
          <w:lang w:val="uk-UA"/>
        </w:rPr>
      </w:pPr>
      <w:r w:rsidRPr="00663D7B">
        <w:rPr>
          <w:sz w:val="28"/>
          <w:szCs w:val="28"/>
          <w:lang w:val="uk-UA"/>
        </w:rPr>
        <w:t xml:space="preserve">Установлено ранні діагностичні критерії прогресування й додаткові предиктори формування ризику серцево-судинних ускладнень у хворих з ГХ, </w:t>
      </w:r>
      <w:r w:rsidRPr="00663D7B">
        <w:rPr>
          <w:rStyle w:val="tlid-translation"/>
          <w:rFonts w:eastAsiaTheme="majorEastAsia"/>
          <w:sz w:val="28"/>
          <w:szCs w:val="28"/>
          <w:lang w:val="uk-UA"/>
        </w:rPr>
        <w:t>ЦД 2 типу</w:t>
      </w:r>
      <w:r w:rsidRPr="00663D7B">
        <w:rPr>
          <w:sz w:val="28"/>
          <w:szCs w:val="28"/>
          <w:lang w:val="uk-UA"/>
        </w:rPr>
        <w:t xml:space="preserve"> в поєднанні із СГТ: ТТГ, САТ, ПАТ, 8-</w:t>
      </w:r>
      <w:r w:rsidRPr="00663D7B">
        <w:rPr>
          <w:sz w:val="28"/>
          <w:szCs w:val="28"/>
        </w:rPr>
        <w:t>OH</w:t>
      </w:r>
      <w:r w:rsidRPr="00663D7B">
        <w:rPr>
          <w:sz w:val="28"/>
          <w:szCs w:val="28"/>
          <w:lang w:val="uk-UA"/>
        </w:rPr>
        <w:t>-</w:t>
      </w:r>
      <w:r w:rsidRPr="00663D7B">
        <w:rPr>
          <w:sz w:val="28"/>
          <w:szCs w:val="28"/>
        </w:rPr>
        <w:t>dG</w:t>
      </w:r>
      <w:r w:rsidRPr="00663D7B">
        <w:rPr>
          <w:sz w:val="28"/>
          <w:szCs w:val="28"/>
          <w:lang w:val="uk-UA"/>
        </w:rPr>
        <w:t xml:space="preserve"> плазми, ВЕФР та  довжина теломер, що сприяє покращенню ранньої діагностики за умови цієї коморбідності.</w:t>
      </w:r>
    </w:p>
    <w:p w:rsidR="00E3259F" w:rsidRPr="00663D7B" w:rsidRDefault="00E3259F" w:rsidP="00663D7B">
      <w:pPr>
        <w:spacing w:line="360" w:lineRule="auto"/>
        <w:ind w:firstLine="709"/>
        <w:jc w:val="both"/>
        <w:rPr>
          <w:sz w:val="28"/>
          <w:szCs w:val="28"/>
          <w:lang w:val="uk-UA"/>
        </w:rPr>
      </w:pPr>
      <w:r w:rsidRPr="00663D7B">
        <w:rPr>
          <w:sz w:val="28"/>
          <w:szCs w:val="28"/>
          <w:lang w:val="uk-UA"/>
        </w:rPr>
        <w:t xml:space="preserve">Обґрунтовано доцільність поглибленого обстеження хворих на ГХ, </w:t>
      </w:r>
      <w:r w:rsidRPr="00663D7B">
        <w:rPr>
          <w:rStyle w:val="tlid-translation"/>
          <w:rFonts w:eastAsiaTheme="majorEastAsia"/>
          <w:sz w:val="28"/>
          <w:szCs w:val="28"/>
          <w:lang w:val="uk-UA"/>
        </w:rPr>
        <w:t>ЦД 2 типу</w:t>
      </w:r>
      <w:r w:rsidRPr="00663D7B">
        <w:rPr>
          <w:sz w:val="28"/>
          <w:szCs w:val="28"/>
          <w:lang w:val="uk-UA"/>
        </w:rPr>
        <w:t xml:space="preserve"> та СГТ з</w:t>
      </w:r>
      <w:r w:rsidRPr="00663D7B">
        <w:rPr>
          <w:sz w:val="28"/>
          <w:szCs w:val="28"/>
        </w:rPr>
        <w:t> </w:t>
      </w:r>
      <w:r w:rsidRPr="00663D7B">
        <w:rPr>
          <w:sz w:val="28"/>
          <w:szCs w:val="28"/>
          <w:lang w:val="uk-UA"/>
        </w:rPr>
        <w:t>визначенням оксидативного стресу і довжини теломер на тлі статинотерапії, що дозволяє лікарям-терапевтам та лікарям загальної практики – сімейної медицини покращити діагностику метаболічних розладів і</w:t>
      </w:r>
      <w:r w:rsidRPr="00663D7B">
        <w:rPr>
          <w:sz w:val="28"/>
          <w:szCs w:val="28"/>
        </w:rPr>
        <w:t> </w:t>
      </w:r>
      <w:r w:rsidRPr="00663D7B">
        <w:rPr>
          <w:sz w:val="28"/>
          <w:szCs w:val="28"/>
          <w:lang w:val="uk-UA"/>
        </w:rPr>
        <w:t xml:space="preserve">прогнозування несприятливого перебігу під час зазначеної патології. Запропоновано визначення довжини теломер не тільки як чинника «судинного старіння», але і як предиктора перебігу та серцево-судинного прогнозування у хворих з поєднаним перебігом ГХ, </w:t>
      </w:r>
      <w:r w:rsidRPr="00663D7B">
        <w:rPr>
          <w:rStyle w:val="tlid-translation"/>
          <w:rFonts w:eastAsiaTheme="majorEastAsia"/>
          <w:sz w:val="28"/>
          <w:szCs w:val="28"/>
          <w:lang w:val="uk-UA"/>
        </w:rPr>
        <w:t>ЦД 2 типу</w:t>
      </w:r>
      <w:r w:rsidRPr="00663D7B">
        <w:rPr>
          <w:sz w:val="28"/>
          <w:szCs w:val="28"/>
          <w:lang w:val="uk-UA"/>
        </w:rPr>
        <w:t xml:space="preserve"> та СГТ.</w:t>
      </w:r>
    </w:p>
    <w:p w:rsidR="00E3259F" w:rsidRPr="00663D7B" w:rsidRDefault="00E3259F" w:rsidP="00663D7B">
      <w:pPr>
        <w:pStyle w:val="a4"/>
        <w:spacing w:line="360" w:lineRule="auto"/>
        <w:ind w:left="0" w:firstLine="709"/>
        <w:jc w:val="both"/>
        <w:rPr>
          <w:sz w:val="28"/>
          <w:szCs w:val="28"/>
          <w:lang w:val="uk-UA"/>
        </w:rPr>
      </w:pPr>
      <w:r w:rsidRPr="00663D7B">
        <w:rPr>
          <w:rStyle w:val="tlid-translation"/>
          <w:rFonts w:eastAsiaTheme="majorEastAsia"/>
          <w:sz w:val="28"/>
          <w:szCs w:val="28"/>
          <w:lang w:val="uk-UA"/>
        </w:rPr>
        <w:t xml:space="preserve">Показаною є доцільність додаткового призначення замісної терапії левотироксином на тлі комплексної стандартної антигіпертензивної, антидіабетичної терапії та статинотерапії за відсутності нормалізації ендотеліальної дисфункції,  хронічного запалення, оксидативного стресу, дисліпідемії та гіперглікемії в пацієнтів з </w:t>
      </w:r>
      <w:r w:rsidRPr="00663D7B">
        <w:rPr>
          <w:sz w:val="28"/>
          <w:szCs w:val="28"/>
          <w:lang w:val="uk-UA"/>
        </w:rPr>
        <w:t xml:space="preserve">ГХ, </w:t>
      </w:r>
      <w:r w:rsidRPr="00663D7B">
        <w:rPr>
          <w:rStyle w:val="tlid-translation"/>
          <w:rFonts w:eastAsiaTheme="majorEastAsia"/>
          <w:sz w:val="28"/>
          <w:szCs w:val="28"/>
          <w:lang w:val="uk-UA"/>
        </w:rPr>
        <w:t>ЦД 2 типу</w:t>
      </w:r>
      <w:r w:rsidRPr="00663D7B">
        <w:rPr>
          <w:sz w:val="28"/>
          <w:szCs w:val="28"/>
          <w:lang w:val="uk-UA"/>
        </w:rPr>
        <w:t xml:space="preserve"> в поєднанні із СГТ,що дає змогу лікарям закладів практичної охорони здоров'я попередити розвиток та прогресування серцево-судинних ускладнень у цій категорії хворих.</w:t>
      </w:r>
    </w:p>
    <w:p w:rsidR="00E3259F" w:rsidRPr="00663D7B" w:rsidRDefault="00E3259F" w:rsidP="00663D7B">
      <w:pPr>
        <w:spacing w:line="360" w:lineRule="auto"/>
        <w:ind w:firstLine="709"/>
        <w:jc w:val="both"/>
        <w:rPr>
          <w:sz w:val="28"/>
          <w:szCs w:val="28"/>
          <w:lang w:val="uk-UA"/>
        </w:rPr>
      </w:pPr>
      <w:r w:rsidRPr="00663D7B">
        <w:rPr>
          <w:sz w:val="28"/>
          <w:szCs w:val="28"/>
          <w:lang w:val="uk-UA"/>
        </w:rPr>
        <w:t xml:space="preserve">Застосування розрахунку прогнозування ризику серцево-судинних ускладнень у хворих з ГХ та </w:t>
      </w:r>
      <w:r w:rsidRPr="00663D7B">
        <w:rPr>
          <w:rStyle w:val="tlid-translation"/>
          <w:rFonts w:eastAsiaTheme="majorEastAsia"/>
          <w:sz w:val="28"/>
          <w:szCs w:val="28"/>
          <w:lang w:val="uk-UA"/>
        </w:rPr>
        <w:t>ЦД 2 типу</w:t>
      </w:r>
      <w:r w:rsidRPr="00663D7B">
        <w:rPr>
          <w:sz w:val="28"/>
          <w:szCs w:val="28"/>
          <w:lang w:val="uk-UA"/>
        </w:rPr>
        <w:t xml:space="preserve"> залежно від наявності СГТ дозволяє лікарям-терапевтам, сімейним лікарям поліклінічних та стаціонарних відділень проводити своєчасне призначення комплексного лікування для попередження прогресування захворювань і розвитку серцево-судинних подій.</w:t>
      </w:r>
    </w:p>
    <w:p w:rsidR="00E3259F" w:rsidRPr="00663D7B" w:rsidRDefault="00E3259F" w:rsidP="00663D7B">
      <w:pPr>
        <w:pStyle w:val="a4"/>
        <w:spacing w:line="360" w:lineRule="auto"/>
        <w:ind w:left="0" w:firstLine="709"/>
        <w:jc w:val="both"/>
        <w:rPr>
          <w:strike/>
          <w:sz w:val="28"/>
          <w:szCs w:val="28"/>
          <w:lang w:val="uk-UA"/>
        </w:rPr>
      </w:pPr>
      <w:r w:rsidRPr="00663D7B">
        <w:rPr>
          <w:sz w:val="28"/>
          <w:szCs w:val="28"/>
          <w:lang w:val="uk-UA"/>
        </w:rPr>
        <w:t>Основні результати дослідження впроваджені в практичну роботу відділень «Тернопільської університетської лікарні» Тернопільскої обласної ради (м.Тернопіль), КП «Львівський обласний спеціалізований центр радіаційного захисту населення» (Львів), КУ «Чернівецька обласна клінічна лікарня» (м.Чернівци), Сумська центральна районна клінічна лікарня (м.Суми), Івано-Франківський обласний клінічний кардіологічний диспансер (м.Івано-Франківськ), Валківська центральна районна лікарня (Харківська обл.),  Богодухівська центральна районна лікарня (Харківська обл.),  Коломацька центральна районна лікарня (Харківська обл.),  Валківська центральна районна лікарня (Харківська обл.),  Краснокутьська центральна районна лікарня (Харківська обл.), Кіровоградська обласна лікарня (Харківська обл.),  Золочевська центральна районна лікарня (Харківська обл.),  Балаклійська центральна районна лікарня (Харківська обл.), відділення  гіпертензій ДУ «Національний інститут терапії імені Л.Т. Малої НАМН України» (м.Харків).</w:t>
      </w:r>
    </w:p>
    <w:p w:rsidR="00E3259F" w:rsidRPr="00663D7B" w:rsidRDefault="00E3259F" w:rsidP="00663D7B">
      <w:pPr>
        <w:pStyle w:val="a4"/>
        <w:spacing w:line="360" w:lineRule="auto"/>
        <w:ind w:left="0" w:firstLine="709"/>
        <w:jc w:val="both"/>
        <w:rPr>
          <w:sz w:val="28"/>
          <w:szCs w:val="28"/>
          <w:lang w:val="uk-UA"/>
        </w:rPr>
      </w:pPr>
      <w:r w:rsidRPr="00663D7B">
        <w:rPr>
          <w:sz w:val="28"/>
          <w:szCs w:val="28"/>
          <w:lang w:val="uk-UA"/>
        </w:rPr>
        <w:t>Особистий внесок здобувача. Здобувачем обґрунтовані актуальність даного дослідження, визначено напрямок та розроблено дизайн дослідження, сформульовано мету та завдання дисертаційної роботи, розроблено план та методологія дослідження. Особисто здійснено клінічний етап дослідження, який складався з відбору груп хворих  та групи контролю на підставі критеріїв включення, проведено комплексне клінічне обстеження та анкетування пацієнтів, самостійно оформлено первинну медичну документацію та сформовано електронну базу даних. Здобувач самостійно зробила статистичну обробку отриманих результатів, провела науковий аналіз, оцінку динаміки досліджених показників під впливом лікування, узагальнення отриманих результатів дослідження та написання розділів дисертаційної роботи. На підставі отриманих даних обґрунтовано висновки та розроблено практичні рекомендації, підготовлено та оформлено матеріали до публікації наукових статей та тези наукових доповідей. Здобувач особисто представляла основні положення дисертації на наукових заходах різних рівнів, забезпечила впровадження результатів дисертаційної роботи в практичну роботу закладів охорони здоров’я.</w:t>
      </w:r>
    </w:p>
    <w:p w:rsidR="00E3259F" w:rsidRPr="00663D7B" w:rsidRDefault="00E3259F" w:rsidP="00663D7B">
      <w:pPr>
        <w:spacing w:line="360" w:lineRule="auto"/>
        <w:ind w:firstLine="709"/>
        <w:jc w:val="both"/>
        <w:rPr>
          <w:sz w:val="28"/>
          <w:szCs w:val="28"/>
          <w:lang w:val="uk-UA"/>
        </w:rPr>
      </w:pPr>
      <w:r w:rsidRPr="00663D7B">
        <w:rPr>
          <w:sz w:val="28"/>
          <w:szCs w:val="28"/>
          <w:lang w:val="uk-UA"/>
        </w:rPr>
        <w:t>Апробація роботи. Основні положення та результати дисертаційної роботи представлено й обговорено на науково-практичних конференціях, з`їздах, в тому числі міжнародних та з міжнародною участю: ХХ Національний конгрес кардіологів України (25-27 вересня 2019, Київ, Україна), ІХ з’їзд ендокринологів України, що присвячений 100-річному ювілею ДУ «Інститут проблем ендокринної патології  ім. В.Я.Данилевського НАМН України» (19-22 листопада 2019), 15</w:t>
      </w:r>
      <w:r w:rsidRPr="00663D7B">
        <w:rPr>
          <w:sz w:val="28"/>
          <w:szCs w:val="28"/>
          <w:vertAlign w:val="superscript"/>
          <w:lang w:val="en-US"/>
        </w:rPr>
        <w:t>th</w:t>
      </w:r>
      <w:r w:rsidRPr="00663D7B">
        <w:rPr>
          <w:sz w:val="28"/>
          <w:szCs w:val="28"/>
          <w:lang w:val="uk-UA"/>
        </w:rPr>
        <w:t xml:space="preserve"> </w:t>
      </w:r>
      <w:r w:rsidRPr="00663D7B">
        <w:rPr>
          <w:sz w:val="28"/>
          <w:szCs w:val="28"/>
          <w:lang w:val="en-US"/>
        </w:rPr>
        <w:t>International</w:t>
      </w:r>
      <w:r w:rsidRPr="00663D7B">
        <w:rPr>
          <w:sz w:val="28"/>
          <w:szCs w:val="28"/>
          <w:lang w:val="uk-UA"/>
        </w:rPr>
        <w:t xml:space="preserve"> </w:t>
      </w:r>
      <w:r w:rsidRPr="00663D7B">
        <w:rPr>
          <w:sz w:val="28"/>
          <w:szCs w:val="28"/>
          <w:lang w:val="en-US"/>
        </w:rPr>
        <w:t>Congress</w:t>
      </w:r>
      <w:r w:rsidRPr="00663D7B">
        <w:rPr>
          <w:sz w:val="28"/>
          <w:szCs w:val="28"/>
          <w:lang w:val="uk-UA"/>
        </w:rPr>
        <w:t xml:space="preserve"> </w:t>
      </w:r>
      <w:r w:rsidRPr="00663D7B">
        <w:rPr>
          <w:sz w:val="28"/>
          <w:szCs w:val="28"/>
          <w:lang w:val="en-US"/>
        </w:rPr>
        <w:t>of</w:t>
      </w:r>
      <w:r w:rsidRPr="00663D7B">
        <w:rPr>
          <w:sz w:val="28"/>
          <w:szCs w:val="28"/>
          <w:lang w:val="uk-UA"/>
        </w:rPr>
        <w:t xml:space="preserve"> </w:t>
      </w:r>
      <w:r w:rsidRPr="00663D7B">
        <w:rPr>
          <w:sz w:val="28"/>
          <w:szCs w:val="28"/>
          <w:lang w:val="en-US"/>
        </w:rPr>
        <w:t>the</w:t>
      </w:r>
      <w:r w:rsidRPr="00663D7B">
        <w:rPr>
          <w:sz w:val="28"/>
          <w:szCs w:val="28"/>
          <w:lang w:val="uk-UA"/>
        </w:rPr>
        <w:t xml:space="preserve"> </w:t>
      </w:r>
      <w:r w:rsidRPr="00663D7B">
        <w:rPr>
          <w:sz w:val="28"/>
          <w:szCs w:val="28"/>
          <w:lang w:val="en-US"/>
        </w:rPr>
        <w:t>European</w:t>
      </w:r>
      <w:r w:rsidRPr="00663D7B">
        <w:rPr>
          <w:sz w:val="28"/>
          <w:szCs w:val="28"/>
          <w:lang w:val="uk-UA"/>
        </w:rPr>
        <w:t xml:space="preserve"> </w:t>
      </w:r>
      <w:r w:rsidRPr="00663D7B">
        <w:rPr>
          <w:sz w:val="28"/>
          <w:szCs w:val="28"/>
          <w:lang w:val="en-US"/>
        </w:rPr>
        <w:t>Geriatric</w:t>
      </w:r>
      <w:r w:rsidRPr="00663D7B">
        <w:rPr>
          <w:sz w:val="28"/>
          <w:szCs w:val="28"/>
          <w:lang w:val="uk-UA"/>
        </w:rPr>
        <w:t xml:space="preserve"> </w:t>
      </w:r>
      <w:r w:rsidRPr="00663D7B">
        <w:rPr>
          <w:sz w:val="28"/>
          <w:szCs w:val="28"/>
          <w:lang w:val="en-US"/>
        </w:rPr>
        <w:t>Society</w:t>
      </w:r>
      <w:r w:rsidRPr="00663D7B">
        <w:rPr>
          <w:sz w:val="28"/>
          <w:szCs w:val="28"/>
          <w:lang w:val="uk-UA"/>
        </w:rPr>
        <w:t xml:space="preserve"> (25-27 </w:t>
      </w:r>
      <w:r w:rsidRPr="00663D7B">
        <w:rPr>
          <w:sz w:val="28"/>
          <w:szCs w:val="28"/>
          <w:lang w:val="en-US"/>
        </w:rPr>
        <w:t>September</w:t>
      </w:r>
      <w:r w:rsidRPr="00663D7B">
        <w:rPr>
          <w:sz w:val="28"/>
          <w:szCs w:val="28"/>
          <w:lang w:val="uk-UA"/>
        </w:rPr>
        <w:t xml:space="preserve"> 2019, </w:t>
      </w:r>
      <w:r w:rsidRPr="00663D7B">
        <w:rPr>
          <w:sz w:val="28"/>
          <w:szCs w:val="28"/>
          <w:lang w:val="en-US"/>
        </w:rPr>
        <w:t>Krakow</w:t>
      </w:r>
      <w:r w:rsidRPr="00663D7B">
        <w:rPr>
          <w:sz w:val="28"/>
          <w:szCs w:val="28"/>
          <w:lang w:val="uk-UA"/>
        </w:rPr>
        <w:t xml:space="preserve">, </w:t>
      </w:r>
      <w:r w:rsidRPr="00663D7B">
        <w:rPr>
          <w:sz w:val="28"/>
          <w:szCs w:val="28"/>
          <w:lang w:val="en-US"/>
        </w:rPr>
        <w:t>Poland</w:t>
      </w:r>
      <w:r w:rsidRPr="00663D7B">
        <w:rPr>
          <w:sz w:val="28"/>
          <w:szCs w:val="28"/>
          <w:lang w:val="uk-UA"/>
        </w:rPr>
        <w:t xml:space="preserve">), </w:t>
      </w:r>
      <w:r w:rsidRPr="00663D7B">
        <w:rPr>
          <w:sz w:val="28"/>
          <w:szCs w:val="28"/>
          <w:lang w:val="en-US"/>
        </w:rPr>
        <w:t>EuroPrevent</w:t>
      </w:r>
      <w:r w:rsidRPr="00663D7B">
        <w:rPr>
          <w:sz w:val="28"/>
          <w:szCs w:val="28"/>
          <w:lang w:val="uk-UA"/>
        </w:rPr>
        <w:t xml:space="preserve">2019 (11-13 </w:t>
      </w:r>
      <w:r w:rsidRPr="00663D7B">
        <w:rPr>
          <w:sz w:val="28"/>
          <w:szCs w:val="28"/>
          <w:lang w:val="en-US"/>
        </w:rPr>
        <w:t>April</w:t>
      </w:r>
      <w:r w:rsidRPr="00663D7B">
        <w:rPr>
          <w:sz w:val="28"/>
          <w:szCs w:val="28"/>
          <w:lang w:val="uk-UA"/>
        </w:rPr>
        <w:t xml:space="preserve"> 2019, </w:t>
      </w:r>
      <w:r w:rsidRPr="00663D7B">
        <w:rPr>
          <w:sz w:val="28"/>
          <w:szCs w:val="28"/>
          <w:lang w:val="en-US"/>
        </w:rPr>
        <w:t>Lisbon</w:t>
      </w:r>
      <w:r w:rsidRPr="00663D7B">
        <w:rPr>
          <w:sz w:val="28"/>
          <w:szCs w:val="28"/>
          <w:lang w:val="uk-UA"/>
        </w:rPr>
        <w:t xml:space="preserve">, </w:t>
      </w:r>
      <w:r w:rsidRPr="00663D7B">
        <w:rPr>
          <w:sz w:val="28"/>
          <w:szCs w:val="28"/>
          <w:lang w:val="en-US"/>
        </w:rPr>
        <w:t>Portugal</w:t>
      </w:r>
      <w:r w:rsidRPr="00663D7B">
        <w:rPr>
          <w:sz w:val="28"/>
          <w:szCs w:val="28"/>
          <w:lang w:val="uk-UA"/>
        </w:rPr>
        <w:t>), 87</w:t>
      </w:r>
      <w:r w:rsidRPr="00663D7B">
        <w:rPr>
          <w:sz w:val="28"/>
          <w:szCs w:val="28"/>
          <w:vertAlign w:val="superscript"/>
          <w:lang w:val="en-US"/>
        </w:rPr>
        <w:t>th</w:t>
      </w:r>
      <w:r w:rsidRPr="00663D7B">
        <w:rPr>
          <w:sz w:val="28"/>
          <w:szCs w:val="28"/>
          <w:lang w:val="uk-UA"/>
        </w:rPr>
        <w:t xml:space="preserve"> </w:t>
      </w:r>
      <w:r w:rsidRPr="00663D7B">
        <w:rPr>
          <w:sz w:val="28"/>
          <w:szCs w:val="28"/>
          <w:lang w:val="en-US"/>
        </w:rPr>
        <w:t>European</w:t>
      </w:r>
      <w:r w:rsidRPr="00663D7B">
        <w:rPr>
          <w:sz w:val="28"/>
          <w:szCs w:val="28"/>
          <w:lang w:val="uk-UA"/>
        </w:rPr>
        <w:t xml:space="preserve"> </w:t>
      </w:r>
      <w:r w:rsidRPr="00663D7B">
        <w:rPr>
          <w:sz w:val="28"/>
          <w:szCs w:val="28"/>
          <w:lang w:val="en-US"/>
        </w:rPr>
        <w:t>Atherosclerosis</w:t>
      </w:r>
      <w:r w:rsidRPr="00663D7B">
        <w:rPr>
          <w:sz w:val="28"/>
          <w:szCs w:val="28"/>
          <w:lang w:val="uk-UA"/>
        </w:rPr>
        <w:t xml:space="preserve"> </w:t>
      </w:r>
      <w:r w:rsidRPr="00663D7B">
        <w:rPr>
          <w:sz w:val="28"/>
          <w:szCs w:val="28"/>
          <w:lang w:val="en-US"/>
        </w:rPr>
        <w:t>society</w:t>
      </w:r>
      <w:r w:rsidRPr="00663D7B">
        <w:rPr>
          <w:sz w:val="28"/>
          <w:szCs w:val="28"/>
          <w:lang w:val="uk-UA"/>
        </w:rPr>
        <w:t xml:space="preserve"> </w:t>
      </w:r>
      <w:r w:rsidRPr="00663D7B">
        <w:rPr>
          <w:sz w:val="28"/>
          <w:szCs w:val="28"/>
          <w:lang w:val="en-US"/>
        </w:rPr>
        <w:t>Congress</w:t>
      </w:r>
      <w:r w:rsidRPr="00663D7B">
        <w:rPr>
          <w:sz w:val="28"/>
          <w:szCs w:val="28"/>
          <w:lang w:val="uk-UA"/>
        </w:rPr>
        <w:t xml:space="preserve"> (26-29 </w:t>
      </w:r>
      <w:r w:rsidRPr="00663D7B">
        <w:rPr>
          <w:sz w:val="28"/>
          <w:szCs w:val="28"/>
          <w:lang w:val="en-US"/>
        </w:rPr>
        <w:t>May</w:t>
      </w:r>
      <w:r w:rsidRPr="00663D7B">
        <w:rPr>
          <w:sz w:val="28"/>
          <w:szCs w:val="28"/>
          <w:lang w:val="uk-UA"/>
        </w:rPr>
        <w:t xml:space="preserve"> 2019, </w:t>
      </w:r>
      <w:r w:rsidRPr="00663D7B">
        <w:rPr>
          <w:sz w:val="28"/>
          <w:szCs w:val="28"/>
          <w:lang w:val="en-US"/>
        </w:rPr>
        <w:t>Maastricht</w:t>
      </w:r>
      <w:r w:rsidRPr="00663D7B">
        <w:rPr>
          <w:sz w:val="28"/>
          <w:szCs w:val="28"/>
          <w:lang w:val="uk-UA"/>
        </w:rPr>
        <w:t xml:space="preserve">, </w:t>
      </w:r>
      <w:r w:rsidRPr="00663D7B">
        <w:rPr>
          <w:sz w:val="28"/>
          <w:szCs w:val="28"/>
          <w:shd w:val="clear" w:color="auto" w:fill="FFFFFF"/>
          <w:lang w:val="en-US"/>
        </w:rPr>
        <w:t>Netherlands</w:t>
      </w:r>
      <w:r w:rsidRPr="00663D7B">
        <w:rPr>
          <w:sz w:val="28"/>
          <w:szCs w:val="28"/>
          <w:shd w:val="clear" w:color="auto" w:fill="FFFFFF"/>
          <w:lang w:val="uk-UA"/>
        </w:rPr>
        <w:t>),</w:t>
      </w:r>
      <w:r w:rsidRPr="00663D7B">
        <w:rPr>
          <w:sz w:val="28"/>
          <w:szCs w:val="28"/>
          <w:lang w:val="uk-UA"/>
        </w:rPr>
        <w:t xml:space="preserve"> </w:t>
      </w:r>
      <w:r w:rsidRPr="00663D7B">
        <w:rPr>
          <w:sz w:val="28"/>
          <w:szCs w:val="28"/>
          <w:lang w:val="en-US"/>
        </w:rPr>
        <w:t>I</w:t>
      </w:r>
      <w:r w:rsidRPr="00663D7B">
        <w:rPr>
          <w:sz w:val="28"/>
          <w:szCs w:val="28"/>
          <w:lang w:val="uk-UA"/>
        </w:rPr>
        <w:t>І Міжнародна науково-практична конференція «Інформаційні системи та технології в медицині» (</w:t>
      </w:r>
      <w:r w:rsidRPr="00663D7B">
        <w:rPr>
          <w:sz w:val="28"/>
          <w:szCs w:val="28"/>
          <w:lang w:val="en-US"/>
        </w:rPr>
        <w:t>I</w:t>
      </w:r>
      <w:r w:rsidRPr="00663D7B">
        <w:rPr>
          <w:sz w:val="28"/>
          <w:szCs w:val="28"/>
          <w:lang w:val="uk-UA"/>
        </w:rPr>
        <w:t>С</w:t>
      </w:r>
      <w:r w:rsidRPr="00663D7B">
        <w:rPr>
          <w:sz w:val="28"/>
          <w:szCs w:val="28"/>
          <w:lang w:val="en-US"/>
        </w:rPr>
        <w:t>M</w:t>
      </w:r>
      <w:r w:rsidRPr="00663D7B">
        <w:rPr>
          <w:sz w:val="28"/>
          <w:szCs w:val="28"/>
          <w:lang w:val="uk-UA"/>
        </w:rPr>
        <w:t xml:space="preserve">–2019) (м.Харків, 28–29 листопада 2019 р.), </w:t>
      </w:r>
      <w:r w:rsidRPr="00663D7B">
        <w:rPr>
          <w:sz w:val="28"/>
          <w:szCs w:val="28"/>
          <w:lang w:val="en-US"/>
        </w:rPr>
        <w:t>The</w:t>
      </w:r>
      <w:r w:rsidRPr="00663D7B">
        <w:rPr>
          <w:sz w:val="28"/>
          <w:szCs w:val="28"/>
          <w:lang w:val="uk-UA"/>
        </w:rPr>
        <w:t xml:space="preserve"> </w:t>
      </w:r>
      <w:r w:rsidRPr="00663D7B">
        <w:rPr>
          <w:sz w:val="28"/>
          <w:szCs w:val="28"/>
          <w:lang w:val="en-US"/>
        </w:rPr>
        <w:t>third</w:t>
      </w:r>
      <w:r w:rsidRPr="00663D7B">
        <w:rPr>
          <w:sz w:val="28"/>
          <w:szCs w:val="28"/>
          <w:lang w:val="uk-UA"/>
        </w:rPr>
        <w:t xml:space="preserve"> </w:t>
      </w:r>
      <w:r w:rsidRPr="00663D7B">
        <w:rPr>
          <w:sz w:val="28"/>
          <w:szCs w:val="28"/>
          <w:lang w:val="en-US"/>
        </w:rPr>
        <w:t>international</w:t>
      </w:r>
      <w:r w:rsidRPr="00663D7B">
        <w:rPr>
          <w:sz w:val="28"/>
          <w:szCs w:val="28"/>
          <w:lang w:val="uk-UA"/>
        </w:rPr>
        <w:t xml:space="preserve"> </w:t>
      </w:r>
      <w:r w:rsidRPr="00663D7B">
        <w:rPr>
          <w:sz w:val="28"/>
          <w:szCs w:val="28"/>
          <w:lang w:val="en-US"/>
        </w:rPr>
        <w:t>scientific</w:t>
      </w:r>
      <w:r w:rsidRPr="00663D7B">
        <w:rPr>
          <w:sz w:val="28"/>
          <w:szCs w:val="28"/>
          <w:lang w:val="uk-UA"/>
        </w:rPr>
        <w:t xml:space="preserve"> </w:t>
      </w:r>
      <w:r w:rsidRPr="00663D7B">
        <w:rPr>
          <w:sz w:val="28"/>
          <w:szCs w:val="28"/>
          <w:lang w:val="en-US"/>
        </w:rPr>
        <w:t>congress</w:t>
      </w:r>
      <w:r w:rsidRPr="00663D7B">
        <w:rPr>
          <w:sz w:val="28"/>
          <w:szCs w:val="28"/>
          <w:lang w:val="uk-UA"/>
        </w:rPr>
        <w:t xml:space="preserve"> </w:t>
      </w:r>
      <w:r w:rsidRPr="00663D7B">
        <w:rPr>
          <w:sz w:val="28"/>
          <w:szCs w:val="28"/>
          <w:lang w:val="en-US"/>
        </w:rPr>
        <w:t>of</w:t>
      </w:r>
      <w:r w:rsidRPr="00663D7B">
        <w:rPr>
          <w:sz w:val="28"/>
          <w:szCs w:val="28"/>
          <w:lang w:val="uk-UA"/>
        </w:rPr>
        <w:t xml:space="preserve"> </w:t>
      </w:r>
      <w:r w:rsidRPr="00663D7B">
        <w:rPr>
          <w:sz w:val="28"/>
          <w:szCs w:val="28"/>
          <w:lang w:val="en-US"/>
        </w:rPr>
        <w:t>scientists</w:t>
      </w:r>
      <w:r w:rsidRPr="00663D7B">
        <w:rPr>
          <w:sz w:val="28"/>
          <w:szCs w:val="28"/>
          <w:lang w:val="uk-UA"/>
        </w:rPr>
        <w:t xml:space="preserve"> </w:t>
      </w:r>
      <w:r w:rsidRPr="00663D7B">
        <w:rPr>
          <w:sz w:val="28"/>
          <w:szCs w:val="28"/>
          <w:lang w:val="en-US"/>
        </w:rPr>
        <w:t>of</w:t>
      </w:r>
      <w:r w:rsidRPr="00663D7B">
        <w:rPr>
          <w:sz w:val="28"/>
          <w:szCs w:val="28"/>
          <w:lang w:val="uk-UA"/>
        </w:rPr>
        <w:t xml:space="preserve"> </w:t>
      </w:r>
      <w:r w:rsidRPr="00663D7B">
        <w:rPr>
          <w:sz w:val="28"/>
          <w:szCs w:val="28"/>
          <w:lang w:val="en-US"/>
        </w:rPr>
        <w:t>Europe</w:t>
      </w:r>
      <w:r w:rsidRPr="00663D7B">
        <w:rPr>
          <w:sz w:val="28"/>
          <w:szCs w:val="28"/>
          <w:lang w:val="uk-UA"/>
        </w:rPr>
        <w:t xml:space="preserve"> (19-20</w:t>
      </w:r>
      <w:r w:rsidRPr="00663D7B">
        <w:rPr>
          <w:sz w:val="28"/>
          <w:szCs w:val="28"/>
          <w:vertAlign w:val="superscript"/>
          <w:lang w:val="en-US"/>
        </w:rPr>
        <w:t>th</w:t>
      </w:r>
      <w:r w:rsidRPr="00663D7B">
        <w:rPr>
          <w:sz w:val="28"/>
          <w:szCs w:val="28"/>
          <w:lang w:val="uk-UA"/>
        </w:rPr>
        <w:t xml:space="preserve"> </w:t>
      </w:r>
      <w:r w:rsidRPr="00663D7B">
        <w:rPr>
          <w:sz w:val="28"/>
          <w:szCs w:val="28"/>
          <w:lang w:val="en-US"/>
        </w:rPr>
        <w:t>April</w:t>
      </w:r>
      <w:r w:rsidRPr="00663D7B">
        <w:rPr>
          <w:sz w:val="28"/>
          <w:szCs w:val="28"/>
          <w:lang w:val="uk-UA"/>
        </w:rPr>
        <w:t xml:space="preserve"> 2018, </w:t>
      </w:r>
      <w:r w:rsidRPr="00663D7B">
        <w:rPr>
          <w:sz w:val="28"/>
          <w:szCs w:val="28"/>
          <w:lang w:val="en-US"/>
        </w:rPr>
        <w:t>Vienna</w:t>
      </w:r>
      <w:r w:rsidRPr="00663D7B">
        <w:rPr>
          <w:sz w:val="28"/>
          <w:szCs w:val="28"/>
          <w:lang w:val="uk-UA"/>
        </w:rPr>
        <w:t xml:space="preserve">, </w:t>
      </w:r>
      <w:r w:rsidRPr="00663D7B">
        <w:rPr>
          <w:sz w:val="28"/>
          <w:szCs w:val="28"/>
          <w:lang w:val="en-US"/>
        </w:rPr>
        <w:t>Austria</w:t>
      </w:r>
      <w:r w:rsidRPr="00663D7B">
        <w:rPr>
          <w:sz w:val="28"/>
          <w:szCs w:val="28"/>
          <w:lang w:val="uk-UA"/>
        </w:rPr>
        <w:t>), «</w:t>
      </w:r>
      <w:r w:rsidRPr="00663D7B">
        <w:rPr>
          <w:sz w:val="28"/>
          <w:szCs w:val="28"/>
          <w:lang w:val="en-US"/>
        </w:rPr>
        <w:t>International</w:t>
      </w:r>
      <w:r w:rsidRPr="00663D7B">
        <w:rPr>
          <w:sz w:val="28"/>
          <w:szCs w:val="28"/>
          <w:lang w:val="uk-UA"/>
        </w:rPr>
        <w:t xml:space="preserve"> </w:t>
      </w:r>
      <w:r w:rsidRPr="00663D7B">
        <w:rPr>
          <w:sz w:val="28"/>
          <w:szCs w:val="28"/>
          <w:lang w:val="en-US"/>
        </w:rPr>
        <w:t>research</w:t>
      </w:r>
      <w:r w:rsidRPr="00663D7B">
        <w:rPr>
          <w:sz w:val="28"/>
          <w:szCs w:val="28"/>
          <w:lang w:val="uk-UA"/>
        </w:rPr>
        <w:t xml:space="preserve"> </w:t>
      </w:r>
      <w:r w:rsidRPr="00663D7B">
        <w:rPr>
          <w:sz w:val="28"/>
          <w:szCs w:val="28"/>
          <w:lang w:val="en-US"/>
        </w:rPr>
        <w:t>and</w:t>
      </w:r>
      <w:r w:rsidRPr="00663D7B">
        <w:rPr>
          <w:sz w:val="28"/>
          <w:szCs w:val="28"/>
          <w:lang w:val="uk-UA"/>
        </w:rPr>
        <w:t xml:space="preserve"> </w:t>
      </w:r>
      <w:r w:rsidRPr="00663D7B">
        <w:rPr>
          <w:sz w:val="28"/>
          <w:szCs w:val="28"/>
          <w:lang w:val="en-US"/>
        </w:rPr>
        <w:t>practice</w:t>
      </w:r>
      <w:r w:rsidRPr="00663D7B">
        <w:rPr>
          <w:sz w:val="28"/>
          <w:szCs w:val="28"/>
          <w:lang w:val="uk-UA"/>
        </w:rPr>
        <w:t xml:space="preserve"> </w:t>
      </w:r>
      <w:r w:rsidRPr="00663D7B">
        <w:rPr>
          <w:sz w:val="28"/>
          <w:szCs w:val="28"/>
          <w:lang w:val="en-US"/>
        </w:rPr>
        <w:t>conference</w:t>
      </w:r>
      <w:r w:rsidRPr="00663D7B">
        <w:rPr>
          <w:sz w:val="28"/>
          <w:szCs w:val="28"/>
          <w:lang w:val="uk-UA"/>
        </w:rPr>
        <w:t xml:space="preserve"> “ </w:t>
      </w:r>
      <w:r w:rsidRPr="00663D7B">
        <w:rPr>
          <w:sz w:val="28"/>
          <w:szCs w:val="28"/>
          <w:lang w:val="en-US"/>
        </w:rPr>
        <w:t>Relevant</w:t>
      </w:r>
      <w:r w:rsidRPr="00663D7B">
        <w:rPr>
          <w:sz w:val="28"/>
          <w:szCs w:val="28"/>
          <w:lang w:val="uk-UA"/>
        </w:rPr>
        <w:t xml:space="preserve"> </w:t>
      </w:r>
      <w:r w:rsidRPr="00663D7B">
        <w:rPr>
          <w:sz w:val="28"/>
          <w:szCs w:val="28"/>
          <w:lang w:val="en-US"/>
        </w:rPr>
        <w:t>issues</w:t>
      </w:r>
      <w:r w:rsidRPr="00663D7B">
        <w:rPr>
          <w:sz w:val="28"/>
          <w:szCs w:val="28"/>
          <w:lang w:val="uk-UA"/>
        </w:rPr>
        <w:t xml:space="preserve"> </w:t>
      </w:r>
      <w:r w:rsidRPr="00663D7B">
        <w:rPr>
          <w:sz w:val="28"/>
          <w:szCs w:val="28"/>
          <w:lang w:val="en-US"/>
        </w:rPr>
        <w:t>of</w:t>
      </w:r>
      <w:r w:rsidRPr="00663D7B">
        <w:rPr>
          <w:sz w:val="28"/>
          <w:szCs w:val="28"/>
          <w:lang w:val="uk-UA"/>
        </w:rPr>
        <w:t xml:space="preserve"> </w:t>
      </w:r>
      <w:r w:rsidRPr="00663D7B">
        <w:rPr>
          <w:sz w:val="28"/>
          <w:szCs w:val="28"/>
          <w:lang w:val="en-US"/>
        </w:rPr>
        <w:t>modern</w:t>
      </w:r>
      <w:r w:rsidRPr="00663D7B">
        <w:rPr>
          <w:sz w:val="28"/>
          <w:szCs w:val="28"/>
          <w:lang w:val="uk-UA"/>
        </w:rPr>
        <w:t xml:space="preserve"> </w:t>
      </w:r>
      <w:r w:rsidRPr="00663D7B">
        <w:rPr>
          <w:sz w:val="28"/>
          <w:szCs w:val="28"/>
          <w:lang w:val="en-US"/>
        </w:rPr>
        <w:t>medicine</w:t>
      </w:r>
      <w:r w:rsidRPr="00663D7B">
        <w:rPr>
          <w:sz w:val="28"/>
          <w:szCs w:val="28"/>
          <w:lang w:val="uk-UA"/>
        </w:rPr>
        <w:t xml:space="preserve">: </w:t>
      </w:r>
      <w:r w:rsidRPr="00663D7B">
        <w:rPr>
          <w:sz w:val="28"/>
          <w:szCs w:val="28"/>
          <w:lang w:val="en-US"/>
        </w:rPr>
        <w:t>the</w:t>
      </w:r>
      <w:r w:rsidRPr="00663D7B">
        <w:rPr>
          <w:sz w:val="28"/>
          <w:szCs w:val="28"/>
          <w:lang w:val="uk-UA"/>
        </w:rPr>
        <w:t xml:space="preserve"> </w:t>
      </w:r>
      <w:r w:rsidRPr="00663D7B">
        <w:rPr>
          <w:sz w:val="28"/>
          <w:szCs w:val="28"/>
          <w:lang w:val="en-US"/>
        </w:rPr>
        <w:t>experience</w:t>
      </w:r>
      <w:r w:rsidRPr="00663D7B">
        <w:rPr>
          <w:sz w:val="28"/>
          <w:szCs w:val="28"/>
          <w:lang w:val="uk-UA"/>
        </w:rPr>
        <w:t xml:space="preserve"> </w:t>
      </w:r>
      <w:r w:rsidRPr="00663D7B">
        <w:rPr>
          <w:sz w:val="28"/>
          <w:szCs w:val="28"/>
          <w:lang w:val="en-US"/>
        </w:rPr>
        <w:t>of</w:t>
      </w:r>
      <w:r w:rsidRPr="00663D7B">
        <w:rPr>
          <w:sz w:val="28"/>
          <w:szCs w:val="28"/>
          <w:lang w:val="uk-UA"/>
        </w:rPr>
        <w:t xml:space="preserve"> </w:t>
      </w:r>
      <w:r w:rsidRPr="00663D7B">
        <w:rPr>
          <w:sz w:val="28"/>
          <w:szCs w:val="28"/>
          <w:lang w:val="en-US"/>
        </w:rPr>
        <w:t>Poland</w:t>
      </w:r>
      <w:r w:rsidRPr="00663D7B">
        <w:rPr>
          <w:sz w:val="28"/>
          <w:szCs w:val="28"/>
          <w:lang w:val="uk-UA"/>
        </w:rPr>
        <w:t xml:space="preserve"> </w:t>
      </w:r>
      <w:r w:rsidRPr="00663D7B">
        <w:rPr>
          <w:sz w:val="28"/>
          <w:szCs w:val="28"/>
          <w:lang w:val="en-US"/>
        </w:rPr>
        <w:t>and</w:t>
      </w:r>
      <w:r w:rsidRPr="00663D7B">
        <w:rPr>
          <w:sz w:val="28"/>
          <w:szCs w:val="28"/>
          <w:lang w:val="uk-UA"/>
        </w:rPr>
        <w:t xml:space="preserve"> </w:t>
      </w:r>
      <w:r w:rsidRPr="00663D7B">
        <w:rPr>
          <w:sz w:val="28"/>
          <w:szCs w:val="28"/>
          <w:lang w:val="en-US"/>
        </w:rPr>
        <w:t>Ukraine</w:t>
      </w:r>
      <w:r w:rsidRPr="00663D7B">
        <w:rPr>
          <w:sz w:val="28"/>
          <w:szCs w:val="28"/>
          <w:lang w:val="uk-UA"/>
        </w:rPr>
        <w:t xml:space="preserve">» (20-21 </w:t>
      </w:r>
      <w:r w:rsidRPr="00663D7B">
        <w:rPr>
          <w:sz w:val="28"/>
          <w:szCs w:val="28"/>
          <w:lang w:val="en-US"/>
        </w:rPr>
        <w:t>October</w:t>
      </w:r>
      <w:r w:rsidRPr="00663D7B">
        <w:rPr>
          <w:sz w:val="28"/>
          <w:szCs w:val="28"/>
          <w:lang w:val="uk-UA"/>
        </w:rPr>
        <w:t xml:space="preserve"> 2017, </w:t>
      </w:r>
      <w:r w:rsidRPr="00663D7B">
        <w:rPr>
          <w:sz w:val="28"/>
          <w:szCs w:val="28"/>
          <w:lang w:val="en-US"/>
        </w:rPr>
        <w:t>Lublin</w:t>
      </w:r>
      <w:r w:rsidRPr="00663D7B">
        <w:rPr>
          <w:sz w:val="28"/>
          <w:szCs w:val="28"/>
          <w:lang w:val="uk-UA"/>
        </w:rPr>
        <w:t xml:space="preserve">, </w:t>
      </w:r>
      <w:r w:rsidRPr="00663D7B">
        <w:rPr>
          <w:sz w:val="28"/>
          <w:szCs w:val="28"/>
          <w:lang w:val="en-US"/>
        </w:rPr>
        <w:t>Poland</w:t>
      </w:r>
      <w:r w:rsidRPr="00663D7B">
        <w:rPr>
          <w:sz w:val="28"/>
          <w:szCs w:val="28"/>
          <w:lang w:val="uk-UA"/>
        </w:rPr>
        <w:t>), «</w:t>
      </w:r>
      <w:r w:rsidRPr="00663D7B">
        <w:rPr>
          <w:sz w:val="28"/>
          <w:szCs w:val="28"/>
          <w:lang w:val="en-US"/>
        </w:rPr>
        <w:t>Science</w:t>
      </w:r>
      <w:r w:rsidRPr="00663D7B">
        <w:rPr>
          <w:sz w:val="28"/>
          <w:szCs w:val="28"/>
          <w:lang w:val="uk-UA"/>
        </w:rPr>
        <w:t xml:space="preserve"> </w:t>
      </w:r>
      <w:r w:rsidRPr="00663D7B">
        <w:rPr>
          <w:sz w:val="28"/>
          <w:szCs w:val="28"/>
          <w:lang w:val="en-US"/>
        </w:rPr>
        <w:t>and</w:t>
      </w:r>
      <w:r w:rsidRPr="00663D7B">
        <w:rPr>
          <w:sz w:val="28"/>
          <w:szCs w:val="28"/>
          <w:lang w:val="uk-UA"/>
        </w:rPr>
        <w:t xml:space="preserve"> </w:t>
      </w:r>
      <w:r w:rsidRPr="00663D7B">
        <w:rPr>
          <w:sz w:val="28"/>
          <w:szCs w:val="28"/>
          <w:lang w:val="en-US"/>
        </w:rPr>
        <w:t>Life</w:t>
      </w:r>
      <w:r w:rsidRPr="00663D7B">
        <w:rPr>
          <w:sz w:val="28"/>
          <w:szCs w:val="28"/>
          <w:lang w:val="uk-UA"/>
        </w:rPr>
        <w:t>»  (</w:t>
      </w:r>
      <w:r w:rsidRPr="00663D7B">
        <w:rPr>
          <w:sz w:val="28"/>
          <w:szCs w:val="28"/>
          <w:lang w:val="en-US"/>
        </w:rPr>
        <w:t>Czech</w:t>
      </w:r>
      <w:r w:rsidRPr="00663D7B">
        <w:rPr>
          <w:sz w:val="28"/>
          <w:szCs w:val="28"/>
          <w:lang w:val="uk-UA"/>
        </w:rPr>
        <w:t xml:space="preserve"> </w:t>
      </w:r>
      <w:r w:rsidRPr="00663D7B">
        <w:rPr>
          <w:sz w:val="28"/>
          <w:szCs w:val="28"/>
          <w:lang w:val="en-US"/>
        </w:rPr>
        <w:t>Republic</w:t>
      </w:r>
      <w:r w:rsidRPr="00663D7B">
        <w:rPr>
          <w:sz w:val="28"/>
          <w:szCs w:val="28"/>
          <w:lang w:val="uk-UA"/>
        </w:rPr>
        <w:t xml:space="preserve">, </w:t>
      </w:r>
      <w:r w:rsidRPr="00663D7B">
        <w:rPr>
          <w:sz w:val="28"/>
          <w:szCs w:val="28"/>
          <w:lang w:val="en-US"/>
        </w:rPr>
        <w:t>Karlovy</w:t>
      </w:r>
      <w:r w:rsidRPr="00663D7B">
        <w:rPr>
          <w:sz w:val="28"/>
          <w:szCs w:val="28"/>
          <w:lang w:val="uk-UA"/>
        </w:rPr>
        <w:t xml:space="preserve"> </w:t>
      </w:r>
      <w:r w:rsidRPr="00663D7B">
        <w:rPr>
          <w:sz w:val="28"/>
          <w:szCs w:val="28"/>
          <w:lang w:val="en-US"/>
        </w:rPr>
        <w:t>Vary</w:t>
      </w:r>
      <w:r w:rsidRPr="00663D7B">
        <w:rPr>
          <w:sz w:val="28"/>
          <w:szCs w:val="28"/>
          <w:lang w:val="uk-UA"/>
        </w:rPr>
        <w:t xml:space="preserve"> - </w:t>
      </w:r>
      <w:r w:rsidRPr="00663D7B">
        <w:rPr>
          <w:sz w:val="28"/>
          <w:szCs w:val="28"/>
          <w:lang w:val="en-US"/>
        </w:rPr>
        <w:t>Ukraine</w:t>
      </w:r>
      <w:r w:rsidRPr="00663D7B">
        <w:rPr>
          <w:sz w:val="28"/>
          <w:szCs w:val="28"/>
          <w:lang w:val="uk-UA"/>
        </w:rPr>
        <w:t xml:space="preserve">, </w:t>
      </w:r>
      <w:r w:rsidRPr="00663D7B">
        <w:rPr>
          <w:sz w:val="28"/>
          <w:szCs w:val="28"/>
          <w:lang w:val="en-US"/>
        </w:rPr>
        <w:t>Kyiv</w:t>
      </w:r>
      <w:r w:rsidRPr="00663D7B">
        <w:rPr>
          <w:sz w:val="28"/>
          <w:szCs w:val="28"/>
          <w:lang w:val="uk-UA"/>
        </w:rPr>
        <w:t xml:space="preserve">, 16-17 </w:t>
      </w:r>
      <w:r w:rsidRPr="00663D7B">
        <w:rPr>
          <w:sz w:val="28"/>
          <w:szCs w:val="28"/>
          <w:lang w:val="en-US"/>
        </w:rPr>
        <w:t>November</w:t>
      </w:r>
      <w:r w:rsidRPr="00663D7B">
        <w:rPr>
          <w:sz w:val="28"/>
          <w:szCs w:val="28"/>
          <w:lang w:val="uk-UA"/>
        </w:rPr>
        <w:t xml:space="preserve"> 2017), </w:t>
      </w:r>
      <w:r w:rsidRPr="00663D7B">
        <w:rPr>
          <w:sz w:val="28"/>
          <w:szCs w:val="28"/>
          <w:lang w:val="en-US"/>
        </w:rPr>
        <w:t>The</w:t>
      </w:r>
      <w:r w:rsidRPr="00663D7B">
        <w:rPr>
          <w:sz w:val="28"/>
          <w:szCs w:val="28"/>
          <w:lang w:val="uk-UA"/>
        </w:rPr>
        <w:t xml:space="preserve"> 5</w:t>
      </w:r>
      <w:r w:rsidRPr="00663D7B">
        <w:rPr>
          <w:sz w:val="28"/>
          <w:szCs w:val="28"/>
          <w:lang w:val="en-US"/>
        </w:rPr>
        <w:t>th</w:t>
      </w:r>
      <w:r w:rsidRPr="00663D7B">
        <w:rPr>
          <w:sz w:val="28"/>
          <w:szCs w:val="28"/>
          <w:lang w:val="uk-UA"/>
        </w:rPr>
        <w:t xml:space="preserve"> </w:t>
      </w:r>
      <w:r w:rsidRPr="00663D7B">
        <w:rPr>
          <w:sz w:val="28"/>
          <w:szCs w:val="28"/>
          <w:lang w:val="en-US"/>
        </w:rPr>
        <w:t>International</w:t>
      </w:r>
      <w:r w:rsidRPr="00663D7B">
        <w:rPr>
          <w:sz w:val="28"/>
          <w:szCs w:val="28"/>
          <w:lang w:val="uk-UA"/>
        </w:rPr>
        <w:t xml:space="preserve"> </w:t>
      </w:r>
      <w:r w:rsidRPr="00663D7B">
        <w:rPr>
          <w:sz w:val="28"/>
          <w:szCs w:val="28"/>
          <w:lang w:val="en-US"/>
        </w:rPr>
        <w:t>conference</w:t>
      </w:r>
      <w:r w:rsidRPr="00663D7B">
        <w:rPr>
          <w:sz w:val="28"/>
          <w:szCs w:val="28"/>
          <w:lang w:val="uk-UA"/>
        </w:rPr>
        <w:t xml:space="preserve"> ―</w:t>
      </w:r>
      <w:r w:rsidRPr="00663D7B">
        <w:rPr>
          <w:sz w:val="28"/>
          <w:szCs w:val="28"/>
          <w:lang w:val="en-US"/>
        </w:rPr>
        <w:t>Science</w:t>
      </w:r>
      <w:r w:rsidRPr="00663D7B">
        <w:rPr>
          <w:sz w:val="28"/>
          <w:szCs w:val="28"/>
          <w:lang w:val="uk-UA"/>
        </w:rPr>
        <w:t xml:space="preserve"> </w:t>
      </w:r>
      <w:r w:rsidRPr="00663D7B">
        <w:rPr>
          <w:sz w:val="28"/>
          <w:szCs w:val="28"/>
          <w:lang w:val="en-US"/>
        </w:rPr>
        <w:t>and</w:t>
      </w:r>
      <w:r w:rsidRPr="00663D7B">
        <w:rPr>
          <w:sz w:val="28"/>
          <w:szCs w:val="28"/>
          <w:lang w:val="uk-UA"/>
        </w:rPr>
        <w:t xml:space="preserve"> </w:t>
      </w:r>
      <w:r w:rsidRPr="00663D7B">
        <w:rPr>
          <w:sz w:val="28"/>
          <w:szCs w:val="28"/>
          <w:lang w:val="en-US"/>
        </w:rPr>
        <w:t>society</w:t>
      </w:r>
      <w:r w:rsidRPr="00663D7B">
        <w:rPr>
          <w:sz w:val="28"/>
          <w:szCs w:val="28"/>
          <w:lang w:val="uk-UA"/>
        </w:rPr>
        <w:t xml:space="preserve"> (15 </w:t>
      </w:r>
      <w:r w:rsidRPr="00663D7B">
        <w:rPr>
          <w:sz w:val="28"/>
          <w:szCs w:val="28"/>
          <w:lang w:val="en-US"/>
        </w:rPr>
        <w:t>June</w:t>
      </w:r>
      <w:r w:rsidRPr="00663D7B">
        <w:rPr>
          <w:sz w:val="28"/>
          <w:szCs w:val="28"/>
          <w:lang w:val="uk-UA"/>
        </w:rPr>
        <w:t xml:space="preserve"> 2018, </w:t>
      </w:r>
      <w:r w:rsidRPr="00663D7B">
        <w:rPr>
          <w:sz w:val="28"/>
          <w:szCs w:val="28"/>
          <w:lang w:val="en-US"/>
        </w:rPr>
        <w:t>Hamilton</w:t>
      </w:r>
      <w:r w:rsidRPr="00663D7B">
        <w:rPr>
          <w:sz w:val="28"/>
          <w:szCs w:val="28"/>
          <w:lang w:val="uk-UA"/>
        </w:rPr>
        <w:t xml:space="preserve">, </w:t>
      </w:r>
      <w:r w:rsidRPr="00663D7B">
        <w:rPr>
          <w:sz w:val="28"/>
          <w:szCs w:val="28"/>
          <w:lang w:val="en-US"/>
        </w:rPr>
        <w:t>Canada</w:t>
      </w:r>
      <w:r w:rsidRPr="00663D7B">
        <w:rPr>
          <w:sz w:val="28"/>
          <w:szCs w:val="28"/>
          <w:lang w:val="uk-UA"/>
        </w:rPr>
        <w:t xml:space="preserve">), </w:t>
      </w:r>
      <w:r w:rsidRPr="00663D7B">
        <w:rPr>
          <w:sz w:val="28"/>
          <w:szCs w:val="28"/>
          <w:lang w:val="en-US"/>
        </w:rPr>
        <w:t>The</w:t>
      </w:r>
      <w:r w:rsidRPr="00663D7B">
        <w:rPr>
          <w:sz w:val="28"/>
          <w:szCs w:val="28"/>
          <w:lang w:val="uk-UA"/>
        </w:rPr>
        <w:t xml:space="preserve"> 5</w:t>
      </w:r>
      <w:r w:rsidRPr="00663D7B">
        <w:rPr>
          <w:sz w:val="28"/>
          <w:szCs w:val="28"/>
          <w:lang w:val="en-US"/>
        </w:rPr>
        <w:t>th</w:t>
      </w:r>
      <w:r w:rsidRPr="00663D7B">
        <w:rPr>
          <w:sz w:val="28"/>
          <w:szCs w:val="28"/>
          <w:lang w:val="uk-UA"/>
        </w:rPr>
        <w:t xml:space="preserve"> </w:t>
      </w:r>
      <w:r w:rsidRPr="00663D7B">
        <w:rPr>
          <w:sz w:val="28"/>
          <w:szCs w:val="28"/>
          <w:lang w:val="en-US"/>
        </w:rPr>
        <w:t>International</w:t>
      </w:r>
      <w:r w:rsidRPr="00663D7B">
        <w:rPr>
          <w:sz w:val="28"/>
          <w:szCs w:val="28"/>
          <w:lang w:val="uk-UA"/>
        </w:rPr>
        <w:t xml:space="preserve"> </w:t>
      </w:r>
      <w:r w:rsidRPr="00663D7B">
        <w:rPr>
          <w:sz w:val="28"/>
          <w:szCs w:val="28"/>
          <w:lang w:val="en-US"/>
        </w:rPr>
        <w:t>youth</w:t>
      </w:r>
      <w:r w:rsidRPr="00663D7B">
        <w:rPr>
          <w:sz w:val="28"/>
          <w:szCs w:val="28"/>
          <w:lang w:val="uk-UA"/>
        </w:rPr>
        <w:t xml:space="preserve"> </w:t>
      </w:r>
      <w:r w:rsidRPr="00663D7B">
        <w:rPr>
          <w:sz w:val="28"/>
          <w:szCs w:val="28"/>
          <w:lang w:val="en-US"/>
        </w:rPr>
        <w:t>conference</w:t>
      </w:r>
      <w:r w:rsidRPr="00663D7B">
        <w:rPr>
          <w:sz w:val="28"/>
          <w:szCs w:val="28"/>
          <w:lang w:val="uk-UA"/>
        </w:rPr>
        <w:t xml:space="preserve"> ―</w:t>
      </w:r>
      <w:r w:rsidRPr="00663D7B">
        <w:rPr>
          <w:sz w:val="28"/>
          <w:szCs w:val="28"/>
          <w:lang w:val="en-US"/>
        </w:rPr>
        <w:t>Perspectives</w:t>
      </w:r>
      <w:r w:rsidRPr="00663D7B">
        <w:rPr>
          <w:sz w:val="28"/>
          <w:szCs w:val="28"/>
          <w:lang w:val="uk-UA"/>
        </w:rPr>
        <w:t xml:space="preserve"> </w:t>
      </w:r>
      <w:r w:rsidRPr="00663D7B">
        <w:rPr>
          <w:sz w:val="28"/>
          <w:szCs w:val="28"/>
          <w:lang w:val="en-US"/>
        </w:rPr>
        <w:t>of</w:t>
      </w:r>
      <w:r w:rsidRPr="00663D7B">
        <w:rPr>
          <w:sz w:val="28"/>
          <w:szCs w:val="28"/>
          <w:lang w:val="uk-UA"/>
        </w:rPr>
        <w:t xml:space="preserve"> </w:t>
      </w:r>
      <w:r w:rsidRPr="00663D7B">
        <w:rPr>
          <w:sz w:val="28"/>
          <w:szCs w:val="28"/>
          <w:lang w:val="en-US"/>
        </w:rPr>
        <w:t>science</w:t>
      </w:r>
      <w:r w:rsidRPr="00663D7B">
        <w:rPr>
          <w:sz w:val="28"/>
          <w:szCs w:val="28"/>
          <w:lang w:val="uk-UA"/>
        </w:rPr>
        <w:t xml:space="preserve"> </w:t>
      </w:r>
      <w:r w:rsidRPr="00663D7B">
        <w:rPr>
          <w:sz w:val="28"/>
          <w:szCs w:val="28"/>
          <w:lang w:val="en-US"/>
        </w:rPr>
        <w:t>and</w:t>
      </w:r>
      <w:r w:rsidRPr="00663D7B">
        <w:rPr>
          <w:sz w:val="28"/>
          <w:szCs w:val="28"/>
          <w:lang w:val="uk-UA"/>
        </w:rPr>
        <w:t xml:space="preserve"> </w:t>
      </w:r>
      <w:r w:rsidRPr="00663D7B">
        <w:rPr>
          <w:sz w:val="28"/>
          <w:szCs w:val="28"/>
          <w:lang w:val="en-US"/>
        </w:rPr>
        <w:t>education</w:t>
      </w:r>
      <w:r w:rsidRPr="00663D7B">
        <w:rPr>
          <w:sz w:val="28"/>
          <w:szCs w:val="28"/>
          <w:lang w:val="uk-UA"/>
        </w:rPr>
        <w:t xml:space="preserve">‖ (19 </w:t>
      </w:r>
      <w:r w:rsidRPr="00663D7B">
        <w:rPr>
          <w:sz w:val="28"/>
          <w:szCs w:val="28"/>
          <w:lang w:val="en-US"/>
        </w:rPr>
        <w:t>October</w:t>
      </w:r>
      <w:r w:rsidRPr="00663D7B">
        <w:rPr>
          <w:sz w:val="28"/>
          <w:szCs w:val="28"/>
          <w:lang w:val="uk-UA"/>
        </w:rPr>
        <w:t xml:space="preserve">, 2018, </w:t>
      </w:r>
      <w:r w:rsidRPr="00663D7B">
        <w:rPr>
          <w:sz w:val="28"/>
          <w:szCs w:val="28"/>
          <w:lang w:val="en-US"/>
        </w:rPr>
        <w:t>New</w:t>
      </w:r>
      <w:r w:rsidRPr="00663D7B">
        <w:rPr>
          <w:sz w:val="28"/>
          <w:szCs w:val="28"/>
          <w:lang w:val="uk-UA"/>
        </w:rPr>
        <w:t xml:space="preserve"> </w:t>
      </w:r>
      <w:r w:rsidRPr="00663D7B">
        <w:rPr>
          <w:sz w:val="28"/>
          <w:szCs w:val="28"/>
          <w:lang w:val="en-US"/>
        </w:rPr>
        <w:t>York</w:t>
      </w:r>
      <w:r w:rsidRPr="00663D7B">
        <w:rPr>
          <w:sz w:val="28"/>
          <w:szCs w:val="28"/>
          <w:lang w:val="uk-UA"/>
        </w:rPr>
        <w:t xml:space="preserve">, </w:t>
      </w:r>
      <w:r w:rsidRPr="00663D7B">
        <w:rPr>
          <w:sz w:val="28"/>
          <w:szCs w:val="28"/>
          <w:lang w:val="en-US"/>
        </w:rPr>
        <w:t>USA</w:t>
      </w:r>
      <w:r w:rsidRPr="00663D7B">
        <w:rPr>
          <w:sz w:val="28"/>
          <w:szCs w:val="28"/>
          <w:lang w:val="uk-UA"/>
        </w:rPr>
        <w:t>), науково-практична конференція з міжнародною участю «Щорічні терапевтичні читання. Профілактика неінфекційних захворювань – пріоритет сучасної науки та практики» (20 квітня 2018, Харків, Україна), «Актуальні проблеми геронтології та геріатрії» присвячена 95-річчю з дня народження академіка В.В.Фролькіса (28 січня 2019, Київ, Україна), «Досягнення та перспективи експериментальної і клінічної ендокринології» (Сімнадцяті Данилевські читання)» (1-2 березня 2018, Харків, Україна),  І Міжнародна науково-практична конференція «Інформаційні системи та технології в медицині» (</w:t>
      </w:r>
      <w:r w:rsidRPr="00663D7B">
        <w:rPr>
          <w:sz w:val="28"/>
          <w:szCs w:val="28"/>
        </w:rPr>
        <w:t>ISM</w:t>
      </w:r>
      <w:r w:rsidRPr="00663D7B">
        <w:rPr>
          <w:sz w:val="28"/>
          <w:szCs w:val="28"/>
          <w:lang w:val="uk-UA"/>
        </w:rPr>
        <w:t xml:space="preserve">-2018) (28-30 листопада 2018р, Харків, Україна), «Стратегії профілактики неінфекційних хвороб та шляхи їх реалізації: від постулатів минулого в майбутнє» (4 листопада 2016, Харків, Україна), Науковий симпозіум у рамках </w:t>
      </w:r>
      <w:r w:rsidRPr="00663D7B">
        <w:rPr>
          <w:sz w:val="28"/>
          <w:szCs w:val="28"/>
        </w:rPr>
        <w:t>VII</w:t>
      </w:r>
      <w:r w:rsidRPr="00663D7B">
        <w:rPr>
          <w:sz w:val="28"/>
          <w:szCs w:val="28"/>
          <w:lang w:val="uk-UA"/>
        </w:rPr>
        <w:t xml:space="preserve">І Національного з’їзду фармацевтів України «Соціальна фармація: стан, проблеми та перспективи» (15-16 вересня 2016, Харків, Україна), 10-я юбілейна Міжнародна конференція  «Дисфункция эндотелия» (1 июня 2018, Витебск, Білорусь), Республіканська науково-практична конференція з міжнародною участю </w:t>
      </w:r>
      <w:r w:rsidRPr="00663D7B">
        <w:rPr>
          <w:sz w:val="28"/>
          <w:szCs w:val="28"/>
          <w:shd w:val="clear" w:color="auto" w:fill="FFFFFF"/>
          <w:lang w:val="uk-UA"/>
        </w:rPr>
        <w:t>«Первоочередные задачи развития кардиологии и кардиохирургии в узбекистане» (25–26 травня 2017 року, Ташкент, Узбекістан)</w:t>
      </w:r>
      <w:r w:rsidRPr="00663D7B">
        <w:rPr>
          <w:sz w:val="28"/>
          <w:szCs w:val="28"/>
          <w:lang w:val="uk-UA"/>
        </w:rPr>
        <w:t xml:space="preserve"> </w:t>
      </w:r>
    </w:p>
    <w:p w:rsidR="00E3259F" w:rsidRPr="00663D7B" w:rsidRDefault="00E3259F" w:rsidP="00663D7B">
      <w:pPr>
        <w:pStyle w:val="a4"/>
        <w:spacing w:line="360" w:lineRule="auto"/>
        <w:ind w:left="0" w:firstLine="709"/>
        <w:jc w:val="both"/>
        <w:rPr>
          <w:sz w:val="28"/>
          <w:szCs w:val="28"/>
          <w:lang w:val="uk-UA"/>
        </w:rPr>
      </w:pPr>
      <w:r w:rsidRPr="00663D7B">
        <w:rPr>
          <w:sz w:val="28"/>
          <w:szCs w:val="28"/>
          <w:lang w:val="uk-UA"/>
        </w:rPr>
        <w:t>Публікації. За матеріалами дисертації опубліковано 43 наукові праці, зокрема 23 статті (9 одноосібно), з них 20 – у фахових виданнях, рекомендованих МОН України, 5 статтей в іноземних журналах, 5 статтей у  журналах, включених до наукометричних баз Scopus та Web of  Science, 1 державний патент України на винахід, 1 державний патент України на корисну модель, 18 тез на науково-практичних конференціях, міжнародних конференціях і конгресах.</w:t>
      </w:r>
    </w:p>
    <w:p w:rsidR="00E3259F" w:rsidRPr="00663D7B" w:rsidRDefault="00E3259F" w:rsidP="00663D7B">
      <w:pPr>
        <w:pStyle w:val="a4"/>
        <w:spacing w:line="360" w:lineRule="auto"/>
        <w:ind w:left="0" w:firstLine="709"/>
        <w:jc w:val="both"/>
        <w:rPr>
          <w:sz w:val="28"/>
          <w:szCs w:val="28"/>
          <w:lang w:val="uk-UA"/>
        </w:rPr>
      </w:pPr>
      <w:r w:rsidRPr="00663D7B">
        <w:rPr>
          <w:sz w:val="28"/>
          <w:szCs w:val="28"/>
          <w:lang w:val="uk-UA"/>
        </w:rPr>
        <w:t>Структура і обсяг дисертації. Дисертаційна робота викладена українською мовою на 410 сторінках друкованого тексту,</w:t>
      </w:r>
      <w:r w:rsidRPr="00663D7B">
        <w:rPr>
          <w:sz w:val="28"/>
          <w:szCs w:val="28"/>
          <w:bdr w:val="none" w:sz="0" w:space="0" w:color="auto" w:frame="1"/>
          <w:shd w:val="clear" w:color="auto" w:fill="FFFFFF"/>
        </w:rPr>
        <w:t xml:space="preserve"> проілюстрована 18 рисунками і містить 82 таблиці</w:t>
      </w:r>
      <w:r w:rsidRPr="00663D7B">
        <w:rPr>
          <w:sz w:val="28"/>
          <w:szCs w:val="28"/>
          <w:bdr w:val="none" w:sz="0" w:space="0" w:color="auto" w:frame="1"/>
          <w:shd w:val="clear" w:color="auto" w:fill="FFFFFF"/>
          <w:lang w:val="uk-UA"/>
        </w:rPr>
        <w:t> (з них – 15 повних сторінок)</w:t>
      </w:r>
      <w:r w:rsidRPr="00663D7B">
        <w:rPr>
          <w:sz w:val="28"/>
          <w:szCs w:val="28"/>
          <w:bdr w:val="none" w:sz="0" w:space="0" w:color="auto" w:frame="1"/>
          <w:shd w:val="clear" w:color="auto" w:fill="FFFFFF"/>
        </w:rPr>
        <w:t>.</w:t>
      </w:r>
      <w:r w:rsidRPr="00663D7B">
        <w:rPr>
          <w:sz w:val="28"/>
          <w:szCs w:val="28"/>
          <w:lang w:val="uk-UA"/>
        </w:rPr>
        <w:t xml:space="preserve"> Робота складається зі вступу, аналітичного огляду літератури, розділів, у яких подано клінічну характеристику обстежених хворих і методи дослідження, 6 розділів власних досліджень, аналізу й узагальнення одержаних результатів, висновків, практичних рекомендацій, додатків (9 стор.) Список використаної літератури містить 421 джерело, із яких 131 – кирилицею та 290 – латиницею, викладений на 52 сторінках.</w:t>
      </w:r>
    </w:p>
    <w:p w:rsidR="00E3259F" w:rsidRDefault="00E3259F" w:rsidP="00E3259F">
      <w:pPr>
        <w:spacing w:after="200" w:line="276" w:lineRule="auto"/>
        <w:rPr>
          <w:sz w:val="28"/>
          <w:szCs w:val="28"/>
          <w:lang w:val="uk-UA"/>
        </w:rPr>
      </w:pPr>
      <w:r>
        <w:rPr>
          <w:sz w:val="28"/>
          <w:szCs w:val="28"/>
          <w:lang w:val="uk-UA"/>
        </w:rPr>
        <w:br w:type="page"/>
      </w:r>
    </w:p>
    <w:p w:rsidR="00E3259F" w:rsidRDefault="00E3259F" w:rsidP="00E3259F">
      <w:pPr>
        <w:jc w:val="center"/>
        <w:rPr>
          <w:sz w:val="28"/>
          <w:szCs w:val="28"/>
          <w:lang w:val="uk-UA"/>
        </w:rPr>
      </w:pPr>
      <w:r>
        <w:rPr>
          <w:sz w:val="28"/>
          <w:szCs w:val="28"/>
          <w:lang w:val="uk-UA"/>
        </w:rPr>
        <w:t>РОЗДІЛ 1</w:t>
      </w:r>
    </w:p>
    <w:p w:rsidR="00E3259F" w:rsidRDefault="00E3259F" w:rsidP="00E3259F">
      <w:pPr>
        <w:jc w:val="center"/>
        <w:rPr>
          <w:sz w:val="28"/>
          <w:szCs w:val="28"/>
          <w:lang w:val="uk-UA"/>
        </w:rPr>
      </w:pPr>
      <w:r>
        <w:rPr>
          <w:sz w:val="28"/>
          <w:szCs w:val="28"/>
          <w:lang w:val="uk-UA"/>
        </w:rPr>
        <w:t>ОГЛЯД ЛІТЕРАТУРИ</w:t>
      </w:r>
    </w:p>
    <w:p w:rsidR="00E3259F" w:rsidRDefault="00E3259F" w:rsidP="00E3259F">
      <w:pPr>
        <w:ind w:left="-360"/>
        <w:jc w:val="center"/>
        <w:rPr>
          <w:sz w:val="28"/>
          <w:szCs w:val="28"/>
          <w:lang w:val="uk-UA"/>
        </w:rPr>
      </w:pPr>
    </w:p>
    <w:p w:rsidR="00E3259F" w:rsidRPr="004622D7" w:rsidRDefault="00E3259F" w:rsidP="004622D7">
      <w:pPr>
        <w:pStyle w:val="a4"/>
        <w:numPr>
          <w:ilvl w:val="1"/>
          <w:numId w:val="10"/>
        </w:numPr>
        <w:spacing w:line="360" w:lineRule="auto"/>
        <w:ind w:left="0" w:firstLine="709"/>
        <w:jc w:val="both"/>
        <w:rPr>
          <w:sz w:val="28"/>
          <w:szCs w:val="28"/>
          <w:lang w:val="uk-UA" w:eastAsia="uk-UA"/>
        </w:rPr>
      </w:pPr>
      <w:r>
        <w:rPr>
          <w:sz w:val="28"/>
          <w:szCs w:val="28"/>
          <w:lang w:val="uk-UA" w:eastAsia="uk-UA"/>
        </w:rPr>
        <w:t xml:space="preserve"> </w:t>
      </w:r>
      <w:r w:rsidRPr="004622D7">
        <w:rPr>
          <w:sz w:val="28"/>
          <w:szCs w:val="28"/>
          <w:lang w:val="uk-UA" w:eastAsia="uk-UA"/>
        </w:rPr>
        <w:t>Проблема гіпертонічної хвороби та цукрового діабету 2 типу в різних вікових групах.</w:t>
      </w:r>
    </w:p>
    <w:p w:rsidR="00E3259F" w:rsidRPr="004622D7" w:rsidRDefault="00E3259F" w:rsidP="004622D7">
      <w:pPr>
        <w:shd w:val="clear" w:color="auto" w:fill="FFFFFF"/>
        <w:spacing w:line="360" w:lineRule="auto"/>
        <w:ind w:firstLine="709"/>
        <w:jc w:val="both"/>
        <w:rPr>
          <w:sz w:val="28"/>
          <w:szCs w:val="28"/>
          <w:shd w:val="clear" w:color="auto" w:fill="FFFFFF"/>
          <w:lang w:val="uk-UA"/>
        </w:rPr>
      </w:pPr>
    </w:p>
    <w:p w:rsidR="00E3259F" w:rsidRPr="004622D7" w:rsidRDefault="00E3259F" w:rsidP="004622D7">
      <w:pPr>
        <w:pStyle w:val="1"/>
        <w:spacing w:before="0" w:beforeAutospacing="0" w:after="0" w:afterAutospacing="0" w:line="360" w:lineRule="auto"/>
        <w:ind w:firstLine="709"/>
        <w:jc w:val="both"/>
        <w:textAlignment w:val="top"/>
        <w:rPr>
          <w:b w:val="0"/>
          <w:i/>
          <w:iCs/>
          <w:caps/>
          <w:sz w:val="28"/>
          <w:szCs w:val="28"/>
          <w:bdr w:val="none" w:sz="0" w:space="0" w:color="auto" w:frame="1"/>
          <w:lang w:val="uk-UA"/>
        </w:rPr>
      </w:pPr>
      <w:r w:rsidRPr="004622D7">
        <w:rPr>
          <w:b w:val="0"/>
          <w:sz w:val="28"/>
          <w:szCs w:val="28"/>
          <w:shd w:val="clear" w:color="auto" w:fill="FFFFFF"/>
          <w:lang w:val="uk-UA"/>
        </w:rPr>
        <w:t>Серед серцево-судинних захворювань (ССЗ) показники захворюваності, смертності та інвалідності, особливо які пов'язані з гіпертонічною хворобою (ГХ), в Україні, як і в інших країнах, продовжують залишатися високими. Гіпертонічна хвороба вражає 26,4% дорослого населення світу, залишаючись провідним фактором ризику передчасної смерті та втрати працездатності в усьому світі [208</w:t>
      </w:r>
      <w:r w:rsidRPr="004622D7">
        <w:rPr>
          <w:b w:val="0"/>
          <w:sz w:val="28"/>
          <w:szCs w:val="28"/>
          <w:shd w:val="clear" w:color="auto" w:fill="FFFFFF"/>
        </w:rPr>
        <w:t>]</w:t>
      </w:r>
      <w:r w:rsidRPr="004622D7">
        <w:rPr>
          <w:b w:val="0"/>
          <w:sz w:val="28"/>
          <w:szCs w:val="28"/>
          <w:shd w:val="clear" w:color="auto" w:fill="FFFFFF"/>
          <w:lang w:val="uk-UA"/>
        </w:rPr>
        <w:t xml:space="preserve">. </w:t>
      </w:r>
      <w:r w:rsidRPr="004622D7">
        <w:rPr>
          <w:b w:val="0"/>
          <w:sz w:val="28"/>
          <w:szCs w:val="28"/>
          <w:lang w:val="uk-UA"/>
        </w:rPr>
        <w:t xml:space="preserve">Так за даними ННЦ «Інститут кардіології ім. акад. М.Д. Стражеска» НАМН України, в Україні питома вага артеріальної гіпертензії (АГ) у структурі захворюваності на серцево-судинні хвороби сягає 41,2 % [34].  Однак, ізольована ГХ на тепер є рідкістю, найбільш часто доводиться стикатися з клінічної ситуацією, яка пов'язана з ендокринопатіями. При поєднанні з такими розповсюдженими чинниками ризику, як дисліпідемія, ожиріння, паління, гіподинамія, цукровий діабет (ЦД), АГ стає причиною не менше ніж 70-75% інсультів, 80-90% інфарктів міокарда та є основним чинником ризику розвитку серцево-судинних ускладнень, які призводять до передчасної інвалідизації та смертності хворих [41]. </w:t>
      </w:r>
      <w:r w:rsidRPr="004622D7">
        <w:rPr>
          <w:rStyle w:val="tlid-translation"/>
          <w:b w:val="0"/>
          <w:sz w:val="28"/>
          <w:szCs w:val="28"/>
          <w:lang w:val="uk-UA"/>
        </w:rPr>
        <w:t>Якщо в низці випадків таке поєднання носить випадковий характер, викликаний простим збігом, то в інших випадках є спільність патогенетичних процесів, узаємозв`язок змін, які впливають на прогноз хворих, тактику ведення та ефективність терапії. Серед таких сполучень найбільше значення має наявність ГХ при ЦД.</w:t>
      </w:r>
    </w:p>
    <w:p w:rsidR="00E3259F" w:rsidRPr="004622D7" w:rsidRDefault="00E3259F" w:rsidP="004622D7">
      <w:pPr>
        <w:pStyle w:val="1"/>
        <w:spacing w:before="0" w:beforeAutospacing="0" w:after="0" w:afterAutospacing="0" w:line="360" w:lineRule="auto"/>
        <w:ind w:firstLine="709"/>
        <w:jc w:val="both"/>
        <w:rPr>
          <w:sz w:val="28"/>
          <w:szCs w:val="28"/>
          <w:lang w:val="uk-UA"/>
        </w:rPr>
      </w:pPr>
      <w:r w:rsidRPr="004622D7">
        <w:rPr>
          <w:b w:val="0"/>
          <w:sz w:val="28"/>
          <w:szCs w:val="28"/>
          <w:lang w:val="uk-UA"/>
        </w:rPr>
        <w:t xml:space="preserve">Цукровий діабет, особливо 2 типу вважається пандемією </w:t>
      </w:r>
      <w:r w:rsidRPr="004622D7">
        <w:rPr>
          <w:b w:val="0"/>
          <w:sz w:val="28"/>
          <w:szCs w:val="28"/>
        </w:rPr>
        <w:t>XXI</w:t>
      </w:r>
      <w:r w:rsidRPr="004622D7">
        <w:rPr>
          <w:b w:val="0"/>
          <w:sz w:val="28"/>
          <w:szCs w:val="28"/>
          <w:lang w:val="uk-UA"/>
        </w:rPr>
        <w:t xml:space="preserve"> сторіччя. На сьогодні на ЦД у світі хворіють понад 400 мільйонів людей, в Україні — більше, ніж мільйон пацієнтів [41]. Відомо, що основною причиною інвалідизації та смертності хворих на ЦД є ССЗ, у розвитку яких провідне місце посідає АГ, що, за даними офіційної статистики, відзначається у 80% хворих на ЦД 2 типу [41]. </w:t>
      </w:r>
      <w:r w:rsidRPr="004622D7">
        <w:rPr>
          <w:rStyle w:val="tlid-translation"/>
          <w:b w:val="0"/>
          <w:sz w:val="28"/>
          <w:szCs w:val="28"/>
          <w:lang w:val="uk-UA"/>
        </w:rPr>
        <w:t xml:space="preserve">АГ значно частіше відзначається у хворих на ЦД  порівняно з показником поширеності гіпертензії в загальній популяції. </w:t>
      </w:r>
      <w:r w:rsidRPr="004622D7">
        <w:rPr>
          <w:b w:val="0"/>
          <w:sz w:val="28"/>
          <w:szCs w:val="28"/>
          <w:lang w:val="uk-UA"/>
        </w:rPr>
        <w:t xml:space="preserve">Водночас серед хворих з ГХ поширеність ЦД у 2-2,5 рази вища, ніж у людей із нормальним тиском [41]. </w:t>
      </w:r>
      <w:r w:rsidRPr="004622D7">
        <w:rPr>
          <w:rStyle w:val="tlid-translation"/>
          <w:b w:val="0"/>
          <w:sz w:val="28"/>
          <w:szCs w:val="28"/>
          <w:lang w:val="uk-UA"/>
        </w:rPr>
        <w:t>Т</w:t>
      </w:r>
      <w:r w:rsidRPr="004622D7">
        <w:rPr>
          <w:b w:val="0"/>
          <w:sz w:val="28"/>
          <w:szCs w:val="28"/>
          <w:lang w:val="uk-UA"/>
        </w:rPr>
        <w:t>ак, за даними досліджень, понад 60% хворих на ЦД 2 типу типу мають підвищений артеріальний тиск (АТ), що суттєво збільшує ризик уражень органів-мішеней, що пов’язано з порушеннями мікро- та макроциркуляції [</w:t>
      </w:r>
      <w:r w:rsidRPr="004622D7">
        <w:rPr>
          <w:rStyle w:val="afa"/>
          <w:rFonts w:eastAsiaTheme="majorEastAsia"/>
          <w:iCs/>
          <w:sz w:val="28"/>
          <w:szCs w:val="28"/>
          <w:lang w:val="uk-UA"/>
        </w:rPr>
        <w:t>48</w:t>
      </w:r>
      <w:r w:rsidRPr="004622D7">
        <w:rPr>
          <w:b w:val="0"/>
          <w:sz w:val="28"/>
          <w:szCs w:val="28"/>
          <w:lang w:val="uk-UA"/>
        </w:rPr>
        <w:t>]</w:t>
      </w:r>
      <w:r w:rsidRPr="004622D7">
        <w:rPr>
          <w:rStyle w:val="tlid-translation"/>
          <w:b w:val="0"/>
          <w:sz w:val="28"/>
          <w:szCs w:val="28"/>
          <w:lang w:val="uk-UA"/>
        </w:rPr>
        <w:t>, а зниження АТ, навпаки, призводить до значного зниження ризику формування зазначених ускладнень ЦД. У дослідженні UKPDS, що є одним з найбільш великомасштабних і важливих досліджень у галузі ЦД 2 типу, було встановлено, що зниження систолічного артеріального тиску на 10 мм рт.ст. призводить до зниження ризику розвитку ускладнень ЦД 2 типу на 12%, смертності, безпосередньо обумовленої діабетом, - на 15%, інфаркту міокарда - на 11%, мікросудинних ускладнень - на 13%</w:t>
      </w:r>
      <w:r w:rsidRPr="004622D7">
        <w:rPr>
          <w:rStyle w:val="tlid-translation"/>
          <w:sz w:val="28"/>
          <w:szCs w:val="28"/>
          <w:lang w:val="uk-UA"/>
        </w:rPr>
        <w:t>[</w:t>
      </w:r>
      <w:r w:rsidRPr="004622D7">
        <w:rPr>
          <w:rStyle w:val="tlid-translation"/>
          <w:b w:val="0"/>
          <w:sz w:val="28"/>
          <w:szCs w:val="28"/>
          <w:lang w:val="uk-UA"/>
        </w:rPr>
        <w:t>46</w:t>
      </w:r>
      <w:r w:rsidRPr="004622D7">
        <w:rPr>
          <w:rStyle w:val="tlid-translation"/>
          <w:sz w:val="28"/>
          <w:szCs w:val="28"/>
          <w:lang w:val="uk-UA"/>
        </w:rPr>
        <w:t>]</w:t>
      </w:r>
      <w:r w:rsidRPr="004622D7">
        <w:rPr>
          <w:rStyle w:val="tlid-translation"/>
          <w:b w:val="0"/>
          <w:sz w:val="28"/>
          <w:szCs w:val="28"/>
          <w:lang w:val="uk-UA"/>
        </w:rPr>
        <w:t>.</w:t>
      </w:r>
      <w:r w:rsidRPr="004622D7">
        <w:rPr>
          <w:b w:val="0"/>
          <w:sz w:val="28"/>
          <w:szCs w:val="28"/>
          <w:lang w:val="uk-UA"/>
        </w:rPr>
        <w:t xml:space="preserve"> У дослідженні </w:t>
      </w:r>
      <w:r w:rsidRPr="004622D7">
        <w:rPr>
          <w:b w:val="0"/>
          <w:sz w:val="28"/>
          <w:szCs w:val="28"/>
          <w:lang w:val="en-US"/>
        </w:rPr>
        <w:t>MRFIT</w:t>
      </w:r>
      <w:r w:rsidRPr="004622D7">
        <w:rPr>
          <w:b w:val="0"/>
          <w:sz w:val="28"/>
          <w:szCs w:val="28"/>
          <w:lang w:val="uk-UA"/>
        </w:rPr>
        <w:t xml:space="preserve"> показано, що наявність АГ асоціюється із 23-кратним збільшенням абсолютного ризику серцево-судинної смертності у хворих на ЦД 2 типу порівняно з пацієнтами без діабету</w:t>
      </w:r>
      <w:r w:rsidRPr="004622D7">
        <w:rPr>
          <w:sz w:val="28"/>
          <w:szCs w:val="28"/>
          <w:lang w:val="uk-UA"/>
        </w:rPr>
        <w:t>[</w:t>
      </w:r>
      <w:r w:rsidRPr="004622D7">
        <w:rPr>
          <w:b w:val="0"/>
          <w:sz w:val="28"/>
          <w:szCs w:val="28"/>
          <w:lang w:val="uk-UA"/>
        </w:rPr>
        <w:t xml:space="preserve">21]. Із цих даних випливає, що </w:t>
      </w:r>
      <w:r w:rsidRPr="004622D7">
        <w:rPr>
          <w:rStyle w:val="tlid-translation"/>
          <w:b w:val="0"/>
          <w:sz w:val="28"/>
          <w:szCs w:val="28"/>
          <w:lang w:val="uk-UA"/>
        </w:rPr>
        <w:t xml:space="preserve"> своєчасне виявлення АГ, призначення адекватної антигіпертензивної терапії та контроль за рівнем АТ у хворих на ЦД 2 типу розглядаються в даний час як один з найважливіших напрямків профілактики серцево-судинних і мікросудинних ускладнень у даної категорії пацієнтів. </w:t>
      </w:r>
      <w:r w:rsidRPr="004622D7">
        <w:rPr>
          <w:b w:val="0"/>
          <w:sz w:val="28"/>
          <w:szCs w:val="28"/>
          <w:lang w:val="uk-UA"/>
        </w:rPr>
        <w:t xml:space="preserve">У даний час спостерігається ріст захворюваності на ГХ з віком, </w:t>
      </w:r>
      <w:r w:rsidRPr="004622D7">
        <w:rPr>
          <w:rStyle w:val="tlid-translation"/>
          <w:b w:val="0"/>
          <w:sz w:val="28"/>
          <w:szCs w:val="28"/>
          <w:lang w:val="uk-UA"/>
        </w:rPr>
        <w:t xml:space="preserve">перевищуючи 60% в осіб старше 60 років та 75% - в осіб старше 75 років, </w:t>
      </w:r>
      <w:r w:rsidRPr="004622D7">
        <w:rPr>
          <w:b w:val="0"/>
          <w:sz w:val="28"/>
          <w:szCs w:val="28"/>
          <w:lang w:val="uk-UA"/>
        </w:rPr>
        <w:t>що пов’язано з природнім старінням організму [89].</w:t>
      </w:r>
      <w:r w:rsidRPr="004622D7">
        <w:rPr>
          <w:sz w:val="28"/>
          <w:szCs w:val="28"/>
          <w:lang w:val="uk-UA"/>
        </w:rPr>
        <w:t xml:space="preserve"> </w:t>
      </w:r>
    </w:p>
    <w:p w:rsidR="00E3259F" w:rsidRPr="004622D7" w:rsidRDefault="00E3259F" w:rsidP="004622D7">
      <w:pPr>
        <w:spacing w:line="360" w:lineRule="auto"/>
        <w:ind w:firstLine="709"/>
        <w:jc w:val="both"/>
        <w:rPr>
          <w:rStyle w:val="tlid-translation"/>
          <w:lang w:val="uk-UA"/>
        </w:rPr>
      </w:pPr>
      <w:r w:rsidRPr="004622D7">
        <w:rPr>
          <w:rStyle w:val="tlid-translation"/>
          <w:sz w:val="28"/>
          <w:szCs w:val="28"/>
          <w:lang w:val="uk-UA"/>
        </w:rPr>
        <w:t>Узаємозв'язок між АТ і ризиком кардіоваскулярних подій був продемонстрований у всіх вікових групах [385,</w:t>
      </w:r>
      <w:r w:rsidRPr="004622D7">
        <w:rPr>
          <w:sz w:val="28"/>
          <w:szCs w:val="28"/>
          <w:lang w:val="uk-UA"/>
        </w:rPr>
        <w:t>397</w:t>
      </w:r>
      <w:r w:rsidRPr="004622D7">
        <w:rPr>
          <w:rStyle w:val="tlid-translation"/>
          <w:sz w:val="28"/>
          <w:szCs w:val="28"/>
          <w:lang w:val="uk-UA"/>
        </w:rPr>
        <w:t>] та всіх етнічних групах [397], і стосується як високих рівнів АТ, так і низьких значень АТ. Причому, у пацієнтів старше 50 років рівень САТ вважається більш кращим предиктором кардіоваскулярних подій, ніж рівень діастолічного АТ (ДАТ) [</w:t>
      </w:r>
      <w:r w:rsidRPr="004622D7">
        <w:rPr>
          <w:rStyle w:val="tlid-translation"/>
          <w:sz w:val="28"/>
          <w:szCs w:val="28"/>
        </w:rPr>
        <w:t>385,</w:t>
      </w:r>
      <w:r w:rsidRPr="004622D7">
        <w:rPr>
          <w:sz w:val="28"/>
          <w:szCs w:val="28"/>
        </w:rPr>
        <w:t>397</w:t>
      </w:r>
      <w:r w:rsidRPr="004622D7">
        <w:rPr>
          <w:rStyle w:val="tlid-translation"/>
          <w:sz w:val="28"/>
          <w:szCs w:val="28"/>
          <w:lang w:val="uk-UA"/>
        </w:rPr>
        <w:t xml:space="preserve">]. Високі цифри ДАТ більшою мірою пов'язані з підвищеним ризиком кардіоваскулярних подій і частіше зустрічаються в пацієнтів &lt;50 років порівняно з пацієнтами похилого віку. Проте, рівень ДАТ має тенденцію до зниження в середньому віці (40-64 роки) у наслідок посилення артеріальної жорсткості; тому рівень САТ у пацієнтів середнього віку також має більше значення як фактор ризику серцево-судинних подій [319]. </w:t>
      </w:r>
    </w:p>
    <w:p w:rsidR="00E3259F" w:rsidRPr="004622D7" w:rsidRDefault="00E3259F" w:rsidP="004622D7">
      <w:pPr>
        <w:spacing w:line="360" w:lineRule="auto"/>
        <w:ind w:firstLine="709"/>
        <w:jc w:val="both"/>
        <w:rPr>
          <w:lang w:val="uk-UA"/>
        </w:rPr>
      </w:pPr>
      <w:r w:rsidRPr="004622D7">
        <w:rPr>
          <w:rStyle w:val="tlid-translation"/>
          <w:sz w:val="28"/>
          <w:szCs w:val="28"/>
          <w:lang w:val="uk-UA"/>
        </w:rPr>
        <w:t xml:space="preserve"> У низці крупномасштабних досліджень (</w:t>
      </w:r>
      <w:r w:rsidRPr="004622D7">
        <w:rPr>
          <w:sz w:val="28"/>
          <w:szCs w:val="28"/>
          <w:lang w:val="en-US"/>
        </w:rPr>
        <w:t>MRFIT</w:t>
      </w:r>
      <w:r w:rsidRPr="004622D7">
        <w:rPr>
          <w:sz w:val="28"/>
          <w:szCs w:val="28"/>
          <w:lang w:val="uk-UA"/>
        </w:rPr>
        <w:t>,</w:t>
      </w:r>
      <w:r w:rsidRPr="004622D7">
        <w:rPr>
          <w:rStyle w:val="tlid-translation"/>
          <w:sz w:val="28"/>
          <w:szCs w:val="28"/>
          <w:lang w:val="uk-UA"/>
        </w:rPr>
        <w:t xml:space="preserve"> </w:t>
      </w:r>
      <w:r w:rsidRPr="004622D7">
        <w:rPr>
          <w:sz w:val="28"/>
          <w:szCs w:val="28"/>
          <w:lang w:val="en-US"/>
        </w:rPr>
        <w:t>the</w:t>
      </w:r>
      <w:r w:rsidRPr="004622D7">
        <w:rPr>
          <w:sz w:val="28"/>
          <w:szCs w:val="28"/>
          <w:lang w:val="uk-UA"/>
        </w:rPr>
        <w:t xml:space="preserve"> </w:t>
      </w:r>
      <w:r w:rsidRPr="004622D7">
        <w:rPr>
          <w:sz w:val="28"/>
          <w:szCs w:val="28"/>
          <w:lang w:val="en-US"/>
        </w:rPr>
        <w:t>Framingham</w:t>
      </w:r>
      <w:r w:rsidRPr="004622D7">
        <w:rPr>
          <w:sz w:val="28"/>
          <w:szCs w:val="28"/>
          <w:lang w:val="uk-UA"/>
        </w:rPr>
        <w:t xml:space="preserve"> </w:t>
      </w:r>
      <w:r w:rsidRPr="004622D7">
        <w:rPr>
          <w:sz w:val="28"/>
          <w:szCs w:val="28"/>
          <w:lang w:val="en-US"/>
        </w:rPr>
        <w:t>Heart</w:t>
      </w:r>
      <w:r w:rsidRPr="004622D7">
        <w:rPr>
          <w:sz w:val="28"/>
          <w:szCs w:val="28"/>
          <w:lang w:val="uk-UA"/>
        </w:rPr>
        <w:t xml:space="preserve"> </w:t>
      </w:r>
      <w:r w:rsidRPr="004622D7">
        <w:rPr>
          <w:sz w:val="28"/>
          <w:szCs w:val="28"/>
          <w:lang w:val="en-US"/>
        </w:rPr>
        <w:t>Study</w:t>
      </w:r>
      <w:r w:rsidRPr="004622D7">
        <w:rPr>
          <w:sz w:val="28"/>
          <w:szCs w:val="28"/>
          <w:lang w:val="uk-UA"/>
        </w:rPr>
        <w:t xml:space="preserve">, </w:t>
      </w:r>
      <w:r w:rsidRPr="004622D7">
        <w:rPr>
          <w:sz w:val="28"/>
          <w:szCs w:val="28"/>
          <w:lang w:val="en-US"/>
        </w:rPr>
        <w:t>REGARDS</w:t>
      </w:r>
      <w:r w:rsidRPr="004622D7">
        <w:rPr>
          <w:sz w:val="28"/>
          <w:szCs w:val="28"/>
          <w:lang w:val="uk-UA"/>
        </w:rPr>
        <w:t>)</w:t>
      </w:r>
      <w:r w:rsidRPr="004622D7">
        <w:rPr>
          <w:rStyle w:val="tlid-translation"/>
          <w:sz w:val="28"/>
          <w:szCs w:val="28"/>
          <w:lang w:val="uk-UA"/>
        </w:rPr>
        <w:t xml:space="preserve"> було продемонстровано додаткове несприятливе прогностичне значення підвищеного пульсового АТ у пацієнтів середнього та старшого віку [216, 273]. На сьогоднішній день, спираючись на існуючі дані рандомізованих клінічних досліджень, показано, що в літніх (65-80 років) пацієнтів антигіпертензивна терапія значно знижує серцево-судинну захворюваність, а також смертність від кардіоваскулярних подій і смертність від усіх причин, крім того,</w:t>
      </w:r>
      <w:r w:rsidRPr="004622D7">
        <w:rPr>
          <w:b/>
          <w:sz w:val="28"/>
          <w:szCs w:val="28"/>
          <w:lang w:val="uk-UA"/>
        </w:rPr>
        <w:t xml:space="preserve">  </w:t>
      </w:r>
      <w:r w:rsidRPr="004622D7">
        <w:rPr>
          <w:sz w:val="28"/>
          <w:szCs w:val="28"/>
          <w:lang w:val="uk-UA"/>
        </w:rPr>
        <w:t>лікування</w:t>
      </w:r>
      <w:r w:rsidRPr="004622D7">
        <w:rPr>
          <w:b/>
          <w:sz w:val="28"/>
          <w:szCs w:val="28"/>
          <w:lang w:val="uk-UA"/>
        </w:rPr>
        <w:t xml:space="preserve"> </w:t>
      </w:r>
      <w:r w:rsidRPr="004622D7">
        <w:rPr>
          <w:sz w:val="28"/>
          <w:szCs w:val="28"/>
          <w:lang w:val="uk-UA"/>
        </w:rPr>
        <w:t xml:space="preserve">ізольованої систолічної АГ у пацієнтів похилого віку є так само ефективним щодо зниження КВР, як і лікування класичної есенціальної гіпертензії в осіб середнього та молодого віку [99, </w:t>
      </w:r>
      <w:r w:rsidRPr="004622D7">
        <w:rPr>
          <w:rStyle w:val="tlid-translation"/>
          <w:sz w:val="28"/>
          <w:szCs w:val="28"/>
          <w:lang w:val="uk-UA"/>
        </w:rPr>
        <w:t xml:space="preserve">385, </w:t>
      </w:r>
      <w:r w:rsidRPr="004622D7">
        <w:rPr>
          <w:sz w:val="28"/>
          <w:szCs w:val="28"/>
          <w:lang w:val="uk-UA"/>
        </w:rPr>
        <w:t xml:space="preserve">397]. </w:t>
      </w:r>
    </w:p>
    <w:p w:rsidR="00E3259F" w:rsidRPr="004622D7" w:rsidRDefault="00E3259F" w:rsidP="004622D7">
      <w:pPr>
        <w:spacing w:line="360" w:lineRule="auto"/>
        <w:ind w:firstLine="709"/>
        <w:jc w:val="both"/>
        <w:rPr>
          <w:sz w:val="28"/>
          <w:szCs w:val="28"/>
          <w:lang w:val="uk-UA"/>
        </w:rPr>
      </w:pPr>
      <w:r w:rsidRPr="004622D7">
        <w:rPr>
          <w:rStyle w:val="tlid-translation"/>
          <w:sz w:val="28"/>
          <w:szCs w:val="28"/>
          <w:lang w:val="uk-UA"/>
        </w:rPr>
        <w:t xml:space="preserve">У той же час, найбільша частота нововиявлених випадків захворювання на ЦД 2 типу (9,5 випадки на рік на 1000) припадає на осіб віком 65-74 роки, зокрема, якщо в людей віком 20-30 років частота зустрічальності ЦД в популяції сягає 2-3%, то в осіб старше 65 років - у 20% випадків </w:t>
      </w:r>
      <w:r w:rsidRPr="004622D7">
        <w:rPr>
          <w:sz w:val="28"/>
          <w:szCs w:val="28"/>
          <w:lang w:val="uk-UA"/>
        </w:rPr>
        <w:t xml:space="preserve"> </w:t>
      </w:r>
      <w:r w:rsidRPr="004622D7">
        <w:rPr>
          <w:sz w:val="28"/>
          <w:szCs w:val="28"/>
        </w:rPr>
        <w:t xml:space="preserve">[64,102].  </w:t>
      </w:r>
    </w:p>
    <w:p w:rsidR="00E3259F" w:rsidRPr="004622D7" w:rsidRDefault="00E3259F" w:rsidP="004622D7">
      <w:pPr>
        <w:spacing w:line="360" w:lineRule="auto"/>
        <w:ind w:firstLine="709"/>
        <w:jc w:val="both"/>
        <w:rPr>
          <w:sz w:val="28"/>
          <w:szCs w:val="28"/>
          <w:lang w:val="uk-UA"/>
        </w:rPr>
      </w:pPr>
      <w:r w:rsidRPr="004622D7">
        <w:rPr>
          <w:rStyle w:val="tlid-translation"/>
          <w:sz w:val="28"/>
          <w:szCs w:val="28"/>
          <w:lang w:val="uk-UA" w:eastAsia="uk-UA"/>
        </w:rPr>
        <w:t>Узаємовплив ГХ та ЦД 2 типу, інволютивні процеси природного старіння значно змінюють клінічну картину та перебіг захворювань, характер і тяжкість ускладнень, погіршують якість життя хворих середнього та похилого віку, обмежують або ускладнюють лікувально-діагностичний процес, тому вкрай важливо враховувати ці особливості на всіх етапах надання медичної допомоги.</w:t>
      </w:r>
    </w:p>
    <w:p w:rsidR="00E3259F" w:rsidRPr="004622D7" w:rsidRDefault="00E3259F" w:rsidP="004622D7">
      <w:pPr>
        <w:spacing w:line="360" w:lineRule="auto"/>
        <w:ind w:firstLine="709"/>
        <w:jc w:val="both"/>
        <w:rPr>
          <w:sz w:val="28"/>
          <w:szCs w:val="28"/>
          <w:lang w:val="uk-UA"/>
        </w:rPr>
      </w:pPr>
      <w:r w:rsidRPr="004622D7">
        <w:rPr>
          <w:sz w:val="28"/>
          <w:szCs w:val="28"/>
          <w:lang w:val="uk-UA"/>
        </w:rPr>
        <w:t xml:space="preserve">Відомо, що контроль АТ у пацієнтів з поєднаним перебігом ГХ та ЦД 2 типу значно складніший, ніж при ізольованій ГХ [403], що обумовлено єдністю патогенетичних ланок та факторів прогресування, насамперед інсулінорезистентністю, ожирінням, мікроальбумінурією,ендотеліальною дисфункцією. Але необхідно взяти до уваги опублікований у 2016 р. </w:t>
      </w:r>
      <w:r w:rsidRPr="004622D7">
        <w:rPr>
          <w:sz w:val="28"/>
          <w:szCs w:val="28"/>
        </w:rPr>
        <w:t>M</w:t>
      </w:r>
      <w:r w:rsidRPr="004622D7">
        <w:rPr>
          <w:sz w:val="28"/>
          <w:szCs w:val="28"/>
          <w:lang w:val="uk-UA"/>
        </w:rPr>
        <w:t xml:space="preserve">. </w:t>
      </w:r>
      <w:r w:rsidRPr="004622D7">
        <w:rPr>
          <w:sz w:val="28"/>
          <w:szCs w:val="28"/>
        </w:rPr>
        <w:t>Brunstr</w:t>
      </w:r>
      <w:r w:rsidRPr="004622D7">
        <w:rPr>
          <w:sz w:val="28"/>
          <w:szCs w:val="28"/>
          <w:lang w:val="uk-UA"/>
        </w:rPr>
        <w:t>ö</w:t>
      </w:r>
      <w:r w:rsidRPr="004622D7">
        <w:rPr>
          <w:sz w:val="28"/>
          <w:szCs w:val="28"/>
        </w:rPr>
        <w:t>m</w:t>
      </w:r>
      <w:r w:rsidRPr="004622D7">
        <w:rPr>
          <w:sz w:val="28"/>
          <w:szCs w:val="28"/>
          <w:lang w:val="uk-UA"/>
        </w:rPr>
        <w:t xml:space="preserve"> і </w:t>
      </w:r>
      <w:r w:rsidRPr="004622D7">
        <w:rPr>
          <w:sz w:val="28"/>
          <w:szCs w:val="28"/>
        </w:rPr>
        <w:t>B</w:t>
      </w:r>
      <w:r w:rsidRPr="004622D7">
        <w:rPr>
          <w:sz w:val="28"/>
          <w:szCs w:val="28"/>
          <w:lang w:val="uk-UA"/>
        </w:rPr>
        <w:t xml:space="preserve">. </w:t>
      </w:r>
      <w:r w:rsidRPr="004622D7">
        <w:rPr>
          <w:sz w:val="28"/>
          <w:szCs w:val="28"/>
        </w:rPr>
        <w:t>Carlberg</w:t>
      </w:r>
      <w:r w:rsidRPr="004622D7">
        <w:rPr>
          <w:sz w:val="28"/>
          <w:szCs w:val="28"/>
          <w:lang w:val="uk-UA"/>
        </w:rPr>
        <w:t xml:space="preserve"> метааналіз результатів 49 рандомізованих досліджень, які включали 73 738 пацієнтів, де зазначено, що у хворих на ЦД антигіпертензивне лікування сприяло зниженню смертності від серцево-судинних ускладнень (ССУ) лише у випадках, коли САТ до початку лікування був вищим за 140 мм рт. ст.,  і яке разом з даними  дослідження </w:t>
      </w:r>
      <w:r w:rsidRPr="004622D7">
        <w:rPr>
          <w:sz w:val="28"/>
          <w:szCs w:val="28"/>
        </w:rPr>
        <w:t>SPRINT</w:t>
      </w:r>
      <w:r w:rsidRPr="004622D7">
        <w:rPr>
          <w:sz w:val="28"/>
          <w:szCs w:val="28"/>
          <w:lang w:val="uk-UA"/>
        </w:rPr>
        <w:t xml:space="preserve"> (</w:t>
      </w:r>
      <w:r w:rsidRPr="004622D7">
        <w:rPr>
          <w:sz w:val="28"/>
          <w:szCs w:val="28"/>
        </w:rPr>
        <w:t>Systolic</w:t>
      </w:r>
      <w:r w:rsidRPr="004622D7">
        <w:rPr>
          <w:sz w:val="28"/>
          <w:szCs w:val="28"/>
          <w:lang w:val="uk-UA"/>
        </w:rPr>
        <w:t xml:space="preserve"> </w:t>
      </w:r>
      <w:r w:rsidRPr="004622D7">
        <w:rPr>
          <w:sz w:val="28"/>
          <w:szCs w:val="28"/>
        </w:rPr>
        <w:t>Blood</w:t>
      </w:r>
      <w:r w:rsidRPr="004622D7">
        <w:rPr>
          <w:sz w:val="28"/>
          <w:szCs w:val="28"/>
          <w:lang w:val="uk-UA"/>
        </w:rPr>
        <w:t xml:space="preserve"> </w:t>
      </w:r>
      <w:r w:rsidRPr="004622D7">
        <w:rPr>
          <w:sz w:val="28"/>
          <w:szCs w:val="28"/>
        </w:rPr>
        <w:t>Pressure</w:t>
      </w:r>
      <w:r w:rsidRPr="004622D7">
        <w:rPr>
          <w:sz w:val="28"/>
          <w:szCs w:val="28"/>
          <w:lang w:val="uk-UA"/>
        </w:rPr>
        <w:t xml:space="preserve"> </w:t>
      </w:r>
      <w:r w:rsidRPr="004622D7">
        <w:rPr>
          <w:sz w:val="28"/>
          <w:szCs w:val="28"/>
        </w:rPr>
        <w:t>Intervention</w:t>
      </w:r>
      <w:r w:rsidRPr="004622D7">
        <w:rPr>
          <w:sz w:val="28"/>
          <w:szCs w:val="28"/>
          <w:lang w:val="uk-UA"/>
        </w:rPr>
        <w:t>),  свідчить про те, що контроль АТ у хворих на ГХ із ЦД варто проводити менш інтенсивно, ніж у пацієнтів із ГХ без ЦД [166,</w:t>
      </w:r>
      <w:r w:rsidRPr="004622D7">
        <w:rPr>
          <w:sz w:val="28"/>
          <w:szCs w:val="28"/>
          <w:shd w:val="clear" w:color="auto" w:fill="FFFFFF"/>
          <w:lang w:val="uk-UA"/>
        </w:rPr>
        <w:t>400</w:t>
      </w:r>
      <w:r w:rsidRPr="004622D7">
        <w:rPr>
          <w:sz w:val="28"/>
          <w:szCs w:val="28"/>
          <w:lang w:val="uk-UA"/>
        </w:rPr>
        <w:t>,</w:t>
      </w:r>
      <w:r w:rsidRPr="004622D7">
        <w:rPr>
          <w:sz w:val="28"/>
          <w:szCs w:val="28"/>
          <w:shd w:val="clear" w:color="auto" w:fill="FFFFFF"/>
          <w:lang w:val="uk-UA"/>
        </w:rPr>
        <w:t>418</w:t>
      </w:r>
      <w:r w:rsidRPr="004622D7">
        <w:rPr>
          <w:sz w:val="28"/>
          <w:szCs w:val="28"/>
          <w:lang w:val="uk-UA"/>
        </w:rPr>
        <w:t xml:space="preserve">]. </w:t>
      </w:r>
      <w:r w:rsidRPr="004622D7">
        <w:rPr>
          <w:rStyle w:val="tlid-translation"/>
          <w:sz w:val="28"/>
          <w:szCs w:val="28"/>
          <w:lang w:val="uk-UA"/>
        </w:rPr>
        <w:t>З огляду на те, що дослідження Action in Diabetes and Vascular Disease: Preterax and Diamicron Modified Release Controlled Evaluation - Observational Study (ADVANCE-ON), на відміну від результатів The Diabetes Control and Complications Trial (DCCT) та UK Prospective Diabetes Study (UKPDS), не виявило користі від тривалої підтримки компенсації вуглеводного обміну щодо розвитку серцево-судинних подій у пацієнтів ЦД 2 типу, стає вкрай нагальним питання, що мета лікування повинна визначатися характеристикою пацієнта, станом його здоров'я, а не тільки віком</w:t>
      </w:r>
      <w:r w:rsidRPr="004622D7">
        <w:rPr>
          <w:sz w:val="28"/>
          <w:szCs w:val="28"/>
          <w:lang w:val="uk-UA"/>
        </w:rPr>
        <w:t xml:space="preserve"> [102].</w:t>
      </w:r>
    </w:p>
    <w:p w:rsidR="00E3259F" w:rsidRPr="004622D7" w:rsidRDefault="00E3259F" w:rsidP="004622D7">
      <w:pPr>
        <w:spacing w:line="360" w:lineRule="auto"/>
        <w:ind w:firstLine="709"/>
        <w:jc w:val="both"/>
        <w:rPr>
          <w:sz w:val="28"/>
          <w:szCs w:val="28"/>
          <w:lang w:val="uk-UA"/>
        </w:rPr>
      </w:pPr>
      <w:r w:rsidRPr="004622D7">
        <w:rPr>
          <w:sz w:val="28"/>
          <w:szCs w:val="28"/>
          <w:lang w:val="uk-UA"/>
        </w:rPr>
        <w:t>Демографічна тенденція, зокрема й в Україні, яка характеризується зростанням питомої ваги населення старших вікових груп, свідчить про те, що проблема надання лікувально-профілактичної медичної допомоги хворим з коморбідністю ГХ та ЦД 2 типу набуває дедалі більшої актуальності.</w:t>
      </w:r>
    </w:p>
    <w:p w:rsidR="00E3259F" w:rsidRDefault="00E3259F" w:rsidP="00E3259F">
      <w:pPr>
        <w:jc w:val="both"/>
        <w:rPr>
          <w:sz w:val="28"/>
          <w:szCs w:val="28"/>
          <w:lang w:val="uk-UA"/>
        </w:rPr>
      </w:pPr>
    </w:p>
    <w:p w:rsidR="00E3259F" w:rsidRPr="004622D7" w:rsidRDefault="00E3259F" w:rsidP="004622D7">
      <w:pPr>
        <w:pStyle w:val="a4"/>
        <w:numPr>
          <w:ilvl w:val="1"/>
          <w:numId w:val="10"/>
        </w:numPr>
        <w:spacing w:line="360" w:lineRule="auto"/>
        <w:ind w:left="0" w:firstLine="709"/>
        <w:jc w:val="both"/>
        <w:rPr>
          <w:sz w:val="28"/>
          <w:szCs w:val="28"/>
          <w:lang w:val="uk-UA" w:eastAsia="uk-UA"/>
        </w:rPr>
      </w:pPr>
      <w:r>
        <w:rPr>
          <w:b/>
          <w:sz w:val="28"/>
          <w:szCs w:val="28"/>
          <w:lang w:val="uk-UA" w:eastAsia="uk-UA"/>
        </w:rPr>
        <w:t xml:space="preserve"> </w:t>
      </w:r>
      <w:r w:rsidRPr="004622D7">
        <w:rPr>
          <w:sz w:val="28"/>
          <w:szCs w:val="28"/>
          <w:lang w:val="uk-UA" w:eastAsia="uk-UA"/>
        </w:rPr>
        <w:t>Роль субклінічного гіпотиреозу як додаткового фактора ризику прогресування гіпертонічної хвороби в поєднанні з цукровим діабетом 2 типу.</w:t>
      </w:r>
    </w:p>
    <w:p w:rsidR="00E3259F" w:rsidRPr="004622D7" w:rsidRDefault="00E3259F" w:rsidP="004622D7">
      <w:pPr>
        <w:spacing w:line="360" w:lineRule="auto"/>
        <w:ind w:firstLine="709"/>
        <w:jc w:val="both"/>
        <w:rPr>
          <w:sz w:val="28"/>
          <w:szCs w:val="28"/>
          <w:lang w:val="uk-UA"/>
        </w:rPr>
      </w:pPr>
    </w:p>
    <w:p w:rsidR="00E3259F" w:rsidRPr="004622D7" w:rsidRDefault="00E3259F" w:rsidP="004622D7">
      <w:pPr>
        <w:spacing w:line="360" w:lineRule="auto"/>
        <w:ind w:firstLine="709"/>
        <w:jc w:val="both"/>
        <w:rPr>
          <w:rStyle w:val="tlid-translation"/>
          <w:rFonts w:eastAsiaTheme="majorEastAsia"/>
          <w:lang w:val="uk-UA"/>
        </w:rPr>
      </w:pPr>
      <w:r w:rsidRPr="004622D7">
        <w:rPr>
          <w:sz w:val="28"/>
          <w:szCs w:val="28"/>
          <w:shd w:val="clear" w:color="auto" w:fill="FFFFFF"/>
          <w:lang w:val="uk-UA"/>
        </w:rPr>
        <w:t>Більшість  науковців у всьому світі  визнають проблему  коморбідності  та  поліморбідності  однією  з  найскладніших  у  сучасній  медицині, оскільки  за  даними  багаточисельних  досліджень, у практиці лікаря  загальної  практики  серед  пацієнтів віком  від  45 років майже 90%  мають  2  та  більше  захворювань,  а  тяжкість  фатальних  серцево-судинних  прогнозів  у  хворих асоційована  з  наявністю  супутньої  патології  [119].</w:t>
      </w:r>
    </w:p>
    <w:p w:rsidR="00E3259F" w:rsidRPr="004622D7" w:rsidRDefault="00E3259F" w:rsidP="004622D7">
      <w:pPr>
        <w:spacing w:line="360" w:lineRule="auto"/>
        <w:ind w:firstLine="709"/>
        <w:jc w:val="both"/>
        <w:rPr>
          <w:sz w:val="28"/>
          <w:szCs w:val="28"/>
          <w:shd w:val="clear" w:color="auto" w:fill="FFFFFF"/>
        </w:rPr>
      </w:pPr>
      <w:r w:rsidRPr="004622D7">
        <w:rPr>
          <w:rStyle w:val="tlid-translation"/>
          <w:sz w:val="28"/>
          <w:szCs w:val="28"/>
          <w:lang w:val="uk-UA"/>
        </w:rPr>
        <w:t>У клініці внутрішніх хвороб наочним, але маловивченим, прикладом коморбідності є поєднання ГХ, ЦД 2 типу та субклінічного гіпотиреозу (СГТ).</w:t>
      </w:r>
      <w:r w:rsidRPr="004622D7">
        <w:rPr>
          <w:sz w:val="28"/>
          <w:szCs w:val="28"/>
          <w:lang w:val="uk-UA"/>
        </w:rPr>
        <w:t xml:space="preserve"> За даними ВООЗ, захворювання щитоподібної залози (ЩЗ) на сьогодні міцно закріпилися на одному з провідних місць серед ендокринної патології за загальною захворюваністю й поширеністю у світі, посідаючи друге місце після ЦД [369]. </w:t>
      </w:r>
      <w:r w:rsidRPr="004622D7">
        <w:rPr>
          <w:sz w:val="28"/>
          <w:szCs w:val="28"/>
          <w:shd w:val="clear" w:color="auto" w:fill="FFFFFF"/>
          <w:lang w:val="uk-UA"/>
        </w:rPr>
        <w:t>Явні порушення функції ЩЗ (як гіпотиреоз, так і тиреотоксикоз) здійснюють патологічний вплив на серце та судини, ліпідний обмін, тому необхідність лікування цих станів не викликає сумнівів. У той же час клінічна значущість прихованих порушень функції щитовидної залози до цього часу залишається предметом дискусій [29,</w:t>
      </w:r>
      <w:r w:rsidRPr="004622D7">
        <w:rPr>
          <w:sz w:val="28"/>
          <w:szCs w:val="28"/>
          <w:shd w:val="clear" w:color="auto" w:fill="FFFFFF"/>
        </w:rPr>
        <w:t>111,119</w:t>
      </w:r>
      <w:r w:rsidRPr="004622D7">
        <w:rPr>
          <w:sz w:val="28"/>
          <w:szCs w:val="28"/>
          <w:shd w:val="clear" w:color="auto" w:fill="FFFFFF"/>
          <w:lang w:val="uk-UA"/>
        </w:rPr>
        <w:t xml:space="preserve">]. </w:t>
      </w:r>
    </w:p>
    <w:p w:rsidR="00E3259F" w:rsidRPr="004622D7" w:rsidRDefault="00E3259F" w:rsidP="004622D7">
      <w:pPr>
        <w:spacing w:line="360" w:lineRule="auto"/>
        <w:ind w:firstLine="709"/>
        <w:jc w:val="both"/>
        <w:rPr>
          <w:sz w:val="28"/>
          <w:szCs w:val="28"/>
          <w:lang w:val="uk-UA"/>
        </w:rPr>
      </w:pPr>
      <w:r w:rsidRPr="004622D7">
        <w:rPr>
          <w:sz w:val="28"/>
          <w:szCs w:val="28"/>
          <w:lang w:val="uk-UA" w:eastAsia="en-US"/>
        </w:rPr>
        <w:t xml:space="preserve">Субклінічний гіпотиреоз </w:t>
      </w:r>
      <w:r w:rsidRPr="004622D7">
        <w:rPr>
          <w:sz w:val="28"/>
          <w:szCs w:val="28"/>
          <w:lang w:val="uk-UA"/>
        </w:rPr>
        <w:t>–</w:t>
      </w:r>
      <w:r w:rsidRPr="004622D7">
        <w:rPr>
          <w:sz w:val="28"/>
          <w:szCs w:val="28"/>
          <w:lang w:val="uk-UA" w:eastAsia="en-US"/>
        </w:rPr>
        <w:t xml:space="preserve"> </w:t>
      </w:r>
      <w:r w:rsidRPr="004622D7">
        <w:rPr>
          <w:bCs/>
          <w:sz w:val="28"/>
          <w:szCs w:val="28"/>
          <w:lang w:val="uk-UA" w:eastAsia="en-US"/>
        </w:rPr>
        <w:t>визначається як стан, що характеризується підвищеними сироватковими рівнями ТТГ (більше 4,5 мкМОд/мл) при рівнях циркулюючих Т4 і Т3, що залишаються в межах референтних значень для населення відповідної вікової групи та статі [314</w:t>
      </w:r>
      <w:r w:rsidRPr="004622D7">
        <w:rPr>
          <w:sz w:val="28"/>
          <w:szCs w:val="28"/>
          <w:lang w:val="uk-UA"/>
        </w:rPr>
        <w:t>]. Значимість та особлива увага до СГТ обумовлена тим, що протягом одного року в 5-15% пацієнтів на СГТ цей стан переходить в маніфестний, причому в 70% випадків – з наявністю клінічної симптоматики з боку серцево-судинної системи.</w:t>
      </w:r>
      <w:r w:rsidRPr="004622D7">
        <w:rPr>
          <w:sz w:val="28"/>
          <w:szCs w:val="28"/>
        </w:rPr>
        <w:t> </w:t>
      </w:r>
      <w:r w:rsidRPr="004622D7">
        <w:rPr>
          <w:sz w:val="28"/>
          <w:szCs w:val="28"/>
          <w:lang w:val="uk-UA"/>
        </w:rPr>
        <w:t xml:space="preserve">Це досить поширене захворювання ЩЗ, яке вражає 3-15% дорослого населення [160, </w:t>
      </w:r>
      <w:r w:rsidRPr="004622D7">
        <w:rPr>
          <w:sz w:val="28"/>
          <w:szCs w:val="28"/>
        </w:rPr>
        <w:t>196</w:t>
      </w:r>
      <w:r w:rsidRPr="004622D7">
        <w:rPr>
          <w:sz w:val="28"/>
          <w:szCs w:val="28"/>
          <w:lang w:val="uk-UA"/>
        </w:rPr>
        <w:t>]</w:t>
      </w:r>
      <w:r w:rsidRPr="004622D7">
        <w:rPr>
          <w:sz w:val="28"/>
          <w:szCs w:val="28"/>
          <w:shd w:val="clear" w:color="auto" w:fill="FFFFFF"/>
          <w:lang w:val="uk-UA"/>
        </w:rPr>
        <w:t xml:space="preserve">, </w:t>
      </w:r>
      <w:r w:rsidRPr="004622D7">
        <w:rPr>
          <w:sz w:val="28"/>
          <w:szCs w:val="28"/>
          <w:lang w:val="uk-UA"/>
        </w:rPr>
        <w:t>згідно з даними  дослідження NHANES III, рівень ТТГ вище 4,5 мкМО/мл присутній у 14% населення віком 85 років і старіше [1</w:t>
      </w:r>
      <w:r w:rsidRPr="004622D7">
        <w:rPr>
          <w:sz w:val="28"/>
          <w:szCs w:val="28"/>
        </w:rPr>
        <w:t>53</w:t>
      </w:r>
      <w:r w:rsidRPr="004622D7">
        <w:rPr>
          <w:sz w:val="28"/>
          <w:szCs w:val="28"/>
          <w:lang w:val="uk-UA"/>
        </w:rPr>
        <w:t>]. За даними Американської асоціації ендокринологів, СГТ спостерігають у 3% чоловіків та 10% жінок, а у віковій групі старше 60 років майже 20% [339]. З огляду на екологічну ситуацію в Україні, ця проблема з кожним роком привертає все більше уваги. За даними МОЗ України, за останні роки кількість захворювань ЩЗ збільшилась у 5 разів [111], зокрема  гіпотиреозу — майже у 2 рази, та за прогнозами буде продовжувати зростати [111]. Абсолютна кількість випадків захворювань ЩЗ в Україні за останні 10 років збільшилася з 689 тис. до 1 млн 846 тис., за показниками поширеності, відповідно, 941,6 і 4210,4 випадку на 100 тис. населення [127]. Станом на 01.01.2018 р. патологія ЩЗ в Україні становить 46 % від загальної ендокринологічної захворюваності (зоб І–ІІІ ступенів (18,6%), вузловий зоб (9,8%), гіпотиреоз (6,4%), тиреоїдити (5,9%), тиреотоксикоз (1,7 %) та рак цієї залози (4,3 %), у той час як цукровий діабет посідає загалом 39,9% структури ендокринологічних захворювань [127]. Найпоширенішою причиною гіпотиреозу протягом століть був дефіцит йоду в навколишньому середовищі, але ситуація змінилася й у цей час провідною причиною гіпотиреозу є хронічний аутоімунний тиреоїдит (AIT), який у 5–10 разів частіше зустрічається в жінок, ніж у чоловіків та характеризується підвищеною поширеністю з віком [153].</w:t>
      </w:r>
    </w:p>
    <w:p w:rsidR="00E3259F" w:rsidRPr="004622D7" w:rsidRDefault="00E3259F" w:rsidP="004622D7">
      <w:pPr>
        <w:spacing w:line="360" w:lineRule="auto"/>
        <w:ind w:firstLine="709"/>
        <w:jc w:val="both"/>
        <w:outlineLvl w:val="0"/>
        <w:rPr>
          <w:sz w:val="28"/>
          <w:szCs w:val="28"/>
          <w:shd w:val="clear" w:color="auto" w:fill="FFFFFF"/>
        </w:rPr>
      </w:pPr>
      <w:r w:rsidRPr="004622D7">
        <w:rPr>
          <w:sz w:val="28"/>
          <w:szCs w:val="28"/>
          <w:shd w:val="clear" w:color="auto" w:fill="FFFFFF"/>
          <w:lang w:val="uk-UA"/>
        </w:rPr>
        <w:t xml:space="preserve">Відомо, що виражена тиреоїдна недостатність призводить до формування діастолічної артеріальної гіпертензії, порушення функції ендотелію та посилення порушень ліпідного обміну [16]. </w:t>
      </w:r>
      <w:r w:rsidRPr="004622D7">
        <w:rPr>
          <w:sz w:val="28"/>
          <w:szCs w:val="28"/>
          <w:shd w:val="clear" w:color="auto" w:fill="FFFFFF"/>
        </w:rPr>
        <w:t xml:space="preserve">Менш зрозумілим залишається внесок субклінічного гіпотиреозу </w:t>
      </w:r>
      <w:r w:rsidRPr="004622D7">
        <w:rPr>
          <w:sz w:val="28"/>
          <w:szCs w:val="28"/>
          <w:shd w:val="clear" w:color="auto" w:fill="FFFFFF"/>
          <w:lang w:val="uk-UA"/>
        </w:rPr>
        <w:t>у</w:t>
      </w:r>
      <w:r w:rsidRPr="004622D7">
        <w:rPr>
          <w:sz w:val="28"/>
          <w:szCs w:val="28"/>
          <w:shd w:val="clear" w:color="auto" w:fill="FFFFFF"/>
        </w:rPr>
        <w:t xml:space="preserve"> формування серцево-судинної-патології. З одного боку, кілька мета-аналізів продемонстрували чіткий зв'язок між </w:t>
      </w:r>
      <w:r w:rsidRPr="004622D7">
        <w:rPr>
          <w:sz w:val="28"/>
          <w:szCs w:val="28"/>
          <w:shd w:val="clear" w:color="auto" w:fill="FFFFFF"/>
          <w:lang w:val="uk-UA"/>
        </w:rPr>
        <w:t>СГТ</w:t>
      </w:r>
      <w:r w:rsidRPr="004622D7">
        <w:rPr>
          <w:sz w:val="28"/>
          <w:szCs w:val="28"/>
          <w:shd w:val="clear" w:color="auto" w:fill="FFFFFF"/>
        </w:rPr>
        <w:t xml:space="preserve"> і розвитком ішемічної хвороби серця</w:t>
      </w:r>
      <w:r w:rsidRPr="004622D7">
        <w:rPr>
          <w:sz w:val="28"/>
          <w:szCs w:val="28"/>
          <w:shd w:val="clear" w:color="auto" w:fill="FFFFFF"/>
          <w:lang w:val="uk-UA"/>
        </w:rPr>
        <w:t xml:space="preserve"> (ІХС) </w:t>
      </w:r>
      <w:r w:rsidRPr="004622D7">
        <w:rPr>
          <w:sz w:val="28"/>
          <w:szCs w:val="28"/>
          <w:shd w:val="clear" w:color="auto" w:fill="FFFFFF"/>
        </w:rPr>
        <w:t>[191,364]</w:t>
      </w:r>
      <w:r w:rsidRPr="004622D7">
        <w:rPr>
          <w:sz w:val="28"/>
          <w:szCs w:val="28"/>
          <w:shd w:val="clear" w:color="auto" w:fill="FFFFFF"/>
          <w:lang w:val="uk-UA"/>
        </w:rPr>
        <w:t xml:space="preserve"> та серцевої недостатності [287</w:t>
      </w:r>
      <w:r w:rsidRPr="004622D7">
        <w:rPr>
          <w:sz w:val="28"/>
          <w:szCs w:val="28"/>
        </w:rPr>
        <w:t>]</w:t>
      </w:r>
      <w:r w:rsidRPr="004622D7">
        <w:rPr>
          <w:sz w:val="28"/>
          <w:szCs w:val="28"/>
          <w:lang w:val="uk-UA"/>
        </w:rPr>
        <w:t>.</w:t>
      </w:r>
      <w:r w:rsidRPr="004622D7">
        <w:rPr>
          <w:sz w:val="28"/>
          <w:szCs w:val="28"/>
          <w:shd w:val="clear" w:color="auto" w:fill="FFFFFF"/>
          <w:lang w:val="uk-UA"/>
        </w:rPr>
        <w:t xml:space="preserve"> </w:t>
      </w:r>
    </w:p>
    <w:p w:rsidR="00E3259F" w:rsidRPr="004622D7" w:rsidRDefault="00E3259F" w:rsidP="004622D7">
      <w:pPr>
        <w:spacing w:line="360" w:lineRule="auto"/>
        <w:ind w:firstLine="709"/>
        <w:jc w:val="both"/>
        <w:outlineLvl w:val="0"/>
        <w:rPr>
          <w:sz w:val="28"/>
          <w:szCs w:val="28"/>
          <w:shd w:val="clear" w:color="auto" w:fill="FFFFFF"/>
          <w:lang w:val="uk-UA"/>
        </w:rPr>
      </w:pPr>
      <w:r w:rsidRPr="004622D7">
        <w:rPr>
          <w:sz w:val="28"/>
          <w:szCs w:val="28"/>
          <w:shd w:val="clear" w:color="auto" w:fill="FFFFFF"/>
        </w:rPr>
        <w:t xml:space="preserve">З іншого боку, </w:t>
      </w:r>
      <w:r w:rsidRPr="004622D7">
        <w:rPr>
          <w:sz w:val="28"/>
          <w:szCs w:val="28"/>
          <w:shd w:val="clear" w:color="auto" w:fill="FFFFFF"/>
          <w:lang w:val="uk-UA"/>
        </w:rPr>
        <w:t>у низці</w:t>
      </w:r>
      <w:r w:rsidRPr="004622D7">
        <w:rPr>
          <w:sz w:val="28"/>
          <w:szCs w:val="28"/>
          <w:shd w:val="clear" w:color="auto" w:fill="FFFFFF"/>
        </w:rPr>
        <w:t xml:space="preserve"> робіт чіткого взаємозв'язку між </w:t>
      </w:r>
      <w:r w:rsidRPr="004622D7">
        <w:rPr>
          <w:sz w:val="28"/>
          <w:szCs w:val="28"/>
          <w:shd w:val="clear" w:color="auto" w:fill="FFFFFF"/>
          <w:lang w:val="uk-UA"/>
        </w:rPr>
        <w:t>СГТ</w:t>
      </w:r>
      <w:r w:rsidRPr="004622D7">
        <w:rPr>
          <w:sz w:val="28"/>
          <w:szCs w:val="28"/>
          <w:shd w:val="clear" w:color="auto" w:fill="FFFFFF"/>
        </w:rPr>
        <w:t xml:space="preserve"> і смертністю та серцево-судинною захворюваністю не показано [</w:t>
      </w:r>
      <w:r w:rsidRPr="004622D7">
        <w:rPr>
          <w:sz w:val="28"/>
          <w:szCs w:val="28"/>
          <w:shd w:val="clear" w:color="auto" w:fill="FFFFFF"/>
          <w:lang w:val="uk-UA"/>
        </w:rPr>
        <w:t>354</w:t>
      </w:r>
      <w:r w:rsidRPr="004622D7">
        <w:rPr>
          <w:sz w:val="28"/>
          <w:szCs w:val="28"/>
          <w:shd w:val="clear" w:color="auto" w:fill="FFFFFF"/>
        </w:rPr>
        <w:t xml:space="preserve">]. </w:t>
      </w:r>
      <w:r w:rsidRPr="004622D7">
        <w:rPr>
          <w:sz w:val="28"/>
          <w:szCs w:val="28"/>
          <w:shd w:val="clear" w:color="auto" w:fill="FFFFFF"/>
          <w:lang w:val="uk-UA"/>
        </w:rPr>
        <w:t>Більшість дослідників вважають наявність підвищеного ризику розвитку ІХС та серцевої недостатності при рівнях ТТГ більше 10 мк МО/мл, тоді як при рівнях ТТГ від 4,0 до 10,0 мкМО/мл данні щодо підвищеного ризику КВР суперечливі [3</w:t>
      </w:r>
      <w:r w:rsidRPr="004622D7">
        <w:rPr>
          <w:sz w:val="28"/>
          <w:szCs w:val="28"/>
          <w:shd w:val="clear" w:color="auto" w:fill="FFFFFF"/>
        </w:rPr>
        <w:t>28</w:t>
      </w:r>
      <w:r w:rsidRPr="004622D7">
        <w:rPr>
          <w:sz w:val="28"/>
          <w:szCs w:val="28"/>
        </w:rPr>
        <w:t>]</w:t>
      </w:r>
      <w:r w:rsidRPr="004622D7">
        <w:rPr>
          <w:sz w:val="28"/>
          <w:szCs w:val="28"/>
          <w:lang w:val="uk-UA"/>
        </w:rPr>
        <w:t xml:space="preserve">. </w:t>
      </w:r>
      <w:r w:rsidRPr="004622D7">
        <w:rPr>
          <w:sz w:val="28"/>
          <w:szCs w:val="28"/>
          <w:shd w:val="clear" w:color="auto" w:fill="FFFFFF"/>
          <w:lang w:val="uk-UA"/>
        </w:rPr>
        <w:t xml:space="preserve">Крім того, у пацієнтів з компенсацією первинного гіпотиреозу більшість змін серцево-судинної системи, які були раніш виявлені, зберігається [87]. </w:t>
      </w:r>
    </w:p>
    <w:p w:rsidR="00E3259F" w:rsidRPr="004622D7" w:rsidRDefault="00E3259F" w:rsidP="004622D7">
      <w:pPr>
        <w:spacing w:line="360" w:lineRule="auto"/>
        <w:ind w:firstLine="709"/>
        <w:jc w:val="both"/>
        <w:outlineLvl w:val="0"/>
        <w:rPr>
          <w:sz w:val="28"/>
          <w:szCs w:val="28"/>
          <w:lang w:val="uk-UA"/>
        </w:rPr>
      </w:pPr>
      <w:r w:rsidRPr="004622D7">
        <w:rPr>
          <w:sz w:val="28"/>
          <w:szCs w:val="28"/>
          <w:lang w:val="uk-UA"/>
        </w:rPr>
        <w:t>Факт наявності зв'язку між підвищеним АТ та маніфестним гіпотиреозом достатньо ретельно досліджений та встановлений, у той час як питання, чи може субклінічна гіпофункція щитовидної залози представляти потенційний ризик для розвитку та прогресування ГХ, досі залишається дискусійним [196]. Н</w:t>
      </w:r>
      <w:r w:rsidRPr="004622D7">
        <w:rPr>
          <w:rStyle w:val="tlid-translation"/>
          <w:sz w:val="28"/>
          <w:szCs w:val="28"/>
          <w:lang w:val="uk-UA"/>
        </w:rPr>
        <w:t xml:space="preserve">а цей час дані щодо впливу СГТ на рівні АТ різнорідні. Так у метааналізі, проведеному Cai Y і співавт. (2011), було показано значний вплив СГТ на рівень ДАТ </w:t>
      </w:r>
      <w:r w:rsidRPr="004622D7">
        <w:rPr>
          <w:rStyle w:val="tlid-translation"/>
          <w:rFonts w:eastAsiaTheme="majorEastAsia"/>
          <w:sz w:val="28"/>
          <w:szCs w:val="28"/>
          <w:lang w:val="uk-UA"/>
        </w:rPr>
        <w:t>[</w:t>
      </w:r>
      <w:r w:rsidRPr="004622D7">
        <w:rPr>
          <w:rStyle w:val="10"/>
          <w:rFonts w:eastAsiaTheme="majorEastAsia"/>
          <w:b w:val="0"/>
          <w:sz w:val="28"/>
          <w:szCs w:val="28"/>
          <w:lang w:val="uk-UA"/>
        </w:rPr>
        <w:t>171</w:t>
      </w:r>
      <w:r w:rsidRPr="004622D7">
        <w:rPr>
          <w:rStyle w:val="mixed-citation"/>
          <w:rFonts w:eastAsiaTheme="majorEastAsia"/>
          <w:sz w:val="28"/>
          <w:szCs w:val="28"/>
          <w:lang w:val="uk-UA"/>
        </w:rPr>
        <w:t>]</w:t>
      </w:r>
      <w:r w:rsidRPr="004622D7">
        <w:rPr>
          <w:rStyle w:val="tlid-translation"/>
          <w:rFonts w:eastAsiaTheme="majorEastAsia"/>
          <w:sz w:val="28"/>
          <w:szCs w:val="28"/>
          <w:lang w:val="uk-UA"/>
        </w:rPr>
        <w:t>,</w:t>
      </w:r>
      <w:r w:rsidRPr="004622D7">
        <w:rPr>
          <w:rStyle w:val="tlid-translation"/>
          <w:sz w:val="28"/>
          <w:szCs w:val="28"/>
          <w:lang w:val="uk-UA"/>
        </w:rPr>
        <w:t xml:space="preserve"> у той час як в інших метааналізах, що включають у себе більше 27 тисяч пацієнтів, був продемонстрований зв'язок СГТ з підвищеним САТ [374,408</w:t>
      </w:r>
      <w:r w:rsidRPr="004622D7">
        <w:rPr>
          <w:sz w:val="28"/>
          <w:szCs w:val="28"/>
          <w:lang w:val="uk-UA"/>
        </w:rPr>
        <w:t>]. У двох норвезьких дослідженнях Tromso і HUNT виявлено, що тенденція до підвищення рівня ТТГ навіть у межах нормальних значень, асоціюється зі збільшенням АТ [68,144]. У 2015 році стратифікація факторів ризику ССЗ дозволила припустити, що поєднання гіпотиреозу та ССЗ за ступенем впливу на КВР може бути порівняно з впливом таких чинників ризику, як ЦД, гіперліпідемія, АГ, ниркова недостатність [1,193]</w:t>
      </w:r>
      <w:r w:rsidRPr="004622D7">
        <w:rPr>
          <w:b/>
          <w:sz w:val="28"/>
          <w:szCs w:val="28"/>
          <w:lang w:val="uk-UA"/>
        </w:rPr>
        <w:t>.</w:t>
      </w:r>
    </w:p>
    <w:p w:rsidR="00E3259F" w:rsidRPr="004622D7" w:rsidRDefault="00E3259F" w:rsidP="004622D7">
      <w:pPr>
        <w:spacing w:line="360" w:lineRule="auto"/>
        <w:ind w:firstLine="709"/>
        <w:jc w:val="both"/>
        <w:rPr>
          <w:sz w:val="28"/>
          <w:szCs w:val="28"/>
          <w:lang w:val="uk-UA"/>
        </w:rPr>
      </w:pPr>
      <w:r w:rsidRPr="004622D7">
        <w:rPr>
          <w:sz w:val="28"/>
          <w:szCs w:val="28"/>
          <w:lang w:val="uk-UA"/>
        </w:rPr>
        <w:t xml:space="preserve">Відомо, що ЦД, передусім 2 типу, і функціональні розлади ЩЗ –  найбільш часті ендокринні порушення, які взаємопов'язані один з одним і часто зустрічаються в клінічній практиці. Їх узаємозв’язок залишається й досі не до кінця  зрозумілим, але асоціюється зі ССУ та високою смертністю й інвалідністю [352]. Асоціація між ЦД і дисфункцією ЩЗ була визнана з 1979 р. та з того часу підкреслюється важливість обстеження хворого на ЦД щодо виявлення захворювань ЩЗ [352]. </w:t>
      </w:r>
      <w:r w:rsidRPr="004622D7">
        <w:rPr>
          <w:rStyle w:val="tlid-translation"/>
          <w:sz w:val="28"/>
          <w:szCs w:val="28"/>
          <w:lang w:val="uk-UA"/>
        </w:rPr>
        <w:t>Показано, що гіпотиреоз, зокрема й СГТ у пацієнтів з ЦД 2 типу зустрічається частіше, ніж у осіб без ЦД [136,367]. За даними австралійських вчених при ЦД 5,1% пацієнтів мали СГТ [318</w:t>
      </w:r>
      <w:r w:rsidRPr="004622D7">
        <w:rPr>
          <w:sz w:val="28"/>
          <w:szCs w:val="28"/>
          <w:lang w:val="uk-UA"/>
        </w:rPr>
        <w:t>], тоді як наявність одночасного перебігу ГХ та ЦД 2 тиу, за даними індійських вчених, призводило до зростання захворюваності на СГТ до 28,9%</w:t>
      </w:r>
      <w:r w:rsidRPr="004622D7">
        <w:rPr>
          <w:rStyle w:val="tlid-translation"/>
          <w:sz w:val="28"/>
          <w:szCs w:val="28"/>
          <w:lang w:val="uk-UA"/>
        </w:rPr>
        <w:t xml:space="preserve"> [367</w:t>
      </w:r>
      <w:r w:rsidRPr="004622D7">
        <w:rPr>
          <w:rStyle w:val="doi"/>
          <w:rFonts w:eastAsiaTheme="majorEastAsia"/>
          <w:sz w:val="28"/>
          <w:szCs w:val="28"/>
        </w:rPr>
        <w:t>]</w:t>
      </w:r>
      <w:r w:rsidRPr="004622D7">
        <w:rPr>
          <w:rStyle w:val="doi"/>
          <w:rFonts w:eastAsiaTheme="majorEastAsia"/>
          <w:sz w:val="28"/>
          <w:szCs w:val="28"/>
          <w:lang w:val="uk-UA"/>
        </w:rPr>
        <w:t>.</w:t>
      </w:r>
    </w:p>
    <w:p w:rsidR="00E3259F" w:rsidRPr="004622D7" w:rsidRDefault="00E3259F" w:rsidP="004622D7">
      <w:pPr>
        <w:shd w:val="clear" w:color="auto" w:fill="FFFFFF"/>
        <w:spacing w:line="360" w:lineRule="auto"/>
        <w:ind w:firstLine="709"/>
        <w:jc w:val="both"/>
        <w:textAlignment w:val="top"/>
        <w:rPr>
          <w:rStyle w:val="tlid-translation"/>
        </w:rPr>
      </w:pPr>
      <w:r w:rsidRPr="004622D7">
        <w:rPr>
          <w:rStyle w:val="tlid-translation"/>
          <w:sz w:val="28"/>
          <w:szCs w:val="28"/>
          <w:lang w:val="uk-UA"/>
        </w:rPr>
        <w:t>У сучасних рекомендаціях немає чітких вказівок щодо частоти моніторингу функції ЩЗ у пацієнтів зі ЦД 2 типу. Циркулюючі гормони ЩЗ здійснюють значний вплив на метаболізм глюкози, ліпідів і білків та можуть погіршити глікемічний контроль при ЦД 2 типу. У свою чергу, при ЦД 2 типу знижується рівень ТТГ і погіршується конвертація тироксину (Т4) в трийодтиронін (Т3) у периферичних тканинах. Недостатньо контрольований ЦД 2 типу часто призводить до інсулінорезистентності та гіперінсулінемії, що викликає проліферацію тканини ЩЗ, стимулює утворення вузлив і розмір зоба [367</w:t>
      </w:r>
      <w:r w:rsidRPr="004622D7">
        <w:rPr>
          <w:sz w:val="28"/>
          <w:szCs w:val="28"/>
          <w:lang w:val="uk-UA"/>
        </w:rPr>
        <w:t>]</w:t>
      </w:r>
      <w:r w:rsidRPr="004622D7">
        <w:rPr>
          <w:rStyle w:val="tlid-translation"/>
          <w:sz w:val="28"/>
          <w:szCs w:val="28"/>
          <w:lang w:val="uk-UA"/>
        </w:rPr>
        <w:t xml:space="preserve">. Крім того, незважаючи на позитивний ефект метформіну не тільки на вуглеводний, але й тиреоїдний обмін, інші протидіабетичні засоби, такі як похідні сульфонілсечовини, піоглітазон і тіазолідиндіони, можуть мати негативний вплив на функцію ЩЗ. Тому для забезпечення належного ведення пацієнтів може бути рекомендований контроль за функціональним станом ЩЗ у пацієнтів з ЦД 2 типу і, з іншого боку, глікемічний контроль за пацієнтами з дисфункцією ЩЗ. </w:t>
      </w:r>
    </w:p>
    <w:p w:rsidR="00E3259F" w:rsidRPr="004622D7" w:rsidRDefault="00E3259F" w:rsidP="004622D7">
      <w:pPr>
        <w:shd w:val="clear" w:color="auto" w:fill="FFFFFF"/>
        <w:spacing w:line="360" w:lineRule="auto"/>
        <w:ind w:firstLine="709"/>
        <w:jc w:val="both"/>
        <w:textAlignment w:val="top"/>
        <w:rPr>
          <w:rStyle w:val="tlid-translation"/>
          <w:sz w:val="28"/>
          <w:szCs w:val="28"/>
          <w:lang w:val="uk-UA"/>
        </w:rPr>
      </w:pPr>
      <w:r w:rsidRPr="004622D7">
        <w:rPr>
          <w:sz w:val="28"/>
          <w:szCs w:val="28"/>
          <w:lang w:val="uk-UA"/>
        </w:rPr>
        <w:t>Поряд з ЦД 2 типу, захворювання ЩЗ вносить значний внесок у формування кардіометаболічних факторів ризику, що визначають прогноз при ГХ, ІХС та інших станах. Вважається, що від 31% до 46.5% хворих на ЦД 2 типу мають дисфункцію ЩЗ</w:t>
      </w:r>
      <w:r w:rsidRPr="004622D7">
        <w:rPr>
          <w:i/>
          <w:sz w:val="28"/>
          <w:szCs w:val="28"/>
          <w:lang w:val="uk-UA"/>
        </w:rPr>
        <w:t xml:space="preserve"> </w:t>
      </w:r>
      <w:r w:rsidRPr="004622D7">
        <w:rPr>
          <w:sz w:val="28"/>
          <w:szCs w:val="28"/>
          <w:lang w:val="uk-UA"/>
        </w:rPr>
        <w:t>[36</w:t>
      </w:r>
      <w:r w:rsidRPr="004622D7">
        <w:rPr>
          <w:sz w:val="28"/>
          <w:szCs w:val="28"/>
          <w:bdr w:val="none" w:sz="0" w:space="0" w:color="auto" w:frame="1"/>
          <w:lang w:val="uk-UA"/>
        </w:rPr>
        <w:t xml:space="preserve">]. </w:t>
      </w:r>
      <w:r w:rsidRPr="004622D7">
        <w:rPr>
          <w:rStyle w:val="tlid-translation"/>
          <w:sz w:val="28"/>
          <w:szCs w:val="28"/>
          <w:lang w:val="uk-UA"/>
        </w:rPr>
        <w:t>У той же час проблеми скринінгового визначення рівня ТТГ у різних когорт хворих на цей даний час недостатньо розв'язані. Необхідно визначити ті групи хворих, у яких виявлення дисфункції ЩЗ найбільш ймовірно та пов'язане з певними ризиками. Згідно з останніми дослідженнями, визначення рівня ТТГ є доцільним у всіх хворих з підвищеним ризиком розвитку ССУ [25</w:t>
      </w:r>
      <w:r w:rsidRPr="004622D7">
        <w:rPr>
          <w:sz w:val="28"/>
          <w:szCs w:val="28"/>
          <w:lang w:val="uk-UA"/>
        </w:rPr>
        <w:t>]</w:t>
      </w:r>
      <w:r w:rsidRPr="004622D7">
        <w:rPr>
          <w:rStyle w:val="tlid-translation"/>
          <w:sz w:val="28"/>
          <w:szCs w:val="28"/>
          <w:lang w:val="uk-UA"/>
        </w:rPr>
        <w:t>.</w:t>
      </w:r>
    </w:p>
    <w:p w:rsidR="00E3259F" w:rsidRPr="00E3259F" w:rsidRDefault="00E3259F" w:rsidP="00E3259F">
      <w:pPr>
        <w:shd w:val="clear" w:color="auto" w:fill="FFFFFF"/>
        <w:spacing w:line="360" w:lineRule="auto"/>
        <w:ind w:firstLine="709"/>
        <w:jc w:val="both"/>
        <w:textAlignment w:val="top"/>
        <w:rPr>
          <w:lang w:val="uk-UA"/>
        </w:rPr>
      </w:pPr>
    </w:p>
    <w:p w:rsidR="00E3259F" w:rsidRDefault="00E3259F" w:rsidP="00E3259F">
      <w:pPr>
        <w:pStyle w:val="a4"/>
        <w:ind w:left="-432"/>
        <w:jc w:val="both"/>
        <w:rPr>
          <w:rFonts w:ascii="Calibri" w:hAnsi="Calibri"/>
          <w:sz w:val="22"/>
          <w:szCs w:val="22"/>
          <w:lang w:val="uk-UA" w:eastAsia="uk-UA"/>
        </w:rPr>
      </w:pPr>
    </w:p>
    <w:p w:rsidR="00E3259F" w:rsidRPr="004622D7" w:rsidRDefault="00E3259F" w:rsidP="004622D7">
      <w:pPr>
        <w:pStyle w:val="a4"/>
        <w:numPr>
          <w:ilvl w:val="1"/>
          <w:numId w:val="10"/>
        </w:numPr>
        <w:spacing w:line="360" w:lineRule="auto"/>
        <w:ind w:left="0" w:firstLine="709"/>
        <w:jc w:val="both"/>
        <w:rPr>
          <w:rFonts w:ascii="Calibri" w:hAnsi="Calibri"/>
          <w:sz w:val="28"/>
          <w:szCs w:val="28"/>
          <w:lang w:val="uk-UA" w:eastAsia="uk-UA"/>
        </w:rPr>
      </w:pPr>
      <w:r>
        <w:rPr>
          <w:b/>
          <w:sz w:val="28"/>
          <w:szCs w:val="28"/>
          <w:lang w:val="uk-UA" w:eastAsia="uk-UA"/>
        </w:rPr>
        <w:t xml:space="preserve"> </w:t>
      </w:r>
      <w:r w:rsidRPr="004622D7">
        <w:rPr>
          <w:sz w:val="28"/>
          <w:szCs w:val="28"/>
          <w:lang w:val="uk-UA" w:eastAsia="uk-UA"/>
        </w:rPr>
        <w:t xml:space="preserve">Коморбідність гіпертонічної хвороби, цукрового діабету 2 типу та субклінічного гіпотереозу: єдність патогенезів. </w:t>
      </w:r>
    </w:p>
    <w:p w:rsidR="00E3259F" w:rsidRPr="004622D7" w:rsidRDefault="00E3259F" w:rsidP="004622D7">
      <w:pPr>
        <w:pStyle w:val="a4"/>
        <w:spacing w:line="360" w:lineRule="auto"/>
        <w:ind w:left="0" w:firstLine="709"/>
        <w:jc w:val="both"/>
        <w:rPr>
          <w:rFonts w:ascii="Calibri" w:hAnsi="Calibri"/>
          <w:sz w:val="28"/>
          <w:szCs w:val="28"/>
          <w:lang w:val="uk-UA" w:eastAsia="uk-UA"/>
        </w:rPr>
      </w:pPr>
    </w:p>
    <w:p w:rsidR="00E3259F" w:rsidRPr="004622D7" w:rsidRDefault="00E3259F" w:rsidP="004622D7">
      <w:pPr>
        <w:shd w:val="clear" w:color="auto" w:fill="FFFFFF"/>
        <w:spacing w:line="360" w:lineRule="auto"/>
        <w:ind w:firstLine="709"/>
        <w:jc w:val="both"/>
        <w:outlineLvl w:val="0"/>
        <w:rPr>
          <w:sz w:val="28"/>
          <w:szCs w:val="28"/>
          <w:lang w:val="uk-UA"/>
        </w:rPr>
      </w:pPr>
    </w:p>
    <w:p w:rsidR="00E3259F" w:rsidRPr="004622D7" w:rsidRDefault="00E3259F" w:rsidP="004622D7">
      <w:pPr>
        <w:shd w:val="clear" w:color="auto" w:fill="FFFFFF"/>
        <w:spacing w:line="360" w:lineRule="auto"/>
        <w:ind w:firstLine="709"/>
        <w:jc w:val="both"/>
        <w:outlineLvl w:val="0"/>
        <w:rPr>
          <w:sz w:val="28"/>
          <w:szCs w:val="28"/>
          <w:lang w:val="uk-UA"/>
        </w:rPr>
      </w:pPr>
      <w:r w:rsidRPr="004622D7">
        <w:rPr>
          <w:sz w:val="28"/>
          <w:szCs w:val="28"/>
          <w:lang w:val="uk-UA"/>
        </w:rPr>
        <w:t>На цей час активно обговорюється концепція кардіометаболічного ризику, яка базується на уявленні про взаємодію між метаболічними і кардіоваскулярними факторами, що модулюють величину глобального ризику фатальних серцево-судинних катастроф зокрема в</w:t>
      </w:r>
      <w:r w:rsidRPr="004622D7">
        <w:rPr>
          <w:rStyle w:val="tlid-translation"/>
          <w:rFonts w:eastAsiaTheme="majorEastAsia"/>
          <w:sz w:val="28"/>
          <w:szCs w:val="28"/>
          <w:lang w:val="uk-UA"/>
        </w:rPr>
        <w:t xml:space="preserve"> пацієнтів з коморбідною патологією</w:t>
      </w:r>
      <w:r w:rsidRPr="004622D7">
        <w:rPr>
          <w:sz w:val="28"/>
          <w:szCs w:val="28"/>
          <w:lang w:val="uk-UA"/>
        </w:rPr>
        <w:t xml:space="preserve"> [188,208].</w:t>
      </w:r>
    </w:p>
    <w:p w:rsidR="00E3259F" w:rsidRPr="004622D7" w:rsidRDefault="00E3259F" w:rsidP="004622D7">
      <w:pPr>
        <w:shd w:val="clear" w:color="auto" w:fill="FFFFFF"/>
        <w:spacing w:line="360" w:lineRule="auto"/>
        <w:ind w:firstLine="709"/>
        <w:jc w:val="both"/>
        <w:outlineLvl w:val="0"/>
        <w:rPr>
          <w:sz w:val="28"/>
          <w:szCs w:val="28"/>
          <w:lang w:val="uk-UA" w:eastAsia="en-US"/>
        </w:rPr>
      </w:pPr>
      <w:r w:rsidRPr="004622D7">
        <w:rPr>
          <w:sz w:val="28"/>
          <w:szCs w:val="28"/>
          <w:lang w:val="uk-UA"/>
        </w:rPr>
        <w:t>У дослідженнях останніх років усе більше з`являється даних, що СГТ асоціюється не тільки з підвищеним АТ, але й багатьма кардіометаболічними факторами серцево-судинного ризику, таких як дисліпідемія, інсулінорезистентність, ожиріння, хронічне запалення [180,207,270,</w:t>
      </w:r>
      <w:r w:rsidRPr="004622D7">
        <w:rPr>
          <w:rStyle w:val="element-citation"/>
          <w:sz w:val="28"/>
          <w:szCs w:val="28"/>
          <w:lang w:val="uk-UA"/>
        </w:rPr>
        <w:t>280,405</w:t>
      </w:r>
      <w:r w:rsidRPr="004622D7">
        <w:rPr>
          <w:sz w:val="28"/>
          <w:szCs w:val="28"/>
          <w:lang w:val="uk-UA"/>
        </w:rPr>
        <w:t xml:space="preserve">]. </w:t>
      </w:r>
      <w:r w:rsidRPr="004622D7">
        <w:rPr>
          <w:sz w:val="28"/>
          <w:szCs w:val="28"/>
          <w:lang w:val="uk-UA" w:eastAsia="en-US"/>
        </w:rPr>
        <w:t>Існує значна кількість досліджень, присвячених впливу гіпофункції ЩЗ на ліпідний обмін [</w:t>
      </w:r>
      <w:r w:rsidRPr="004622D7">
        <w:rPr>
          <w:sz w:val="28"/>
          <w:szCs w:val="28"/>
          <w:lang w:val="uk-UA"/>
        </w:rPr>
        <w:t>173,280</w:t>
      </w:r>
      <w:r w:rsidRPr="004622D7">
        <w:rPr>
          <w:sz w:val="28"/>
          <w:szCs w:val="28"/>
          <w:lang w:val="uk-UA" w:eastAsia="en-US"/>
        </w:rPr>
        <w:t>]. За даними Колорадського дослідження підвищення рівня ТТГ вище за норму мало пряму залежність від вираженості гіперхолестеринемії [173</w:t>
      </w:r>
      <w:r w:rsidRPr="004622D7">
        <w:rPr>
          <w:sz w:val="28"/>
          <w:szCs w:val="28"/>
          <w:lang w:val="uk-UA"/>
        </w:rPr>
        <w:t>]</w:t>
      </w:r>
      <w:r w:rsidRPr="004622D7">
        <w:rPr>
          <w:sz w:val="28"/>
          <w:szCs w:val="28"/>
          <w:lang w:val="uk-UA" w:eastAsia="en-US"/>
        </w:rPr>
        <w:t>.  Автори пояснюють зміни в ліпідному обміні крові тим, що при наявності зниженої функції ЩЗ знижується активність печінкової ліпопротеїнліпази, погіршується транспорт та виведення атерогенних ліпідів із жовчі. Крім того, має місце порушення структури холестерину ліпопротеїдів високої щільності (ХС ЛПВЩ) на тлі зниження кількості та чутливості рецепторів холестерину ліпопротеїдів низької щільності (ХС ЛПНЩ) у гепатоцитах, які спричиняють зниження печінкової екскреції холестерину та в подальшому підвищення ХС ЛПНЩ та   холестерину ліпопротеїдів дуже низької щільності (ХС ЛПДНЩ).</w:t>
      </w:r>
    </w:p>
    <w:p w:rsidR="00E3259F" w:rsidRPr="004622D7" w:rsidRDefault="00E3259F" w:rsidP="004622D7">
      <w:pPr>
        <w:shd w:val="clear" w:color="auto" w:fill="FFFFFF"/>
        <w:spacing w:line="360" w:lineRule="auto"/>
        <w:ind w:firstLine="709"/>
        <w:jc w:val="both"/>
        <w:outlineLvl w:val="0"/>
        <w:rPr>
          <w:sz w:val="28"/>
          <w:szCs w:val="28"/>
          <w:lang w:val="uk-UA" w:eastAsia="en-US"/>
        </w:rPr>
      </w:pPr>
      <w:r w:rsidRPr="004622D7">
        <w:rPr>
          <w:sz w:val="28"/>
          <w:szCs w:val="28"/>
          <w:lang w:val="uk-UA" w:eastAsia="en-US"/>
        </w:rPr>
        <w:t xml:space="preserve"> Зв’язок між рівнем ТТГ і ліпідами крові виявляється навіть у межах нормальних значень ТТГ у осіб без захворювання ЩЗ, серцево-судинної системи та ЦД, що було продемонстровано в Норвезькому популяційному дослідженні </w:t>
      </w:r>
      <w:r w:rsidRPr="004622D7">
        <w:rPr>
          <w:sz w:val="28"/>
          <w:szCs w:val="28"/>
          <w:lang w:val="en-US" w:eastAsia="en-US"/>
        </w:rPr>
        <w:t>HUNT</w:t>
      </w:r>
      <w:r w:rsidRPr="004622D7">
        <w:rPr>
          <w:sz w:val="28"/>
          <w:szCs w:val="28"/>
          <w:lang w:val="uk-UA" w:eastAsia="en-US"/>
        </w:rPr>
        <w:t>, при цьому було виявлено, що чим вищий вміст ТТГ, тим вище рівень ХС крові [145]. У той же час існують дослідження, у яких не було продемонстровано дисбалансу ліпідного спектру крові при СГТ, що залишає це питання не до кінця вирішеним [</w:t>
      </w:r>
      <w:r w:rsidRPr="004622D7">
        <w:rPr>
          <w:rStyle w:val="element-citation"/>
          <w:sz w:val="28"/>
          <w:szCs w:val="28"/>
        </w:rPr>
        <w:t>3</w:t>
      </w:r>
      <w:r w:rsidRPr="004622D7">
        <w:rPr>
          <w:rStyle w:val="element-citation"/>
          <w:sz w:val="28"/>
          <w:szCs w:val="28"/>
          <w:lang w:val="uk-UA"/>
        </w:rPr>
        <w:t>89</w:t>
      </w:r>
      <w:r w:rsidRPr="004622D7">
        <w:rPr>
          <w:rStyle w:val="element-citation"/>
          <w:sz w:val="28"/>
          <w:szCs w:val="28"/>
        </w:rPr>
        <w:t>]</w:t>
      </w:r>
      <w:r w:rsidRPr="004622D7">
        <w:rPr>
          <w:rStyle w:val="element-citation"/>
          <w:sz w:val="28"/>
          <w:szCs w:val="28"/>
          <w:lang w:val="uk-UA"/>
        </w:rPr>
        <w:t>. Крім того, залишається не до кінця зрозумілою гендерна чутливість до порушення ліпідного обміну при СГТ. Так,  у п</w:t>
      </w:r>
      <w:r w:rsidRPr="004622D7">
        <w:rPr>
          <w:bCs/>
          <w:sz w:val="28"/>
          <w:szCs w:val="28"/>
          <w:lang w:val="uk-UA" w:eastAsia="en-US"/>
        </w:rPr>
        <w:t xml:space="preserve">роспективному дослідженні </w:t>
      </w:r>
      <w:r w:rsidRPr="004622D7">
        <w:rPr>
          <w:bCs/>
          <w:sz w:val="28"/>
          <w:szCs w:val="28"/>
          <w:lang w:eastAsia="en-US"/>
        </w:rPr>
        <w:t>EPIC</w:t>
      </w:r>
      <w:r w:rsidRPr="004622D7">
        <w:rPr>
          <w:bCs/>
          <w:sz w:val="28"/>
          <w:szCs w:val="28"/>
          <w:lang w:val="uk-UA" w:eastAsia="en-US"/>
        </w:rPr>
        <w:t>-</w:t>
      </w:r>
      <w:r w:rsidRPr="004622D7">
        <w:rPr>
          <w:bCs/>
          <w:sz w:val="28"/>
          <w:szCs w:val="28"/>
          <w:lang w:eastAsia="en-US"/>
        </w:rPr>
        <w:t>Norfolk</w:t>
      </w:r>
      <w:r w:rsidRPr="004622D7">
        <w:rPr>
          <w:bCs/>
          <w:sz w:val="28"/>
          <w:szCs w:val="28"/>
          <w:lang w:val="uk-UA" w:eastAsia="en-US"/>
        </w:rPr>
        <w:t xml:space="preserve"> було виявлено значне підвищення концентрації сироваткового рівня ЗХС, ТГ та ХС ЛПНЩ при СГТ тільки у осіб жіночої статі [</w:t>
      </w:r>
      <w:r w:rsidRPr="004622D7">
        <w:rPr>
          <w:sz w:val="28"/>
          <w:szCs w:val="28"/>
          <w:lang w:val="uk-UA"/>
        </w:rPr>
        <w:t>162]</w:t>
      </w:r>
      <w:r w:rsidRPr="004622D7">
        <w:rPr>
          <w:bCs/>
          <w:sz w:val="28"/>
          <w:szCs w:val="28"/>
          <w:lang w:val="uk-UA" w:eastAsia="en-US"/>
        </w:rPr>
        <w:t>.</w:t>
      </w:r>
    </w:p>
    <w:p w:rsidR="00E3259F" w:rsidRPr="004622D7" w:rsidRDefault="00E3259F" w:rsidP="004622D7">
      <w:pPr>
        <w:spacing w:line="360" w:lineRule="auto"/>
        <w:ind w:firstLine="709"/>
        <w:jc w:val="both"/>
        <w:rPr>
          <w:lang w:val="uk-UA"/>
        </w:rPr>
      </w:pPr>
      <w:r w:rsidRPr="004622D7">
        <w:rPr>
          <w:sz w:val="28"/>
          <w:szCs w:val="28"/>
          <w:lang w:val="uk-UA" w:eastAsia="en-US"/>
        </w:rPr>
        <w:t>У низці великомасштабних дослідженнь було показано, що дисліпопротеїдемія, яка обумовлена гіпотиреозом, має атерогенний характер та підвищує ризик розвитку атеросклерозу, ІХС її ускладнень [232,236,313], але</w:t>
      </w:r>
      <w:r w:rsidRPr="004622D7">
        <w:rPr>
          <w:rStyle w:val="tlid-translation"/>
          <w:sz w:val="28"/>
          <w:szCs w:val="28"/>
          <w:lang w:val="uk-UA"/>
        </w:rPr>
        <w:t>, в той же час,  зв`язок між СГТ та підвищеним ризиком серцево-судинних захворювань, викликаних атеросклерозом, не був підтверджений в інших дослідженнях [</w:t>
      </w:r>
      <w:r w:rsidRPr="004622D7">
        <w:rPr>
          <w:sz w:val="28"/>
          <w:szCs w:val="28"/>
          <w:shd w:val="clear" w:color="auto" w:fill="FFFFFF"/>
          <w:lang w:val="uk-UA"/>
        </w:rPr>
        <w:t>326</w:t>
      </w:r>
      <w:r w:rsidRPr="004622D7">
        <w:rPr>
          <w:sz w:val="28"/>
          <w:szCs w:val="28"/>
          <w:lang w:val="uk-UA"/>
        </w:rPr>
        <w:t xml:space="preserve">].  </w:t>
      </w:r>
    </w:p>
    <w:p w:rsidR="00E3259F" w:rsidRPr="004622D7" w:rsidRDefault="00E3259F" w:rsidP="004622D7">
      <w:pPr>
        <w:tabs>
          <w:tab w:val="num" w:pos="567"/>
        </w:tabs>
        <w:spacing w:line="360" w:lineRule="auto"/>
        <w:ind w:firstLine="709"/>
        <w:jc w:val="both"/>
        <w:rPr>
          <w:sz w:val="28"/>
          <w:szCs w:val="28"/>
          <w:shd w:val="clear" w:color="auto" w:fill="FFFFFF"/>
          <w:lang w:val="uk-UA"/>
        </w:rPr>
      </w:pPr>
      <w:r w:rsidRPr="004622D7">
        <w:rPr>
          <w:rStyle w:val="tlid-translation"/>
          <w:rFonts w:eastAsiaTheme="majorEastAsia"/>
          <w:sz w:val="28"/>
          <w:szCs w:val="28"/>
          <w:lang w:val="uk-UA"/>
        </w:rPr>
        <w:t>Інсулінорезистентність і викликана нею компенсаторна гіперинсулінемія патогенетично пов'язані з розвитком АГ при ЦД, особливо при ожирінні[106].</w:t>
      </w:r>
      <w:r w:rsidRPr="004622D7">
        <w:rPr>
          <w:sz w:val="28"/>
          <w:szCs w:val="28"/>
          <w:shd w:val="clear" w:color="auto" w:fill="FFFFFF"/>
          <w:lang w:val="uk-UA"/>
        </w:rPr>
        <w:t xml:space="preserve"> </w:t>
      </w:r>
      <w:r w:rsidRPr="004622D7">
        <w:rPr>
          <w:sz w:val="28"/>
          <w:szCs w:val="28"/>
          <w:shd w:val="clear" w:color="auto" w:fill="FFFFFF"/>
        </w:rPr>
        <w:t>Також відомо, що функціональна активність ЩЗ впливає на секрецію та активність інсуліну.</w:t>
      </w:r>
      <w:r w:rsidRPr="004622D7">
        <w:rPr>
          <w:sz w:val="28"/>
          <w:szCs w:val="28"/>
          <w:shd w:val="clear" w:color="auto" w:fill="FFFFFF"/>
          <w:lang w:val="uk-UA"/>
        </w:rPr>
        <w:t xml:space="preserve"> Встановлено, що як маніфестний, так і СГТ призводять до підвищення резистентності до інсуліну, що пов'язано з порушенням засвоєння глюкози в периферичних тканинах [</w:t>
      </w:r>
      <w:r w:rsidRPr="004622D7">
        <w:rPr>
          <w:sz w:val="28"/>
          <w:szCs w:val="28"/>
        </w:rPr>
        <w:t>1</w:t>
      </w:r>
      <w:r w:rsidRPr="004622D7">
        <w:rPr>
          <w:sz w:val="28"/>
          <w:szCs w:val="28"/>
          <w:lang w:val="uk-UA"/>
        </w:rPr>
        <w:t>36,255,402</w:t>
      </w:r>
      <w:r w:rsidRPr="004622D7">
        <w:rPr>
          <w:sz w:val="28"/>
          <w:szCs w:val="28"/>
          <w:shd w:val="clear" w:color="auto" w:fill="FFFFFF"/>
          <w:lang w:val="uk-UA"/>
        </w:rPr>
        <w:t xml:space="preserve">]. Більш того, автори виявили позитивний кореляційний зв`язок між високо-нормальним рівнем гормонів ЩЗ та інсулінорезистентністю  й припускають, що гормони ЩЗ можуть бути залучені до патологічного процесу, що міститься в основі розвитку ЦД [355]. </w:t>
      </w:r>
    </w:p>
    <w:p w:rsidR="00E3259F" w:rsidRPr="004622D7" w:rsidRDefault="00E3259F" w:rsidP="004622D7">
      <w:pPr>
        <w:tabs>
          <w:tab w:val="num" w:pos="567"/>
        </w:tabs>
        <w:spacing w:line="360" w:lineRule="auto"/>
        <w:ind w:firstLine="709"/>
        <w:jc w:val="both"/>
        <w:rPr>
          <w:sz w:val="28"/>
          <w:szCs w:val="28"/>
          <w:shd w:val="clear" w:color="auto" w:fill="FFFFFF"/>
          <w:lang w:val="uk-UA"/>
        </w:rPr>
      </w:pPr>
      <w:r w:rsidRPr="004622D7">
        <w:rPr>
          <w:sz w:val="28"/>
          <w:szCs w:val="28"/>
          <w:shd w:val="clear" w:color="auto" w:fill="FFFFFF"/>
          <w:lang w:val="uk-UA"/>
        </w:rPr>
        <w:t>З іншого боку, у хворих на ЦД було відзначено зниження нічної пікової секреції тиреотропного гормону (ТТГ) і порушення відповіді ТТГ на стимуляцію тиреоліберином [42].</w:t>
      </w:r>
      <w:r w:rsidRPr="004622D7">
        <w:rPr>
          <w:sz w:val="28"/>
          <w:szCs w:val="28"/>
          <w:lang w:val="uk-UA"/>
        </w:rPr>
        <w:t xml:space="preserve"> </w:t>
      </w:r>
      <w:r w:rsidRPr="004622D7">
        <w:rPr>
          <w:sz w:val="28"/>
          <w:szCs w:val="28"/>
          <w:shd w:val="clear" w:color="auto" w:fill="FFFFFF"/>
          <w:lang w:val="uk-UA"/>
        </w:rPr>
        <w:t xml:space="preserve">Однак, незважаючи на явну очевидність, є роботи, в яких не було виявлено зв'язку між гіпотиреозом, зокрема субклінічним, і інсулінорезистентністю </w:t>
      </w:r>
      <w:r w:rsidRPr="004622D7">
        <w:rPr>
          <w:sz w:val="28"/>
          <w:szCs w:val="28"/>
          <w:shd w:val="clear" w:color="auto" w:fill="FFFFFF"/>
        </w:rPr>
        <w:t>[</w:t>
      </w:r>
      <w:r w:rsidRPr="004622D7">
        <w:rPr>
          <w:sz w:val="28"/>
          <w:szCs w:val="28"/>
          <w:shd w:val="clear" w:color="auto" w:fill="FFFFFF"/>
          <w:lang w:val="uk-UA"/>
        </w:rPr>
        <w:t>45</w:t>
      </w:r>
      <w:r w:rsidRPr="004622D7">
        <w:rPr>
          <w:sz w:val="28"/>
          <w:szCs w:val="28"/>
          <w:shd w:val="clear" w:color="auto" w:fill="FFFFFF"/>
        </w:rPr>
        <w:t>].</w:t>
      </w:r>
    </w:p>
    <w:p w:rsidR="00E3259F" w:rsidRPr="004622D7" w:rsidRDefault="00E3259F" w:rsidP="004622D7">
      <w:pPr>
        <w:spacing w:line="360" w:lineRule="auto"/>
        <w:ind w:firstLine="709"/>
        <w:jc w:val="both"/>
        <w:outlineLvl w:val="0"/>
        <w:rPr>
          <w:sz w:val="28"/>
          <w:szCs w:val="28"/>
        </w:rPr>
      </w:pPr>
      <w:r w:rsidRPr="004622D7">
        <w:rPr>
          <w:rStyle w:val="tlid-translation"/>
          <w:sz w:val="28"/>
          <w:szCs w:val="28"/>
          <w:lang w:val="uk-UA"/>
        </w:rPr>
        <w:t>Ожиріння вважається одним з головних факторів ризику збільшення серцево-судинної смертності при ЦД 2 типу. Між ожирінням та ІХС, ГХ та інсультом, завдяки його ролі у розвитку інсулінорезистентності, існує сильний позитивний кореляційний зв`язок. Існують дані, що зниження маси тіла (МТ) на перший рік після діагностики ЦД 2 типу призводить до зниження рівня смертності на 15–20%, проте  цілеспрямоване  зниження маси тіла на 0,5–9,0 кг, залежно від початкової маси тіла, пов'язане зі зниженням смертності від діабету на 30–40% [</w:t>
      </w:r>
      <w:r w:rsidRPr="004622D7">
        <w:rPr>
          <w:sz w:val="28"/>
          <w:szCs w:val="28"/>
          <w:lang w:val="uk-UA"/>
        </w:rPr>
        <w:t xml:space="preserve">138]. Відомо те, що як гіпотиреоз може впливати на масу тіла, так і жирова тканина може змінювати рівень тиреоїдних гормонів, приводячи до наявності збільшення маси тіла в більшості хворих зі СГТ.  Багаточислені дослідження вказують на </w:t>
      </w:r>
      <w:r w:rsidRPr="004622D7">
        <w:rPr>
          <w:rStyle w:val="tlid-translation"/>
          <w:rFonts w:eastAsiaTheme="majorEastAsia"/>
          <w:sz w:val="28"/>
          <w:szCs w:val="28"/>
          <w:lang w:val="uk-UA"/>
        </w:rPr>
        <w:t xml:space="preserve">позитивну асоціацію індексу маси тіла (ІМТ) з рівнем ТТГ, навіть у межах референтних значень, що може бути наслідком прогресивного накопичення жиру </w:t>
      </w:r>
      <w:r w:rsidRPr="004622D7">
        <w:rPr>
          <w:rStyle w:val="tlid-translation"/>
          <w:sz w:val="28"/>
          <w:szCs w:val="28"/>
          <w:lang w:val="uk-UA"/>
        </w:rPr>
        <w:t>[</w:t>
      </w:r>
      <w:r w:rsidRPr="004622D7">
        <w:rPr>
          <w:sz w:val="28"/>
          <w:szCs w:val="28"/>
        </w:rPr>
        <w:t>1</w:t>
      </w:r>
      <w:r w:rsidRPr="004622D7">
        <w:rPr>
          <w:sz w:val="28"/>
          <w:szCs w:val="28"/>
          <w:lang w:val="uk-UA"/>
        </w:rPr>
        <w:t>80,</w:t>
      </w:r>
      <w:r w:rsidRPr="004622D7">
        <w:rPr>
          <w:sz w:val="28"/>
          <w:szCs w:val="28"/>
        </w:rPr>
        <w:t>3</w:t>
      </w:r>
      <w:r w:rsidRPr="004622D7">
        <w:rPr>
          <w:sz w:val="28"/>
          <w:szCs w:val="28"/>
          <w:lang w:val="uk-UA"/>
        </w:rPr>
        <w:t>67</w:t>
      </w:r>
      <w:r w:rsidRPr="004622D7">
        <w:rPr>
          <w:sz w:val="28"/>
          <w:szCs w:val="28"/>
        </w:rPr>
        <w:t>]</w:t>
      </w:r>
      <w:r w:rsidRPr="004622D7">
        <w:rPr>
          <w:sz w:val="28"/>
          <w:szCs w:val="28"/>
          <w:lang w:val="uk-UA"/>
        </w:rPr>
        <w:t>.  Але наявність позитивного зв`язку між рівнями ТТГ та ІМТ отримана не всіма дослідниками [</w:t>
      </w:r>
      <w:r w:rsidRPr="004622D7">
        <w:rPr>
          <w:sz w:val="28"/>
          <w:szCs w:val="28"/>
        </w:rPr>
        <w:t>1</w:t>
      </w:r>
      <w:r w:rsidRPr="004622D7">
        <w:rPr>
          <w:sz w:val="28"/>
          <w:szCs w:val="28"/>
          <w:lang w:val="uk-UA"/>
        </w:rPr>
        <w:t>36,</w:t>
      </w:r>
      <w:r w:rsidRPr="004622D7">
        <w:rPr>
          <w:sz w:val="28"/>
          <w:szCs w:val="28"/>
        </w:rPr>
        <w:t>3</w:t>
      </w:r>
      <w:r w:rsidRPr="004622D7">
        <w:rPr>
          <w:sz w:val="28"/>
          <w:szCs w:val="28"/>
          <w:lang w:val="uk-UA"/>
        </w:rPr>
        <w:t xml:space="preserve">51].  </w:t>
      </w:r>
    </w:p>
    <w:p w:rsidR="00E3259F" w:rsidRPr="004622D7" w:rsidRDefault="00E3259F" w:rsidP="004622D7">
      <w:pPr>
        <w:spacing w:line="360" w:lineRule="auto"/>
        <w:ind w:firstLine="709"/>
        <w:jc w:val="both"/>
        <w:outlineLvl w:val="0"/>
        <w:rPr>
          <w:bCs/>
          <w:sz w:val="28"/>
          <w:szCs w:val="28"/>
          <w:lang w:val="uk-UA"/>
        </w:rPr>
      </w:pPr>
      <w:r w:rsidRPr="004622D7">
        <w:rPr>
          <w:bCs/>
          <w:sz w:val="28"/>
          <w:szCs w:val="28"/>
          <w:lang w:val="uk-UA"/>
        </w:rPr>
        <w:t xml:space="preserve">Визначення зв'язку між СГТ і змінами МТ осіб літнього віку було метою дослідження </w:t>
      </w:r>
      <w:r w:rsidRPr="004622D7">
        <w:rPr>
          <w:rStyle w:val="highlight"/>
          <w:rFonts w:eastAsiaTheme="majorEastAsia"/>
          <w:sz w:val="28"/>
          <w:szCs w:val="28"/>
          <w:lang w:val="en-US"/>
        </w:rPr>
        <w:t>Cardiovascular</w:t>
      </w:r>
      <w:r w:rsidRPr="004622D7">
        <w:rPr>
          <w:sz w:val="28"/>
          <w:szCs w:val="28"/>
          <w:lang w:val="uk-UA"/>
        </w:rPr>
        <w:t xml:space="preserve"> </w:t>
      </w:r>
      <w:r w:rsidRPr="004622D7">
        <w:rPr>
          <w:rStyle w:val="highlight"/>
          <w:rFonts w:eastAsiaTheme="majorEastAsia"/>
          <w:sz w:val="28"/>
          <w:szCs w:val="28"/>
          <w:lang w:val="en-US"/>
        </w:rPr>
        <w:t>Health</w:t>
      </w:r>
      <w:r w:rsidRPr="004622D7">
        <w:rPr>
          <w:sz w:val="28"/>
          <w:szCs w:val="28"/>
          <w:lang w:val="uk-UA"/>
        </w:rPr>
        <w:t xml:space="preserve"> </w:t>
      </w:r>
      <w:r w:rsidRPr="004622D7">
        <w:rPr>
          <w:rStyle w:val="highlight"/>
          <w:rFonts w:eastAsiaTheme="majorEastAsia"/>
          <w:sz w:val="28"/>
          <w:szCs w:val="28"/>
          <w:lang w:val="en-US"/>
        </w:rPr>
        <w:t>Study</w:t>
      </w:r>
      <w:r w:rsidRPr="004622D7">
        <w:rPr>
          <w:bCs/>
          <w:sz w:val="28"/>
          <w:szCs w:val="28"/>
          <w:lang w:val="uk-UA"/>
        </w:rPr>
        <w:t xml:space="preserve">, що включало 427 пацієнтів з СГТ у віці старше 65 років з періодом спостереження 6 років [215]. Автори дослідження не виявили коливань МТ в пацієнтів зі СГТ порівняно з групою контролю з еутиреоїдним станом. Між тим, підвищення рівня ТТГ на 1 мкМОд/мл як при СГТ, так і при еутиреозі асоціювалося з наявністю більш високої базової МТ на 0,5-1,5 кг  у жінок, але в чоловіків подібного зв`язку знайдено не було. </w:t>
      </w:r>
    </w:p>
    <w:p w:rsidR="00E3259F" w:rsidRPr="004622D7" w:rsidRDefault="00E3259F" w:rsidP="004622D7">
      <w:pPr>
        <w:spacing w:line="360" w:lineRule="auto"/>
        <w:ind w:firstLine="709"/>
        <w:jc w:val="both"/>
        <w:rPr>
          <w:sz w:val="28"/>
          <w:szCs w:val="28"/>
        </w:rPr>
      </w:pPr>
      <w:r w:rsidRPr="004622D7">
        <w:rPr>
          <w:sz w:val="28"/>
          <w:szCs w:val="28"/>
        </w:rPr>
        <w:t>Дослідження останніх років, переконливо показали важливий та самостійний вплив ендотелію</w:t>
      </w:r>
      <w:r w:rsidRPr="004622D7">
        <w:rPr>
          <w:b/>
          <w:sz w:val="28"/>
          <w:szCs w:val="28"/>
        </w:rPr>
        <w:t xml:space="preserve"> </w:t>
      </w:r>
      <w:r w:rsidRPr="004622D7">
        <w:rPr>
          <w:sz w:val="28"/>
          <w:szCs w:val="28"/>
        </w:rPr>
        <w:t xml:space="preserve">на розвиток ССЗ. </w:t>
      </w:r>
      <w:r w:rsidRPr="004622D7">
        <w:rPr>
          <w:rStyle w:val="tlid-translation"/>
          <w:rFonts w:eastAsiaTheme="majorEastAsia"/>
          <w:sz w:val="28"/>
          <w:szCs w:val="28"/>
          <w:lang w:val="uk-UA"/>
        </w:rPr>
        <w:t xml:space="preserve">У минулому ендотелій вважався лише механічним бар'єром. Сьогодні відомо, що ендотелій є тканиною, яка регулює тонус судин, ріст клітин, узаємодію між лейкоцитами, тромбоцитами та судинною стінкою, синтезує фактори росту й тромбо-регуляторні молекули, реагує на фізичні й хімічні сигнали. Термін «ендотеліальна дисфункція»  (ЕД) зазвичай використовується для визначення погіршення ендотелій-залежної вазодилатації, але цей термін також включає аномальну взаємодію між ендотелієм та лейкоцитами, тромбоцитами, регуляторними молекулами та станами, що призводять до аберрантної активації ендотелію </w:t>
      </w:r>
      <w:r w:rsidRPr="004622D7">
        <w:rPr>
          <w:rStyle w:val="tlid-translation"/>
          <w:sz w:val="28"/>
          <w:szCs w:val="28"/>
          <w:lang w:val="uk-UA"/>
        </w:rPr>
        <w:t>[</w:t>
      </w:r>
      <w:r w:rsidRPr="004622D7">
        <w:rPr>
          <w:sz w:val="28"/>
          <w:szCs w:val="28"/>
        </w:rPr>
        <w:t>2</w:t>
      </w:r>
      <w:r w:rsidRPr="004622D7">
        <w:rPr>
          <w:sz w:val="28"/>
          <w:szCs w:val="28"/>
          <w:lang w:val="uk-UA"/>
        </w:rPr>
        <w:t>60</w:t>
      </w:r>
      <w:r w:rsidRPr="004622D7">
        <w:rPr>
          <w:sz w:val="28"/>
          <w:szCs w:val="28"/>
        </w:rPr>
        <w:t>]</w:t>
      </w:r>
      <w:r w:rsidRPr="004622D7">
        <w:rPr>
          <w:sz w:val="28"/>
          <w:szCs w:val="28"/>
          <w:lang w:val="uk-UA"/>
        </w:rPr>
        <w:t xml:space="preserve">. </w:t>
      </w:r>
    </w:p>
    <w:p w:rsidR="00E3259F" w:rsidRPr="004622D7" w:rsidRDefault="00E3259F" w:rsidP="004622D7">
      <w:pPr>
        <w:spacing w:line="360" w:lineRule="auto"/>
        <w:ind w:firstLine="709"/>
        <w:jc w:val="both"/>
        <w:rPr>
          <w:rFonts w:eastAsiaTheme="minorHAnsi"/>
          <w:sz w:val="28"/>
          <w:szCs w:val="28"/>
          <w:lang w:val="uk-UA"/>
        </w:rPr>
      </w:pPr>
      <w:r w:rsidRPr="004622D7">
        <w:rPr>
          <w:sz w:val="28"/>
          <w:szCs w:val="28"/>
          <w:lang w:val="uk-UA"/>
        </w:rPr>
        <w:t xml:space="preserve">Ендотелію на цей час відводиться </w:t>
      </w:r>
      <w:r w:rsidRPr="004622D7">
        <w:rPr>
          <w:sz w:val="28"/>
          <w:szCs w:val="28"/>
        </w:rPr>
        <w:t xml:space="preserve">головна роль </w:t>
      </w:r>
      <w:r w:rsidRPr="004622D7">
        <w:rPr>
          <w:sz w:val="28"/>
          <w:szCs w:val="28"/>
          <w:lang w:val="uk-UA"/>
        </w:rPr>
        <w:t xml:space="preserve">у </w:t>
      </w:r>
      <w:r w:rsidRPr="004622D7">
        <w:rPr>
          <w:sz w:val="28"/>
          <w:szCs w:val="28"/>
        </w:rPr>
        <w:t>розвитку атеросклеротичних змін судинної стінки, ремоделюванню судин, ангіогенезу.</w:t>
      </w:r>
      <w:r w:rsidRPr="004622D7">
        <w:rPr>
          <w:sz w:val="28"/>
          <w:szCs w:val="28"/>
          <w:lang w:val="uk-UA"/>
        </w:rPr>
        <w:t xml:space="preserve"> Відома роль ЕД не лише, як патогенетичного механізму, але і як фактору ризику розвитку атеросклерозу, ІХС, ГХ, хронічної серцевої недостатності [</w:t>
      </w:r>
      <w:r w:rsidRPr="004622D7">
        <w:rPr>
          <w:sz w:val="28"/>
          <w:szCs w:val="28"/>
        </w:rPr>
        <w:t>1</w:t>
      </w:r>
      <w:r w:rsidRPr="004622D7">
        <w:rPr>
          <w:sz w:val="28"/>
          <w:szCs w:val="28"/>
          <w:lang w:val="uk-UA"/>
        </w:rPr>
        <w:t>39</w:t>
      </w:r>
      <w:r w:rsidRPr="004622D7">
        <w:rPr>
          <w:sz w:val="28"/>
          <w:szCs w:val="28"/>
        </w:rPr>
        <w:t>,2</w:t>
      </w:r>
      <w:r w:rsidRPr="004622D7">
        <w:rPr>
          <w:sz w:val="28"/>
          <w:szCs w:val="28"/>
          <w:lang w:val="uk-UA"/>
        </w:rPr>
        <w:t xml:space="preserve">60]. Упродовж двох останніх десятиліть активно розвивається концепція ЕД, як одного з основних механізмів реалізації усіх факторів серцево-судинного ризику, а також, як раннього маркера розвитку та прогресування атеросклерозу. Відомо, що ризик розвитку ЕД збільшується залежно від загальної кількості факторів ризику та їх комбінації [125].  </w:t>
      </w:r>
      <w:r w:rsidRPr="004622D7">
        <w:rPr>
          <w:sz w:val="28"/>
          <w:szCs w:val="28"/>
        </w:rPr>
        <w:t>Таким чином, ЕД є одн</w:t>
      </w:r>
      <w:r w:rsidRPr="004622D7">
        <w:rPr>
          <w:sz w:val="28"/>
          <w:szCs w:val="28"/>
          <w:lang w:val="uk-UA"/>
        </w:rPr>
        <w:t>ією</w:t>
      </w:r>
      <w:r w:rsidRPr="004622D7">
        <w:rPr>
          <w:sz w:val="28"/>
          <w:szCs w:val="28"/>
        </w:rPr>
        <w:t xml:space="preserve"> з ключових ланок серцево-судинного континууму.</w:t>
      </w:r>
    </w:p>
    <w:p w:rsidR="00E3259F" w:rsidRPr="004622D7" w:rsidRDefault="00E3259F" w:rsidP="004622D7">
      <w:pPr>
        <w:shd w:val="clear" w:color="auto" w:fill="FFFFFF"/>
        <w:spacing w:line="360" w:lineRule="auto"/>
        <w:ind w:firstLine="709"/>
        <w:jc w:val="both"/>
        <w:rPr>
          <w:sz w:val="28"/>
          <w:szCs w:val="28"/>
          <w:lang w:val="uk-UA"/>
        </w:rPr>
      </w:pPr>
      <w:r w:rsidRPr="004622D7">
        <w:rPr>
          <w:sz w:val="28"/>
          <w:szCs w:val="28"/>
          <w:lang w:val="uk-UA"/>
        </w:rPr>
        <w:t xml:space="preserve">Відомо, що поряд з ГХ, ЦД, гіперхолестеринемія та низька інших чинників можуть привести до розвитку та прогресування ЕД, і, як наслідок, запуску цілого каскаду явищ і виникаючих на їх основі ССУ, причому ризик розвитку ДЕ підвищується залежно від збільшення загального числа факторів ризику в пацієнта та їх комбінації. Безсумнівно, механізми розвитку ДЕ при коморбідній патології, зокрема ГХ в поєднанні з ЦД 2 типу і гіпотиреозом, зокрема субклінічним, складні й недостатньо вивчені. Так у дослідженні </w:t>
      </w:r>
      <w:r w:rsidRPr="004622D7">
        <w:rPr>
          <w:sz w:val="28"/>
          <w:szCs w:val="28"/>
        </w:rPr>
        <w:t>Lekakis</w:t>
      </w:r>
      <w:r w:rsidRPr="004622D7">
        <w:rPr>
          <w:sz w:val="28"/>
          <w:szCs w:val="28"/>
          <w:lang w:val="uk-UA"/>
        </w:rPr>
        <w:t xml:space="preserve"> </w:t>
      </w:r>
      <w:r w:rsidRPr="004622D7">
        <w:rPr>
          <w:sz w:val="28"/>
          <w:szCs w:val="28"/>
        </w:rPr>
        <w:t>J</w:t>
      </w:r>
      <w:r w:rsidRPr="004622D7">
        <w:rPr>
          <w:sz w:val="28"/>
          <w:szCs w:val="28"/>
          <w:lang w:val="uk-UA"/>
        </w:rPr>
        <w:t>. та співавт. було встановлено, що ЕД виявляється навіть у межах нормальних значень ТТГ та погіршується зі збільшенням рівня ТТГ [</w:t>
      </w:r>
      <w:r w:rsidRPr="004622D7">
        <w:rPr>
          <w:bCs/>
          <w:sz w:val="28"/>
          <w:szCs w:val="28"/>
          <w:lang w:val="uk-UA"/>
        </w:rPr>
        <w:t>263</w:t>
      </w:r>
      <w:r w:rsidRPr="004622D7">
        <w:rPr>
          <w:sz w:val="28"/>
          <w:szCs w:val="28"/>
          <w:lang w:val="uk-UA"/>
        </w:rPr>
        <w:t>].</w:t>
      </w:r>
    </w:p>
    <w:p w:rsidR="00E3259F" w:rsidRPr="004622D7" w:rsidRDefault="00E3259F" w:rsidP="004622D7">
      <w:pPr>
        <w:shd w:val="clear" w:color="auto" w:fill="FFFFFF"/>
        <w:spacing w:line="360" w:lineRule="auto"/>
        <w:ind w:firstLine="709"/>
        <w:jc w:val="both"/>
        <w:rPr>
          <w:sz w:val="28"/>
          <w:szCs w:val="28"/>
          <w:lang w:val="uk-UA"/>
        </w:rPr>
      </w:pPr>
      <w:r w:rsidRPr="004622D7">
        <w:rPr>
          <w:sz w:val="28"/>
          <w:szCs w:val="28"/>
          <w:lang w:val="uk-UA"/>
        </w:rPr>
        <w:t xml:space="preserve">Наявність прямого з`в’язку між товщиною комплексу інтима-медіа (ТКІМ) каротидних судин як маркера  ЕД  та раннього атеросклерозу при СГТ продемонстровано в мета-аналізі, який був проведений </w:t>
      </w:r>
      <w:r w:rsidRPr="004622D7">
        <w:rPr>
          <w:sz w:val="28"/>
          <w:szCs w:val="28"/>
        </w:rPr>
        <w:t>Gong</w:t>
      </w:r>
      <w:r w:rsidRPr="004622D7">
        <w:rPr>
          <w:sz w:val="28"/>
          <w:szCs w:val="28"/>
          <w:lang w:val="uk-UA"/>
        </w:rPr>
        <w:t xml:space="preserve"> </w:t>
      </w:r>
      <w:r w:rsidRPr="004622D7">
        <w:rPr>
          <w:sz w:val="28"/>
          <w:szCs w:val="28"/>
        </w:rPr>
        <w:t>N</w:t>
      </w:r>
      <w:r w:rsidRPr="004622D7">
        <w:rPr>
          <w:sz w:val="28"/>
          <w:szCs w:val="28"/>
          <w:lang w:val="uk-UA"/>
        </w:rPr>
        <w:t xml:space="preserve"> та співав. та включав 1521 пацієнта з СГТ [219]. Автори підкреслюють, що наявність ГХ та дисліпідемії може відіграти значну роль у розвитку ЕД у цієї когорти хворих. Наявність потовщення ТКІМ при СГТ порівняно з особами з еутиреозом було також продемонстровано в іншому мета-аналізі, який був проведений вченими зі США [140</w:t>
      </w:r>
      <w:r w:rsidRPr="004622D7">
        <w:rPr>
          <w:rStyle w:val="doi"/>
          <w:sz w:val="28"/>
          <w:szCs w:val="28"/>
        </w:rPr>
        <w:t>]</w:t>
      </w:r>
      <w:r w:rsidRPr="004622D7">
        <w:rPr>
          <w:rStyle w:val="doi"/>
          <w:sz w:val="28"/>
          <w:szCs w:val="28"/>
          <w:lang w:val="uk-UA"/>
        </w:rPr>
        <w:t>. Крім того, було описано залежність між ТКІМ та рівнем ТТГ у межах субклінічного діапазону: так у пацієнтів з ТТГ більше 10 мкМО/мл ТКІМ була більше, ніж при СГТ з помірним підвищенням ТТГ (до 10 мкМО/мл) [</w:t>
      </w:r>
      <w:r w:rsidRPr="004622D7">
        <w:rPr>
          <w:sz w:val="28"/>
          <w:szCs w:val="28"/>
          <w:lang w:val="uk-UA"/>
        </w:rPr>
        <w:t>413]. Але надалі бракує робіт, присвячених дослідженню ТКІМ при СГТ з ТТГ у діапазоні 4,0-10 мкМО/мл, зокрема при коморбідності з іншими захворюваннями.</w:t>
      </w:r>
    </w:p>
    <w:p w:rsidR="00E3259F" w:rsidRPr="004622D7" w:rsidRDefault="00E3259F" w:rsidP="004622D7">
      <w:pPr>
        <w:pStyle w:val="1"/>
        <w:shd w:val="clear" w:color="auto" w:fill="FFFFFF"/>
        <w:spacing w:before="0" w:beforeAutospacing="0" w:after="0" w:afterAutospacing="0" w:line="360" w:lineRule="auto"/>
        <w:ind w:firstLine="709"/>
        <w:jc w:val="both"/>
        <w:textAlignment w:val="top"/>
        <w:rPr>
          <w:b w:val="0"/>
          <w:sz w:val="28"/>
          <w:szCs w:val="28"/>
        </w:rPr>
      </w:pPr>
      <w:r w:rsidRPr="004622D7">
        <w:rPr>
          <w:b w:val="0"/>
          <w:sz w:val="28"/>
          <w:szCs w:val="28"/>
          <w:lang w:val="uk-UA"/>
        </w:rPr>
        <w:t>Існує велика кількість плазмових маркерів ЕД. Відомо, що о</w:t>
      </w:r>
      <w:r w:rsidRPr="004622D7">
        <w:rPr>
          <w:rStyle w:val="tlid-translation"/>
          <w:rFonts w:eastAsiaTheme="majorEastAsia"/>
          <w:b w:val="0"/>
          <w:sz w:val="28"/>
          <w:szCs w:val="28"/>
          <w:lang w:val="uk-UA"/>
        </w:rPr>
        <w:t xml:space="preserve">дним з визнаних біомаркерів дисфункції ендотелію є васкулоендотеліальний фактор росту (ВЕФР, </w:t>
      </w:r>
      <w:r w:rsidRPr="004622D7">
        <w:rPr>
          <w:b w:val="0"/>
          <w:sz w:val="28"/>
          <w:szCs w:val="28"/>
          <w:lang w:val="en-US"/>
        </w:rPr>
        <w:t>Vascular</w:t>
      </w:r>
      <w:r w:rsidRPr="004622D7">
        <w:rPr>
          <w:b w:val="0"/>
          <w:sz w:val="28"/>
          <w:szCs w:val="28"/>
          <w:lang w:val="uk-UA"/>
        </w:rPr>
        <w:t xml:space="preserve"> </w:t>
      </w:r>
      <w:r w:rsidRPr="004622D7">
        <w:rPr>
          <w:b w:val="0"/>
          <w:sz w:val="28"/>
          <w:szCs w:val="28"/>
          <w:lang w:val="en-US"/>
        </w:rPr>
        <w:t>endothelial</w:t>
      </w:r>
      <w:r w:rsidRPr="004622D7">
        <w:rPr>
          <w:b w:val="0"/>
          <w:sz w:val="28"/>
          <w:szCs w:val="28"/>
          <w:lang w:val="uk-UA"/>
        </w:rPr>
        <w:t xml:space="preserve"> </w:t>
      </w:r>
      <w:r w:rsidRPr="004622D7">
        <w:rPr>
          <w:b w:val="0"/>
          <w:sz w:val="28"/>
          <w:szCs w:val="28"/>
          <w:lang w:val="en-US"/>
        </w:rPr>
        <w:t>growth</w:t>
      </w:r>
      <w:r w:rsidRPr="004622D7">
        <w:rPr>
          <w:b w:val="0"/>
          <w:sz w:val="28"/>
          <w:szCs w:val="28"/>
          <w:lang w:val="uk-UA"/>
        </w:rPr>
        <w:t xml:space="preserve"> </w:t>
      </w:r>
      <w:r w:rsidRPr="004622D7">
        <w:rPr>
          <w:b w:val="0"/>
          <w:sz w:val="28"/>
          <w:szCs w:val="28"/>
          <w:lang w:val="en-US"/>
        </w:rPr>
        <w:t>factor</w:t>
      </w:r>
      <w:r w:rsidRPr="004622D7">
        <w:rPr>
          <w:b w:val="0"/>
          <w:sz w:val="28"/>
          <w:szCs w:val="28"/>
          <w:lang w:val="uk-UA"/>
        </w:rPr>
        <w:t xml:space="preserve">-А - </w:t>
      </w:r>
      <w:r w:rsidRPr="004622D7">
        <w:rPr>
          <w:b w:val="0"/>
          <w:sz w:val="28"/>
          <w:szCs w:val="28"/>
          <w:lang w:val="en-US"/>
        </w:rPr>
        <w:t>VEGF</w:t>
      </w:r>
      <w:r w:rsidRPr="004622D7">
        <w:rPr>
          <w:b w:val="0"/>
          <w:sz w:val="28"/>
          <w:szCs w:val="28"/>
          <w:lang w:val="uk-UA"/>
        </w:rPr>
        <w:t>-А</w:t>
      </w:r>
      <w:r w:rsidRPr="004622D7">
        <w:rPr>
          <w:rStyle w:val="tlid-translation"/>
          <w:rFonts w:eastAsiaTheme="majorEastAsia"/>
          <w:b w:val="0"/>
          <w:sz w:val="28"/>
          <w:szCs w:val="28"/>
          <w:lang w:val="uk-UA"/>
        </w:rPr>
        <w:t xml:space="preserve">), який активується при формуванні атеросклерозу, гіпертонічної хвороби, ЦД 2 типу </w:t>
      </w:r>
      <w:r w:rsidRPr="004622D7">
        <w:rPr>
          <w:b w:val="0"/>
          <w:sz w:val="28"/>
          <w:szCs w:val="28"/>
          <w:shd w:val="clear" w:color="auto" w:fill="FFFFFF"/>
          <w:lang w:val="uk-UA"/>
        </w:rPr>
        <w:t xml:space="preserve">[40,105]. </w:t>
      </w:r>
      <w:r w:rsidRPr="004622D7">
        <w:rPr>
          <w:b w:val="0"/>
          <w:sz w:val="28"/>
          <w:szCs w:val="28"/>
          <w:lang w:val="uk-UA"/>
        </w:rPr>
        <w:t>Виділення ВЕФР полегшує процес міграції моноцитів з подальшою трансформацією в макрофаги, що призводить до утворення спочатку пінистих клітин, а потім атеросклеротичної бляшки. Участь ВЕФР в утворенні судин de novo вважається одним з можливих патогенетичних чинників, що пояснює прогресування  розвитку атеросклеротичної бляшки [169]. Є дані, що ВЕФР відіграє важливу роль при захворюваннях серцево-судинної системи, зокрема при ГХ він сприяє ремоделюванню судинної стінки [62,105]. Вважається, що виявлення даного показника в сироватці крові є найбільш раннім маркером розвитку ЕД, коли навіть  активне внутрішньосудинне запалення ще не розпочалось. ВЕФР є важливою біоактивною речовиною, яка бере участь у розвитку судинних ускладнень при ЦД. Однак, наявні на цей час дані щодо рівня ВЕФР при ЦД і його ускладненнях досить суперечливі. Є роботи у яких описується як збільшення, так і зниження рівнів ВЕФР при ЦД. ВЕФР успішно застосовувався для лікування ішемії при діабетичному ураженні кінцівок [</w:t>
      </w:r>
      <w:r w:rsidRPr="004622D7">
        <w:rPr>
          <w:b w:val="0"/>
          <w:bCs w:val="0"/>
          <w:sz w:val="28"/>
          <w:szCs w:val="28"/>
          <w:lang w:val="uk-UA"/>
        </w:rPr>
        <w:t>386</w:t>
      </w:r>
      <w:r w:rsidRPr="004622D7">
        <w:rPr>
          <w:sz w:val="28"/>
          <w:szCs w:val="28"/>
          <w:lang w:val="uk-UA"/>
        </w:rPr>
        <w:t>]</w:t>
      </w:r>
      <w:r w:rsidRPr="004622D7">
        <w:rPr>
          <w:b w:val="0"/>
          <w:sz w:val="28"/>
          <w:szCs w:val="28"/>
          <w:lang w:val="uk-UA"/>
        </w:rPr>
        <w:t xml:space="preserve">.  </w:t>
      </w:r>
    </w:p>
    <w:p w:rsidR="00E3259F" w:rsidRPr="004622D7" w:rsidRDefault="00E3259F" w:rsidP="004622D7">
      <w:pPr>
        <w:pStyle w:val="1"/>
        <w:shd w:val="clear" w:color="auto" w:fill="FFFFFF"/>
        <w:spacing w:before="0" w:beforeAutospacing="0" w:after="0" w:afterAutospacing="0" w:line="360" w:lineRule="auto"/>
        <w:ind w:firstLine="709"/>
        <w:jc w:val="both"/>
        <w:textAlignment w:val="top"/>
        <w:rPr>
          <w:b w:val="0"/>
          <w:sz w:val="28"/>
          <w:szCs w:val="28"/>
          <w:shd w:val="clear" w:color="auto" w:fill="FFFFFF"/>
          <w:lang w:val="uk-UA"/>
        </w:rPr>
      </w:pPr>
      <w:r w:rsidRPr="004622D7">
        <w:rPr>
          <w:b w:val="0"/>
          <w:sz w:val="28"/>
          <w:szCs w:val="28"/>
          <w:lang w:val="uk-UA"/>
        </w:rPr>
        <w:t>З іншого боку, інгібування ВЕФР використовувалося при діабетичній ретинопатії [</w:t>
      </w:r>
      <w:r w:rsidRPr="004622D7">
        <w:rPr>
          <w:b w:val="0"/>
          <w:bCs w:val="0"/>
          <w:sz w:val="28"/>
          <w:szCs w:val="28"/>
          <w:lang w:val="uk-UA"/>
        </w:rPr>
        <w:t>386</w:t>
      </w:r>
      <w:r w:rsidRPr="004622D7">
        <w:rPr>
          <w:sz w:val="28"/>
          <w:szCs w:val="28"/>
          <w:lang w:val="uk-UA"/>
        </w:rPr>
        <w:t>]</w:t>
      </w:r>
      <w:r w:rsidRPr="004622D7">
        <w:rPr>
          <w:b w:val="0"/>
          <w:sz w:val="28"/>
          <w:szCs w:val="28"/>
          <w:lang w:val="uk-UA"/>
        </w:rPr>
        <w:t xml:space="preserve">. </w:t>
      </w:r>
      <w:r w:rsidRPr="004622D7">
        <w:rPr>
          <w:sz w:val="28"/>
          <w:szCs w:val="28"/>
          <w:shd w:val="clear" w:color="auto" w:fill="FFFFFF"/>
          <w:lang w:val="uk-UA"/>
        </w:rPr>
        <w:t xml:space="preserve"> </w:t>
      </w:r>
      <w:r w:rsidRPr="004622D7">
        <w:rPr>
          <w:b w:val="0"/>
          <w:sz w:val="28"/>
          <w:szCs w:val="28"/>
          <w:lang w:val="uk-UA"/>
        </w:rPr>
        <w:t>Особливий інтерес представляє вивчення коморбідних станів, для кожного з яких характерна наявність у патогенезі ЕД та чинників, які її поглиблюють, що може проявитися в посиленні експресії VEGF-A та вочевидь відіграє важливу роль у розумінні спільності патогенетичних процесів і розробці більш ефективних профілактичних та лікувальних заходів.</w:t>
      </w:r>
    </w:p>
    <w:p w:rsidR="00E3259F" w:rsidRPr="004622D7" w:rsidRDefault="00E3259F" w:rsidP="004622D7">
      <w:pPr>
        <w:shd w:val="clear" w:color="auto" w:fill="FFFFFF"/>
        <w:spacing w:line="360" w:lineRule="auto"/>
        <w:ind w:firstLine="709"/>
        <w:jc w:val="both"/>
        <w:rPr>
          <w:sz w:val="28"/>
          <w:szCs w:val="28"/>
          <w:lang w:val="uk-UA"/>
        </w:rPr>
      </w:pPr>
      <w:r w:rsidRPr="004622D7">
        <w:rPr>
          <w:sz w:val="28"/>
          <w:szCs w:val="28"/>
          <w:shd w:val="clear" w:color="auto" w:fill="FFFFFF"/>
          <w:lang w:val="uk-UA"/>
        </w:rPr>
        <w:t xml:space="preserve"> </w:t>
      </w:r>
      <w:r w:rsidRPr="004622D7">
        <w:rPr>
          <w:rStyle w:val="tlid-translation"/>
          <w:rFonts w:eastAsiaTheme="majorEastAsia"/>
          <w:sz w:val="28"/>
          <w:szCs w:val="28"/>
        </w:rPr>
        <w:t xml:space="preserve">В останнє десятиріччя серйозна увага також приділяється дослідженню молекулярно-клітинних механізмів розвитку ЕД. </w:t>
      </w:r>
      <w:r w:rsidRPr="004622D7">
        <w:rPr>
          <w:rStyle w:val="tlid-translation"/>
          <w:rFonts w:eastAsiaTheme="majorEastAsia"/>
          <w:sz w:val="28"/>
          <w:szCs w:val="28"/>
          <w:lang w:val="uk-UA"/>
        </w:rPr>
        <w:t>У</w:t>
      </w:r>
      <w:r w:rsidRPr="004622D7">
        <w:rPr>
          <w:rStyle w:val="tlid-translation"/>
          <w:rFonts w:eastAsiaTheme="majorEastAsia"/>
          <w:sz w:val="28"/>
          <w:szCs w:val="28"/>
        </w:rPr>
        <w:t>шкодження ендотелію судин супроводжується десквамацією ендотеліальних клітин з попаданням їх у кровотік. Тому визначення кількості циркулюючих десквам</w:t>
      </w:r>
      <w:r w:rsidRPr="004622D7">
        <w:rPr>
          <w:rStyle w:val="tlid-translation"/>
          <w:rFonts w:eastAsiaTheme="majorEastAsia"/>
          <w:sz w:val="28"/>
          <w:szCs w:val="28"/>
          <w:lang w:val="uk-UA"/>
        </w:rPr>
        <w:t xml:space="preserve">ованих </w:t>
      </w:r>
      <w:r w:rsidRPr="004622D7">
        <w:rPr>
          <w:rStyle w:val="tlid-translation"/>
          <w:rFonts w:eastAsiaTheme="majorEastAsia"/>
          <w:sz w:val="28"/>
          <w:szCs w:val="28"/>
        </w:rPr>
        <w:t xml:space="preserve">ендотеліальних клітин (ЦДЕК) </w:t>
      </w:r>
      <w:r w:rsidRPr="004622D7">
        <w:rPr>
          <w:rStyle w:val="tlid-translation"/>
          <w:rFonts w:eastAsiaTheme="majorEastAsia"/>
          <w:sz w:val="28"/>
          <w:szCs w:val="28"/>
          <w:lang w:val="uk-UA"/>
        </w:rPr>
        <w:t>у</w:t>
      </w:r>
      <w:r w:rsidRPr="004622D7">
        <w:rPr>
          <w:rStyle w:val="tlid-translation"/>
          <w:rFonts w:eastAsiaTheme="majorEastAsia"/>
          <w:sz w:val="28"/>
          <w:szCs w:val="28"/>
        </w:rPr>
        <w:t xml:space="preserve"> крові багатьма дослідниками визнається як прямий клітинний маркер дисфункції ендотелію та вважається одним з найбільш простих, досить інформативних і доступних методів </w:t>
      </w:r>
      <w:r w:rsidRPr="004622D7">
        <w:rPr>
          <w:sz w:val="28"/>
          <w:szCs w:val="28"/>
        </w:rPr>
        <w:t>[</w:t>
      </w:r>
      <w:r w:rsidRPr="004622D7">
        <w:rPr>
          <w:sz w:val="28"/>
          <w:szCs w:val="28"/>
          <w:lang w:val="uk-UA"/>
        </w:rPr>
        <w:t>120</w:t>
      </w:r>
      <w:r w:rsidRPr="004622D7">
        <w:rPr>
          <w:sz w:val="28"/>
          <w:szCs w:val="28"/>
        </w:rPr>
        <w:t xml:space="preserve">]. </w:t>
      </w:r>
      <w:r w:rsidRPr="004622D7">
        <w:rPr>
          <w:sz w:val="28"/>
          <w:szCs w:val="28"/>
          <w:lang w:val="uk-UA"/>
        </w:rPr>
        <w:t xml:space="preserve"> Існують роботи, у яких продемонстровано збільшення цих клітин при різних патологічних станах, включаючи різні ССЗ [263]. </w:t>
      </w:r>
    </w:p>
    <w:p w:rsidR="00E3259F" w:rsidRPr="004622D7" w:rsidRDefault="00E3259F" w:rsidP="004622D7">
      <w:pPr>
        <w:shd w:val="clear" w:color="auto" w:fill="FFFFFF"/>
        <w:spacing w:line="360" w:lineRule="auto"/>
        <w:ind w:firstLine="709"/>
        <w:jc w:val="both"/>
        <w:rPr>
          <w:sz w:val="28"/>
          <w:szCs w:val="28"/>
          <w:lang w:val="uk-UA"/>
        </w:rPr>
      </w:pPr>
      <w:r w:rsidRPr="004622D7">
        <w:rPr>
          <w:sz w:val="28"/>
          <w:szCs w:val="28"/>
          <w:lang w:val="uk-UA"/>
        </w:rPr>
        <w:t>Незважаючи на те, що ендотеліальна дисфункція при СГТ не сягає ступеню морфологічного ушкодження ендотелію, комплексне дослідження плазмових маркерів та маркерів морфологічного ушкодження ендотелію при поєднаному перебігу СГТ, ГХ та ЦД 2 типу буде доцільним. Вважається, що поряд зі ЦД 2 типу, гіпотиреоз, зокрема субклінічний, вносить значний внесок у формування кардіометаболічних факторів ризику, що визначають прогноз при ГХ, ішемічній хворобі серця (ІХС) та інших станах[91,407]. Імовірно, що їх патологічний вплив також реалізується через ЕД.</w:t>
      </w:r>
    </w:p>
    <w:p w:rsidR="00E3259F" w:rsidRPr="004622D7" w:rsidRDefault="00E3259F" w:rsidP="004622D7">
      <w:pPr>
        <w:spacing w:line="360" w:lineRule="auto"/>
        <w:ind w:firstLine="709"/>
        <w:jc w:val="both"/>
        <w:rPr>
          <w:rStyle w:val="tlid-translation"/>
          <w:rFonts w:eastAsiaTheme="majorEastAsia"/>
          <w:lang w:val="uk-UA"/>
        </w:rPr>
      </w:pPr>
      <w:r w:rsidRPr="004622D7">
        <w:rPr>
          <w:sz w:val="28"/>
          <w:szCs w:val="28"/>
          <w:lang w:val="uk-UA"/>
        </w:rPr>
        <w:t xml:space="preserve"> </w:t>
      </w:r>
      <w:r w:rsidRPr="004622D7">
        <w:rPr>
          <w:rStyle w:val="tlid-translation"/>
          <w:rFonts w:eastAsiaTheme="majorEastAsia"/>
          <w:sz w:val="28"/>
          <w:szCs w:val="28"/>
          <w:lang w:val="uk-UA"/>
        </w:rPr>
        <w:t>Крім традиційних кардіоваскулярних факторів, хронічне запалення, що відбувається в ендотелії, вважається одним із ключових компонентів, причетних до розвитку й прогресуванню атеросклерозу і підвищеним ризиком серцево-судинних подій [98,110]</w:t>
      </w:r>
      <w:r w:rsidRPr="004622D7">
        <w:rPr>
          <w:sz w:val="28"/>
          <w:szCs w:val="28"/>
          <w:lang w:val="uk-UA"/>
        </w:rPr>
        <w:t xml:space="preserve">, що, зокрема, підтверджується зростанням рівня </w:t>
      </w:r>
      <w:r w:rsidRPr="004622D7">
        <w:rPr>
          <w:rStyle w:val="tlid-translation"/>
          <w:rFonts w:eastAsiaTheme="majorEastAsia"/>
          <w:sz w:val="28"/>
          <w:szCs w:val="28"/>
          <w:lang w:val="uk-UA"/>
        </w:rPr>
        <w:t>С-реактивного протеїну (</w:t>
      </w:r>
      <w:r w:rsidRPr="004622D7">
        <w:rPr>
          <w:sz w:val="28"/>
          <w:szCs w:val="28"/>
          <w:lang w:val="uk-UA"/>
        </w:rPr>
        <w:t xml:space="preserve">СРП), інтерлейкіну- 6, фактора некрозу пухлин-альфа (ФНП-α) та інших прозапальних чинників [122]. </w:t>
      </w:r>
      <w:r w:rsidRPr="004622D7">
        <w:rPr>
          <w:rStyle w:val="tlid-translation"/>
          <w:rFonts w:eastAsiaTheme="majorEastAsia"/>
          <w:sz w:val="28"/>
          <w:szCs w:val="28"/>
          <w:lang w:val="uk-UA"/>
        </w:rPr>
        <w:t xml:space="preserve">Масштабні проспективні епідеміологічні та клінічні дослідження показали, що значення базового рівня СРП безпосередньо пов'язані з ризиком розвитку серцево-судинних захворювань та їх ускладнень </w:t>
      </w:r>
      <w:r w:rsidRPr="004622D7">
        <w:rPr>
          <w:rStyle w:val="tlid-translation"/>
          <w:sz w:val="28"/>
          <w:szCs w:val="28"/>
          <w:lang w:val="uk-UA"/>
        </w:rPr>
        <w:t>[195].</w:t>
      </w:r>
      <w:r w:rsidRPr="004622D7">
        <w:rPr>
          <w:rStyle w:val="tlid-translation"/>
          <w:rFonts w:eastAsiaTheme="majorEastAsia"/>
          <w:sz w:val="28"/>
          <w:szCs w:val="28"/>
          <w:lang w:val="uk-UA"/>
        </w:rPr>
        <w:t xml:space="preserve"> </w:t>
      </w:r>
    </w:p>
    <w:p w:rsidR="00E3259F" w:rsidRPr="004622D7" w:rsidRDefault="00E3259F" w:rsidP="004622D7">
      <w:pPr>
        <w:spacing w:line="360" w:lineRule="auto"/>
        <w:ind w:firstLine="709"/>
        <w:jc w:val="both"/>
        <w:rPr>
          <w:rStyle w:val="tlid-translation"/>
          <w:lang w:val="uk-UA"/>
        </w:rPr>
      </w:pPr>
      <w:r w:rsidRPr="004622D7">
        <w:rPr>
          <w:rStyle w:val="tlid-translation"/>
          <w:sz w:val="28"/>
          <w:szCs w:val="28"/>
          <w:lang w:val="uk-UA"/>
        </w:rPr>
        <w:t>В епідеміологічних дослідженнях проводилося вивчення СРП в якості предиктора розвитку ГХ та маркера серцево-судинного ризику, однак при коморбідній патології, зокрема при поєднанні ГХ зі ЦД 2 типу та СГТ, цей показник практично не вивчений [66</w:t>
      </w:r>
      <w:r w:rsidRPr="004622D7">
        <w:rPr>
          <w:sz w:val="28"/>
          <w:szCs w:val="28"/>
          <w:lang w:val="uk-UA"/>
        </w:rPr>
        <w:t xml:space="preserve">]. </w:t>
      </w:r>
      <w:r w:rsidRPr="004622D7">
        <w:rPr>
          <w:rStyle w:val="tlid-translation"/>
          <w:sz w:val="28"/>
          <w:szCs w:val="28"/>
          <w:lang w:val="uk-UA"/>
        </w:rPr>
        <w:t xml:space="preserve">Прогностична роль СРП при ССЗ була виявлена за результатами дослідження MRFIT (Multiple Risk Factor Intervention Trial), яке проводили серед осіб, які мали кілька факторів ризику, та було виявлено, що значення СРП є додатковим фактором ризику ІХС  тому,що ризик смерті від ІХС і гострого інфаркту міокарда був вище в 3 рази в осіб, що мали найбільш високий рівень СРП </w:t>
      </w:r>
      <w:r w:rsidRPr="004622D7">
        <w:rPr>
          <w:sz w:val="28"/>
          <w:szCs w:val="28"/>
          <w:lang w:val="uk-UA"/>
        </w:rPr>
        <w:t>[124].</w:t>
      </w:r>
      <w:r w:rsidRPr="004622D7">
        <w:rPr>
          <w:rStyle w:val="tlid-translation"/>
          <w:sz w:val="28"/>
          <w:szCs w:val="28"/>
          <w:lang w:val="uk-UA"/>
        </w:rPr>
        <w:t xml:space="preserve"> </w:t>
      </w:r>
      <w:r w:rsidRPr="004622D7">
        <w:rPr>
          <w:rStyle w:val="tlid-translation"/>
          <w:rFonts w:eastAsiaTheme="majorEastAsia"/>
          <w:sz w:val="28"/>
          <w:szCs w:val="28"/>
          <w:lang w:val="uk-UA"/>
        </w:rPr>
        <w:t>Існують поодинокі роботи, присвячені дослідженню прозапальних маркерів при СГТ і які свідчать про підвищення СРП та інших прозапальних маркерів при порівнянні з еутирозом [225</w:t>
      </w:r>
      <w:r w:rsidRPr="004622D7">
        <w:rPr>
          <w:rStyle w:val="fm-vol-iss-date"/>
          <w:sz w:val="28"/>
          <w:szCs w:val="28"/>
          <w:lang w:val="uk-UA"/>
        </w:rPr>
        <w:t xml:space="preserve">], </w:t>
      </w:r>
      <w:r w:rsidRPr="004622D7">
        <w:rPr>
          <w:rStyle w:val="tlid-translation"/>
          <w:rFonts w:eastAsiaTheme="majorEastAsia"/>
          <w:sz w:val="28"/>
          <w:szCs w:val="28"/>
          <w:lang w:val="uk-UA"/>
        </w:rPr>
        <w:t>проте</w:t>
      </w:r>
      <w:r w:rsidRPr="004622D7">
        <w:rPr>
          <w:rStyle w:val="tlid-translation"/>
          <w:sz w:val="28"/>
          <w:szCs w:val="28"/>
          <w:lang w:val="uk-UA"/>
        </w:rPr>
        <w:t>, при коморбідних станах, зокрема при поєднанні ГХ з ендокринопатіями, які включають ЦД 2 типу та СГТ, показники хронічного судинного запалення практично не вивчені.</w:t>
      </w:r>
    </w:p>
    <w:p w:rsidR="00E3259F" w:rsidRPr="004622D7" w:rsidRDefault="00E3259F" w:rsidP="004622D7">
      <w:pPr>
        <w:pStyle w:val="1"/>
        <w:spacing w:before="0" w:beforeAutospacing="0" w:after="0" w:afterAutospacing="0" w:line="360" w:lineRule="auto"/>
        <w:ind w:firstLine="709"/>
        <w:jc w:val="both"/>
        <w:rPr>
          <w:b w:val="0"/>
          <w:lang w:val="uk-UA"/>
        </w:rPr>
      </w:pPr>
      <w:r w:rsidRPr="004622D7">
        <w:rPr>
          <w:b w:val="0"/>
          <w:sz w:val="28"/>
          <w:szCs w:val="28"/>
          <w:lang w:val="uk-UA"/>
        </w:rPr>
        <w:t>Останнім часом накопичилося достатньо робіт, які свідчать про те, що крім запальної  реакції, однією з важливих ланок при пошкодженні судинної стінки  є баланс окислювально-метаболічної та антиоксидантної активності сироватки крові. Накопичення продуктів перекисного окислення ліпідів (ПОЛ) в надмірній кількості змінює структуру клітинних мембран, призводить до зміни їх функціональної активності, що, у кінцевому підсумку, прризводить до дистрофії, загибелі клітин, відіграючи певну патогенетичну роль у механізмі багатьох захворювань. </w:t>
      </w:r>
    </w:p>
    <w:p w:rsidR="00E3259F" w:rsidRPr="004622D7" w:rsidRDefault="00E3259F" w:rsidP="004622D7">
      <w:pPr>
        <w:spacing w:line="360" w:lineRule="auto"/>
        <w:ind w:firstLine="709"/>
        <w:jc w:val="both"/>
        <w:rPr>
          <w:b/>
          <w:sz w:val="28"/>
          <w:szCs w:val="28"/>
          <w:lang w:val="uk-UA"/>
        </w:rPr>
      </w:pPr>
      <w:r w:rsidRPr="004622D7">
        <w:rPr>
          <w:sz w:val="28"/>
          <w:szCs w:val="28"/>
          <w:lang w:val="uk-UA"/>
        </w:rPr>
        <w:t>Результати численних досліджень останніх десятиліть підтверджують ключову роль ендотелію в регуляції судинного гомеостазу. У той же час відомо, що зі збільшенням оксидативного стресу (ОС) функція ендотелію порушується, відбувається прогресування атеросклерозу та інших ССУ</w:t>
      </w:r>
      <w:r w:rsidRPr="004622D7">
        <w:rPr>
          <w:b/>
          <w:sz w:val="28"/>
          <w:szCs w:val="28"/>
          <w:lang w:val="uk-UA"/>
        </w:rPr>
        <w:t xml:space="preserve">. </w:t>
      </w:r>
      <w:r w:rsidRPr="004622D7">
        <w:rPr>
          <w:sz w:val="28"/>
          <w:szCs w:val="28"/>
          <w:lang w:val="uk-UA"/>
        </w:rPr>
        <w:t xml:space="preserve">Зараз  теорія ОС вважається однією з найбільш популярних, що пояснюють виникнення й прогресування багатьох захворювань, зокрема серцево-судинної системи, ЦД. </w:t>
      </w:r>
      <w:r w:rsidRPr="004622D7">
        <w:rPr>
          <w:b/>
          <w:sz w:val="28"/>
          <w:szCs w:val="28"/>
          <w:lang w:val="uk-UA"/>
        </w:rPr>
        <w:t xml:space="preserve"> </w:t>
      </w:r>
      <w:r w:rsidRPr="004622D7">
        <w:rPr>
          <w:sz w:val="28"/>
          <w:szCs w:val="28"/>
          <w:lang w:val="uk-UA"/>
        </w:rPr>
        <w:t>На цей час багато авторів розглядають ОС як «універсальну основу» розвитку всіх ускладнень при ЦД, обумовлених порушенням ендотеліальної функції</w:t>
      </w:r>
      <w:r w:rsidRPr="004622D7">
        <w:rPr>
          <w:b/>
          <w:sz w:val="28"/>
          <w:szCs w:val="28"/>
          <w:lang w:val="uk-UA"/>
        </w:rPr>
        <w:t xml:space="preserve"> </w:t>
      </w:r>
      <w:r w:rsidRPr="004622D7">
        <w:rPr>
          <w:sz w:val="28"/>
          <w:szCs w:val="28"/>
          <w:lang w:val="uk-UA"/>
        </w:rPr>
        <w:t>[</w:t>
      </w:r>
      <w:r w:rsidRPr="004622D7">
        <w:rPr>
          <w:bCs/>
          <w:sz w:val="28"/>
          <w:szCs w:val="28"/>
          <w:lang w:val="uk-UA"/>
        </w:rPr>
        <w:t>36</w:t>
      </w:r>
      <w:r w:rsidRPr="004622D7">
        <w:rPr>
          <w:bCs/>
          <w:sz w:val="28"/>
          <w:szCs w:val="28"/>
        </w:rPr>
        <w:t>,1</w:t>
      </w:r>
      <w:r w:rsidRPr="004622D7">
        <w:rPr>
          <w:bCs/>
          <w:sz w:val="28"/>
          <w:szCs w:val="28"/>
          <w:lang w:val="uk-UA"/>
        </w:rPr>
        <w:t>19</w:t>
      </w:r>
      <w:r w:rsidRPr="004622D7">
        <w:rPr>
          <w:sz w:val="28"/>
          <w:szCs w:val="28"/>
          <w:lang w:val="uk-UA"/>
        </w:rPr>
        <w:t>].</w:t>
      </w:r>
    </w:p>
    <w:p w:rsidR="00E3259F" w:rsidRPr="004622D7" w:rsidRDefault="00E3259F" w:rsidP="004622D7">
      <w:pPr>
        <w:pStyle w:val="1"/>
        <w:spacing w:before="0" w:beforeAutospacing="0" w:after="0" w:afterAutospacing="0" w:line="360" w:lineRule="auto"/>
        <w:ind w:firstLine="709"/>
        <w:jc w:val="both"/>
        <w:rPr>
          <w:b w:val="0"/>
          <w:sz w:val="28"/>
          <w:szCs w:val="28"/>
          <w:lang w:val="uk-UA"/>
        </w:rPr>
      </w:pPr>
      <w:r w:rsidRPr="004622D7">
        <w:rPr>
          <w:b w:val="0"/>
          <w:sz w:val="28"/>
          <w:szCs w:val="28"/>
          <w:lang w:val="uk-UA"/>
        </w:rPr>
        <w:t>Крім того, з</w:t>
      </w:r>
      <w:r w:rsidRPr="004622D7">
        <w:rPr>
          <w:rStyle w:val="tlid-translation"/>
          <w:b w:val="0"/>
          <w:sz w:val="28"/>
          <w:szCs w:val="28"/>
          <w:lang w:val="uk-UA"/>
        </w:rPr>
        <w:t>більшення експериментальних та епідеміологічних даних свідчить про те, що пероксидація ліпідів відіграє важливу роль у розвитку та прогресуванні атеросклерозу [</w:t>
      </w:r>
      <w:r w:rsidRPr="004622D7">
        <w:rPr>
          <w:b w:val="0"/>
          <w:sz w:val="28"/>
          <w:szCs w:val="28"/>
          <w:shd w:val="clear" w:color="auto" w:fill="FFFFFF"/>
          <w:lang w:val="uk-UA"/>
        </w:rPr>
        <w:t>413]</w:t>
      </w:r>
      <w:r w:rsidRPr="004622D7">
        <w:rPr>
          <w:rStyle w:val="tlid-translation"/>
          <w:b w:val="0"/>
          <w:sz w:val="28"/>
          <w:szCs w:val="28"/>
          <w:lang w:val="uk-UA"/>
        </w:rPr>
        <w:t xml:space="preserve">. </w:t>
      </w:r>
      <w:r w:rsidRPr="004622D7">
        <w:rPr>
          <w:b w:val="0"/>
          <w:sz w:val="28"/>
          <w:szCs w:val="28"/>
          <w:lang w:val="uk-UA"/>
        </w:rPr>
        <w:t>У зв'язку із цим, спробою нового осмислення механізмів, що призводять до порушення функції ендотелію, від найменших метаболічних зрушень до формування грубих морфологічних змін структури всієї судинної стінки, є розгляд цих процесів з позиції ОС.</w:t>
      </w:r>
    </w:p>
    <w:p w:rsidR="00E3259F" w:rsidRPr="004622D7" w:rsidRDefault="00E3259F" w:rsidP="004622D7">
      <w:pPr>
        <w:shd w:val="clear" w:color="auto" w:fill="FFFFFF"/>
        <w:spacing w:line="360" w:lineRule="auto"/>
        <w:ind w:firstLine="709"/>
        <w:jc w:val="both"/>
        <w:textAlignment w:val="top"/>
        <w:rPr>
          <w:rStyle w:val="tlid-translation"/>
          <w:lang w:val="uk-UA"/>
        </w:rPr>
      </w:pPr>
      <w:r w:rsidRPr="004622D7">
        <w:rPr>
          <w:rStyle w:val="tlid-translation"/>
          <w:sz w:val="28"/>
          <w:szCs w:val="28"/>
          <w:lang w:val="uk-UA"/>
        </w:rPr>
        <w:t>Крім того, дослідження основ окисного ушкодження ендотелію, як важливої субстанції, що відповідає за баланс вазорелаксуючих та вазоконстрикторних реакцій, являє собою принципово важливу ланку у формуванні та прогресуванні багатьох захворювань, зокрема ГХ.</w:t>
      </w:r>
    </w:p>
    <w:p w:rsidR="00E3259F" w:rsidRPr="004622D7" w:rsidRDefault="00E3259F" w:rsidP="004622D7">
      <w:pPr>
        <w:pStyle w:val="1"/>
        <w:spacing w:before="0" w:beforeAutospacing="0" w:after="0" w:afterAutospacing="0" w:line="360" w:lineRule="auto"/>
        <w:ind w:firstLine="709"/>
        <w:jc w:val="both"/>
        <w:rPr>
          <w:lang w:val="uk-UA"/>
        </w:rPr>
      </w:pPr>
      <w:r w:rsidRPr="004622D7">
        <w:rPr>
          <w:b w:val="0"/>
          <w:sz w:val="28"/>
          <w:szCs w:val="28"/>
          <w:lang w:val="uk-UA"/>
        </w:rPr>
        <w:t>Відомо, що ушкоджуючої дії вільних радикалів і перекисних сполук на клітинні та субклітинні біомембрани перешкоджає  складна  багатокомпонентна  система  антиоксидантного захисту (АОЗ). Від її функціональної спроможності та активності, швидкості та повноцінності АОЗ залежить динамічне підтримання гомеостазу й можливість або неможливість розвитку патологічних змін. При цьому одне з провідних місць у регуляції антиоксидантного захисту в клітинах посідає ферментативна редокс-система глутатіону [112],  до складу якої входять відновлений глутатіон та ферменти, які забезпечують його регенерацію з окисленої форми глутатіону, зокрема глутатіонпероксидаза (ГПО), глутатіонредуктаза та глутатіонтрансфераза. Відомо,  що  відновлювальний глютатіон  підтримує  високу  активність  тіолвмісних  ферментів та здійснює стабілізуючий вплив на стан високореакційних SH-груп у  мембранах  еритроцитів  [112].</w:t>
      </w:r>
      <w:r w:rsidRPr="004622D7">
        <w:rPr>
          <w:sz w:val="28"/>
          <w:szCs w:val="28"/>
          <w:lang w:val="uk-UA"/>
        </w:rPr>
        <w:t xml:space="preserve">  </w:t>
      </w:r>
    </w:p>
    <w:p w:rsidR="00E3259F" w:rsidRPr="004622D7" w:rsidRDefault="00E3259F" w:rsidP="004622D7">
      <w:pPr>
        <w:spacing w:line="360" w:lineRule="auto"/>
        <w:ind w:firstLine="709"/>
        <w:jc w:val="both"/>
        <w:rPr>
          <w:bCs/>
          <w:kern w:val="36"/>
          <w:sz w:val="28"/>
          <w:szCs w:val="28"/>
          <w:lang w:val="uk-UA"/>
        </w:rPr>
      </w:pPr>
      <w:r w:rsidRPr="004622D7">
        <w:rPr>
          <w:sz w:val="28"/>
          <w:szCs w:val="28"/>
          <w:lang w:val="uk-UA"/>
        </w:rPr>
        <w:t>Дослідження ОС в основному проводилося при ГХ без ЦД або при ЦД без ГХ [</w:t>
      </w:r>
      <w:bookmarkStart w:id="1" w:name="_Hlk43239862"/>
      <w:r w:rsidRPr="004622D7">
        <w:rPr>
          <w:sz w:val="28"/>
          <w:szCs w:val="28"/>
        </w:rPr>
        <w:t>1</w:t>
      </w:r>
      <w:r w:rsidRPr="004622D7">
        <w:rPr>
          <w:sz w:val="28"/>
          <w:szCs w:val="28"/>
          <w:lang w:val="uk-UA"/>
        </w:rPr>
        <w:t>50</w:t>
      </w:r>
      <w:r w:rsidRPr="004622D7">
        <w:rPr>
          <w:sz w:val="28"/>
          <w:szCs w:val="28"/>
        </w:rPr>
        <w:t>,2</w:t>
      </w:r>
      <w:r w:rsidRPr="004622D7">
        <w:rPr>
          <w:sz w:val="28"/>
          <w:szCs w:val="28"/>
          <w:lang w:val="uk-UA"/>
        </w:rPr>
        <w:t>40</w:t>
      </w:r>
      <w:r w:rsidRPr="004622D7">
        <w:rPr>
          <w:sz w:val="28"/>
          <w:szCs w:val="28"/>
        </w:rPr>
        <w:t>,</w:t>
      </w:r>
      <w:bookmarkEnd w:id="1"/>
      <w:r w:rsidRPr="004622D7">
        <w:rPr>
          <w:sz w:val="28"/>
          <w:szCs w:val="28"/>
          <w:lang w:val="uk-UA"/>
        </w:rPr>
        <w:t>416]. Вважається, що в умовах гіперглікемії збільшується швидкість аутоокисления глюкози, з подальшим посиленням проявів ОС, який у свою чергу, супроводжується різним ступенем вираженості дефіциту інсуліну та розвитком інсулінорезистентності, які є факторами раннього розвитку судинних ускладнень при ЦД. В умовах нестачі тиреоїдних гормонів, які виявляють виражену антиоксидантну активність, регулюючи метаболічні процеси, уміст антиоксидантів і ПОЛ, відбуваються значні метаболічні порушення, зокрема посилення проявів ОС переважно за рахунок зниження АОЗ. Дослідження ОС при СГТ описано в низці робіт [</w:t>
      </w:r>
      <w:r w:rsidRPr="004622D7">
        <w:rPr>
          <w:sz w:val="28"/>
          <w:szCs w:val="28"/>
          <w:shd w:val="clear" w:color="auto" w:fill="FFFFFF"/>
        </w:rPr>
        <w:t>1</w:t>
      </w:r>
      <w:r w:rsidRPr="004622D7">
        <w:rPr>
          <w:sz w:val="28"/>
          <w:szCs w:val="28"/>
          <w:shd w:val="clear" w:color="auto" w:fill="FFFFFF"/>
          <w:lang w:val="uk-UA"/>
        </w:rPr>
        <w:t>47</w:t>
      </w:r>
      <w:r w:rsidRPr="004622D7">
        <w:rPr>
          <w:sz w:val="28"/>
          <w:szCs w:val="28"/>
          <w:shd w:val="clear" w:color="auto" w:fill="FFFFFF"/>
        </w:rPr>
        <w:t>,</w:t>
      </w:r>
      <w:r w:rsidRPr="004622D7">
        <w:rPr>
          <w:sz w:val="28"/>
          <w:szCs w:val="28"/>
          <w:shd w:val="clear" w:color="auto" w:fill="FFFFFF"/>
          <w:lang w:val="uk-UA"/>
        </w:rPr>
        <w:t>183,</w:t>
      </w:r>
      <w:r w:rsidRPr="004622D7">
        <w:rPr>
          <w:sz w:val="28"/>
          <w:szCs w:val="28"/>
          <w:shd w:val="clear" w:color="auto" w:fill="FFFFFF"/>
        </w:rPr>
        <w:t>2</w:t>
      </w:r>
      <w:r w:rsidRPr="004622D7">
        <w:rPr>
          <w:sz w:val="28"/>
          <w:szCs w:val="28"/>
          <w:shd w:val="clear" w:color="auto" w:fill="FFFFFF"/>
          <w:lang w:val="uk-UA"/>
        </w:rPr>
        <w:t>30</w:t>
      </w:r>
      <w:r w:rsidRPr="004622D7">
        <w:rPr>
          <w:sz w:val="28"/>
          <w:szCs w:val="28"/>
          <w:shd w:val="clear" w:color="auto" w:fill="FFFFFF"/>
        </w:rPr>
        <w:t>,</w:t>
      </w:r>
      <w:r w:rsidRPr="004622D7">
        <w:rPr>
          <w:sz w:val="28"/>
          <w:szCs w:val="28"/>
          <w:lang w:val="uk-UA"/>
        </w:rPr>
        <w:t>413</w:t>
      </w:r>
      <w:r w:rsidRPr="004622D7">
        <w:rPr>
          <w:sz w:val="28"/>
          <w:szCs w:val="28"/>
          <w:shd w:val="clear" w:color="auto" w:fill="FFFFFF"/>
          <w:lang w:val="uk-UA"/>
        </w:rPr>
        <w:t>], але переважна більшість присвячена дослідженню ОС при ізольованому СГТ, у осіб молодого віку  та має суперечливий характер [</w:t>
      </w:r>
      <w:r w:rsidRPr="004622D7">
        <w:rPr>
          <w:sz w:val="28"/>
          <w:szCs w:val="28"/>
        </w:rPr>
        <w:t>3</w:t>
      </w:r>
      <w:r w:rsidRPr="004622D7">
        <w:rPr>
          <w:sz w:val="28"/>
          <w:szCs w:val="28"/>
          <w:lang w:val="uk-UA"/>
        </w:rPr>
        <w:t>80</w:t>
      </w:r>
      <w:r w:rsidRPr="004622D7">
        <w:rPr>
          <w:sz w:val="28"/>
          <w:szCs w:val="28"/>
        </w:rPr>
        <w:t>]</w:t>
      </w:r>
      <w:r w:rsidRPr="004622D7">
        <w:rPr>
          <w:sz w:val="28"/>
          <w:szCs w:val="28"/>
          <w:lang w:val="uk-UA"/>
        </w:rPr>
        <w:t>.</w:t>
      </w:r>
    </w:p>
    <w:p w:rsidR="00E3259F" w:rsidRPr="004622D7" w:rsidRDefault="00E3259F" w:rsidP="004622D7">
      <w:pPr>
        <w:spacing w:line="360" w:lineRule="auto"/>
        <w:ind w:firstLine="709"/>
        <w:jc w:val="both"/>
        <w:rPr>
          <w:sz w:val="28"/>
          <w:szCs w:val="28"/>
          <w:lang w:val="uk-UA"/>
        </w:rPr>
      </w:pPr>
      <w:r w:rsidRPr="004622D7">
        <w:rPr>
          <w:sz w:val="28"/>
          <w:szCs w:val="28"/>
          <w:shd w:val="clear" w:color="auto" w:fill="FFFFFF"/>
          <w:lang w:val="uk-UA"/>
        </w:rPr>
        <w:t>Так було продемонстровано наявність зниженого АОЗ (зниження рівня ГПО,</w:t>
      </w:r>
      <w:r w:rsidRPr="004622D7">
        <w:rPr>
          <w:rStyle w:val="10"/>
          <w:rFonts w:eastAsiaTheme="majorEastAsia"/>
          <w:sz w:val="28"/>
          <w:szCs w:val="28"/>
          <w:lang w:val="uk-UA"/>
        </w:rPr>
        <w:t xml:space="preserve"> </w:t>
      </w:r>
      <w:r w:rsidRPr="004622D7">
        <w:rPr>
          <w:rStyle w:val="tlid-translation"/>
          <w:sz w:val="28"/>
          <w:szCs w:val="28"/>
          <w:lang w:val="uk-UA"/>
        </w:rPr>
        <w:t>супероксиддисмутази</w:t>
      </w:r>
      <w:r w:rsidRPr="004622D7">
        <w:rPr>
          <w:sz w:val="28"/>
          <w:szCs w:val="28"/>
          <w:shd w:val="clear" w:color="auto" w:fill="FFFFFF"/>
          <w:lang w:val="uk-UA"/>
        </w:rPr>
        <w:t>) на тлі підвищеного рівня ПОЛ, маркером якого є малоновий диальдегід (МДА) у пацієнтів зі СГТ порівняно зі здоровими особами, але цей дисбаланс був виражений меншою мірою, ніж при маніфестному гіпотиреозі [331</w:t>
      </w:r>
      <w:r w:rsidRPr="004622D7">
        <w:rPr>
          <w:sz w:val="28"/>
          <w:szCs w:val="28"/>
          <w:lang w:val="uk-UA"/>
        </w:rPr>
        <w:t>]. Існує думка, що ОС при СГТ може бути спричиненим гіперхолестеринемією, яка є вторинною відносно дисфункції ЩЗ, але не гіпотиреозом як таким [413</w:t>
      </w:r>
      <w:r w:rsidRPr="004622D7">
        <w:rPr>
          <w:sz w:val="28"/>
          <w:szCs w:val="28"/>
          <w:shd w:val="clear" w:color="auto" w:fill="FFFFFF"/>
          <w:lang w:val="uk-UA"/>
        </w:rPr>
        <w:t>]. Підвищений рівень МДА  при СГТ  порівняно з еутіреозом, був виявлений і в дослідженні китайських вчених у чоловіків віком 35-59 років [183</w:t>
      </w:r>
      <w:r w:rsidRPr="004622D7">
        <w:rPr>
          <w:sz w:val="28"/>
          <w:szCs w:val="28"/>
          <w:lang w:val="uk-UA"/>
        </w:rPr>
        <w:t xml:space="preserve">]. </w:t>
      </w:r>
    </w:p>
    <w:p w:rsidR="00E3259F" w:rsidRPr="004622D7" w:rsidRDefault="00E3259F" w:rsidP="004622D7">
      <w:pPr>
        <w:spacing w:line="360" w:lineRule="auto"/>
        <w:ind w:firstLine="709"/>
        <w:jc w:val="both"/>
        <w:rPr>
          <w:sz w:val="28"/>
          <w:szCs w:val="28"/>
          <w:lang w:val="uk-UA"/>
        </w:rPr>
      </w:pPr>
      <w:r w:rsidRPr="004622D7">
        <w:rPr>
          <w:sz w:val="28"/>
          <w:szCs w:val="28"/>
          <w:lang w:val="uk-UA"/>
        </w:rPr>
        <w:t>Таким чином, на цей час не до кінця з'ясований зв'язок між рівнем тиреоїдних гормонів та оксидантно-антиоксидантним балансом організму, тому зберігається актуальність виявлення інформативних і доступних критеріїв оцінки адекватності терапії при гіпотиреозі з урахуванням рівня ПОЛ і стану АОЗ організму.</w:t>
      </w:r>
    </w:p>
    <w:p w:rsidR="00E3259F" w:rsidRPr="004622D7" w:rsidRDefault="00E3259F" w:rsidP="004622D7">
      <w:pPr>
        <w:spacing w:line="360" w:lineRule="auto"/>
        <w:ind w:firstLine="709"/>
        <w:jc w:val="both"/>
        <w:rPr>
          <w:rStyle w:val="10"/>
          <w:rFonts w:eastAsiaTheme="minorHAnsi"/>
          <w:sz w:val="28"/>
          <w:szCs w:val="28"/>
          <w:lang w:val="uk-UA"/>
        </w:rPr>
      </w:pPr>
      <w:r w:rsidRPr="004622D7">
        <w:rPr>
          <w:rStyle w:val="tlid-translation"/>
          <w:sz w:val="28"/>
          <w:szCs w:val="28"/>
          <w:lang w:val="uk-UA"/>
        </w:rPr>
        <w:t xml:space="preserve">Окислювальний стрес також включає реактивні молекули, які можуть ушкоджувати нуклеїнові кислоти, ліпіди та протеїни, що значно впливає на етіологію та прогресування діабету, коронарного та каротидного атеросклерозу. </w:t>
      </w:r>
      <w:r w:rsidRPr="004622D7">
        <w:rPr>
          <w:bCs/>
          <w:kern w:val="36"/>
          <w:sz w:val="28"/>
          <w:szCs w:val="28"/>
          <w:lang w:val="uk-UA"/>
        </w:rPr>
        <w:t>Хоча всі живі клітини мають широкий спектр механізмів відновлення ДНК, їх ферментативна система відновлення не завжди призводить до повного видалення всіх модифікацій ДНК. Отже, неправильно відновлена ДНК становить основну проблему для клітин, головним чином через зміни генетичної інформації, а також мутагенезу та клітинного апоптозу, пов'язаних з ними [382], що робить</w:t>
      </w:r>
      <w:r w:rsidRPr="004622D7">
        <w:rPr>
          <w:rStyle w:val="10"/>
          <w:rFonts w:eastAsiaTheme="minorHAnsi"/>
          <w:sz w:val="28"/>
          <w:szCs w:val="28"/>
          <w:lang w:val="uk-UA"/>
        </w:rPr>
        <w:t xml:space="preserve"> </w:t>
      </w:r>
      <w:r w:rsidRPr="004622D7">
        <w:rPr>
          <w:rStyle w:val="10"/>
          <w:rFonts w:eastAsiaTheme="minorHAnsi"/>
          <w:b w:val="0"/>
          <w:sz w:val="28"/>
          <w:szCs w:val="28"/>
          <w:lang w:val="uk-UA"/>
        </w:rPr>
        <w:t>о</w:t>
      </w:r>
      <w:r w:rsidRPr="004622D7">
        <w:rPr>
          <w:rStyle w:val="tlid-translation"/>
          <w:sz w:val="28"/>
          <w:szCs w:val="28"/>
          <w:lang w:val="uk-UA"/>
        </w:rPr>
        <w:t>кислювальні ушкодження нуклеїнових кислот одними з найнебезпечніших модифікацій, які спостерігаються серед біомолекул</w:t>
      </w:r>
      <w:r w:rsidRPr="004622D7">
        <w:rPr>
          <w:bCs/>
          <w:kern w:val="36"/>
          <w:sz w:val="28"/>
          <w:szCs w:val="28"/>
          <w:lang w:val="uk-UA"/>
        </w:rPr>
        <w:t>.</w:t>
      </w:r>
      <w:r w:rsidRPr="004622D7">
        <w:rPr>
          <w:rStyle w:val="10"/>
          <w:rFonts w:eastAsiaTheme="minorHAnsi"/>
          <w:sz w:val="28"/>
          <w:szCs w:val="28"/>
          <w:lang w:val="uk-UA"/>
        </w:rPr>
        <w:t xml:space="preserve"> </w:t>
      </w:r>
    </w:p>
    <w:p w:rsidR="00E3259F" w:rsidRPr="004622D7" w:rsidRDefault="00E3259F" w:rsidP="004622D7">
      <w:pPr>
        <w:spacing w:line="360" w:lineRule="auto"/>
        <w:ind w:firstLine="709"/>
        <w:jc w:val="both"/>
        <w:rPr>
          <w:rStyle w:val="tlid-translation"/>
          <w:lang w:val="uk-UA"/>
        </w:rPr>
      </w:pPr>
      <w:r w:rsidRPr="004622D7">
        <w:rPr>
          <w:sz w:val="28"/>
          <w:szCs w:val="28"/>
          <w:shd w:val="clear" w:color="auto" w:fill="FFFFFF"/>
          <w:lang w:val="uk-UA"/>
        </w:rPr>
        <w:t xml:space="preserve">Раніше було показано, що із чотирьох основ, що входять у структуру ДНК, гуанін  найбільш окислюється [63]. </w:t>
      </w:r>
      <w:r w:rsidRPr="004622D7">
        <w:rPr>
          <w:bCs/>
          <w:kern w:val="36"/>
          <w:sz w:val="28"/>
          <w:szCs w:val="28"/>
          <w:lang w:val="uk-UA"/>
        </w:rPr>
        <w:t>Серед найважливіших біологічних маркерів ОС можна виділити такі пурини: 8-гідрокси-2'-дезоксигуанозин (8-OHdG) або його окислена форма - 8-оксо-7,8-дигідро-2'-дезоксигуанозин (8- oxodG).</w:t>
      </w:r>
      <w:r w:rsidRPr="004622D7">
        <w:rPr>
          <w:rStyle w:val="tlid-translation"/>
          <w:sz w:val="28"/>
          <w:szCs w:val="28"/>
          <w:lang w:val="uk-UA"/>
        </w:rPr>
        <w:t xml:space="preserve"> 8-OHdG, отриманий у результаті окислення дезоксигуанозину, розглядається як найбільш чутливий і корисний маркер окисного ушкодження ДНК [</w:t>
      </w:r>
      <w:r w:rsidRPr="004622D7">
        <w:rPr>
          <w:sz w:val="28"/>
          <w:szCs w:val="28"/>
          <w:lang w:val="uk-UA"/>
        </w:rPr>
        <w:t>138,198</w:t>
      </w:r>
      <w:r w:rsidRPr="004622D7">
        <w:rPr>
          <w:rStyle w:val="tlid-translation"/>
          <w:sz w:val="28"/>
          <w:szCs w:val="28"/>
          <w:lang w:val="uk-UA"/>
        </w:rPr>
        <w:t xml:space="preserve">], </w:t>
      </w:r>
      <w:r w:rsidRPr="004622D7">
        <w:rPr>
          <w:sz w:val="28"/>
          <w:szCs w:val="28"/>
          <w:shd w:val="clear" w:color="auto" w:fill="FFFFFF"/>
          <w:lang w:val="uk-UA"/>
        </w:rPr>
        <w:t>який можна визначати в різних біологічних тканинах і рідинах [63].</w:t>
      </w:r>
      <w:r w:rsidRPr="004622D7">
        <w:rPr>
          <w:rStyle w:val="tlid-translation"/>
          <w:sz w:val="28"/>
          <w:szCs w:val="28"/>
          <w:lang w:val="uk-UA"/>
        </w:rPr>
        <w:t xml:space="preserve"> </w:t>
      </w:r>
      <w:r w:rsidRPr="004622D7">
        <w:rPr>
          <w:sz w:val="28"/>
          <w:szCs w:val="28"/>
          <w:shd w:val="clear" w:color="auto" w:fill="FFFFFF"/>
          <w:lang w:val="uk-UA"/>
        </w:rPr>
        <w:t>Кількісне визначення 8-гідрокси-2'-дезоксигуанозину запропоновано використовувати в якості одного з маркерів вільнорадикальних процесів, що відбуваються в організмі в нормі та при розвитку різних патологічних процесів.</w:t>
      </w:r>
      <w:r w:rsidRPr="004622D7">
        <w:rPr>
          <w:rStyle w:val="tlid-translation"/>
          <w:sz w:val="28"/>
          <w:szCs w:val="28"/>
          <w:lang w:val="uk-UA"/>
        </w:rPr>
        <w:t xml:space="preserve"> На відміну від інших модифікованих окислених форм гуаніну, 8-OHdG легко проникає з клітин у кровотік, завдяки чому він вважається одним із кращих клініко-лабораторних маркерів ОС. Визначення ДНК-ушкоджень в якості біологічного індикатора вільнорадикальних процесів може мати суттєве значення не тільки для розкриття механізмів розвитку патологічного процесу, а й для моніторингу ефективності терапії, що проводиться, та для оцінки прогнозу захворювання. Проте, біологічна роль 8-оксо-2'-дезоксигуанозину на цей момент мало вивчена [63,252</w:t>
      </w:r>
      <w:r w:rsidRPr="004622D7">
        <w:rPr>
          <w:sz w:val="28"/>
          <w:szCs w:val="28"/>
        </w:rPr>
        <w:t>]</w:t>
      </w:r>
      <w:r w:rsidRPr="004622D7">
        <w:rPr>
          <w:rStyle w:val="tlid-translation"/>
          <w:sz w:val="28"/>
          <w:szCs w:val="28"/>
          <w:lang w:val="uk-UA"/>
        </w:rPr>
        <w:t>. Важливість цього ушкодження випливає ще з того, що воно одночасно активно відбувається в ДНК і є мутагенним. Сучасні дані свідчать, що ураження 8-OHdG, присутні в ДНК під час клітинної реплікації, призводить до соматичної мутації, що може сприяти проліферації гладкої мускулатури в патогенезі атеросклеротичних бляшок [138</w:t>
      </w:r>
      <w:r w:rsidRPr="004622D7">
        <w:rPr>
          <w:sz w:val="28"/>
          <w:szCs w:val="28"/>
          <w:lang w:val="uk-UA"/>
        </w:rPr>
        <w:t>]</w:t>
      </w:r>
      <w:r w:rsidRPr="004622D7">
        <w:rPr>
          <w:rStyle w:val="tlid-translation"/>
          <w:sz w:val="28"/>
          <w:szCs w:val="28"/>
          <w:lang w:val="uk-UA"/>
        </w:rPr>
        <w:t>.</w:t>
      </w:r>
    </w:p>
    <w:p w:rsidR="00E3259F" w:rsidRPr="004622D7" w:rsidRDefault="00E3259F" w:rsidP="004622D7">
      <w:pPr>
        <w:shd w:val="clear" w:color="auto" w:fill="FFFFFF"/>
        <w:spacing w:line="360" w:lineRule="auto"/>
        <w:ind w:firstLine="709"/>
        <w:jc w:val="both"/>
        <w:rPr>
          <w:lang w:val="uk-UA"/>
        </w:rPr>
      </w:pPr>
      <w:r w:rsidRPr="004622D7">
        <w:rPr>
          <w:rStyle w:val="tlid-translation"/>
          <w:sz w:val="28"/>
          <w:szCs w:val="28"/>
          <w:lang w:val="uk-UA"/>
        </w:rPr>
        <w:t>Є роботи, які свідчать, що підвищення рівня глюкози в крові між 5,5 та 7,0 ммоль/л супроводжується збільшенням рівня вільних радикалів і призводить до розвитку ускладнень, пов’язаних із діабетом [138].</w:t>
      </w:r>
      <w:r w:rsidRPr="004622D7">
        <w:rPr>
          <w:rStyle w:val="10"/>
          <w:rFonts w:eastAsiaTheme="minorHAnsi"/>
          <w:sz w:val="28"/>
          <w:szCs w:val="28"/>
          <w:lang w:val="uk-UA"/>
        </w:rPr>
        <w:t xml:space="preserve"> </w:t>
      </w:r>
      <w:r w:rsidRPr="004622D7">
        <w:rPr>
          <w:rStyle w:val="10"/>
          <w:rFonts w:eastAsiaTheme="minorHAnsi"/>
          <w:b w:val="0"/>
          <w:sz w:val="28"/>
          <w:szCs w:val="28"/>
          <w:lang w:val="uk-UA"/>
        </w:rPr>
        <w:t>Наявні докази, які</w:t>
      </w:r>
      <w:r w:rsidRPr="004622D7">
        <w:rPr>
          <w:rStyle w:val="tlid-translation"/>
          <w:sz w:val="28"/>
          <w:szCs w:val="28"/>
          <w:lang w:val="uk-UA"/>
        </w:rPr>
        <w:t xml:space="preserve"> свідчать про те, що високий рівень окислених пуринів, спровокованих гіперглікемією, відображає ушкодження ДНК [</w:t>
      </w:r>
      <w:r w:rsidRPr="004622D7">
        <w:rPr>
          <w:sz w:val="28"/>
          <w:szCs w:val="28"/>
          <w:lang w:val="uk-UA"/>
        </w:rPr>
        <w:t>382</w:t>
      </w:r>
      <w:r w:rsidRPr="004622D7">
        <w:rPr>
          <w:rStyle w:val="tlid-translation"/>
          <w:sz w:val="28"/>
          <w:szCs w:val="28"/>
          <w:lang w:val="uk-UA"/>
        </w:rPr>
        <w:t>].  Крім того, дослідження, які були проведені на пацієнтах, з ЦД 1 типу та ЦД 2 типу (діти і дорослі) показали, що пацієнти зі ЦД 2 типу мають більш високий рівень окислювальних уражень ДНК [</w:t>
      </w:r>
      <w:r w:rsidRPr="004622D7">
        <w:rPr>
          <w:sz w:val="28"/>
          <w:szCs w:val="28"/>
          <w:lang w:val="uk-UA"/>
        </w:rPr>
        <w:t>382</w:t>
      </w:r>
      <w:r w:rsidRPr="004622D7">
        <w:rPr>
          <w:rStyle w:val="tlid-translation"/>
          <w:sz w:val="28"/>
          <w:szCs w:val="28"/>
          <w:lang w:val="uk-UA"/>
        </w:rPr>
        <w:t>]. У хворих на ЦД 2 типу  виявляється вірогідно вищий рівень окислювального ушкодження ДНК, яке оцінювалося шляхом вимірювання рівня 8-OHdG,  що й стало підставою для використання 8-OHdG в якості біомаркера при діагностиці ОС при діабеті [</w:t>
      </w:r>
      <w:r w:rsidRPr="004622D7">
        <w:rPr>
          <w:sz w:val="28"/>
          <w:szCs w:val="28"/>
          <w:lang w:val="uk-UA"/>
        </w:rPr>
        <w:t xml:space="preserve">138], зокрема в осіб похилого віку [235]. </w:t>
      </w:r>
    </w:p>
    <w:p w:rsidR="00E3259F" w:rsidRPr="004622D7" w:rsidRDefault="00E3259F" w:rsidP="004622D7">
      <w:pPr>
        <w:shd w:val="clear" w:color="auto" w:fill="FFFFFF"/>
        <w:spacing w:line="360" w:lineRule="auto"/>
        <w:ind w:firstLine="709"/>
        <w:jc w:val="both"/>
        <w:rPr>
          <w:sz w:val="28"/>
          <w:szCs w:val="28"/>
          <w:lang w:val="uk-UA"/>
        </w:rPr>
      </w:pPr>
      <w:r w:rsidRPr="004622D7">
        <w:rPr>
          <w:rStyle w:val="tlid-translation"/>
          <w:sz w:val="28"/>
          <w:szCs w:val="28"/>
          <w:lang w:val="uk-UA"/>
        </w:rPr>
        <w:t>Підвищений ІМТ також пов'язаний із збільшенням ризику ушкодження ДНК через ОС. За останніми даними японських популяційних дослідників, високий рівень 8-OHdG асоціювався із захворюванням на ССЗ серед жінок, для чоловіків подібної залежності не було виявлено [</w:t>
      </w:r>
      <w:r w:rsidRPr="004622D7">
        <w:rPr>
          <w:sz w:val="28"/>
          <w:szCs w:val="28"/>
          <w:lang w:val="uk-UA"/>
        </w:rPr>
        <w:t xml:space="preserve">286]. Метааналіз, який включав 14 досліджень, у яких брали участь 810 пацієнтів з ССЗ, продемонстрував наявність більш високих рівней </w:t>
      </w:r>
      <w:r w:rsidRPr="004622D7">
        <w:rPr>
          <w:rStyle w:val="tlid-translation"/>
          <w:sz w:val="28"/>
          <w:szCs w:val="28"/>
          <w:lang w:val="uk-UA"/>
        </w:rPr>
        <w:t>8-OHdG у цієї категорії хворих порівняно зі здоровими особами [</w:t>
      </w:r>
      <w:r w:rsidRPr="004622D7">
        <w:rPr>
          <w:sz w:val="28"/>
          <w:szCs w:val="28"/>
          <w:lang w:val="uk-UA"/>
        </w:rPr>
        <w:t>198]. Існують докази,</w:t>
      </w:r>
      <w:r w:rsidRPr="004622D7">
        <w:rPr>
          <w:rStyle w:val="10"/>
          <w:rFonts w:eastAsiaTheme="majorEastAsia"/>
          <w:sz w:val="28"/>
          <w:szCs w:val="28"/>
          <w:lang w:val="uk-UA"/>
        </w:rPr>
        <w:t xml:space="preserve"> </w:t>
      </w:r>
      <w:r w:rsidRPr="004622D7">
        <w:rPr>
          <w:rStyle w:val="tlid-translation"/>
          <w:sz w:val="28"/>
          <w:szCs w:val="28"/>
          <w:lang w:val="uk-UA"/>
        </w:rPr>
        <w:t>що свідчать про значно вищі рівні 8-OHdG у хворих на ГХ, ніж у нормотензивних суб`єктів [198</w:t>
      </w:r>
      <w:r w:rsidRPr="004622D7">
        <w:rPr>
          <w:sz w:val="28"/>
          <w:szCs w:val="28"/>
          <w:lang w:val="uk-UA"/>
        </w:rPr>
        <w:t>].</w:t>
      </w:r>
    </w:p>
    <w:p w:rsidR="00E3259F" w:rsidRPr="004622D7" w:rsidRDefault="00E3259F" w:rsidP="004622D7">
      <w:pPr>
        <w:shd w:val="clear" w:color="auto" w:fill="FFFFFF"/>
        <w:spacing w:line="360" w:lineRule="auto"/>
        <w:ind w:firstLine="709"/>
        <w:jc w:val="both"/>
        <w:rPr>
          <w:shd w:val="clear" w:color="auto" w:fill="FFFFFF"/>
          <w:lang w:val="uk-UA"/>
        </w:rPr>
      </w:pPr>
      <w:r w:rsidRPr="004622D7">
        <w:rPr>
          <w:sz w:val="28"/>
          <w:szCs w:val="28"/>
          <w:shd w:val="clear" w:color="auto" w:fill="FFFFFF"/>
          <w:lang w:val="uk-UA"/>
        </w:rPr>
        <w:t xml:space="preserve">Існують поодинокі роботи, в яких вивчався вплив гіпофункції ЩЗ на рівні </w:t>
      </w:r>
      <w:r w:rsidRPr="004622D7">
        <w:rPr>
          <w:sz w:val="28"/>
          <w:szCs w:val="28"/>
          <w:lang w:val="uk-UA"/>
        </w:rPr>
        <w:t>8-</w:t>
      </w:r>
      <w:r w:rsidRPr="004622D7">
        <w:rPr>
          <w:sz w:val="28"/>
          <w:szCs w:val="28"/>
        </w:rPr>
        <w:t>OHdG</w:t>
      </w:r>
      <w:r w:rsidRPr="004622D7">
        <w:rPr>
          <w:sz w:val="28"/>
          <w:szCs w:val="28"/>
          <w:shd w:val="clear" w:color="auto" w:fill="FFFFFF"/>
          <w:lang w:val="uk-UA"/>
        </w:rPr>
        <w:t>. В основному ці роботи присвячені гіпотиреозу в дітей і підлітків, а також людей із хворобою Дауна [</w:t>
      </w:r>
      <w:r w:rsidRPr="004622D7">
        <w:rPr>
          <w:sz w:val="28"/>
          <w:szCs w:val="28"/>
          <w:lang w:val="uk-UA"/>
        </w:rPr>
        <w:t>172,322</w:t>
      </w:r>
      <w:r w:rsidRPr="004622D7">
        <w:rPr>
          <w:sz w:val="28"/>
          <w:szCs w:val="28"/>
          <w:shd w:val="clear" w:color="auto" w:fill="FFFFFF"/>
          <w:lang w:val="uk-UA"/>
        </w:rPr>
        <w:t xml:space="preserve">]. У літературі бракує робіт, присвячених впливу СГТ як самостійної нозології, так і при коморбідності, на рівні </w:t>
      </w:r>
      <w:r w:rsidRPr="004622D7">
        <w:rPr>
          <w:rStyle w:val="tlid-translation"/>
          <w:sz w:val="28"/>
          <w:szCs w:val="28"/>
          <w:lang w:val="uk-UA"/>
        </w:rPr>
        <w:t>8-OHdG</w:t>
      </w:r>
      <w:r w:rsidRPr="004622D7">
        <w:rPr>
          <w:sz w:val="28"/>
          <w:szCs w:val="28"/>
          <w:shd w:val="clear" w:color="auto" w:fill="FFFFFF"/>
          <w:lang w:val="uk-UA"/>
        </w:rPr>
        <w:t>, зокрема в осіб старших вікових груп.</w:t>
      </w:r>
    </w:p>
    <w:p w:rsidR="00E3259F" w:rsidRPr="004622D7" w:rsidRDefault="00E3259F" w:rsidP="004622D7">
      <w:pPr>
        <w:shd w:val="clear" w:color="auto" w:fill="FFFFFF"/>
        <w:spacing w:line="360" w:lineRule="auto"/>
        <w:ind w:firstLine="709"/>
        <w:jc w:val="both"/>
        <w:outlineLvl w:val="0"/>
        <w:rPr>
          <w:rStyle w:val="tlid-translation"/>
          <w:sz w:val="28"/>
          <w:szCs w:val="28"/>
          <w:lang w:val="uk-UA"/>
        </w:rPr>
      </w:pPr>
      <w:r w:rsidRPr="004622D7">
        <w:rPr>
          <w:rStyle w:val="tlid-translation"/>
          <w:sz w:val="28"/>
          <w:szCs w:val="28"/>
          <w:lang w:val="uk-UA"/>
        </w:rPr>
        <w:t xml:space="preserve"> Важливо, щоб ушкодження, спричинені вільними радикалами, а також пошкодження мітохондріальної та ядерної ДНК відновлювались. Однак при багатьох захворюваннях активність антиоксидантної системи знижена, що призводить до посилення активності вільних радикалів та подальшого зростання ОС. На цей час не до кінця з'ясований зв'язок між рівнем тиреоїдних гормонів і природним АОЗ, в зв'язку з чим зберігається актуальність виявлення інформативних і доступних критеріїв оцінки перебігу та адекватності терапії при аутоімунному тиреоїдиті і гіпотиреозі, зокрема й  субклінічному, з урахуванням рівня ПОЛ та стану природного АОЗ. </w:t>
      </w:r>
    </w:p>
    <w:p w:rsidR="00E3259F" w:rsidRPr="004622D7" w:rsidRDefault="00E3259F" w:rsidP="004622D7">
      <w:pPr>
        <w:shd w:val="clear" w:color="auto" w:fill="FFFFFF"/>
        <w:spacing w:line="360" w:lineRule="auto"/>
        <w:ind w:firstLine="709"/>
        <w:jc w:val="both"/>
        <w:outlineLvl w:val="0"/>
        <w:rPr>
          <w:lang w:val="uk-UA"/>
        </w:rPr>
      </w:pPr>
      <w:r w:rsidRPr="004622D7">
        <w:rPr>
          <w:sz w:val="28"/>
          <w:szCs w:val="28"/>
          <w:shd w:val="clear" w:color="auto" w:fill="FFFFFF"/>
          <w:lang w:val="uk-UA"/>
        </w:rPr>
        <w:t>У той же час, існують поодинокі роботи, у яких досліджувався ОС при коморбідністі СГТ з іншими захворюваннями, зокрема з ГХ та ЦД 2 типу [</w:t>
      </w:r>
      <w:r w:rsidRPr="004622D7">
        <w:rPr>
          <w:sz w:val="28"/>
          <w:szCs w:val="28"/>
          <w:lang w:val="uk-UA"/>
        </w:rPr>
        <w:t>182</w:t>
      </w:r>
      <w:r w:rsidRPr="004622D7">
        <w:rPr>
          <w:sz w:val="28"/>
          <w:szCs w:val="28"/>
          <w:shd w:val="clear" w:color="auto" w:fill="FFFFFF"/>
          <w:lang w:val="uk-UA"/>
        </w:rPr>
        <w:t>] та внесок СГТ у загальний оксидантно-антиоксидантний баланс при поєднаному перебігу з ГХ та ЦД 2 типу до цього часу залишається незрозумілим.</w:t>
      </w:r>
    </w:p>
    <w:p w:rsidR="00E3259F" w:rsidRPr="004622D7" w:rsidRDefault="00E3259F" w:rsidP="004622D7">
      <w:pPr>
        <w:pStyle w:val="a4"/>
        <w:shd w:val="clear" w:color="auto" w:fill="FFFFFF"/>
        <w:spacing w:line="360" w:lineRule="auto"/>
        <w:ind w:left="0" w:firstLine="709"/>
        <w:jc w:val="both"/>
        <w:rPr>
          <w:rStyle w:val="tlid-translation"/>
        </w:rPr>
      </w:pPr>
      <w:r w:rsidRPr="004622D7">
        <w:rPr>
          <w:sz w:val="28"/>
          <w:szCs w:val="28"/>
          <w:lang w:val="uk-UA"/>
        </w:rPr>
        <w:t xml:space="preserve">Таким чином, складна взаємодія між ЕД, порушенням метаболічних процесів, розвитком інсулінорезистентності та ОС може мати ключове значення для зв'язку між субклінічною гіпофункцією ЩЗ на тлі ГХ та ЦД 2 типу і ризиком розвитку ССУ. </w:t>
      </w:r>
      <w:r w:rsidRPr="004622D7">
        <w:rPr>
          <w:rStyle w:val="tlid-translation"/>
          <w:sz w:val="28"/>
          <w:szCs w:val="28"/>
          <w:lang w:val="uk-UA"/>
        </w:rPr>
        <w:t>Незважаючи на те, що класичні фактори ризику є загальновизнаними предикторами розвитку й прогресування ССЗ, існують широкі відмінності в маніфестації та перебігу захворювання в осіб з однаковим профілем ризику, зокрема й при супутньому СГТ. Дотепер існує недостатня кількість даних щодо внеску СГТ в загальний КВР, особливо в пацієнтів високого ризику, а також щодо маркера, який дозволяє оцінити прогностичний вплив СГТ.</w:t>
      </w:r>
    </w:p>
    <w:p w:rsidR="00E3259F" w:rsidRDefault="00E3259F" w:rsidP="00E3259F">
      <w:pPr>
        <w:pStyle w:val="a4"/>
        <w:shd w:val="clear" w:color="auto" w:fill="FFFFFF"/>
        <w:spacing w:line="360" w:lineRule="auto"/>
        <w:ind w:left="0" w:firstLine="709"/>
        <w:jc w:val="both"/>
        <w:rPr>
          <w:rStyle w:val="tlid-translation"/>
          <w:sz w:val="28"/>
          <w:szCs w:val="28"/>
          <w:lang w:val="uk-UA"/>
        </w:rPr>
      </w:pPr>
    </w:p>
    <w:p w:rsidR="00E3259F" w:rsidRDefault="00E3259F" w:rsidP="00E3259F">
      <w:pPr>
        <w:pStyle w:val="a4"/>
        <w:shd w:val="clear" w:color="auto" w:fill="FFFFFF"/>
        <w:spacing w:line="360" w:lineRule="auto"/>
        <w:ind w:left="0" w:firstLine="709"/>
        <w:jc w:val="both"/>
        <w:rPr>
          <w:rStyle w:val="tlid-translation"/>
          <w:sz w:val="16"/>
          <w:szCs w:val="16"/>
          <w:lang w:val="uk-UA"/>
        </w:rPr>
      </w:pPr>
    </w:p>
    <w:p w:rsidR="00E3259F" w:rsidRDefault="00E3259F" w:rsidP="00DB67BF">
      <w:pPr>
        <w:pStyle w:val="a4"/>
        <w:numPr>
          <w:ilvl w:val="1"/>
          <w:numId w:val="10"/>
        </w:numPr>
        <w:spacing w:line="360" w:lineRule="auto"/>
        <w:ind w:left="0" w:firstLine="0"/>
        <w:jc w:val="both"/>
        <w:rPr>
          <w:sz w:val="28"/>
          <w:szCs w:val="28"/>
          <w:lang w:val="uk-UA" w:eastAsia="uk-UA"/>
        </w:rPr>
      </w:pPr>
      <w:r>
        <w:rPr>
          <w:sz w:val="28"/>
          <w:szCs w:val="28"/>
          <w:lang w:val="uk-UA" w:eastAsia="uk-UA"/>
        </w:rPr>
        <w:t>Сучасні теорії передчасного старіння: місце передчасного судинного старіння як фактора прогресування та ризику розвитку серцево-судинних ускладнень.</w:t>
      </w:r>
    </w:p>
    <w:p w:rsidR="00E3259F" w:rsidRDefault="00E3259F" w:rsidP="00DB67BF">
      <w:pPr>
        <w:spacing w:line="360" w:lineRule="auto"/>
        <w:rPr>
          <w:b/>
          <w:lang w:val="uk-UA"/>
        </w:rPr>
      </w:pPr>
    </w:p>
    <w:p w:rsidR="00E3259F" w:rsidRPr="00DB67BF" w:rsidRDefault="00E3259F" w:rsidP="00DB67BF">
      <w:pPr>
        <w:spacing w:line="360" w:lineRule="auto"/>
        <w:ind w:firstLine="709"/>
        <w:jc w:val="both"/>
        <w:textAlignment w:val="top"/>
        <w:rPr>
          <w:sz w:val="28"/>
          <w:szCs w:val="28"/>
          <w:lang w:val="uk-UA"/>
        </w:rPr>
      </w:pPr>
      <w:r w:rsidRPr="00DB67BF">
        <w:rPr>
          <w:rStyle w:val="tlid-translation"/>
          <w:sz w:val="28"/>
          <w:szCs w:val="28"/>
          <w:lang w:val="uk-UA"/>
        </w:rPr>
        <w:t>Відповідно до класифікації, прийнятої європейським регіональним бюро ВООЗ у 1963 р, літнім вважається вік від 60 до 74 років, старечим - від 75 до 89 років, а вік довголітніх - 90 років і більше. До цього часу ця класифікація не переглянута</w:t>
      </w:r>
      <w:r w:rsidRPr="00DB67BF">
        <w:rPr>
          <w:sz w:val="28"/>
          <w:szCs w:val="28"/>
          <w:lang w:val="uk-UA"/>
        </w:rPr>
        <w:t xml:space="preserve"> [102]. Старіння організму -це складний біологічний процес, який характеризується зменшенням життєздатності в результаті зниження з віком впорядкованості структур організму і збільшенням ступеня їх зносу та виснаження. </w:t>
      </w:r>
    </w:p>
    <w:p w:rsidR="00E3259F" w:rsidRPr="00DB67BF" w:rsidRDefault="00E3259F" w:rsidP="00DB67BF">
      <w:pPr>
        <w:spacing w:line="360" w:lineRule="auto"/>
        <w:ind w:firstLine="709"/>
        <w:jc w:val="both"/>
        <w:textAlignment w:val="top"/>
        <w:rPr>
          <w:sz w:val="28"/>
          <w:szCs w:val="28"/>
          <w:lang w:val="uk-UA"/>
        </w:rPr>
      </w:pPr>
      <w:r w:rsidRPr="00DB67BF">
        <w:rPr>
          <w:sz w:val="28"/>
          <w:szCs w:val="28"/>
          <w:lang w:val="uk-UA"/>
        </w:rPr>
        <w:t xml:space="preserve">В останні десятиліття в усьому світі спостерігається стійка тенденція глобального старіння населення. За даними ВООЗ, у 2000 році особи старше 65 років у розвинених країнах становили 10-14% від всієї популяції, а вже до 20-х років XXI століття їх кількість подвоїться [27]. Найбільш швидко зростатиме частка дуже старих людей, що мають вік 80 і більше років. У глобальному масштабі кількість осіб віком від 80 років і старше майже втричі збільшилася в період з 1990 по 2019 рік [399]. </w:t>
      </w:r>
      <w:r w:rsidRPr="00DB67BF">
        <w:rPr>
          <w:rStyle w:val="tlid-translation"/>
          <w:sz w:val="28"/>
          <w:szCs w:val="28"/>
          <w:lang w:val="uk-UA"/>
        </w:rPr>
        <w:t xml:space="preserve">Постаріння населення стало провідною демографічною рисою також і для України [47]. За прогнозами ООН, до 2025 року кількість людей старше 60 років сягне 1,2 млрд. осіб (15% всього населення планети), тому розроблена Організацією Об'єднаних Націй концепція здорового старіння віднесена до найбільш пріоритетних напрямів медицини [26]. Кабінетом міністрів України в зв`язку з </w:t>
      </w:r>
      <w:r w:rsidRPr="00DB67BF">
        <w:rPr>
          <w:rStyle w:val="rvts0"/>
          <w:sz w:val="28"/>
          <w:szCs w:val="28"/>
          <w:lang w:val="uk-UA"/>
        </w:rPr>
        <w:t>національним демографічним прогнозом на період до 2025 року, за яким частка осіб віком понад 60 років становитиме 25 відсотків загальної кількості населення, запропонована «</w:t>
      </w:r>
      <w:r w:rsidRPr="00DB67BF">
        <w:rPr>
          <w:rStyle w:val="rvts23"/>
          <w:sz w:val="28"/>
          <w:szCs w:val="28"/>
          <w:lang w:val="uk-UA"/>
        </w:rPr>
        <w:t xml:space="preserve">Стратегія державної політики з питань здорового та активного довголіття населення на період до 2022 року» [109]. </w:t>
      </w:r>
      <w:bookmarkStart w:id="2" w:name="n8"/>
      <w:bookmarkEnd w:id="2"/>
      <w:r w:rsidRPr="00DB67BF">
        <w:rPr>
          <w:sz w:val="28"/>
          <w:szCs w:val="28"/>
          <w:lang w:val="uk-UA"/>
        </w:rPr>
        <w:t xml:space="preserve">Ця проблема є економічно значуща, оскільки літні й старі пацієнти набагато частішета довше хворіють, що призводить до значного збільшення витрат на їх лікування. </w:t>
      </w:r>
    </w:p>
    <w:p w:rsidR="00E3259F" w:rsidRPr="00DB67BF" w:rsidRDefault="00E3259F" w:rsidP="00DB67BF">
      <w:pPr>
        <w:spacing w:line="360" w:lineRule="auto"/>
        <w:ind w:firstLine="709"/>
        <w:jc w:val="both"/>
        <w:textAlignment w:val="top"/>
        <w:rPr>
          <w:rStyle w:val="tlid-translation"/>
          <w:lang w:val="uk-UA"/>
        </w:rPr>
      </w:pPr>
      <w:r w:rsidRPr="00DB67BF">
        <w:rPr>
          <w:rStyle w:val="tlid-translation"/>
          <w:sz w:val="28"/>
          <w:szCs w:val="28"/>
          <w:lang w:val="uk-UA"/>
        </w:rPr>
        <w:t xml:space="preserve">Старіння людини прийнято розглядати як природний фізіологічний процес, що розвивається з віком і виявляється поступовим зниженням пристосувальних можливостей організму, які можуть відігравати суттєву роль у розвитку тієї чи іншої патології. Разом з тим є дані, згідно з якими фізіологічне старіння спостерігається всього в 3 - 6% людської популяції [4]. </w:t>
      </w:r>
    </w:p>
    <w:p w:rsidR="00E3259F" w:rsidRPr="00DB67BF" w:rsidRDefault="00E3259F" w:rsidP="00DB67BF">
      <w:pPr>
        <w:spacing w:line="360" w:lineRule="auto"/>
        <w:ind w:firstLine="709"/>
        <w:jc w:val="both"/>
        <w:rPr>
          <w:rStyle w:val="tlid-translationtranslation"/>
          <w:lang w:val="uk-UA" w:eastAsia="en-US"/>
        </w:rPr>
      </w:pPr>
      <w:r w:rsidRPr="00DB67BF">
        <w:rPr>
          <w:rStyle w:val="tlid-translation"/>
          <w:rFonts w:eastAsiaTheme="majorEastAsia"/>
          <w:sz w:val="28"/>
          <w:szCs w:val="28"/>
          <w:lang w:val="uk-UA"/>
        </w:rPr>
        <w:t xml:space="preserve">Комітетом Європейського товариства кардіологів (European Society of Cardiology) фактори ризику запропоновано розподіляти на немодифіковані та модифіковані </w:t>
      </w:r>
      <w:r w:rsidRPr="00DB67BF">
        <w:rPr>
          <w:rStyle w:val="tlid-translation"/>
          <w:sz w:val="28"/>
          <w:szCs w:val="28"/>
          <w:lang w:val="uk-UA"/>
        </w:rPr>
        <w:t>[</w:t>
      </w:r>
      <w:r w:rsidRPr="00DB67BF">
        <w:rPr>
          <w:sz w:val="28"/>
          <w:szCs w:val="28"/>
          <w:lang w:val="uk-UA"/>
        </w:rPr>
        <w:t>283,319</w:t>
      </w:r>
      <w:r w:rsidRPr="00DB67BF">
        <w:rPr>
          <w:rStyle w:val="tlid-translation"/>
          <w:sz w:val="28"/>
          <w:szCs w:val="28"/>
          <w:lang w:val="uk-UA"/>
        </w:rPr>
        <w:t>].</w:t>
      </w:r>
      <w:r w:rsidRPr="00DB67BF">
        <w:rPr>
          <w:rStyle w:val="tlid-translation"/>
          <w:rFonts w:eastAsiaTheme="majorEastAsia"/>
          <w:sz w:val="28"/>
          <w:szCs w:val="28"/>
          <w:lang w:val="uk-UA"/>
        </w:rPr>
        <w:t xml:space="preserve"> Немодифікованих факторів ризику три: вік, стать, спадковість. </w:t>
      </w:r>
      <w:r w:rsidRPr="00DB67BF">
        <w:rPr>
          <w:rStyle w:val="tlid-translation"/>
          <w:sz w:val="28"/>
          <w:szCs w:val="28"/>
          <w:lang w:val="uk-UA"/>
        </w:rPr>
        <w:t>[283</w:t>
      </w:r>
      <w:r w:rsidRPr="00DB67BF">
        <w:rPr>
          <w:rStyle w:val="tlid-translation"/>
          <w:rFonts w:eastAsiaTheme="majorEastAsia"/>
          <w:sz w:val="28"/>
          <w:szCs w:val="28"/>
          <w:lang w:val="uk-UA"/>
        </w:rPr>
        <w:t xml:space="preserve">]. Відомо, що вік - це фундаментальна категорія, але в цей  час вважається, що хронологічний (календарний) вік (КВ) не дає належного уявлення про </w:t>
      </w:r>
      <w:r w:rsidRPr="00DB67BF">
        <w:rPr>
          <w:sz w:val="28"/>
          <w:szCs w:val="28"/>
          <w:lang w:val="uk-UA"/>
        </w:rPr>
        <w:t xml:space="preserve">ступінь вікового ушкодження організму й не може розглядатися як надійний маркер для визначення тривалості майбутнього життя через те, що люди однієї статі та КВ можуть мати різний ступінь вікових порушень в органах і системах організму, різні генетичні детермінанти, мати різні патологічні процеси і тощо [93,304]. Тому в цей час в якості діагностичного критерію старіння використовують поняття біологічного віку (БВ), який є інтегральним показником рівня здоров'я людини й відображає резервний потенціал організму [56,58]. За відхиленням БВ від належного БВ (НБВ) - популяційного стандарту старіння, можна визначити темпи старіння (ТС) - чи є старіння організму фізіологічним (ФС), уповільненим  (УТС) або передчасним (ПТС) [52]. </w:t>
      </w:r>
      <w:r w:rsidRPr="00DB67BF">
        <w:rPr>
          <w:rStyle w:val="tlid-translationtranslation"/>
          <w:sz w:val="28"/>
          <w:szCs w:val="28"/>
          <w:lang w:val="uk-UA"/>
        </w:rPr>
        <w:t>При ПТС у більш ранні періоди життя знижуються адаптаційні механізми всіх фізіологічних систем, відбувається значне зменшення фізичної та розумової активності.</w:t>
      </w:r>
    </w:p>
    <w:p w:rsidR="00E3259F" w:rsidRPr="00DB67BF" w:rsidRDefault="00E3259F" w:rsidP="00DB67BF">
      <w:pPr>
        <w:spacing w:line="360" w:lineRule="auto"/>
        <w:ind w:firstLine="709"/>
        <w:jc w:val="both"/>
        <w:rPr>
          <w:rStyle w:val="tlid-translation"/>
          <w:sz w:val="28"/>
          <w:szCs w:val="28"/>
          <w:lang w:val="uk-UA"/>
        </w:rPr>
      </w:pPr>
      <w:r w:rsidRPr="00DB67BF">
        <w:rPr>
          <w:rStyle w:val="tlid-translationtranslation"/>
          <w:sz w:val="28"/>
          <w:szCs w:val="28"/>
          <w:lang w:val="uk-UA"/>
        </w:rPr>
        <w:t>Важливість визначення ТС обґрунтовується тим, що цей показник може мати реальну прогностичну цінність для оцінки здоров'я як окремої людини, так і груп, що мають певні фактори ризику розвитку захворювань. Крім того, кількісні характеристики ТС можуть слугувати об'єктивною мірою ефективності таких впливів на людину, як зміна способу життя, використання дієт, різних методів терапевтичного або профілактичного втручання тощо [</w:t>
      </w:r>
      <w:r w:rsidRPr="00DB67BF">
        <w:rPr>
          <w:sz w:val="28"/>
          <w:szCs w:val="28"/>
          <w:lang w:val="uk-UA"/>
        </w:rPr>
        <w:t>415</w:t>
      </w:r>
      <w:r w:rsidRPr="00DB67BF">
        <w:rPr>
          <w:rStyle w:val="tlid-translationtranslation"/>
          <w:sz w:val="28"/>
          <w:szCs w:val="28"/>
          <w:lang w:val="uk-UA"/>
        </w:rPr>
        <w:t>].  ПС сприяє ранньому розвитку вікової патології, перш за все ІХС, ГХ, ЦД 2 типу, ожиріння, а виникнення хвороб, у свою чергу, прискорює ТС людини</w:t>
      </w:r>
      <w:r w:rsidRPr="00DB67BF">
        <w:rPr>
          <w:sz w:val="28"/>
          <w:szCs w:val="28"/>
          <w:lang w:val="uk-UA"/>
        </w:rPr>
        <w:t xml:space="preserve"> [126]</w:t>
      </w:r>
      <w:r w:rsidRPr="00DB67BF">
        <w:rPr>
          <w:rStyle w:val="tlid-translationtranslation"/>
          <w:sz w:val="28"/>
          <w:szCs w:val="28"/>
          <w:lang w:val="uk-UA"/>
        </w:rPr>
        <w:t>.</w:t>
      </w:r>
      <w:r w:rsidRPr="00DB67BF">
        <w:rPr>
          <w:rStyle w:val="tlid-translation"/>
          <w:sz w:val="28"/>
          <w:szCs w:val="28"/>
          <w:lang w:val="uk-UA"/>
        </w:rPr>
        <w:t xml:space="preserve">  Науковцями Інституту геронтології НАМН України при довготривалому спостереженні за працівниками різноманітних професій у різних умовах виробництва було доведено високу інформативність методик визначення БВ як для прогнозування динаміки стану здоров'я, так і для оцінки ефективності оздоровчих реабілітаційних заходів, що проводились [4,58].</w:t>
      </w:r>
    </w:p>
    <w:p w:rsidR="00E3259F" w:rsidRPr="00DB67BF" w:rsidRDefault="00E3259F" w:rsidP="00DB67BF">
      <w:pPr>
        <w:shd w:val="clear" w:color="auto" w:fill="FFFFFF"/>
        <w:spacing w:line="360" w:lineRule="auto"/>
        <w:ind w:firstLine="709"/>
        <w:jc w:val="both"/>
        <w:rPr>
          <w:rStyle w:val="tlid-translationtranslation"/>
        </w:rPr>
      </w:pPr>
      <w:r w:rsidRPr="00DB67BF">
        <w:rPr>
          <w:sz w:val="28"/>
          <w:szCs w:val="28"/>
          <w:lang w:val="uk-UA"/>
        </w:rPr>
        <w:t xml:space="preserve">Ефективність профілактики ССЗ пов’язна передусім з виявленням осіб з підвищеним ризиком серцево-судинних подій. На підставі даних проспективних досліджень, зокрема як Фремінгемське, були виділені ключові фактори ризику розвитку ССЗ, що й стало основою розробки популяційних статегій профілактики ССЗ та розвитку ССУ [107].Так відомо, что однією з причин значного зростання кількості ССУ таких як інфаркт міокарду, інсульти, випадки серцевої недостатності вважається неухильне старіння населення [123]. Епідеміологічні дослідження показали, що похилий вік є одним з основних факторів ризику ССЗ, а частота розвитку атеротромботичних ускладнень постійно збільшується з віком. Наприклад, наводяться дані, що на цей час особи 80+ в США складають 5% населення,  але серед госпіталізованих з інфарктом міокарда  їх уже 20%, а серед померлих від нього  - 30% [108,304].  </w:t>
      </w:r>
    </w:p>
    <w:p w:rsidR="00E3259F" w:rsidRPr="00DB67BF" w:rsidRDefault="00E3259F" w:rsidP="00DB67BF">
      <w:pPr>
        <w:spacing w:line="360" w:lineRule="auto"/>
        <w:ind w:firstLine="709"/>
        <w:jc w:val="both"/>
        <w:rPr>
          <w:rStyle w:val="tlid-translation"/>
          <w:rFonts w:eastAsiaTheme="majorEastAsia"/>
        </w:rPr>
      </w:pPr>
      <w:r w:rsidRPr="00DB67BF">
        <w:rPr>
          <w:rStyle w:val="tlid-translationtranslation"/>
          <w:sz w:val="28"/>
          <w:szCs w:val="28"/>
          <w:lang w:val="uk-UA"/>
        </w:rPr>
        <w:t>Даних, що стосуються вивчення механізмів старіння в пацієнтів з поліорганною патологією, оцінки значення та специфічного внеску кожного захворювання на процеси ПС, не так багато</w:t>
      </w:r>
      <w:r w:rsidRPr="00DB67BF">
        <w:rPr>
          <w:sz w:val="28"/>
          <w:szCs w:val="28"/>
          <w:lang w:val="uk-UA"/>
        </w:rPr>
        <w:t xml:space="preserve"> [4,126,241]</w:t>
      </w:r>
      <w:r w:rsidRPr="00DB67BF">
        <w:rPr>
          <w:rStyle w:val="tlid-translationtranslation"/>
          <w:sz w:val="28"/>
          <w:szCs w:val="28"/>
          <w:lang w:val="uk-UA"/>
        </w:rPr>
        <w:t xml:space="preserve">. На особливу увагу заслуговують пацієнти з коморбідністю ГХ та ЦД 2 типу та поліморбідністю ГХ, ЦД 2 типу та СГТ, оскільки для цих патологій чітко простежується тенденція до зростання за мірою збільшення віку, а неухильне збільшення кількості пацієнтів із цими захворюваннями визначає їх соціальну значущість. </w:t>
      </w:r>
      <w:r w:rsidRPr="00DB67BF">
        <w:rPr>
          <w:rStyle w:val="tlid-translation"/>
          <w:sz w:val="28"/>
          <w:szCs w:val="28"/>
          <w:lang w:val="uk-UA"/>
        </w:rPr>
        <w:t xml:space="preserve">Існування вікових особливостей реактивності здорового й хворого організму передбачає наявність узаємозв'язку між віковою патологією та старінням як загальнобіологічним процесом. Виявлення таких механізмів дозволило б індивідуалізувати та оптимізувати терапевтичну тактику з урахуванням геропрофілактичних можливостей у пацієнтів з різною патологією. </w:t>
      </w:r>
      <w:r w:rsidRPr="00DB67BF">
        <w:rPr>
          <w:rStyle w:val="tlid-translation"/>
          <w:rFonts w:eastAsiaTheme="majorEastAsia"/>
          <w:sz w:val="28"/>
          <w:szCs w:val="28"/>
          <w:lang w:val="uk-UA"/>
        </w:rPr>
        <w:t>Якщо на календарний вік вплинути неможливо, то БВ - величина мінлива й залежить від багатьох факторів.</w:t>
      </w:r>
      <w:r w:rsidRPr="00DB67BF">
        <w:rPr>
          <w:rStyle w:val="10"/>
          <w:rFonts w:eastAsiaTheme="majorEastAsia"/>
          <w:sz w:val="28"/>
          <w:szCs w:val="28"/>
          <w:lang w:val="uk-UA"/>
        </w:rPr>
        <w:t xml:space="preserve"> </w:t>
      </w:r>
      <w:r w:rsidRPr="00DB67BF">
        <w:rPr>
          <w:rStyle w:val="tlid-translation"/>
          <w:rFonts w:eastAsiaTheme="majorEastAsia"/>
          <w:sz w:val="28"/>
          <w:szCs w:val="28"/>
          <w:lang w:val="uk-UA"/>
        </w:rPr>
        <w:t>БВ у визначенні значимості та внеску в загальну концепцію факторів ризику останні роки приділяється значна роль. Цей фактор, мабуть, трансформуючись через добре відомі фізіологічні й патофізіологічні механізми, може або посилювати, або зменшувати дію інших, зокрема анатомічних, фізіологічних і метаболічних факторів. Однак, подібні дослідження на репрезентативних вибірках з населення практично не проводились.</w:t>
      </w:r>
    </w:p>
    <w:p w:rsidR="00E3259F" w:rsidRPr="00DB67BF" w:rsidRDefault="00E3259F" w:rsidP="00DB67BF">
      <w:pPr>
        <w:spacing w:line="360" w:lineRule="auto"/>
        <w:ind w:firstLine="709"/>
        <w:jc w:val="both"/>
        <w:rPr>
          <w:b/>
          <w:lang w:val="uk-UA"/>
        </w:rPr>
      </w:pPr>
      <w:r w:rsidRPr="00DB67BF">
        <w:rPr>
          <w:rStyle w:val="tlid-translation"/>
          <w:sz w:val="28"/>
          <w:szCs w:val="28"/>
          <w:lang w:val="uk-UA"/>
        </w:rPr>
        <w:t>За мірою накопичення знань стає все більш очевидним, що старіння й основні хронічні вік-асоційовані захворювання мають спільні основні молекулярні та клітинні механізми [61]. Вважається, що в першу чергу вони пов'язані з  феноменом слабовираженого хронічного системного запалення, для визначення якого групою вчених на чолі з C. Franceschi запропонований термін «інфламейджінг» [210]. На сьогодні інфламейджінг є широко прийнятою теорією старіння [211</w:t>
      </w:r>
      <w:r w:rsidRPr="00DB67BF">
        <w:rPr>
          <w:sz w:val="28"/>
          <w:szCs w:val="28"/>
          <w:lang w:val="uk-UA"/>
        </w:rPr>
        <w:t>].</w:t>
      </w:r>
      <w:r w:rsidRPr="00DB67BF">
        <w:rPr>
          <w:rStyle w:val="tlid-translation"/>
          <w:sz w:val="28"/>
          <w:szCs w:val="28"/>
          <w:lang w:val="uk-UA"/>
        </w:rPr>
        <w:t xml:space="preserve"> Глобальне вікове системне запалення в багатьох органах бере участь у патогенезі більшості вік-асоційованих захворювань, але до цього часу остаточно не з'ясовано, чи є ці стани причиною або наслідком вікового системного запалення. Відомо, що хронічне судинне запалення є одним із центральних патогенетичних механізмів на всіх етапах розвитку атеросклерозу та його ускладнень. Але які механізми задіяні в розвитку вік-асоційованого хронічного запалення, остаточно не встановлено.</w:t>
      </w:r>
    </w:p>
    <w:p w:rsidR="00E3259F" w:rsidRPr="00DB67BF" w:rsidRDefault="00E3259F" w:rsidP="00DB67BF">
      <w:pPr>
        <w:shd w:val="clear" w:color="auto" w:fill="FFFFFF"/>
        <w:spacing w:line="360" w:lineRule="auto"/>
        <w:ind w:firstLine="709"/>
        <w:jc w:val="both"/>
        <w:textAlignment w:val="top"/>
        <w:rPr>
          <w:rStyle w:val="tlid-translation"/>
          <w:sz w:val="28"/>
          <w:szCs w:val="28"/>
          <w:lang w:val="uk-UA"/>
        </w:rPr>
      </w:pPr>
      <w:r w:rsidRPr="00DB67BF">
        <w:rPr>
          <w:rStyle w:val="tlid-translation"/>
          <w:sz w:val="28"/>
          <w:szCs w:val="28"/>
          <w:lang w:val="uk-UA"/>
        </w:rPr>
        <w:t>Розвитку хронічного запалення та прогресування різних захворювань може сприяти наявне при старінні посилення ОС. Сьогодні теорія ОС вважається однією з найбільш популярних теорій, що пояснюють розвиток багатьох процесів, зокрема й процеси старіння, тому останнім часом ОС, як предиктор передчасного старіння, активно вивчається з метою кращого зрозуміння механізмів захисту, передусім антиоксидантного, і узаємозв'язку між оксидативним ушкодженням та процесом старіння [43,44,227,234].</w:t>
      </w:r>
      <w:r w:rsidRPr="00DB67BF">
        <w:rPr>
          <w:sz w:val="28"/>
          <w:szCs w:val="28"/>
          <w:lang w:val="uk-UA"/>
        </w:rPr>
        <w:t xml:space="preserve"> </w:t>
      </w:r>
      <w:r w:rsidRPr="00DB67BF">
        <w:rPr>
          <w:rStyle w:val="tlid-translation"/>
          <w:sz w:val="28"/>
          <w:szCs w:val="28"/>
          <w:lang w:val="uk-UA"/>
        </w:rPr>
        <w:t>Відповідно до цієї теорії основним ефектом окисної</w:t>
      </w:r>
      <w:r w:rsidRPr="00DB67BF">
        <w:rPr>
          <w:sz w:val="28"/>
          <w:szCs w:val="28"/>
          <w:lang w:val="uk-UA"/>
        </w:rPr>
        <w:br/>
      </w:r>
      <w:r w:rsidRPr="00DB67BF">
        <w:rPr>
          <w:rStyle w:val="tlid-translation"/>
          <w:sz w:val="28"/>
          <w:szCs w:val="28"/>
          <w:lang w:val="uk-UA"/>
        </w:rPr>
        <w:t xml:space="preserve">цитотоксичної дії активних форм кисню є стимуляція процесів ПОЛ у біологічних мембранах, ушкодження мембран пов'язаних білків, інактивація ферментів, а також ушкодження ДНК клітин [156]. </w:t>
      </w:r>
    </w:p>
    <w:p w:rsidR="00E3259F" w:rsidRPr="00DB67BF" w:rsidRDefault="00E3259F" w:rsidP="00DB67BF">
      <w:pPr>
        <w:shd w:val="clear" w:color="auto" w:fill="FFFFFF"/>
        <w:spacing w:line="360" w:lineRule="auto"/>
        <w:ind w:firstLine="709"/>
        <w:jc w:val="both"/>
        <w:textAlignment w:val="top"/>
      </w:pPr>
      <w:r w:rsidRPr="00DB67BF">
        <w:rPr>
          <w:sz w:val="28"/>
          <w:szCs w:val="28"/>
          <w:lang w:val="uk-UA"/>
        </w:rPr>
        <w:t>З огляду на неухильне збільшення коморбідних станів, пов'язане зі збільшенням тривалості життя населення, узаємоускладнюючої дії різних патологій, питання зміни та можливості впливу на різні патологічні процеси, що відбуваються в організмі, зокрема й ОС, є надзвичайно актуальними. У пацієнтів із поєднаним перебігом ГХ та ЦД попередні дослідження ОС в основному були присвячені його впливу на вуглеводний обмін, рівень АТ, чинники ризику [307]. Вплив ОС на процес старіння при цій коморбідній патології, та при одночасному перебігу СГТ, практично не вивчений.</w:t>
      </w:r>
    </w:p>
    <w:p w:rsidR="00E3259F" w:rsidRPr="00DB67BF" w:rsidRDefault="00E3259F" w:rsidP="00DB67BF">
      <w:pPr>
        <w:spacing w:line="360" w:lineRule="auto"/>
        <w:ind w:firstLine="709"/>
        <w:jc w:val="both"/>
        <w:rPr>
          <w:rStyle w:val="tlid-translation"/>
          <w:lang w:val="uk-UA"/>
        </w:rPr>
      </w:pPr>
      <w:r w:rsidRPr="00DB67BF">
        <w:rPr>
          <w:rStyle w:val="tlid-translation"/>
          <w:sz w:val="28"/>
          <w:szCs w:val="28"/>
          <w:lang w:val="uk-UA"/>
        </w:rPr>
        <w:t xml:space="preserve">Оскільки вік являє собою маркер кумулятивного впливу чинників ризику й загального інтегрального показника розвитку багатьох хронічних хвороб (ССЗ, ЦД 2 типу, онкологічних захворювань), P.M. Nilsson (2009) запропонував поняття «раннього судинного старіння», яке є новою концепцією для вивчення хворих з високим КВР або пацієнтів з ранніми сімейними проявами серцево-судинних подій </w:t>
      </w:r>
      <w:r w:rsidRPr="00DB67BF">
        <w:rPr>
          <w:sz w:val="28"/>
          <w:szCs w:val="28"/>
          <w:lang w:val="uk-UA"/>
        </w:rPr>
        <w:t>[</w:t>
      </w:r>
      <w:r w:rsidRPr="00DB67BF">
        <w:rPr>
          <w:sz w:val="28"/>
          <w:szCs w:val="28"/>
          <w:shd w:val="clear" w:color="auto" w:fill="FFFFFF"/>
          <w:lang w:val="uk-UA"/>
        </w:rPr>
        <w:t>303</w:t>
      </w:r>
      <w:r w:rsidRPr="00DB67BF">
        <w:rPr>
          <w:sz w:val="28"/>
          <w:szCs w:val="28"/>
          <w:lang w:val="uk-UA"/>
        </w:rPr>
        <w:t xml:space="preserve">]. </w:t>
      </w:r>
      <w:r w:rsidRPr="00DB67BF">
        <w:rPr>
          <w:rStyle w:val="tlid-translation"/>
          <w:sz w:val="28"/>
          <w:szCs w:val="28"/>
          <w:lang w:val="uk-UA"/>
        </w:rPr>
        <w:t>«Судинний вік» (СВ) в цілому може бути визначений неінвазивно: шляхом вимірювання дисфункції ендотелію, швидкості поширення пульсової хвилі, центрального АТ, ТКІМ загальної сонної артерії. Ці параметри можна розглядати як «тканинні біомаркери» ураження судин, які можуть бути більш чутливими, ніж «циркулюючі біомаркери» (наприклад, СРП, гіперглікемія, дисліпідемія) і показати кращі додаткові результати прогнозування ССУ у поєднанні з класичними факторами ризику [104</w:t>
      </w:r>
      <w:r w:rsidRPr="00DB67BF">
        <w:rPr>
          <w:sz w:val="28"/>
          <w:szCs w:val="28"/>
          <w:shd w:val="clear" w:color="auto" w:fill="FFFFFF"/>
          <w:lang w:val="uk-UA"/>
        </w:rPr>
        <w:t>]</w:t>
      </w:r>
      <w:r w:rsidRPr="00DB67BF">
        <w:rPr>
          <w:rStyle w:val="tlid-translation"/>
          <w:sz w:val="28"/>
          <w:szCs w:val="28"/>
          <w:lang w:val="uk-UA"/>
        </w:rPr>
        <w:t xml:space="preserve">. </w:t>
      </w:r>
    </w:p>
    <w:p w:rsidR="00E3259F" w:rsidRPr="00DB67BF" w:rsidRDefault="00E3259F" w:rsidP="00DB67BF">
      <w:pPr>
        <w:spacing w:line="360" w:lineRule="auto"/>
        <w:ind w:firstLine="709"/>
        <w:jc w:val="both"/>
        <w:rPr>
          <w:rStyle w:val="tlid-translation"/>
          <w:sz w:val="28"/>
          <w:szCs w:val="28"/>
          <w:lang w:val="uk-UA"/>
        </w:rPr>
      </w:pPr>
      <w:r w:rsidRPr="00DB67BF">
        <w:rPr>
          <w:rStyle w:val="tlid-translation"/>
          <w:sz w:val="28"/>
          <w:szCs w:val="28"/>
          <w:lang w:val="uk-UA"/>
        </w:rPr>
        <w:t xml:space="preserve">У дослідженні </w:t>
      </w:r>
      <w:r w:rsidRPr="00DB67BF">
        <w:rPr>
          <w:sz w:val="28"/>
          <w:szCs w:val="28"/>
          <w:lang w:val="en"/>
        </w:rPr>
        <w:t>Atherosclerosis</w:t>
      </w:r>
      <w:r w:rsidRPr="00DB67BF">
        <w:rPr>
          <w:sz w:val="28"/>
          <w:szCs w:val="28"/>
          <w:lang w:val="uk-UA"/>
        </w:rPr>
        <w:t xml:space="preserve"> </w:t>
      </w:r>
      <w:r w:rsidRPr="00DB67BF">
        <w:rPr>
          <w:sz w:val="28"/>
          <w:szCs w:val="28"/>
          <w:lang w:val="en"/>
        </w:rPr>
        <w:t>Risk</w:t>
      </w:r>
      <w:r w:rsidRPr="00DB67BF">
        <w:rPr>
          <w:sz w:val="28"/>
          <w:szCs w:val="28"/>
          <w:lang w:val="uk-UA"/>
        </w:rPr>
        <w:t xml:space="preserve"> </w:t>
      </w:r>
      <w:r w:rsidRPr="00DB67BF">
        <w:rPr>
          <w:sz w:val="28"/>
          <w:szCs w:val="28"/>
          <w:lang w:val="en"/>
        </w:rPr>
        <w:t>in</w:t>
      </w:r>
      <w:r w:rsidRPr="00DB67BF">
        <w:rPr>
          <w:sz w:val="28"/>
          <w:szCs w:val="28"/>
          <w:lang w:val="uk-UA"/>
        </w:rPr>
        <w:t xml:space="preserve"> </w:t>
      </w:r>
      <w:r w:rsidRPr="00DB67BF">
        <w:rPr>
          <w:sz w:val="28"/>
          <w:szCs w:val="28"/>
          <w:lang w:val="en"/>
        </w:rPr>
        <w:t>Communities</w:t>
      </w:r>
      <w:r w:rsidRPr="00DB67BF">
        <w:rPr>
          <w:sz w:val="28"/>
          <w:szCs w:val="28"/>
          <w:lang w:val="uk-UA"/>
        </w:rPr>
        <w:t xml:space="preserve"> (</w:t>
      </w:r>
      <w:r w:rsidRPr="00DB67BF">
        <w:rPr>
          <w:sz w:val="28"/>
          <w:szCs w:val="28"/>
          <w:lang w:val="en-US"/>
        </w:rPr>
        <w:t>ARIC</w:t>
      </w:r>
      <w:r w:rsidRPr="00DB67BF">
        <w:rPr>
          <w:sz w:val="28"/>
          <w:szCs w:val="28"/>
          <w:lang w:val="uk-UA"/>
        </w:rPr>
        <w:t xml:space="preserve">) </w:t>
      </w:r>
      <w:r w:rsidRPr="00DB67BF">
        <w:rPr>
          <w:sz w:val="28"/>
          <w:szCs w:val="28"/>
          <w:lang w:val="en"/>
        </w:rPr>
        <w:t>study</w:t>
      </w:r>
      <w:r w:rsidRPr="00DB67BF">
        <w:rPr>
          <w:sz w:val="28"/>
          <w:szCs w:val="28"/>
          <w:lang w:val="uk-UA"/>
        </w:rPr>
        <w:t xml:space="preserve"> продемонстровано, що розрахунок СВ, </w:t>
      </w:r>
      <w:r w:rsidRPr="00DB67BF">
        <w:rPr>
          <w:rStyle w:val="tlid-translation"/>
          <w:sz w:val="28"/>
          <w:szCs w:val="28"/>
          <w:lang w:val="uk-UA"/>
        </w:rPr>
        <w:t>ураховуючи стать, вік та расу, може</w:t>
      </w:r>
      <w:r w:rsidRPr="00DB67BF">
        <w:rPr>
          <w:rStyle w:val="tlid-translation"/>
          <w:rFonts w:eastAsiaTheme="minorHAnsi"/>
          <w:sz w:val="28"/>
          <w:szCs w:val="28"/>
          <w:lang w:val="uk-UA"/>
        </w:rPr>
        <w:t xml:space="preserve"> проводиться на основі вимірювання ТКІМ </w:t>
      </w:r>
      <w:r w:rsidRPr="00DB67BF">
        <w:rPr>
          <w:rStyle w:val="tlid-translation"/>
          <w:sz w:val="28"/>
          <w:szCs w:val="28"/>
          <w:lang w:val="uk-UA"/>
        </w:rPr>
        <w:t>[104</w:t>
      </w:r>
      <w:r w:rsidRPr="00DB67BF">
        <w:rPr>
          <w:sz w:val="28"/>
          <w:szCs w:val="28"/>
          <w:shd w:val="clear" w:color="auto" w:fill="FFFFFF"/>
          <w:lang w:val="uk-UA"/>
        </w:rPr>
        <w:t>]</w:t>
      </w:r>
      <w:r w:rsidRPr="00DB67BF">
        <w:rPr>
          <w:rStyle w:val="tlid-translation"/>
          <w:sz w:val="28"/>
          <w:szCs w:val="28"/>
          <w:lang w:val="uk-UA"/>
        </w:rPr>
        <w:t xml:space="preserve">. </w:t>
      </w:r>
      <w:r w:rsidRPr="00DB67BF">
        <w:rPr>
          <w:sz w:val="28"/>
          <w:szCs w:val="28"/>
          <w:lang w:val="en"/>
        </w:rPr>
        <w:t>Stein</w:t>
      </w:r>
      <w:r w:rsidRPr="00DB67BF">
        <w:rPr>
          <w:sz w:val="28"/>
          <w:szCs w:val="28"/>
          <w:lang w:val="uk-UA"/>
        </w:rPr>
        <w:t xml:space="preserve"> </w:t>
      </w:r>
      <w:r w:rsidRPr="00DB67BF">
        <w:rPr>
          <w:sz w:val="28"/>
          <w:szCs w:val="28"/>
          <w:lang w:val="en-US"/>
        </w:rPr>
        <w:t>JH</w:t>
      </w:r>
      <w:r w:rsidRPr="00DB67BF">
        <w:rPr>
          <w:rStyle w:val="tlid-translation"/>
          <w:sz w:val="28"/>
          <w:szCs w:val="28"/>
          <w:lang w:val="uk-UA"/>
        </w:rPr>
        <w:t xml:space="preserve"> та спіавт. показали, що оцінка СВ за допомогою неінвазивного вимірювання ТКІМ каротидних артерій може більш точно визначити вік як один з основних показників оцінки індивідуального ризику ССЗ [360]. </w:t>
      </w:r>
    </w:p>
    <w:p w:rsidR="00E3259F" w:rsidRPr="00DB67BF" w:rsidRDefault="00E3259F" w:rsidP="00DB67BF">
      <w:pPr>
        <w:spacing w:line="360" w:lineRule="auto"/>
        <w:ind w:firstLine="709"/>
        <w:jc w:val="both"/>
        <w:rPr>
          <w:rStyle w:val="tlid-translation"/>
          <w:sz w:val="28"/>
          <w:szCs w:val="28"/>
          <w:lang w:val="uk-UA"/>
        </w:rPr>
      </w:pPr>
      <w:r w:rsidRPr="00DB67BF">
        <w:rPr>
          <w:rStyle w:val="tlid-translation"/>
          <w:sz w:val="28"/>
          <w:szCs w:val="28"/>
          <w:lang w:val="uk-UA"/>
        </w:rPr>
        <w:t xml:space="preserve">Численні дослідження продемонстрували, що одним з найважливіших показників старіння є рівень АТ, який входить майже до всіх формул для обчислення БВ. Так, у пацієнтів з ГХ частіше спостерігали прискорений темп старіння  [4]. З іншого боку, у патогенезі ЦД у цілому задіяні ті ж самі механізми, які вважаються характерними для вікової інволюції. Відомо, що захворюваність на ЦД 2 типу має чітку тенденцію до збільшення з віком. З загальним збільшенням тривалості життя людей кількість хворих на ЦД 2 типу зростає з року в рік, тим самим визначаючи соціальну значимість проблеми. Ще в 1975 році </w:t>
      </w:r>
      <w:r w:rsidRPr="00DB67BF">
        <w:rPr>
          <w:sz w:val="28"/>
          <w:szCs w:val="28"/>
          <w:lang w:val="en-US"/>
        </w:rPr>
        <w:t>T</w:t>
      </w:r>
      <w:r w:rsidRPr="00DB67BF">
        <w:rPr>
          <w:sz w:val="28"/>
          <w:szCs w:val="28"/>
          <w:lang w:val="uk-UA"/>
        </w:rPr>
        <w:t>.</w:t>
      </w:r>
      <w:r w:rsidRPr="00DB67BF">
        <w:rPr>
          <w:sz w:val="28"/>
          <w:szCs w:val="28"/>
          <w:lang w:val="en-US"/>
        </w:rPr>
        <w:t>Furukawa</w:t>
      </w:r>
      <w:r w:rsidRPr="00DB67BF">
        <w:rPr>
          <w:sz w:val="28"/>
          <w:szCs w:val="28"/>
          <w:lang w:val="uk-UA"/>
        </w:rPr>
        <w:t xml:space="preserve"> </w:t>
      </w:r>
      <w:r w:rsidRPr="00DB67BF">
        <w:rPr>
          <w:rStyle w:val="tlid-translation"/>
          <w:sz w:val="28"/>
          <w:szCs w:val="28"/>
          <w:lang w:val="uk-UA"/>
        </w:rPr>
        <w:t>та співавт., використовуючи батарею з 12 тестів, після проведення порівняльного аналізу темпів старіння в здорових осіб та хворих на ГХ та ЦД 2 типу продемонстрував, що обидві ці патології прискорюють перебіг вік-залежних процесів [</w:t>
      </w:r>
      <w:r w:rsidRPr="00DB67BF">
        <w:rPr>
          <w:bCs/>
          <w:sz w:val="28"/>
          <w:szCs w:val="28"/>
          <w:lang w:val="uk-UA"/>
        </w:rPr>
        <w:t>4</w:t>
      </w:r>
      <w:r w:rsidRPr="00DB67BF">
        <w:rPr>
          <w:rStyle w:val="tlid-translation"/>
          <w:sz w:val="28"/>
          <w:szCs w:val="28"/>
          <w:lang w:val="uk-UA"/>
        </w:rPr>
        <w:t>].</w:t>
      </w:r>
    </w:p>
    <w:p w:rsidR="00E3259F" w:rsidRPr="00DB67BF" w:rsidRDefault="00E3259F" w:rsidP="00DB67BF">
      <w:pPr>
        <w:spacing w:line="360" w:lineRule="auto"/>
        <w:ind w:firstLine="709"/>
        <w:jc w:val="both"/>
        <w:rPr>
          <w:lang w:val="uk-UA"/>
        </w:rPr>
      </w:pPr>
      <w:r w:rsidRPr="00DB67BF">
        <w:rPr>
          <w:rStyle w:val="tlid-translation"/>
          <w:sz w:val="28"/>
          <w:szCs w:val="28"/>
          <w:lang w:val="uk-UA"/>
        </w:rPr>
        <w:t>Багаторічне вивчення різних факторів ризику привело до формування концепції факторів ризику, яка в цей час є науково-доказовою базою профілактичної кардіології та знайшла своє відображення в розробці різних шкал, які використовуються для підрахунку сумарного ризику та прогнозу (SCORE, Фрамінгемська шкала та інш.)</w:t>
      </w:r>
      <w:r w:rsidRPr="00DB67BF">
        <w:rPr>
          <w:rStyle w:val="10"/>
          <w:rFonts w:eastAsiaTheme="majorEastAsia"/>
          <w:sz w:val="28"/>
          <w:szCs w:val="28"/>
          <w:lang w:val="uk-UA"/>
        </w:rPr>
        <w:t xml:space="preserve"> </w:t>
      </w:r>
      <w:r w:rsidRPr="00DB67BF">
        <w:rPr>
          <w:rStyle w:val="tlid-translation"/>
          <w:sz w:val="28"/>
          <w:szCs w:val="28"/>
          <w:lang w:val="uk-UA"/>
        </w:rPr>
        <w:t>[</w:t>
      </w:r>
      <w:r w:rsidRPr="00DB67BF">
        <w:rPr>
          <w:sz w:val="28"/>
          <w:szCs w:val="28"/>
          <w:lang w:val="uk-UA"/>
        </w:rPr>
        <w:t>319</w:t>
      </w:r>
      <w:r w:rsidRPr="00DB67BF">
        <w:rPr>
          <w:sz w:val="28"/>
          <w:szCs w:val="28"/>
          <w:shd w:val="clear" w:color="auto" w:fill="FFFFFF"/>
          <w:lang w:val="uk-UA"/>
        </w:rPr>
        <w:t xml:space="preserve">]. </w:t>
      </w:r>
      <w:r w:rsidRPr="00DB67BF">
        <w:rPr>
          <w:rStyle w:val="tlid-translation"/>
          <w:sz w:val="28"/>
          <w:szCs w:val="28"/>
          <w:lang w:val="uk-UA"/>
        </w:rPr>
        <w:t>Велика кількість</w:t>
      </w:r>
      <w:r w:rsidRPr="00DB67BF">
        <w:rPr>
          <w:rStyle w:val="tlid-translation"/>
          <w:rFonts w:eastAsiaTheme="minorHAnsi"/>
          <w:sz w:val="28"/>
          <w:szCs w:val="28"/>
          <w:lang w:val="uk-UA"/>
        </w:rPr>
        <w:t xml:space="preserve"> робіт не тільки підтвердила основні положення концепції факторів ризику, а й чітко показала, що підсумовуючись, фактори не просто додають (збільшують) величину ризику, а й складають, так званий глобальний, сумарний ризик, що значно перевершує за величиною просте додавання ризиків </w:t>
      </w:r>
      <w:r w:rsidRPr="00DB67BF">
        <w:rPr>
          <w:rStyle w:val="tlid-translation"/>
          <w:sz w:val="28"/>
          <w:szCs w:val="28"/>
          <w:lang w:val="uk-UA"/>
        </w:rPr>
        <w:t>[186,188,189,206].</w:t>
      </w:r>
      <w:r w:rsidRPr="00DB67BF">
        <w:rPr>
          <w:rStyle w:val="tlid-translation"/>
          <w:rFonts w:eastAsiaTheme="minorHAnsi"/>
          <w:sz w:val="28"/>
          <w:szCs w:val="28"/>
          <w:lang w:val="uk-UA"/>
        </w:rPr>
        <w:t xml:space="preserve"> </w:t>
      </w:r>
      <w:r w:rsidRPr="00DB67BF">
        <w:rPr>
          <w:rStyle w:val="tlid-translation"/>
          <w:sz w:val="28"/>
          <w:szCs w:val="28"/>
          <w:lang w:val="uk-UA"/>
        </w:rPr>
        <w:t>Нині широко використовується Фремінгемська шкала і Європейська шкала оцінки десятирічного ризику серцево-судинної смертності (SCORE), у яких вік є одним з найважливіших детермінантів серцево-судинного ризику та пов'язаний з низькою морфофункціональних змін судин [</w:t>
      </w:r>
      <w:bookmarkStart w:id="3" w:name="_Hlk43406978"/>
      <w:r w:rsidRPr="00DB67BF">
        <w:rPr>
          <w:sz w:val="28"/>
          <w:szCs w:val="28"/>
          <w:lang w:val="uk-UA"/>
        </w:rPr>
        <w:t>2</w:t>
      </w:r>
      <w:bookmarkEnd w:id="3"/>
      <w:r w:rsidRPr="00DB67BF">
        <w:rPr>
          <w:sz w:val="28"/>
          <w:szCs w:val="28"/>
          <w:lang w:val="uk-UA"/>
        </w:rPr>
        <w:t>42,319</w:t>
      </w:r>
      <w:r w:rsidRPr="00DB67BF">
        <w:rPr>
          <w:rStyle w:val="tlid-translation"/>
          <w:sz w:val="28"/>
          <w:szCs w:val="28"/>
          <w:lang w:val="uk-UA"/>
        </w:rPr>
        <w:t xml:space="preserve">].  </w:t>
      </w:r>
      <w:r w:rsidRPr="00DB67BF">
        <w:rPr>
          <w:sz w:val="28"/>
          <w:szCs w:val="28"/>
          <w:lang w:val="uk-UA"/>
        </w:rPr>
        <w:t>До останнього часу вважали, що його роль у розвитку ССЗ пов'язана, у першу чергу, з більш тривалим впливом інших відомих кардіоваскулярних ФР, а специфічний вплив старіння як такий розуміли недостатньо глибоко.</w:t>
      </w:r>
    </w:p>
    <w:p w:rsidR="00E3259F" w:rsidRPr="00DB67BF" w:rsidRDefault="00E3259F" w:rsidP="00DB67BF">
      <w:pPr>
        <w:spacing w:line="360" w:lineRule="auto"/>
        <w:ind w:firstLine="709"/>
        <w:jc w:val="both"/>
        <w:rPr>
          <w:bCs/>
          <w:sz w:val="28"/>
          <w:szCs w:val="28"/>
          <w:lang w:val="uk-UA" w:eastAsia="en-US"/>
        </w:rPr>
      </w:pPr>
      <w:r w:rsidRPr="00DB67BF">
        <w:rPr>
          <w:sz w:val="28"/>
          <w:szCs w:val="28"/>
          <w:lang w:val="uk-UA"/>
        </w:rPr>
        <w:t xml:space="preserve">В останні роки деякі успіхи в розвитку судинної біології дозволили проникнути в молекулярні механізми старіння та на цій підставі спробувати попередити та уповільнити процеси прискореного старіння артерій. </w:t>
      </w:r>
      <w:r w:rsidRPr="00DB67BF">
        <w:rPr>
          <w:rStyle w:val="tlid-translation"/>
          <w:sz w:val="28"/>
          <w:szCs w:val="28"/>
          <w:lang w:val="uk-UA"/>
        </w:rPr>
        <w:t xml:space="preserve">На тлі наявної на сьогодні значної кількості різних маркерів КВР і серцево-судинного прогнозу, в останні роки особлива увага приділяється вивченню відносної довжини теломер (ВДТ). </w:t>
      </w:r>
      <w:r w:rsidRPr="00DB67BF">
        <w:rPr>
          <w:bCs/>
          <w:sz w:val="28"/>
          <w:szCs w:val="28"/>
          <w:lang w:val="uk-UA" w:eastAsia="en-US"/>
        </w:rPr>
        <w:t>Теломери</w:t>
      </w:r>
      <w:r w:rsidRPr="00DB67BF">
        <w:rPr>
          <w:b/>
          <w:bCs/>
          <w:sz w:val="28"/>
          <w:szCs w:val="28"/>
          <w:lang w:val="uk-UA" w:eastAsia="en-US"/>
        </w:rPr>
        <w:t xml:space="preserve"> </w:t>
      </w:r>
      <w:r w:rsidRPr="00DB67BF">
        <w:rPr>
          <w:b/>
          <w:sz w:val="28"/>
          <w:szCs w:val="28"/>
          <w:lang w:val="uk-UA"/>
        </w:rPr>
        <w:t>–</w:t>
      </w:r>
      <w:r w:rsidRPr="00DB67BF">
        <w:rPr>
          <w:bCs/>
          <w:sz w:val="28"/>
          <w:szCs w:val="28"/>
          <w:lang w:val="uk-UA" w:eastAsia="en-US"/>
        </w:rPr>
        <w:t xml:space="preserve"> це кінцеві ділянки лінійної хромосомної ДНК, що являють собою </w:t>
      </w:r>
      <w:r w:rsidRPr="00DB67BF">
        <w:rPr>
          <w:rStyle w:val="tlid-translation"/>
          <w:sz w:val="28"/>
          <w:szCs w:val="28"/>
          <w:lang w:val="uk-UA"/>
        </w:rPr>
        <w:t>генні послідовності</w:t>
      </w:r>
      <w:r w:rsidRPr="00DB67BF">
        <w:rPr>
          <w:bCs/>
          <w:sz w:val="28"/>
          <w:szCs w:val="28"/>
          <w:lang w:val="uk-UA" w:eastAsia="en-US"/>
        </w:rPr>
        <w:t>, які багаторазово повторюваються та</w:t>
      </w:r>
      <w:r w:rsidRPr="00DB67BF">
        <w:rPr>
          <w:rStyle w:val="tlid-translation"/>
          <w:sz w:val="28"/>
          <w:szCs w:val="28"/>
          <w:lang w:val="uk-UA"/>
        </w:rPr>
        <w:t xml:space="preserve"> відповідальні за підтримку цілісності геному, захист від різних хромосомних аберацій</w:t>
      </w:r>
      <w:r w:rsidRPr="00DB67BF">
        <w:rPr>
          <w:bCs/>
          <w:sz w:val="28"/>
          <w:szCs w:val="28"/>
          <w:lang w:val="uk-UA" w:eastAsia="en-US"/>
        </w:rPr>
        <w:t xml:space="preserve">. Кожен раунд реплікації хромосом призводить до вкорочення теломер. </w:t>
      </w:r>
      <w:r w:rsidRPr="00DB67BF">
        <w:rPr>
          <w:rStyle w:val="tlid-translation"/>
          <w:sz w:val="28"/>
          <w:szCs w:val="28"/>
          <w:lang w:val="uk-UA"/>
        </w:rPr>
        <w:t xml:space="preserve">Довжина теломер  (ДТ) максимальна при народженні та поступово зменшується з віком, і тому вона вважається біомаркером хронологічного старіння. </w:t>
      </w:r>
      <w:r w:rsidRPr="00DB67BF">
        <w:rPr>
          <w:bCs/>
          <w:sz w:val="28"/>
          <w:szCs w:val="28"/>
          <w:lang w:val="uk-UA" w:eastAsia="en-US"/>
        </w:rPr>
        <w:t xml:space="preserve">Вважається, що старіння клітини настає після того, як довжина теломерної ДНК стає критично короткою та  нездатною до подальшої реплікації та репарації ушкоджень, але метаболічна активність при цьому зберігається. </w:t>
      </w:r>
      <w:r w:rsidRPr="00DB67BF">
        <w:rPr>
          <w:rStyle w:val="tlid-translation"/>
          <w:sz w:val="28"/>
          <w:szCs w:val="28"/>
          <w:lang w:val="uk-UA"/>
        </w:rPr>
        <w:t xml:space="preserve">При виснаженні теломер, хромосома стає сприйнятливою до різних впливов, що приводить до ушкодження ДНК та хромосомної нестабільності. </w:t>
      </w:r>
      <w:r w:rsidRPr="00DB67BF">
        <w:rPr>
          <w:bCs/>
          <w:sz w:val="28"/>
          <w:szCs w:val="28"/>
          <w:lang w:val="uk-UA" w:eastAsia="en-US"/>
        </w:rPr>
        <w:t xml:space="preserve">На індивідуальні варіації ДТ впливають генетичні і негенетичні чинники. З віком в тканинах накопичується популяція старих клітин, що призводить до зниження функціональної спроможністі цих тканин, і починає формуватися фенотип старіння. </w:t>
      </w:r>
    </w:p>
    <w:p w:rsidR="00E3259F" w:rsidRPr="00DB67BF" w:rsidRDefault="00E3259F" w:rsidP="00DB67BF">
      <w:pPr>
        <w:spacing w:line="360" w:lineRule="auto"/>
        <w:ind w:firstLine="709"/>
        <w:jc w:val="both"/>
        <w:rPr>
          <w:rStyle w:val="10"/>
          <w:rFonts w:eastAsiaTheme="majorEastAsia"/>
          <w:sz w:val="28"/>
          <w:szCs w:val="28"/>
          <w:lang w:val="uk-UA"/>
        </w:rPr>
      </w:pPr>
      <w:r w:rsidRPr="00DB67BF">
        <w:rPr>
          <w:rStyle w:val="tlid-translation"/>
          <w:sz w:val="28"/>
          <w:szCs w:val="28"/>
          <w:lang w:val="uk-UA"/>
        </w:rPr>
        <w:t>Вважається, що зменшення ДТ з віком також пов'язано з різними асоційованими зі старінням захворюваннями, до яких, зокрема, належать такі захворювання і пов'язані з ними ускладнення як ЦД, АГ, хвороба Альцгеймера  та ін. [350,370,</w:t>
      </w:r>
      <w:r w:rsidRPr="00DB67BF">
        <w:rPr>
          <w:sz w:val="28"/>
          <w:szCs w:val="28"/>
          <w:lang w:val="uk-UA"/>
        </w:rPr>
        <w:t>414</w:t>
      </w:r>
      <w:r w:rsidRPr="00DB67BF">
        <w:rPr>
          <w:rStyle w:val="tlid-translation"/>
          <w:sz w:val="28"/>
          <w:szCs w:val="28"/>
          <w:lang w:val="uk-UA"/>
        </w:rPr>
        <w:t xml:space="preserve">]. На сьогоднішній день є дані, у яких описаний зв'язок ДТ з низькою хронічних станів, включаючи </w:t>
      </w:r>
      <w:r w:rsidRPr="00DB67BF">
        <w:rPr>
          <w:sz w:val="28"/>
          <w:szCs w:val="28"/>
          <w:shd w:val="clear" w:color="auto" w:fill="FFFFFF"/>
          <w:lang w:val="uk-UA"/>
        </w:rPr>
        <w:t>дисліпідемію</w:t>
      </w:r>
      <w:r w:rsidRPr="00DB67BF">
        <w:rPr>
          <w:rStyle w:val="tlid-translation"/>
          <w:sz w:val="28"/>
          <w:szCs w:val="28"/>
          <w:lang w:val="uk-UA"/>
        </w:rPr>
        <w:t xml:space="preserve">, ГХ, атеросклероз, метаболічний синдром, а також свідчать про те, що ДТ може використовуватися в якості незалежного маркера несприятливого прогнозу і перебігу ССЗ </w:t>
      </w:r>
      <w:r w:rsidRPr="00DB67BF">
        <w:rPr>
          <w:rStyle w:val="highlight"/>
          <w:sz w:val="28"/>
          <w:szCs w:val="28"/>
          <w:lang w:val="uk-UA"/>
        </w:rPr>
        <w:t>[</w:t>
      </w:r>
      <w:r w:rsidRPr="00DB67BF">
        <w:rPr>
          <w:sz w:val="28"/>
          <w:szCs w:val="28"/>
          <w:shd w:val="clear" w:color="auto" w:fill="FFFFFF"/>
          <w:lang w:val="uk-UA"/>
        </w:rPr>
        <w:t>142</w:t>
      </w:r>
      <w:r w:rsidRPr="00DB67BF">
        <w:rPr>
          <w:rStyle w:val="ref-vol"/>
          <w:rFonts w:eastAsiaTheme="majorEastAsia"/>
          <w:sz w:val="28"/>
          <w:szCs w:val="28"/>
          <w:lang w:val="uk-UA"/>
        </w:rPr>
        <w:t>,179,</w:t>
      </w:r>
      <w:r w:rsidRPr="00DB67BF">
        <w:rPr>
          <w:rStyle w:val="xfmc3"/>
          <w:rFonts w:eastAsiaTheme="majorEastAsia"/>
          <w:sz w:val="28"/>
          <w:szCs w:val="28"/>
          <w:shd w:val="clear" w:color="auto" w:fill="FFFFFF"/>
          <w:lang w:val="uk-UA"/>
        </w:rPr>
        <w:t>205</w:t>
      </w:r>
      <w:r w:rsidRPr="00DB67BF">
        <w:rPr>
          <w:rStyle w:val="xfmc3"/>
          <w:rFonts w:eastAsiaTheme="majorEastAsia"/>
          <w:sz w:val="28"/>
          <w:szCs w:val="28"/>
          <w:lang w:val="uk-UA"/>
        </w:rPr>
        <w:t>,</w:t>
      </w:r>
      <w:r w:rsidRPr="00DB67BF">
        <w:rPr>
          <w:sz w:val="28"/>
          <w:szCs w:val="28"/>
          <w:lang w:val="uk-UA"/>
        </w:rPr>
        <w:t>254</w:t>
      </w:r>
      <w:r w:rsidRPr="00DB67BF">
        <w:rPr>
          <w:rStyle w:val="ref-vol"/>
          <w:rFonts w:eastAsiaTheme="majorEastAsia"/>
          <w:sz w:val="28"/>
          <w:szCs w:val="28"/>
          <w:lang w:val="uk-UA"/>
        </w:rPr>
        <w:t>].</w:t>
      </w:r>
      <w:r w:rsidRPr="00DB67BF">
        <w:rPr>
          <w:rStyle w:val="10"/>
          <w:rFonts w:eastAsiaTheme="majorEastAsia"/>
          <w:sz w:val="28"/>
          <w:szCs w:val="28"/>
          <w:lang w:val="uk-UA"/>
        </w:rPr>
        <w:t xml:space="preserve"> </w:t>
      </w:r>
      <w:r w:rsidRPr="00DB67BF">
        <w:rPr>
          <w:rStyle w:val="10"/>
          <w:rFonts w:eastAsiaTheme="majorEastAsia"/>
          <w:b w:val="0"/>
          <w:sz w:val="28"/>
          <w:szCs w:val="28"/>
          <w:lang w:val="uk-UA"/>
        </w:rPr>
        <w:t>Проте незважаючи на і</w:t>
      </w:r>
      <w:r w:rsidRPr="00DB67BF">
        <w:rPr>
          <w:rStyle w:val="tlid-translation"/>
          <w:sz w:val="28"/>
          <w:szCs w:val="28"/>
          <w:lang w:val="uk-UA"/>
        </w:rPr>
        <w:t>снуючу думку, що ДТ додає прогностичну силу до хронологічного віку й може вважатися маркером серцево-судинного старіння, однак її роль як маркера серцево-судинного прогнозу та якості контролю перебігу багатьох захворювань ще належить з'ясувати. Крім того, припускається, що,  швидкість виснаження теломер має більше значення як фактор ризику смертності, пов'язаної з ССЗ, ніж сама ДТ [378</w:t>
      </w:r>
      <w:r w:rsidRPr="00DB67BF">
        <w:rPr>
          <w:rStyle w:val="doi"/>
          <w:rFonts w:eastAsiaTheme="majorEastAsia"/>
          <w:sz w:val="28"/>
          <w:szCs w:val="28"/>
          <w:lang w:val="uk-UA"/>
        </w:rPr>
        <w:t>].</w:t>
      </w:r>
    </w:p>
    <w:p w:rsidR="00E3259F" w:rsidRPr="00DB67BF" w:rsidRDefault="00E3259F" w:rsidP="00DB67BF">
      <w:pPr>
        <w:spacing w:line="360" w:lineRule="auto"/>
        <w:ind w:firstLine="709"/>
        <w:jc w:val="both"/>
        <w:rPr>
          <w:rStyle w:val="tlid-translation"/>
        </w:rPr>
      </w:pPr>
      <w:r w:rsidRPr="00DB67BF">
        <w:rPr>
          <w:rStyle w:val="tlid-translation"/>
          <w:sz w:val="28"/>
          <w:szCs w:val="28"/>
          <w:lang w:val="uk-UA"/>
        </w:rPr>
        <w:t>Поперечні дослідження продемонстрували наявність складних асоціацій між ДТ і кластерами кардіоваскулярних факторів ризику, в тому числі  АГ [</w:t>
      </w:r>
      <w:bookmarkStart w:id="4" w:name="_Hlk43408108"/>
      <w:r w:rsidRPr="00DB67BF">
        <w:rPr>
          <w:rStyle w:val="tlid-translation"/>
          <w:sz w:val="28"/>
          <w:szCs w:val="28"/>
          <w:lang w:val="uk-UA"/>
        </w:rPr>
        <w:t>370,</w:t>
      </w:r>
      <w:bookmarkEnd w:id="4"/>
      <w:r w:rsidRPr="00DB67BF">
        <w:rPr>
          <w:rStyle w:val="tlid-translation"/>
          <w:sz w:val="28"/>
          <w:szCs w:val="28"/>
          <w:lang w:val="uk-UA"/>
        </w:rPr>
        <w:t>409], дисліпідемією [</w:t>
      </w:r>
      <w:r w:rsidRPr="00DB67BF">
        <w:rPr>
          <w:sz w:val="28"/>
          <w:szCs w:val="28"/>
          <w:lang w:val="uk-UA"/>
        </w:rPr>
        <w:t>362</w:t>
      </w:r>
      <w:r w:rsidRPr="00DB67BF">
        <w:rPr>
          <w:rStyle w:val="tlid-translation"/>
          <w:sz w:val="28"/>
          <w:szCs w:val="28"/>
          <w:lang w:val="uk-UA"/>
        </w:rPr>
        <w:t>], ожирінням і курінням [</w:t>
      </w:r>
      <w:r w:rsidRPr="00DB67BF">
        <w:rPr>
          <w:sz w:val="28"/>
          <w:szCs w:val="28"/>
          <w:lang w:val="uk-UA"/>
        </w:rPr>
        <w:t>143</w:t>
      </w:r>
      <w:r w:rsidRPr="00DB67BF">
        <w:rPr>
          <w:rStyle w:val="tlid-translation"/>
          <w:sz w:val="28"/>
          <w:szCs w:val="28"/>
          <w:lang w:val="uk-UA"/>
        </w:rPr>
        <w:t>], судинною жорсткістю [</w:t>
      </w:r>
      <w:r w:rsidRPr="00DB67BF">
        <w:rPr>
          <w:rStyle w:val="hl"/>
          <w:rFonts w:eastAsiaTheme="majorEastAsia"/>
          <w:sz w:val="28"/>
          <w:szCs w:val="28"/>
          <w:bdr w:val="none" w:sz="0" w:space="0" w:color="auto" w:frame="1"/>
          <w:lang w:val="uk-UA"/>
        </w:rPr>
        <w:t>104</w:t>
      </w:r>
      <w:r w:rsidRPr="00DB67BF">
        <w:rPr>
          <w:rStyle w:val="tlid-translation"/>
          <w:sz w:val="28"/>
          <w:szCs w:val="28"/>
          <w:lang w:val="uk-UA"/>
        </w:rPr>
        <w:t xml:space="preserve">]. У метааналізі, проведеному </w:t>
      </w:r>
      <w:r w:rsidRPr="00DB67BF">
        <w:rPr>
          <w:sz w:val="28"/>
          <w:szCs w:val="28"/>
        </w:rPr>
        <w:t>Wang</w:t>
      </w:r>
      <w:r w:rsidRPr="00DB67BF">
        <w:rPr>
          <w:sz w:val="28"/>
          <w:szCs w:val="28"/>
          <w:lang w:val="uk-UA"/>
        </w:rPr>
        <w:t xml:space="preserve"> </w:t>
      </w:r>
      <w:r w:rsidRPr="00DB67BF">
        <w:rPr>
          <w:sz w:val="28"/>
          <w:szCs w:val="28"/>
        </w:rPr>
        <w:t>J</w:t>
      </w:r>
      <w:r w:rsidRPr="00DB67BF">
        <w:rPr>
          <w:sz w:val="28"/>
          <w:szCs w:val="28"/>
          <w:lang w:val="uk-UA"/>
        </w:rPr>
        <w:t xml:space="preserve"> та співав.</w:t>
      </w:r>
      <w:r w:rsidRPr="00DB67BF">
        <w:rPr>
          <w:rStyle w:val="10"/>
          <w:rFonts w:eastAsiaTheme="majorEastAsia"/>
          <w:sz w:val="28"/>
          <w:szCs w:val="28"/>
          <w:lang w:val="uk-UA"/>
        </w:rPr>
        <w:t xml:space="preserve"> </w:t>
      </w:r>
      <w:r w:rsidRPr="00DB67BF">
        <w:rPr>
          <w:rStyle w:val="tlid-translation"/>
          <w:sz w:val="28"/>
          <w:szCs w:val="28"/>
          <w:lang w:val="uk-UA"/>
        </w:rPr>
        <w:t>показано, що ЦД впливає на ДТ. Зокрема, ДТ у хворих на ЦД коротша порівняно з ДТ здорових осіб [</w:t>
      </w:r>
      <w:r w:rsidRPr="00DB67BF">
        <w:rPr>
          <w:sz w:val="28"/>
          <w:szCs w:val="28"/>
          <w:lang w:val="uk-UA"/>
        </w:rPr>
        <w:t>390].</w:t>
      </w:r>
      <w:r w:rsidRPr="00DB67BF">
        <w:rPr>
          <w:rStyle w:val="10"/>
          <w:rFonts w:eastAsiaTheme="majorEastAsia"/>
          <w:sz w:val="28"/>
          <w:szCs w:val="28"/>
          <w:lang w:val="uk-UA"/>
        </w:rPr>
        <w:t xml:space="preserve"> </w:t>
      </w:r>
      <w:r w:rsidRPr="00DB67BF">
        <w:rPr>
          <w:rStyle w:val="tlid-translation"/>
          <w:sz w:val="28"/>
          <w:szCs w:val="28"/>
          <w:lang w:val="uk-UA"/>
        </w:rPr>
        <w:t>Крім того, автори продемонстрували, що на ДТ впливав тип діабету, ІМТ, вік і стать. Так  у пацієнтів зі ЦД 1 типу, ожирінням, віком старше 60 років та жіночої статі виявляли коротшу ДТ порівняно з ДТ у пацієнтів зі ЦД 2 типу, низькою МТ, віком до 60 років та чоловічої статі відповідно. Однак, наявність узаємозв`язку між ожирінням та вкороченням ДТ деякими дослідниками ставиться під сумнів [</w:t>
      </w:r>
      <w:r w:rsidRPr="00DB67BF">
        <w:rPr>
          <w:rStyle w:val="mixed-citation"/>
          <w:rFonts w:eastAsiaTheme="majorEastAsia"/>
          <w:sz w:val="28"/>
          <w:szCs w:val="28"/>
          <w:lang w:val="uk-UA"/>
        </w:rPr>
        <w:t>229].</w:t>
      </w:r>
      <w:r w:rsidRPr="00DB67BF">
        <w:rPr>
          <w:rStyle w:val="mixed-citation"/>
          <w:sz w:val="28"/>
          <w:szCs w:val="28"/>
          <w:lang w:val="uk-UA"/>
        </w:rPr>
        <w:t xml:space="preserve"> Також  у</w:t>
      </w:r>
      <w:r w:rsidRPr="00DB67BF">
        <w:rPr>
          <w:rStyle w:val="tlid-translation"/>
          <w:sz w:val="28"/>
          <w:szCs w:val="28"/>
          <w:lang w:val="uk-UA"/>
        </w:rPr>
        <w:t xml:space="preserve"> метааналізі </w:t>
      </w:r>
      <w:r w:rsidRPr="00DB67BF">
        <w:rPr>
          <w:sz w:val="28"/>
          <w:szCs w:val="28"/>
        </w:rPr>
        <w:t>Wang</w:t>
      </w:r>
      <w:r w:rsidRPr="00DB67BF">
        <w:rPr>
          <w:sz w:val="28"/>
          <w:szCs w:val="28"/>
          <w:lang w:val="uk-UA"/>
        </w:rPr>
        <w:t xml:space="preserve"> </w:t>
      </w:r>
      <w:r w:rsidRPr="00DB67BF">
        <w:rPr>
          <w:sz w:val="28"/>
          <w:szCs w:val="28"/>
        </w:rPr>
        <w:t>J</w:t>
      </w:r>
      <w:r w:rsidRPr="00DB67BF">
        <w:rPr>
          <w:b/>
          <w:sz w:val="28"/>
          <w:szCs w:val="28"/>
          <w:lang w:val="uk-UA"/>
        </w:rPr>
        <w:t xml:space="preserve"> </w:t>
      </w:r>
      <w:r w:rsidRPr="00DB67BF">
        <w:rPr>
          <w:sz w:val="28"/>
          <w:szCs w:val="28"/>
          <w:lang w:val="uk-UA"/>
        </w:rPr>
        <w:t>була виявлена</w:t>
      </w:r>
      <w:r w:rsidRPr="00DB67BF">
        <w:rPr>
          <w:b/>
          <w:sz w:val="28"/>
          <w:szCs w:val="28"/>
          <w:lang w:val="uk-UA"/>
        </w:rPr>
        <w:t xml:space="preserve"> </w:t>
      </w:r>
      <w:r w:rsidRPr="00DB67BF">
        <w:rPr>
          <w:rStyle w:val="tlid-translation"/>
          <w:sz w:val="28"/>
          <w:szCs w:val="28"/>
          <w:lang w:val="uk-UA"/>
        </w:rPr>
        <w:t>наявність більш коротких теломер у жінок, ніж у чоловіків та було показано, що при наявності ЦД у жінок спостерігається більш посилене системне запалення, спричинене діабетом, та ризик серцево-судинних подій і розвитку ускладнень діабету є більшим порівняно з чоловіками, тому все це може призвести до скорочення теломер [</w:t>
      </w:r>
      <w:r w:rsidRPr="00DB67BF">
        <w:rPr>
          <w:sz w:val="28"/>
          <w:szCs w:val="28"/>
          <w:lang w:val="uk-UA"/>
        </w:rPr>
        <w:t>390</w:t>
      </w:r>
      <w:r w:rsidRPr="00DB67BF">
        <w:rPr>
          <w:rStyle w:val="tlid-translation"/>
          <w:sz w:val="28"/>
          <w:szCs w:val="28"/>
          <w:lang w:val="uk-UA"/>
        </w:rPr>
        <w:t>]. Але подібні дані були отримані не всіма дослідниками, так існують роботи, у яких у жінок була виявлена  довша ДТ, ніж у чоловіків, що може бути пояснено тим, що естрогени можуть зменшити ОС, мають протизапальні властивості та стимулюють вироблення теломерази, що захищає ДТ і послаблює виснаження теломер, ефект, який може бути втрачений під час менопаузи [</w:t>
      </w:r>
      <w:r w:rsidRPr="00DB67BF">
        <w:rPr>
          <w:rStyle w:val="mixed-citation"/>
          <w:rFonts w:eastAsiaTheme="majorEastAsia"/>
          <w:sz w:val="28"/>
          <w:szCs w:val="28"/>
          <w:lang w:val="uk-UA"/>
        </w:rPr>
        <w:t>289,</w:t>
      </w:r>
      <w:r w:rsidRPr="00DB67BF">
        <w:rPr>
          <w:sz w:val="28"/>
          <w:szCs w:val="28"/>
          <w:lang w:val="uk-UA"/>
        </w:rPr>
        <w:t>378</w:t>
      </w:r>
      <w:r w:rsidRPr="00DB67BF">
        <w:rPr>
          <w:rStyle w:val="mixed-citation"/>
          <w:rFonts w:eastAsiaTheme="majorEastAsia"/>
          <w:sz w:val="28"/>
          <w:szCs w:val="28"/>
          <w:lang w:val="uk-UA"/>
        </w:rPr>
        <w:t>].</w:t>
      </w:r>
      <w:r w:rsidRPr="00DB67BF">
        <w:rPr>
          <w:rStyle w:val="tlid-translation"/>
          <w:sz w:val="28"/>
          <w:szCs w:val="28"/>
          <w:lang w:val="uk-UA"/>
        </w:rPr>
        <w:t xml:space="preserve"> При наявності ЦД у жінок спостерігається більш посилене системне запалення, спричинене діабетом, та ризик серцево-судинних подій і розвитку ускладнень діабету є більшим порівняно з чоловіками, тому все це може призвести до скорочення ДТ більшою мірою, ніж у чоловіків [253,</w:t>
      </w:r>
      <w:r w:rsidRPr="00DB67BF">
        <w:rPr>
          <w:sz w:val="28"/>
          <w:szCs w:val="28"/>
          <w:lang w:val="uk-UA"/>
        </w:rPr>
        <w:t>390</w:t>
      </w:r>
      <w:r w:rsidRPr="00DB67BF">
        <w:rPr>
          <w:b/>
          <w:sz w:val="28"/>
          <w:szCs w:val="28"/>
          <w:lang w:val="uk-UA"/>
        </w:rPr>
        <w:t>]</w:t>
      </w:r>
      <w:r w:rsidRPr="00DB67BF">
        <w:rPr>
          <w:rStyle w:val="tlid-translation"/>
          <w:sz w:val="28"/>
          <w:szCs w:val="28"/>
          <w:lang w:val="uk-UA"/>
        </w:rPr>
        <w:t>. З іншого боку,  є роботи у яких показана наявність більш коротких теломер у чоловіків, що пов`язують з гіршим контролем діабету порівняно з жінками, незалежно від звичок паління та вживання алкоголю [</w:t>
      </w:r>
      <w:r w:rsidRPr="00DB67BF">
        <w:rPr>
          <w:rStyle w:val="mixed-citation"/>
          <w:sz w:val="28"/>
          <w:szCs w:val="28"/>
        </w:rPr>
        <w:t>350]</w:t>
      </w:r>
      <w:r w:rsidRPr="00DB67BF">
        <w:rPr>
          <w:rStyle w:val="tlid-translation"/>
          <w:sz w:val="28"/>
          <w:szCs w:val="28"/>
          <w:lang w:val="uk-UA"/>
        </w:rPr>
        <w:t>. Тому  питання впливу статі на довжину теломер, зокрема при наявності різних захворювань, потребує подальших досліджень.  У кількох дослідженнях було виявлено позитивний зв’язок між ДТ та часом виникнення й тривалістю ЦД 2 типу [</w:t>
      </w:r>
      <w:r w:rsidRPr="00DB67BF">
        <w:rPr>
          <w:rStyle w:val="mixed-citation"/>
          <w:rFonts w:eastAsiaTheme="majorEastAsia"/>
          <w:sz w:val="28"/>
          <w:szCs w:val="28"/>
        </w:rPr>
        <w:t>284</w:t>
      </w:r>
      <w:r w:rsidRPr="00DB67BF">
        <w:rPr>
          <w:rStyle w:val="mixed-citation"/>
          <w:rFonts w:eastAsiaTheme="majorEastAsia"/>
          <w:sz w:val="28"/>
          <w:szCs w:val="28"/>
          <w:lang w:val="uk-UA"/>
        </w:rPr>
        <w:t>],</w:t>
      </w:r>
      <w:r w:rsidRPr="00DB67BF">
        <w:rPr>
          <w:rStyle w:val="tlid-translation"/>
          <w:sz w:val="28"/>
          <w:szCs w:val="28"/>
          <w:lang w:val="uk-UA"/>
        </w:rPr>
        <w:t xml:space="preserve"> однак, це спостерігалося не в усіх дослідженнях </w:t>
      </w:r>
      <w:r w:rsidRPr="00DB67BF">
        <w:rPr>
          <w:rStyle w:val="tlid-translation"/>
          <w:b/>
          <w:sz w:val="28"/>
          <w:szCs w:val="28"/>
          <w:lang w:val="uk-UA"/>
        </w:rPr>
        <w:t>[</w:t>
      </w:r>
      <w:r w:rsidRPr="00DB67BF">
        <w:rPr>
          <w:rStyle w:val="mixed-citation"/>
          <w:sz w:val="28"/>
          <w:szCs w:val="28"/>
        </w:rPr>
        <w:t>350</w:t>
      </w:r>
      <w:r w:rsidRPr="00DB67BF">
        <w:rPr>
          <w:rStyle w:val="mixed-citation"/>
          <w:sz w:val="28"/>
          <w:szCs w:val="28"/>
          <w:lang w:val="uk-UA"/>
        </w:rPr>
        <w:t xml:space="preserve">]. </w:t>
      </w:r>
      <w:r w:rsidRPr="00DB67BF">
        <w:rPr>
          <w:rStyle w:val="tlid-translation"/>
          <w:sz w:val="28"/>
          <w:szCs w:val="28"/>
          <w:lang w:val="uk-UA"/>
        </w:rPr>
        <w:t>Крім того, у низці досліджень показано, що зменшення ДТ позитивно корелює зі ЦД і його ускладненнями [</w:t>
      </w:r>
      <w:bookmarkStart w:id="5" w:name="_Hlk43409367"/>
      <w:r w:rsidRPr="00DB67BF">
        <w:rPr>
          <w:sz w:val="28"/>
          <w:szCs w:val="28"/>
          <w:shd w:val="clear" w:color="auto" w:fill="FFFFFF"/>
        </w:rPr>
        <w:t>1</w:t>
      </w:r>
      <w:r w:rsidRPr="00DB67BF">
        <w:rPr>
          <w:sz w:val="28"/>
          <w:szCs w:val="28"/>
          <w:shd w:val="clear" w:color="auto" w:fill="FFFFFF"/>
          <w:lang w:val="uk-UA"/>
        </w:rPr>
        <w:t>42,</w:t>
      </w:r>
      <w:bookmarkEnd w:id="5"/>
      <w:r w:rsidRPr="00DB67BF">
        <w:rPr>
          <w:sz w:val="28"/>
          <w:szCs w:val="28"/>
        </w:rPr>
        <w:t>3</w:t>
      </w:r>
      <w:r w:rsidRPr="00DB67BF">
        <w:rPr>
          <w:sz w:val="28"/>
          <w:szCs w:val="28"/>
          <w:lang w:val="uk-UA"/>
        </w:rPr>
        <w:t>21</w:t>
      </w:r>
      <w:r w:rsidRPr="00DB67BF">
        <w:rPr>
          <w:sz w:val="28"/>
          <w:szCs w:val="28"/>
        </w:rPr>
        <w:t>]</w:t>
      </w:r>
      <w:r w:rsidRPr="00DB67BF">
        <w:rPr>
          <w:sz w:val="28"/>
          <w:szCs w:val="28"/>
          <w:lang w:val="uk-UA"/>
        </w:rPr>
        <w:t xml:space="preserve">. Однак </w:t>
      </w:r>
      <w:r w:rsidRPr="00DB67BF">
        <w:rPr>
          <w:rStyle w:val="tlid-translation"/>
          <w:sz w:val="28"/>
          <w:szCs w:val="28"/>
          <w:lang w:val="uk-UA"/>
        </w:rPr>
        <w:t xml:space="preserve">як діабет впливає на ДТ як віковий показник, до цього часу залишається незрозумілим. </w:t>
      </w:r>
    </w:p>
    <w:p w:rsidR="00E3259F" w:rsidRPr="00DB67BF" w:rsidRDefault="00E3259F" w:rsidP="00DB67BF">
      <w:pPr>
        <w:spacing w:line="360" w:lineRule="auto"/>
        <w:ind w:firstLine="709"/>
        <w:jc w:val="both"/>
        <w:rPr>
          <w:lang w:val="uk-UA"/>
        </w:rPr>
      </w:pPr>
      <w:r w:rsidRPr="00DB67BF">
        <w:rPr>
          <w:bCs/>
          <w:sz w:val="28"/>
          <w:szCs w:val="28"/>
          <w:lang w:val="uk-UA" w:eastAsia="en-US"/>
        </w:rPr>
        <w:t>Багато досліджень присвячено вивченню взаємозв`язку між різними факторами КВР, як  немодифікованих, так і модифікованих [</w:t>
      </w:r>
      <w:bookmarkStart w:id="6" w:name="_Hlk43409609"/>
      <w:r w:rsidRPr="00DB67BF">
        <w:rPr>
          <w:sz w:val="28"/>
          <w:szCs w:val="28"/>
        </w:rPr>
        <w:t>1</w:t>
      </w:r>
      <w:r w:rsidRPr="00DB67BF">
        <w:rPr>
          <w:sz w:val="28"/>
          <w:szCs w:val="28"/>
          <w:lang w:val="uk-UA"/>
        </w:rPr>
        <w:t>75</w:t>
      </w:r>
      <w:r w:rsidRPr="00DB67BF">
        <w:rPr>
          <w:sz w:val="28"/>
          <w:szCs w:val="28"/>
        </w:rPr>
        <w:t>,</w:t>
      </w:r>
      <w:bookmarkEnd w:id="6"/>
      <w:r w:rsidRPr="00DB67BF">
        <w:rPr>
          <w:sz w:val="28"/>
          <w:szCs w:val="28"/>
        </w:rPr>
        <w:t>3</w:t>
      </w:r>
      <w:r w:rsidRPr="00DB67BF">
        <w:rPr>
          <w:sz w:val="28"/>
          <w:szCs w:val="28"/>
          <w:lang w:val="uk-UA"/>
        </w:rPr>
        <w:t>40</w:t>
      </w:r>
      <w:r w:rsidRPr="00DB67BF">
        <w:rPr>
          <w:bCs/>
          <w:sz w:val="28"/>
          <w:szCs w:val="28"/>
          <w:lang w:val="uk-UA" w:eastAsia="en-US"/>
        </w:rPr>
        <w:t xml:space="preserve">].  </w:t>
      </w:r>
      <w:r w:rsidRPr="00DB67BF">
        <w:rPr>
          <w:rStyle w:val="tlid-translation"/>
          <w:sz w:val="28"/>
          <w:szCs w:val="28"/>
          <w:lang w:val="uk-UA"/>
        </w:rPr>
        <w:t>Виявлено зворотний зв'язок між ІМТ, об'ємом жирової тканини й ДТ, незалежно від віку та інших факторів ризику</w:t>
      </w:r>
      <w:r w:rsidRPr="00DB67BF">
        <w:rPr>
          <w:sz w:val="28"/>
          <w:szCs w:val="28"/>
          <w:lang w:val="uk-UA"/>
        </w:rPr>
        <w:t xml:space="preserve"> [379]. Спо</w:t>
      </w:r>
      <w:r w:rsidRPr="00DB67BF">
        <w:rPr>
          <w:rStyle w:val="tlid-translation"/>
          <w:sz w:val="28"/>
          <w:szCs w:val="28"/>
          <w:lang w:val="uk-UA"/>
        </w:rPr>
        <w:t>тереження за участю 622 чоловіків продемонструвало, що наявність ожиріння  в 40 - річному віці вірогідно пов'язане з більш короткими теломерами лейкоцитів у цих людей у\ літньому віці (78 років) [</w:t>
      </w:r>
      <w:r w:rsidRPr="00DB67BF">
        <w:rPr>
          <w:sz w:val="28"/>
          <w:szCs w:val="28"/>
          <w:lang w:val="uk-UA"/>
        </w:rPr>
        <w:t>363].</w:t>
      </w:r>
    </w:p>
    <w:p w:rsidR="00E3259F" w:rsidRPr="00DB67BF" w:rsidRDefault="00E3259F" w:rsidP="00DB67BF">
      <w:pPr>
        <w:spacing w:line="360" w:lineRule="auto"/>
        <w:ind w:firstLine="709"/>
        <w:jc w:val="both"/>
        <w:outlineLvl w:val="0"/>
        <w:rPr>
          <w:rStyle w:val="tlid-translation"/>
          <w:lang w:val="uk-UA"/>
        </w:rPr>
      </w:pPr>
      <w:r w:rsidRPr="00DB67BF">
        <w:rPr>
          <w:sz w:val="28"/>
          <w:szCs w:val="28"/>
          <w:lang w:val="uk-UA" w:eastAsia="en-US"/>
        </w:rPr>
        <w:t>Існують роботи, в яких показано</w:t>
      </w:r>
      <w:r w:rsidRPr="00DB67BF">
        <w:rPr>
          <w:bCs/>
          <w:sz w:val="28"/>
          <w:szCs w:val="28"/>
          <w:lang w:val="uk-UA" w:eastAsia="en-US"/>
        </w:rPr>
        <w:t xml:space="preserve">, що люди з довгими теломерами мають значно нижчий ризик розвитку </w:t>
      </w:r>
      <w:r w:rsidRPr="00DB67BF">
        <w:rPr>
          <w:sz w:val="28"/>
          <w:szCs w:val="28"/>
          <w:lang w:val="uk-UA" w:eastAsia="en-US"/>
        </w:rPr>
        <w:t>ССЗ та іх ускладнень (інфаркт міокарда</w:t>
      </w:r>
      <w:r w:rsidRPr="00DB67BF">
        <w:rPr>
          <w:bCs/>
          <w:sz w:val="28"/>
          <w:szCs w:val="28"/>
          <w:lang w:val="uk-UA" w:eastAsia="en-US"/>
        </w:rPr>
        <w:t>, інсульт), ніж люди з нормальними та короткими теломерами [395,</w:t>
      </w:r>
      <w:r w:rsidRPr="00DB67BF">
        <w:rPr>
          <w:sz w:val="28"/>
          <w:szCs w:val="28"/>
          <w:lang w:val="uk-UA"/>
        </w:rPr>
        <w:t>409</w:t>
      </w:r>
      <w:r w:rsidRPr="00DB67BF">
        <w:rPr>
          <w:bCs/>
          <w:sz w:val="28"/>
          <w:szCs w:val="28"/>
          <w:lang w:eastAsia="en-US"/>
        </w:rPr>
        <w:t xml:space="preserve">]. </w:t>
      </w:r>
      <w:r w:rsidRPr="00DB67BF">
        <w:rPr>
          <w:bCs/>
          <w:sz w:val="28"/>
          <w:szCs w:val="28"/>
          <w:lang w:val="uk-UA" w:eastAsia="en-US"/>
        </w:rPr>
        <w:t xml:space="preserve">У метааналізі шведських учених, який включає 25 когортних досліджень та дані з </w:t>
      </w:r>
      <w:r w:rsidRPr="00DB67BF">
        <w:rPr>
          <w:sz w:val="28"/>
          <w:szCs w:val="28"/>
        </w:rPr>
        <w:t>Swedish Twin Registry</w:t>
      </w:r>
      <w:r w:rsidRPr="00DB67BF">
        <w:rPr>
          <w:sz w:val="28"/>
          <w:szCs w:val="28"/>
          <w:lang w:val="uk-UA"/>
        </w:rPr>
        <w:t>, було доведено асоціацію між ДТ лейкоцитів крові та летальністю від усіх причин</w:t>
      </w:r>
      <w:r w:rsidRPr="00DB67BF">
        <w:rPr>
          <w:bCs/>
          <w:sz w:val="28"/>
          <w:szCs w:val="28"/>
          <w:lang w:val="uk-UA" w:eastAsia="en-US"/>
        </w:rPr>
        <w:t xml:space="preserve"> [</w:t>
      </w:r>
      <w:r w:rsidRPr="00DB67BF">
        <w:rPr>
          <w:sz w:val="28"/>
          <w:szCs w:val="28"/>
          <w:lang w:val="uk-UA"/>
        </w:rPr>
        <w:t>393</w:t>
      </w:r>
      <w:r w:rsidRPr="00DB67BF">
        <w:rPr>
          <w:bCs/>
          <w:sz w:val="28"/>
          <w:szCs w:val="28"/>
          <w:lang w:val="uk-UA" w:eastAsia="en-US"/>
        </w:rPr>
        <w:t xml:space="preserve">]. </w:t>
      </w:r>
      <w:r w:rsidR="00DB67BF" w:rsidRPr="00DB67BF">
        <w:rPr>
          <w:bCs/>
          <w:sz w:val="28"/>
          <w:szCs w:val="28"/>
          <w:lang w:val="uk-UA" w:eastAsia="en-US"/>
        </w:rPr>
        <w:t>Однак, дані про зв'язок ДТ з віковими змінами міокарди лівого шлуночка у людей нечисленні та не дозволяють робити однозначні висновки.</w:t>
      </w:r>
      <w:r w:rsidR="00DB67BF">
        <w:rPr>
          <w:bCs/>
          <w:sz w:val="28"/>
          <w:szCs w:val="28"/>
          <w:lang w:val="uk-UA" w:eastAsia="en-US"/>
        </w:rPr>
        <w:t xml:space="preserve"> </w:t>
      </w:r>
      <w:r w:rsidRPr="00DB67BF">
        <w:rPr>
          <w:rStyle w:val="tlid-translation"/>
          <w:sz w:val="28"/>
          <w:szCs w:val="28"/>
          <w:lang w:val="uk-UA"/>
        </w:rPr>
        <w:t>Крім того, сучасні дослідження в галузі динаміки ДТ продемонстрували, що старіння та вік-асоційовані захворювання, не тільки підсилюють узаємний вплив на ДТ, але й впливають незалежно один від одного.</w:t>
      </w:r>
    </w:p>
    <w:p w:rsidR="00E3259F" w:rsidRPr="00DB67BF" w:rsidRDefault="00E3259F" w:rsidP="00DB67BF">
      <w:pPr>
        <w:pStyle w:val="12"/>
        <w:spacing w:after="0" w:line="360" w:lineRule="auto"/>
        <w:ind w:left="0" w:firstLine="709"/>
        <w:jc w:val="both"/>
        <w:rPr>
          <w:rFonts w:ascii="Times New Roman" w:hAnsi="Times New Roman"/>
        </w:rPr>
      </w:pPr>
      <w:r w:rsidRPr="00DB67BF">
        <w:rPr>
          <w:rStyle w:val="tlid-translation"/>
          <w:rFonts w:ascii="Times New Roman" w:hAnsi="Times New Roman"/>
          <w:sz w:val="28"/>
          <w:szCs w:val="28"/>
          <w:lang w:val="uk-UA"/>
        </w:rPr>
        <w:t xml:space="preserve">Для дослідження ДТ прийнято використовувати кров, оскільки метод визначення ДТ у периферичній крові, може давати надійні дані для встановлення ВДТ в інших тканинах [49] і вкорочення теломер у лейкоцитах периферичної крові може слугувати маркером не тільки старіння, але й бути індикатором системного патологічного стресу. В останні роки все більше з'являється наукових праць, у яких велика увага приділяється використанню букального епітелію в якості альтернативного джерела біологічного матеріалу для теломерного тесту з огляду на неінвазивність процедури забору матеріалу </w:t>
      </w:r>
      <w:r w:rsidRPr="00DB67BF">
        <w:rPr>
          <w:rStyle w:val="tlid-translation"/>
          <w:rFonts w:ascii="Times New Roman" w:hAnsi="Times New Roman"/>
          <w:bCs/>
          <w:sz w:val="28"/>
          <w:szCs w:val="28"/>
          <w:lang w:val="uk-UA"/>
        </w:rPr>
        <w:t>[</w:t>
      </w:r>
      <w:bookmarkStart w:id="7" w:name="_Hlk43410530"/>
      <w:r w:rsidRPr="00DB67BF">
        <w:rPr>
          <w:rFonts w:ascii="Times New Roman" w:hAnsi="Times New Roman"/>
          <w:sz w:val="28"/>
          <w:szCs w:val="28"/>
          <w:lang w:val="uk-UA"/>
        </w:rPr>
        <w:t>55,</w:t>
      </w:r>
      <w:bookmarkEnd w:id="7"/>
      <w:r w:rsidRPr="00DB67BF">
        <w:rPr>
          <w:rFonts w:ascii="Times New Roman" w:hAnsi="Times New Roman"/>
          <w:sz w:val="28"/>
          <w:szCs w:val="28"/>
        </w:rPr>
        <w:t>2</w:t>
      </w:r>
      <w:r w:rsidRPr="00DB67BF">
        <w:rPr>
          <w:rFonts w:ascii="Times New Roman" w:hAnsi="Times New Roman"/>
          <w:sz w:val="28"/>
          <w:szCs w:val="28"/>
          <w:lang w:val="uk-UA"/>
        </w:rPr>
        <w:t>12</w:t>
      </w:r>
      <w:r w:rsidRPr="00DB67BF">
        <w:rPr>
          <w:rFonts w:ascii="Times New Roman" w:hAnsi="Times New Roman"/>
          <w:sz w:val="28"/>
          <w:szCs w:val="28"/>
        </w:rPr>
        <w:t>]</w:t>
      </w:r>
      <w:r w:rsidRPr="00DB67BF">
        <w:rPr>
          <w:rFonts w:ascii="Times New Roman" w:hAnsi="Times New Roman"/>
          <w:sz w:val="28"/>
          <w:szCs w:val="28"/>
          <w:lang w:val="uk-UA"/>
        </w:rPr>
        <w:t xml:space="preserve">. </w:t>
      </w:r>
    </w:p>
    <w:p w:rsidR="00E3259F" w:rsidRPr="00DB67BF" w:rsidRDefault="00E3259F" w:rsidP="00DB67BF">
      <w:pPr>
        <w:pStyle w:val="12"/>
        <w:spacing w:after="0" w:line="360" w:lineRule="auto"/>
        <w:ind w:left="0" w:firstLine="709"/>
        <w:jc w:val="both"/>
        <w:rPr>
          <w:rStyle w:val="mixed-citation"/>
          <w:rFonts w:eastAsia="Calibri"/>
          <w:lang w:val="uk-UA"/>
        </w:rPr>
      </w:pPr>
      <w:r w:rsidRPr="00DB67BF">
        <w:rPr>
          <w:rStyle w:val="tlid-translation"/>
          <w:rFonts w:ascii="Times New Roman" w:hAnsi="Times New Roman"/>
          <w:sz w:val="28"/>
          <w:szCs w:val="28"/>
          <w:lang w:val="uk-UA"/>
        </w:rPr>
        <w:t xml:space="preserve">На цей час усе більше з'являється повідомлень, що передчасне біологічне старіння, яке оцінюється зменшенням ДТ, може бути пов'язано з факторами, обумовленими зміною метаболічного статусу. Вважається, що оскільки ОС та хронічне </w:t>
      </w:r>
      <w:r w:rsidRPr="00DB67BF">
        <w:rPr>
          <w:rFonts w:ascii="Times New Roman" w:hAnsi="Times New Roman"/>
          <w:bCs/>
          <w:sz w:val="28"/>
          <w:szCs w:val="28"/>
          <w:lang w:val="uk-UA"/>
        </w:rPr>
        <w:t xml:space="preserve"> запалення є ключовими елементами біології старіння та вік-залежних процесів, динаміка ДТ відображає сумарне навантаження впливу ОС та хронічного запалення протягом усього життя індивідуума [274,335,</w:t>
      </w:r>
      <w:r w:rsidRPr="00DB67BF">
        <w:rPr>
          <w:rFonts w:ascii="Times New Roman" w:hAnsi="Times New Roman"/>
          <w:sz w:val="28"/>
          <w:szCs w:val="28"/>
          <w:lang w:val="uk-UA"/>
        </w:rPr>
        <w:t>345</w:t>
      </w:r>
      <w:r w:rsidRPr="00DB67BF">
        <w:rPr>
          <w:rFonts w:ascii="Times New Roman" w:hAnsi="Times New Roman"/>
          <w:bCs/>
          <w:sz w:val="28"/>
          <w:szCs w:val="28"/>
          <w:lang w:val="uk-UA"/>
        </w:rPr>
        <w:t xml:space="preserve">] та може розцінюватись як сполучена ланка цих процесів. </w:t>
      </w:r>
      <w:r w:rsidRPr="00DB67BF">
        <w:rPr>
          <w:rStyle w:val="tlid-translation"/>
          <w:rFonts w:ascii="Times New Roman" w:hAnsi="Times New Roman"/>
          <w:sz w:val="28"/>
          <w:szCs w:val="28"/>
          <w:lang w:val="uk-UA"/>
        </w:rPr>
        <w:t>Попередні дослідження показали, що ОС є одним з провідних факторів розвитку ЦД 2 типу. Послідовність теломер багата на гуанін, а гуанін особливо схильний до ОС, який помітно зростає при неконтрольованому діабеті [</w:t>
      </w:r>
      <w:r w:rsidRPr="00DB67BF">
        <w:rPr>
          <w:rStyle w:val="mixed-citation"/>
          <w:rFonts w:ascii="Times New Roman" w:eastAsiaTheme="majorEastAsia" w:hAnsi="Times New Roman"/>
          <w:sz w:val="28"/>
          <w:szCs w:val="28"/>
          <w:lang w:val="uk-UA"/>
        </w:rPr>
        <w:t>406</w:t>
      </w:r>
      <w:r w:rsidRPr="00DB67BF">
        <w:rPr>
          <w:rStyle w:val="mixed-citation"/>
          <w:rFonts w:ascii="Times New Roman" w:eastAsiaTheme="majorEastAsia" w:hAnsi="Times New Roman"/>
          <w:sz w:val="28"/>
          <w:szCs w:val="28"/>
        </w:rPr>
        <w:t>]</w:t>
      </w:r>
      <w:r w:rsidRPr="00DB67BF">
        <w:rPr>
          <w:rStyle w:val="mixed-citation"/>
          <w:rFonts w:ascii="Times New Roman" w:eastAsiaTheme="majorEastAsia" w:hAnsi="Times New Roman"/>
          <w:sz w:val="28"/>
          <w:szCs w:val="28"/>
          <w:lang w:val="uk-UA"/>
        </w:rPr>
        <w:t>.</w:t>
      </w:r>
      <w:r w:rsidRPr="00DB67BF">
        <w:rPr>
          <w:rStyle w:val="tlid-translation"/>
          <w:rFonts w:ascii="Times New Roman" w:hAnsi="Times New Roman"/>
          <w:sz w:val="28"/>
          <w:szCs w:val="28"/>
          <w:lang w:val="uk-UA"/>
        </w:rPr>
        <w:t xml:space="preserve"> Тому припускається, що ймовірно при ЦД 2 типу на ДТ більш за все впливає ОС. Після того, як відбувається скорочення теломер, збільшується ризик ушкодження та апоптозу β-клітин, що призводить до зниження функціонування острівкових клітин та розвитку й прогресування діабету [390</w:t>
      </w:r>
      <w:r w:rsidRPr="00DB67BF">
        <w:rPr>
          <w:rFonts w:ascii="Times New Roman" w:hAnsi="Times New Roman"/>
          <w:sz w:val="28"/>
          <w:szCs w:val="28"/>
          <w:lang w:val="uk-UA"/>
        </w:rPr>
        <w:t>]</w:t>
      </w:r>
      <w:r w:rsidRPr="00DB67BF">
        <w:rPr>
          <w:rFonts w:ascii="Times New Roman" w:hAnsi="Times New Roman"/>
          <w:b/>
          <w:sz w:val="28"/>
          <w:szCs w:val="28"/>
          <w:lang w:val="uk-UA"/>
        </w:rPr>
        <w:t>.</w:t>
      </w:r>
      <w:r w:rsidRPr="00DB67BF">
        <w:rPr>
          <w:rStyle w:val="tlid-translation"/>
          <w:rFonts w:ascii="Times New Roman" w:hAnsi="Times New Roman"/>
          <w:sz w:val="28"/>
          <w:szCs w:val="28"/>
          <w:lang w:val="uk-UA"/>
        </w:rPr>
        <w:t xml:space="preserve"> Це узгоджуюється  з даними, які демонструють, що захисні сили антиоксидантів мають вирішальне значення у підтримці ціліснісності теломер, тим самим зменшуючи прогресування ССУ, пов’язаних із ЦД 2 типу [</w:t>
      </w:r>
      <w:r w:rsidRPr="00DB67BF">
        <w:rPr>
          <w:rStyle w:val="mixed-citation"/>
          <w:rFonts w:ascii="Times New Roman" w:eastAsiaTheme="majorEastAsia" w:hAnsi="Times New Roman"/>
          <w:sz w:val="28"/>
          <w:szCs w:val="28"/>
          <w:lang w:val="uk-UA"/>
        </w:rPr>
        <w:t>278].</w:t>
      </w:r>
    </w:p>
    <w:p w:rsidR="00E3259F" w:rsidRPr="00DB67BF" w:rsidRDefault="00E3259F" w:rsidP="00DB67BF">
      <w:pPr>
        <w:spacing w:line="360" w:lineRule="auto"/>
        <w:ind w:firstLine="709"/>
        <w:jc w:val="both"/>
      </w:pPr>
      <w:r w:rsidRPr="00DB67BF">
        <w:rPr>
          <w:rStyle w:val="tlid-translation"/>
          <w:sz w:val="28"/>
          <w:szCs w:val="28"/>
          <w:lang w:val="uk-UA"/>
        </w:rPr>
        <w:t>Запалення є віковим процесом і може призводити до вкорочення теломер. Підвищена продукція прозапальних цитокінів і медіаторів, як наслідок більш зміненої адаптивної імунної відповіді («інфламейджінг»), типова для літніх людей і може впливати на ДТ лейкоцитів при різних патологічних процесах [</w:t>
      </w:r>
      <w:r w:rsidRPr="00DB67BF">
        <w:rPr>
          <w:sz w:val="28"/>
          <w:szCs w:val="28"/>
          <w:lang w:val="uk-UA"/>
        </w:rPr>
        <w:t>248].</w:t>
      </w:r>
      <w:r w:rsidRPr="00DB67BF">
        <w:rPr>
          <w:rStyle w:val="10"/>
          <w:rFonts w:eastAsiaTheme="majorEastAsia"/>
          <w:sz w:val="28"/>
          <w:szCs w:val="28"/>
          <w:lang w:val="uk-UA"/>
        </w:rPr>
        <w:t xml:space="preserve"> </w:t>
      </w:r>
      <w:r w:rsidRPr="00DB67BF">
        <w:rPr>
          <w:rStyle w:val="10"/>
          <w:rFonts w:eastAsiaTheme="majorEastAsia"/>
          <w:b w:val="0"/>
          <w:sz w:val="28"/>
          <w:szCs w:val="28"/>
          <w:lang w:val="uk-UA"/>
        </w:rPr>
        <w:t>ДТ</w:t>
      </w:r>
      <w:r w:rsidRPr="00DB67BF">
        <w:rPr>
          <w:rStyle w:val="tlid-translation"/>
          <w:b/>
          <w:sz w:val="28"/>
          <w:szCs w:val="28"/>
          <w:lang w:val="uk-UA"/>
        </w:rPr>
        <w:t xml:space="preserve"> </w:t>
      </w:r>
      <w:r w:rsidRPr="00DB67BF">
        <w:rPr>
          <w:rStyle w:val="tlid-translation"/>
          <w:sz w:val="28"/>
          <w:szCs w:val="28"/>
          <w:lang w:val="uk-UA"/>
        </w:rPr>
        <w:t>лейкоцитів також асоціюється з такими запальними факторами, як ФНП-α, інтерлейкін -IL6 та СРП, що ще більше підкреслює вплив запалення на вкорочення теломер та процеси старіння [393]. Крім того,  механізми, пов'язані із запаленням та імунною системою, можуть міститися в основі асоціації укороченої ДТ з віковими захворюваннями, такими як ССЗ [346]. Ця точка зору отримала підтримку в результаті генетичного аналізу, де носії коротких теломер мали підвищений ризик ССЗ [393].</w:t>
      </w:r>
      <w:r w:rsidRPr="00DB67BF">
        <w:rPr>
          <w:rStyle w:val="tlid-translation"/>
          <w:rFonts w:eastAsiaTheme="minorHAnsi"/>
          <w:sz w:val="28"/>
          <w:szCs w:val="28"/>
          <w:lang w:val="uk-UA"/>
        </w:rPr>
        <w:t xml:space="preserve"> Проте існують дослідження, які не продемонстрували залежність ризику розвитку ССЗ від довжини теломер лейкоцитів </w:t>
      </w:r>
      <w:r w:rsidRPr="00DB67BF">
        <w:rPr>
          <w:rStyle w:val="tlid-translation"/>
          <w:sz w:val="28"/>
          <w:szCs w:val="28"/>
          <w:lang w:val="uk-UA"/>
        </w:rPr>
        <w:t>[201</w:t>
      </w:r>
      <w:r w:rsidRPr="00DB67BF">
        <w:rPr>
          <w:sz w:val="28"/>
          <w:szCs w:val="28"/>
        </w:rPr>
        <w:t>]</w:t>
      </w:r>
      <w:r w:rsidRPr="00DB67BF">
        <w:rPr>
          <w:sz w:val="28"/>
          <w:szCs w:val="28"/>
          <w:lang w:val="uk-UA"/>
        </w:rPr>
        <w:t xml:space="preserve">. </w:t>
      </w:r>
    </w:p>
    <w:p w:rsidR="00E3259F" w:rsidRPr="00DB67BF" w:rsidRDefault="00E3259F" w:rsidP="00DB67BF">
      <w:pPr>
        <w:spacing w:line="360" w:lineRule="auto"/>
        <w:ind w:firstLine="709"/>
        <w:jc w:val="both"/>
        <w:rPr>
          <w:sz w:val="28"/>
          <w:szCs w:val="28"/>
        </w:rPr>
      </w:pPr>
      <w:r w:rsidRPr="00DB67BF">
        <w:rPr>
          <w:rStyle w:val="tlid-translation"/>
          <w:sz w:val="28"/>
          <w:szCs w:val="28"/>
          <w:lang w:val="uk-UA"/>
        </w:rPr>
        <w:t xml:space="preserve">На цей момент недостатньо даних про ДТ, зокрема й у букальному епітелію, при наявності поєднаної вік-асоційованої патології, про вплив різних чинників ризику, перш за все, модифікованих, на ВДТ, а також і для української популяції. </w:t>
      </w:r>
      <w:r w:rsidRPr="00DB67BF">
        <w:rPr>
          <w:bCs/>
          <w:sz w:val="28"/>
          <w:szCs w:val="28"/>
          <w:lang w:val="uk-UA" w:eastAsia="en-US"/>
        </w:rPr>
        <w:t xml:space="preserve">У низці досліджень продемонстрований чіткий зворотний зв'язок між виразністю системного запалення, ОС та ДТ у пацієнтів зі субклінічними або клінічними ССЗ [118].  </w:t>
      </w:r>
      <w:r w:rsidRPr="00DB67BF">
        <w:rPr>
          <w:sz w:val="28"/>
          <w:szCs w:val="28"/>
          <w:lang w:val="uk-UA"/>
        </w:rPr>
        <w:t>На цей</w:t>
      </w:r>
      <w:r w:rsidRPr="00DB67BF">
        <w:rPr>
          <w:sz w:val="28"/>
          <w:szCs w:val="28"/>
        </w:rPr>
        <w:t xml:space="preserve"> час </w:t>
      </w:r>
      <w:r w:rsidRPr="00DB67BF">
        <w:rPr>
          <w:sz w:val="28"/>
          <w:szCs w:val="28"/>
          <w:lang w:val="uk-UA"/>
        </w:rPr>
        <w:t xml:space="preserve">існують поодинокі </w:t>
      </w:r>
      <w:r w:rsidRPr="00DB67BF">
        <w:rPr>
          <w:sz w:val="28"/>
          <w:szCs w:val="28"/>
        </w:rPr>
        <w:t>дослідження, в яких</w:t>
      </w:r>
      <w:r w:rsidRPr="00DB67BF">
        <w:rPr>
          <w:sz w:val="28"/>
          <w:szCs w:val="28"/>
          <w:lang w:val="uk-UA"/>
        </w:rPr>
        <w:t xml:space="preserve"> би</w:t>
      </w:r>
      <w:r w:rsidRPr="00DB67BF">
        <w:rPr>
          <w:sz w:val="28"/>
          <w:szCs w:val="28"/>
        </w:rPr>
        <w:t xml:space="preserve"> вивчал</w:t>
      </w:r>
      <w:r w:rsidRPr="00DB67BF">
        <w:rPr>
          <w:sz w:val="28"/>
          <w:szCs w:val="28"/>
          <w:lang w:val="uk-UA"/>
        </w:rPr>
        <w:t xml:space="preserve">ись </w:t>
      </w:r>
      <w:r w:rsidRPr="00DB67BF">
        <w:rPr>
          <w:sz w:val="28"/>
          <w:szCs w:val="28"/>
        </w:rPr>
        <w:t>змін</w:t>
      </w:r>
      <w:r w:rsidRPr="00DB67BF">
        <w:rPr>
          <w:sz w:val="28"/>
          <w:szCs w:val="28"/>
          <w:lang w:val="uk-UA"/>
        </w:rPr>
        <w:t>и ДТ</w:t>
      </w:r>
      <w:r w:rsidRPr="00DB67BF">
        <w:rPr>
          <w:sz w:val="28"/>
          <w:szCs w:val="28"/>
        </w:rPr>
        <w:t xml:space="preserve"> у взаємозв'язку з морфо-функціональним станом судин.</w:t>
      </w:r>
    </w:p>
    <w:p w:rsidR="00E3259F" w:rsidRPr="00DB67BF" w:rsidRDefault="00E3259F" w:rsidP="00DB67BF">
      <w:pPr>
        <w:pStyle w:val="a4"/>
        <w:spacing w:line="360" w:lineRule="auto"/>
        <w:ind w:left="0" w:firstLine="709"/>
        <w:jc w:val="both"/>
        <w:textAlignment w:val="top"/>
        <w:rPr>
          <w:sz w:val="28"/>
          <w:szCs w:val="28"/>
          <w:lang w:val="uk-UA"/>
        </w:rPr>
      </w:pPr>
      <w:r w:rsidRPr="00DB67BF">
        <w:rPr>
          <w:sz w:val="28"/>
          <w:szCs w:val="28"/>
        </w:rPr>
        <w:t xml:space="preserve">Таким чином, </w:t>
      </w:r>
      <w:r w:rsidRPr="00DB67BF">
        <w:rPr>
          <w:sz w:val="28"/>
          <w:szCs w:val="28"/>
          <w:lang w:val="uk-UA"/>
        </w:rPr>
        <w:t xml:space="preserve">на цей час </w:t>
      </w:r>
      <w:r w:rsidRPr="00DB67BF">
        <w:rPr>
          <w:sz w:val="28"/>
          <w:szCs w:val="28"/>
        </w:rPr>
        <w:t>концепція «судинного віку» дозволяє по-новому поглянути на оцінку серцево-судинного ризику: з одного боку</w:t>
      </w:r>
      <w:r w:rsidRPr="00DB67BF">
        <w:rPr>
          <w:sz w:val="28"/>
          <w:szCs w:val="28"/>
          <w:lang w:val="uk-UA"/>
        </w:rPr>
        <w:t>,</w:t>
      </w:r>
      <w:r w:rsidRPr="00DB67BF">
        <w:rPr>
          <w:sz w:val="28"/>
          <w:szCs w:val="28"/>
        </w:rPr>
        <w:t xml:space="preserve"> як на біологічну модель старіння, з іншого боку, вона дає можливість проаналізувати маркер</w:t>
      </w:r>
      <w:r w:rsidRPr="00DB67BF">
        <w:rPr>
          <w:sz w:val="28"/>
          <w:szCs w:val="28"/>
          <w:lang w:val="uk-UA"/>
        </w:rPr>
        <w:t>и</w:t>
      </w:r>
      <w:r w:rsidRPr="00DB67BF">
        <w:rPr>
          <w:sz w:val="28"/>
          <w:szCs w:val="28"/>
        </w:rPr>
        <w:t xml:space="preserve"> жорсткості судин і </w:t>
      </w:r>
      <w:r w:rsidRPr="00DB67BF">
        <w:rPr>
          <w:sz w:val="28"/>
          <w:szCs w:val="28"/>
          <w:lang w:val="uk-UA"/>
        </w:rPr>
        <w:t>судинний вік у</w:t>
      </w:r>
      <w:r w:rsidRPr="00DB67BF">
        <w:rPr>
          <w:sz w:val="28"/>
          <w:szCs w:val="28"/>
        </w:rPr>
        <w:t xml:space="preserve"> різних вікових групах, стратифікован</w:t>
      </w:r>
      <w:r w:rsidRPr="00DB67BF">
        <w:rPr>
          <w:sz w:val="28"/>
          <w:szCs w:val="28"/>
          <w:lang w:val="uk-UA"/>
        </w:rPr>
        <w:t>о</w:t>
      </w:r>
      <w:r w:rsidRPr="00DB67BF">
        <w:rPr>
          <w:sz w:val="28"/>
          <w:szCs w:val="28"/>
        </w:rPr>
        <w:t xml:space="preserve"> для чоловіків і жінок.</w:t>
      </w:r>
      <w:r w:rsidRPr="00DB67BF">
        <w:rPr>
          <w:sz w:val="28"/>
          <w:szCs w:val="28"/>
          <w:lang w:val="uk-UA"/>
        </w:rPr>
        <w:t xml:space="preserve"> Існують поодинокі роботи, присвячені дослідженню впливу коморбідної патології на ВДТ. Так вплив на ДТ досліджували  при ожирінні з АГ в жінок [398],  при СГТ у поєднанні з неалкогольною хворобою печінки [259],</w:t>
      </w:r>
      <w:r w:rsidRPr="00DB67BF">
        <w:rPr>
          <w:b/>
          <w:sz w:val="28"/>
          <w:szCs w:val="28"/>
          <w:lang w:val="uk-UA"/>
        </w:rPr>
        <w:t xml:space="preserve"> </w:t>
      </w:r>
      <w:r w:rsidRPr="00DB67BF">
        <w:rPr>
          <w:sz w:val="28"/>
          <w:szCs w:val="28"/>
          <w:lang w:val="uk-UA"/>
        </w:rPr>
        <w:t>при ССЗ на тлі хронічної хвороби нирок [324] та інш. Але робіт, присвячених дослідженню впливу поєднаного перебігу ГХ, ЦД та СГТ на ДТ та, з іншого боку, оцінці ДТ як маркера перебігу та прогнозу розвитку ССУ у цієї категорії пацієнтів практично немає. Крім того, у</w:t>
      </w:r>
      <w:r w:rsidRPr="00DB67BF">
        <w:rPr>
          <w:rStyle w:val="tlid-translation"/>
          <w:sz w:val="28"/>
          <w:szCs w:val="28"/>
          <w:lang w:val="uk-UA"/>
        </w:rPr>
        <w:t>рахувуючи, що смертність від ССЗ як і раніше залишається високою, незважаючи на зусилля, спрямовані на профілактику та лікування, існує потреба в розробці нових патофізіологічних моделей для кращого розуміння серцево-судинних ризиків, заснованих на нових вік-асоційованих поняттях. Ввизнано необхідним проведення медико-біологічних досліджень за участю пацієнтів різних вікових груп для виявлення вік-асоційованих факторів ризику і специфічних маркерів, що дозволили б оптимізувати терапію вік-асоційованих захворювань.</w:t>
      </w:r>
    </w:p>
    <w:p w:rsidR="00E3259F" w:rsidRDefault="00E3259F" w:rsidP="00E3259F">
      <w:pPr>
        <w:ind w:right="-143"/>
        <w:rPr>
          <w:rFonts w:ascii="REG" w:hAnsi="REG"/>
          <w:color w:val="000000"/>
          <w:sz w:val="23"/>
          <w:szCs w:val="23"/>
          <w:lang w:val="uk-UA"/>
        </w:rPr>
      </w:pPr>
    </w:p>
    <w:p w:rsidR="00E3259F" w:rsidRDefault="00E3259F" w:rsidP="00E3259F">
      <w:pPr>
        <w:ind w:right="-143"/>
        <w:jc w:val="both"/>
        <w:rPr>
          <w:color w:val="000000"/>
          <w:sz w:val="28"/>
          <w:szCs w:val="28"/>
          <w:lang w:val="uk-UA"/>
        </w:rPr>
      </w:pPr>
    </w:p>
    <w:p w:rsidR="00E3259F" w:rsidRDefault="00E3259F" w:rsidP="00DB67BF">
      <w:pPr>
        <w:spacing w:line="360" w:lineRule="auto"/>
        <w:jc w:val="both"/>
        <w:rPr>
          <w:sz w:val="28"/>
          <w:szCs w:val="28"/>
          <w:lang w:val="uk-UA"/>
        </w:rPr>
      </w:pPr>
      <w:r>
        <w:rPr>
          <w:color w:val="000000"/>
          <w:sz w:val="28"/>
          <w:szCs w:val="28"/>
          <w:lang w:val="uk-UA"/>
        </w:rPr>
        <w:t>1.5</w:t>
      </w:r>
      <w:r>
        <w:rPr>
          <w:sz w:val="28"/>
          <w:szCs w:val="28"/>
          <w:lang w:val="uk-UA"/>
        </w:rPr>
        <w:t xml:space="preserve"> Сучасні підходи до лікування  та профілактики, що впливають на різні ланки прогресування гіпертонічної хвороби в поєднанні з цукровим діабетом 2 типу та субклінічним гіпотиреозом</w:t>
      </w:r>
    </w:p>
    <w:p w:rsidR="00E3259F" w:rsidRDefault="00E3259F" w:rsidP="00E3259F">
      <w:pPr>
        <w:ind w:right="-143"/>
        <w:jc w:val="both"/>
        <w:rPr>
          <w:sz w:val="28"/>
          <w:szCs w:val="28"/>
          <w:lang w:val="uk-UA"/>
        </w:rPr>
      </w:pPr>
    </w:p>
    <w:p w:rsidR="00E3259F" w:rsidRDefault="00E3259F" w:rsidP="00E3259F">
      <w:pPr>
        <w:ind w:right="-143"/>
        <w:jc w:val="both"/>
        <w:rPr>
          <w:sz w:val="28"/>
          <w:szCs w:val="28"/>
          <w:lang w:val="uk-UA"/>
        </w:rPr>
      </w:pPr>
    </w:p>
    <w:p w:rsidR="00E3259F" w:rsidRPr="00DB67BF" w:rsidRDefault="00E3259F" w:rsidP="00DB67BF">
      <w:pPr>
        <w:pStyle w:val="1"/>
        <w:spacing w:before="0" w:beforeAutospacing="0" w:after="0" w:afterAutospacing="0" w:line="360" w:lineRule="auto"/>
        <w:ind w:firstLine="709"/>
        <w:jc w:val="both"/>
        <w:textAlignment w:val="top"/>
        <w:rPr>
          <w:b w:val="0"/>
          <w:sz w:val="28"/>
          <w:szCs w:val="28"/>
          <w:shd w:val="clear" w:color="auto" w:fill="FFFFFF"/>
          <w:lang w:val="uk-UA"/>
        </w:rPr>
      </w:pPr>
      <w:r w:rsidRPr="00DB67BF">
        <w:rPr>
          <w:b w:val="0"/>
          <w:sz w:val="28"/>
          <w:szCs w:val="28"/>
          <w:lang w:val="uk-UA"/>
        </w:rPr>
        <w:t>Існують дані, що  спостерігається зростання внеску кардіоваскулярних хвороб у формування показника тягаря хвороб (</w:t>
      </w:r>
      <w:r w:rsidRPr="00DB67BF">
        <w:rPr>
          <w:b w:val="0"/>
          <w:sz w:val="28"/>
          <w:szCs w:val="28"/>
        </w:rPr>
        <w:t>DALY</w:t>
      </w:r>
      <w:r w:rsidRPr="00DB67BF">
        <w:rPr>
          <w:b w:val="0"/>
          <w:sz w:val="28"/>
          <w:szCs w:val="28"/>
          <w:lang w:val="uk-UA"/>
        </w:rPr>
        <w:t xml:space="preserve">): у чоловіків – на 27%, у жінок – на 33%, а близько 50 % тягаря цих хвороб пов’язано з підвищеним АТ, що потребує реалізації популяційної та індивідуальної стратегій їх профілактики </w:t>
      </w:r>
      <w:r w:rsidRPr="00DB67BF">
        <w:rPr>
          <w:b w:val="0"/>
          <w:sz w:val="28"/>
          <w:szCs w:val="28"/>
          <w:shd w:val="clear" w:color="auto" w:fill="FFFFFF"/>
          <w:lang w:val="uk-UA"/>
        </w:rPr>
        <w:t xml:space="preserve"> [</w:t>
      </w:r>
      <w:r w:rsidRPr="00DB67BF">
        <w:rPr>
          <w:b w:val="0"/>
          <w:sz w:val="28"/>
          <w:szCs w:val="28"/>
          <w:lang w:val="uk-UA"/>
        </w:rPr>
        <w:t>34</w:t>
      </w:r>
      <w:r w:rsidRPr="00DB67BF">
        <w:rPr>
          <w:b w:val="0"/>
          <w:sz w:val="28"/>
          <w:szCs w:val="28"/>
          <w:shd w:val="clear" w:color="auto" w:fill="FFFFFF"/>
          <w:lang w:val="uk-UA"/>
        </w:rPr>
        <w:t>].</w:t>
      </w:r>
    </w:p>
    <w:p w:rsidR="00E3259F" w:rsidRPr="00DB67BF" w:rsidRDefault="00E3259F" w:rsidP="00DB67BF">
      <w:pPr>
        <w:spacing w:line="360" w:lineRule="auto"/>
        <w:ind w:firstLine="709"/>
        <w:jc w:val="both"/>
        <w:rPr>
          <w:sz w:val="28"/>
          <w:szCs w:val="28"/>
          <w:lang w:val="uk-UA"/>
        </w:rPr>
      </w:pPr>
      <w:r w:rsidRPr="00DB67BF">
        <w:rPr>
          <w:sz w:val="28"/>
          <w:szCs w:val="28"/>
          <w:lang w:val="uk-UA"/>
        </w:rPr>
        <w:t>Лікування та профілактика багатьох захворювань внутрішніх органів на сучасному етапі базується на міжнародних та локальних рекомендаціях та протоколах. Так лікування ГХ в Україні проводиться згідно з рекомендаціями Європейського Товариства Кардіологів (the European Society of Cardiology,</w:t>
      </w:r>
      <w:r w:rsidRPr="00DB67BF">
        <w:rPr>
          <w:sz w:val="28"/>
          <w:szCs w:val="28"/>
          <w:shd w:val="clear" w:color="auto" w:fill="FFFFFF"/>
          <w:lang w:val="uk-UA"/>
        </w:rPr>
        <w:t xml:space="preserve"> </w:t>
      </w:r>
      <w:r w:rsidRPr="00DB67BF">
        <w:rPr>
          <w:sz w:val="28"/>
          <w:szCs w:val="28"/>
          <w:shd w:val="clear" w:color="auto" w:fill="FFFFFF"/>
        </w:rPr>
        <w:t>ESC</w:t>
      </w:r>
      <w:r w:rsidRPr="00DB67BF">
        <w:rPr>
          <w:sz w:val="28"/>
          <w:szCs w:val="28"/>
          <w:lang w:val="uk-UA"/>
        </w:rPr>
        <w:t xml:space="preserve"> ), Європейського Товариства з Артеріальної гіпертензії (the European Society of Hypertension,ESH), згідно Наказів та Настанов МОЗ України [114,115]. </w:t>
      </w:r>
    </w:p>
    <w:p w:rsidR="00E3259F" w:rsidRPr="00DB67BF" w:rsidRDefault="00E3259F" w:rsidP="00DB67BF">
      <w:pPr>
        <w:spacing w:line="360" w:lineRule="auto"/>
        <w:ind w:firstLine="709"/>
        <w:jc w:val="both"/>
        <w:rPr>
          <w:sz w:val="28"/>
          <w:szCs w:val="28"/>
          <w:shd w:val="clear" w:color="auto" w:fill="FFFFFF"/>
          <w:lang w:val="uk-UA"/>
        </w:rPr>
      </w:pPr>
      <w:r w:rsidRPr="00DB67BF">
        <w:rPr>
          <w:sz w:val="28"/>
          <w:szCs w:val="28"/>
          <w:shd w:val="clear" w:color="auto" w:fill="FFFFFF"/>
        </w:rPr>
        <w:t>За</w:t>
      </w:r>
      <w:r w:rsidRPr="00DB67BF">
        <w:rPr>
          <w:sz w:val="28"/>
          <w:szCs w:val="28"/>
          <w:shd w:val="clear" w:color="auto" w:fill="FFFFFF"/>
          <w:lang w:val="uk-UA"/>
        </w:rPr>
        <w:t xml:space="preserve"> оновлених</w:t>
      </w:r>
      <w:r w:rsidRPr="00DB67BF">
        <w:rPr>
          <w:sz w:val="28"/>
          <w:szCs w:val="28"/>
          <w:shd w:val="clear" w:color="auto" w:fill="FFFFFF"/>
        </w:rPr>
        <w:t> рекомендаці</w:t>
      </w:r>
      <w:r w:rsidRPr="00DB67BF">
        <w:rPr>
          <w:sz w:val="28"/>
          <w:szCs w:val="28"/>
          <w:shd w:val="clear" w:color="auto" w:fill="FFFFFF"/>
          <w:lang w:val="uk-UA"/>
        </w:rPr>
        <w:t xml:space="preserve">ями </w:t>
      </w:r>
      <w:r w:rsidRPr="00DB67BF">
        <w:rPr>
          <w:sz w:val="28"/>
          <w:szCs w:val="28"/>
          <w:shd w:val="clear" w:color="auto" w:fill="FFFFFF"/>
          <w:lang w:val="en-US"/>
        </w:rPr>
        <w:t>ESC</w:t>
      </w:r>
      <w:r w:rsidRPr="00DB67BF">
        <w:rPr>
          <w:sz w:val="28"/>
          <w:szCs w:val="28"/>
          <w:shd w:val="clear" w:color="auto" w:fill="FFFFFF"/>
        </w:rPr>
        <w:t xml:space="preserve"> (2018) перша мета при застосуванні препаратів, що знижують АТ, </w:t>
      </w:r>
      <w:r w:rsidRPr="00DB67BF">
        <w:rPr>
          <w:sz w:val="28"/>
          <w:szCs w:val="28"/>
          <w:shd w:val="clear" w:color="auto" w:fill="FFFFFF"/>
          <w:lang w:val="uk-UA"/>
        </w:rPr>
        <w:t xml:space="preserve">залишається </w:t>
      </w:r>
      <w:r w:rsidRPr="00DB67BF">
        <w:rPr>
          <w:sz w:val="28"/>
          <w:szCs w:val="28"/>
          <w:shd w:val="clear" w:color="auto" w:fill="FFFFFF"/>
        </w:rPr>
        <w:t xml:space="preserve">у зниженні </w:t>
      </w:r>
      <w:r w:rsidRPr="00DB67BF">
        <w:rPr>
          <w:sz w:val="28"/>
          <w:szCs w:val="28"/>
          <w:shd w:val="clear" w:color="auto" w:fill="FFFFFF"/>
          <w:lang w:val="uk-UA"/>
        </w:rPr>
        <w:t xml:space="preserve">рівня </w:t>
      </w:r>
      <w:r w:rsidRPr="00DB67BF">
        <w:rPr>
          <w:sz w:val="28"/>
          <w:szCs w:val="28"/>
          <w:shd w:val="clear" w:color="auto" w:fill="FFFFFF"/>
        </w:rPr>
        <w:t>АТ до &lt;140/90 мм рт. ст. в усіх пацієнтів</w:t>
      </w:r>
      <w:r w:rsidRPr="00DB67BF">
        <w:rPr>
          <w:sz w:val="28"/>
          <w:szCs w:val="28"/>
          <w:shd w:val="clear" w:color="auto" w:fill="FFFFFF"/>
          <w:lang w:val="uk-UA"/>
        </w:rPr>
        <w:t xml:space="preserve"> віком до 80 років</w:t>
      </w:r>
      <w:r w:rsidRPr="00DB67BF">
        <w:rPr>
          <w:sz w:val="28"/>
          <w:szCs w:val="28"/>
          <w:shd w:val="clear" w:color="auto" w:fill="FFFFFF"/>
        </w:rPr>
        <w:t xml:space="preserve">. За умови хорошої переносимості лікування у більшості пацієнтів </w:t>
      </w:r>
      <w:r w:rsidRPr="00DB67BF">
        <w:rPr>
          <w:sz w:val="28"/>
          <w:szCs w:val="28"/>
          <w:shd w:val="clear" w:color="auto" w:fill="FFFFFF"/>
          <w:lang w:val="uk-UA"/>
        </w:rPr>
        <w:t>рекомендовано</w:t>
      </w:r>
      <w:r w:rsidRPr="00DB67BF">
        <w:rPr>
          <w:sz w:val="28"/>
          <w:szCs w:val="28"/>
          <w:shd w:val="clear" w:color="auto" w:fill="FFFFFF"/>
        </w:rPr>
        <w:t xml:space="preserve"> застосовувати цільові значення АТ ≤130/80 мм рт. ст., хоча в деяких групах дані менш переконливі. </w:t>
      </w:r>
      <w:r w:rsidRPr="00DB67BF">
        <w:rPr>
          <w:sz w:val="28"/>
          <w:szCs w:val="28"/>
          <w:shd w:val="clear" w:color="auto" w:fill="FFFFFF"/>
          <w:lang w:val="uk-UA"/>
        </w:rPr>
        <w:t>Проте міжнародні данні на</w:t>
      </w:r>
      <w:r w:rsidRPr="00DB67BF">
        <w:rPr>
          <w:sz w:val="28"/>
          <w:szCs w:val="28"/>
          <w:shd w:val="clear" w:color="auto" w:fill="FFFFFF"/>
        </w:rPr>
        <w:t> </w:t>
      </w:r>
      <w:r w:rsidRPr="00DB67BF">
        <w:rPr>
          <w:sz w:val="28"/>
          <w:szCs w:val="28"/>
          <w:shd w:val="clear" w:color="auto" w:fill="FFFFFF"/>
          <w:lang w:val="uk-UA"/>
        </w:rPr>
        <w:t>сьогодні свідчать, що лише приблизно 35% пацієнтів із</w:t>
      </w:r>
      <w:r w:rsidRPr="00DB67BF">
        <w:rPr>
          <w:sz w:val="28"/>
          <w:szCs w:val="28"/>
          <w:shd w:val="clear" w:color="auto" w:fill="FFFFFF"/>
        </w:rPr>
        <w:t> </w:t>
      </w:r>
      <w:r w:rsidRPr="00DB67BF">
        <w:rPr>
          <w:sz w:val="28"/>
          <w:szCs w:val="28"/>
          <w:shd w:val="clear" w:color="auto" w:fill="FFFFFF"/>
          <w:lang w:val="uk-UA"/>
        </w:rPr>
        <w:t>АГ, які отримують антигіпертензивну терапію, досягають цільового офісного САТ &lt;140</w:t>
      </w:r>
      <w:r w:rsidRPr="00DB67BF">
        <w:rPr>
          <w:sz w:val="28"/>
          <w:szCs w:val="28"/>
          <w:shd w:val="clear" w:color="auto" w:fill="FFFFFF"/>
        </w:rPr>
        <w:t> </w:t>
      </w:r>
      <w:r w:rsidRPr="00DB67BF">
        <w:rPr>
          <w:sz w:val="28"/>
          <w:szCs w:val="28"/>
          <w:shd w:val="clear" w:color="auto" w:fill="FFFFFF"/>
          <w:lang w:val="uk-UA"/>
        </w:rPr>
        <w:t>мм</w:t>
      </w:r>
      <w:r w:rsidRPr="00DB67BF">
        <w:rPr>
          <w:sz w:val="28"/>
          <w:szCs w:val="28"/>
          <w:shd w:val="clear" w:color="auto" w:fill="FFFFFF"/>
        </w:rPr>
        <w:t> </w:t>
      </w:r>
      <w:r w:rsidRPr="00DB67BF">
        <w:rPr>
          <w:sz w:val="28"/>
          <w:szCs w:val="28"/>
          <w:shd w:val="clear" w:color="auto" w:fill="FFFFFF"/>
          <w:lang w:val="uk-UA"/>
        </w:rPr>
        <w:t>рт.</w:t>
      </w:r>
      <w:r w:rsidRPr="00DB67BF">
        <w:rPr>
          <w:sz w:val="28"/>
          <w:szCs w:val="28"/>
          <w:shd w:val="clear" w:color="auto" w:fill="FFFFFF"/>
        </w:rPr>
        <w:t> </w:t>
      </w:r>
      <w:r w:rsidRPr="00DB67BF">
        <w:rPr>
          <w:sz w:val="28"/>
          <w:szCs w:val="28"/>
          <w:shd w:val="clear" w:color="auto" w:fill="FFFFFF"/>
          <w:lang w:val="uk-UA"/>
        </w:rPr>
        <w:t xml:space="preserve">ст.[46]. За даними українських дослідників ці данні в </w:t>
      </w:r>
      <w:r w:rsidRPr="00DB67BF">
        <w:rPr>
          <w:sz w:val="28"/>
          <w:szCs w:val="28"/>
          <w:lang w:val="uk-UA"/>
        </w:rPr>
        <w:t xml:space="preserve">міській популяції складали менше 15% </w:t>
      </w:r>
      <w:r w:rsidRPr="00DB67BF">
        <w:rPr>
          <w:sz w:val="28"/>
          <w:szCs w:val="28"/>
          <w:shd w:val="clear" w:color="auto" w:fill="FFFFFF"/>
          <w:lang w:val="uk-UA"/>
        </w:rPr>
        <w:t xml:space="preserve"> [47</w:t>
      </w:r>
      <w:r w:rsidRPr="00DB67BF">
        <w:rPr>
          <w:sz w:val="28"/>
          <w:szCs w:val="28"/>
          <w:lang w:val="uk-UA"/>
        </w:rPr>
        <w:t>].</w:t>
      </w:r>
      <w:r w:rsidRPr="00DB67BF">
        <w:rPr>
          <w:sz w:val="28"/>
          <w:szCs w:val="28"/>
          <w:shd w:val="clear" w:color="auto" w:fill="FFFFFF"/>
          <w:lang w:val="uk-UA"/>
        </w:rPr>
        <w:t xml:space="preserve"> </w:t>
      </w:r>
    </w:p>
    <w:p w:rsidR="00E3259F" w:rsidRPr="00DB67BF" w:rsidRDefault="00E3259F" w:rsidP="00DB67BF">
      <w:pPr>
        <w:spacing w:line="360" w:lineRule="auto"/>
        <w:ind w:firstLine="709"/>
        <w:jc w:val="both"/>
        <w:rPr>
          <w:sz w:val="28"/>
          <w:szCs w:val="28"/>
          <w:lang w:val="uk-UA"/>
        </w:rPr>
      </w:pPr>
      <w:r w:rsidRPr="00DB67BF">
        <w:rPr>
          <w:sz w:val="28"/>
          <w:szCs w:val="28"/>
          <w:shd w:val="clear" w:color="auto" w:fill="FFFFFF"/>
          <w:lang w:val="uk-UA"/>
        </w:rPr>
        <w:t>На цей час існують дві  визнані стратегії зниження і контролю АТ - це модифікація способу життя</w:t>
      </w:r>
      <w:r w:rsidRPr="00DB67BF">
        <w:rPr>
          <w:sz w:val="28"/>
          <w:szCs w:val="28"/>
          <w:shd w:val="clear" w:color="auto" w:fill="FFFFFF"/>
        </w:rPr>
        <w:t> </w:t>
      </w:r>
      <w:r w:rsidRPr="00DB67BF">
        <w:rPr>
          <w:sz w:val="28"/>
          <w:szCs w:val="28"/>
          <w:shd w:val="clear" w:color="auto" w:fill="FFFFFF"/>
          <w:lang w:val="uk-UA"/>
        </w:rPr>
        <w:t>та медикаментозне лікування.</w:t>
      </w:r>
      <w:r w:rsidRPr="00DB67BF">
        <w:rPr>
          <w:sz w:val="28"/>
          <w:szCs w:val="28"/>
          <w:lang w:val="uk-UA"/>
        </w:rPr>
        <w:t xml:space="preserve"> Втручання у</w:t>
      </w:r>
      <w:r w:rsidRPr="00DB67BF">
        <w:rPr>
          <w:sz w:val="28"/>
          <w:szCs w:val="28"/>
          <w:shd w:val="clear" w:color="auto" w:fill="FFFFFF"/>
        </w:rPr>
        <w:t> </w:t>
      </w:r>
      <w:r w:rsidRPr="00DB67BF">
        <w:rPr>
          <w:sz w:val="28"/>
          <w:szCs w:val="28"/>
          <w:shd w:val="clear" w:color="auto" w:fill="FFFFFF"/>
          <w:lang w:val="uk-UA"/>
        </w:rPr>
        <w:t>спосіб життя сприяє зниженню АТ та в</w:t>
      </w:r>
      <w:r w:rsidRPr="00DB67BF">
        <w:rPr>
          <w:sz w:val="28"/>
          <w:szCs w:val="28"/>
          <w:shd w:val="clear" w:color="auto" w:fill="FFFFFF"/>
        </w:rPr>
        <w:t> </w:t>
      </w:r>
      <w:r w:rsidRPr="00DB67BF">
        <w:rPr>
          <w:sz w:val="28"/>
          <w:szCs w:val="28"/>
          <w:shd w:val="clear" w:color="auto" w:fill="FFFFFF"/>
          <w:lang w:val="uk-UA"/>
        </w:rPr>
        <w:t xml:space="preserve">деяких випадках й КВР, особливо на ранніх стадіях захворювання, але більшість пацієнтів з ГХ потребують медикаментозного лікування. Існує велика кількість клінічних досліджень, у тому числі рандомізованих контрольованих (РКД), антигіпертензивних препаратів, їх доказова база в плані ефективності і безпеки, перш за все, за віддаленими результатами вважається однією з найбільших, ніж в будь-якій іншій галузі охорони здоров'я [41]. </w:t>
      </w:r>
      <w:r w:rsidRPr="00DB67BF">
        <w:rPr>
          <w:sz w:val="28"/>
          <w:szCs w:val="28"/>
          <w:lang w:val="uk-UA"/>
        </w:rPr>
        <w:t>Виходячи з доведеної здатності знижувати АТ, доказів, отриманих у</w:t>
      </w:r>
      <w:r w:rsidRPr="00DB67BF">
        <w:rPr>
          <w:sz w:val="28"/>
          <w:szCs w:val="28"/>
        </w:rPr>
        <w:t> </w:t>
      </w:r>
      <w:r w:rsidRPr="00DB67BF">
        <w:rPr>
          <w:sz w:val="28"/>
          <w:szCs w:val="28"/>
          <w:lang w:val="uk-UA"/>
        </w:rPr>
        <w:t>плацебо-контрольованих дослідженнях, щодо зниження ризику кардіо-васкулярних подій та впливу на</w:t>
      </w:r>
      <w:r w:rsidRPr="00DB67BF">
        <w:rPr>
          <w:sz w:val="28"/>
          <w:szCs w:val="28"/>
        </w:rPr>
        <w:t> </w:t>
      </w:r>
      <w:r w:rsidRPr="00DB67BF">
        <w:rPr>
          <w:sz w:val="28"/>
          <w:szCs w:val="28"/>
          <w:lang w:val="uk-UA"/>
        </w:rPr>
        <w:t>загальну серцево-судинну захворюваність і смертність, а також із</w:t>
      </w:r>
      <w:r w:rsidRPr="00DB67BF">
        <w:rPr>
          <w:sz w:val="28"/>
          <w:szCs w:val="28"/>
        </w:rPr>
        <w:t> </w:t>
      </w:r>
      <w:r w:rsidRPr="00DB67BF">
        <w:rPr>
          <w:sz w:val="28"/>
          <w:szCs w:val="28"/>
          <w:lang w:val="uk-UA"/>
        </w:rPr>
        <w:t>висновком про</w:t>
      </w:r>
      <w:r w:rsidRPr="00DB67BF">
        <w:rPr>
          <w:sz w:val="28"/>
          <w:szCs w:val="28"/>
        </w:rPr>
        <w:t> </w:t>
      </w:r>
      <w:r w:rsidRPr="00DB67BF">
        <w:rPr>
          <w:sz w:val="28"/>
          <w:szCs w:val="28"/>
          <w:lang w:val="uk-UA"/>
        </w:rPr>
        <w:t>те, що перевага від їх застосування переважно випливає зі</w:t>
      </w:r>
      <w:r w:rsidRPr="00DB67BF">
        <w:rPr>
          <w:sz w:val="28"/>
          <w:szCs w:val="28"/>
        </w:rPr>
        <w:t> </w:t>
      </w:r>
      <w:r w:rsidRPr="00DB67BF">
        <w:rPr>
          <w:sz w:val="28"/>
          <w:szCs w:val="28"/>
          <w:lang w:val="uk-UA"/>
        </w:rPr>
        <w:t>зниження АТ, для лікування ГХ п</w:t>
      </w:r>
      <w:r w:rsidRPr="00DB67BF">
        <w:rPr>
          <w:sz w:val="28"/>
          <w:szCs w:val="28"/>
          <w:shd w:val="clear" w:color="auto" w:fill="FFFFFF"/>
          <w:lang w:val="uk-UA"/>
        </w:rPr>
        <w:t xml:space="preserve">оточна настанова </w:t>
      </w:r>
      <w:r w:rsidRPr="00DB67BF">
        <w:rPr>
          <w:sz w:val="28"/>
          <w:szCs w:val="28"/>
          <w:shd w:val="clear" w:color="auto" w:fill="FFFFFF"/>
          <w:lang w:val="en-US"/>
        </w:rPr>
        <w:t>ESC</w:t>
      </w:r>
      <w:r w:rsidRPr="00DB67BF">
        <w:rPr>
          <w:sz w:val="28"/>
          <w:szCs w:val="28"/>
          <w:shd w:val="clear" w:color="auto" w:fill="FFFFFF"/>
          <w:lang w:val="uk-UA"/>
        </w:rPr>
        <w:t xml:space="preserve"> [97], як і попередня[275], рекомендує</w:t>
      </w:r>
      <w:r w:rsidRPr="00DB67BF">
        <w:rPr>
          <w:sz w:val="28"/>
          <w:szCs w:val="28"/>
          <w:shd w:val="clear" w:color="auto" w:fill="FFFFFF"/>
        </w:rPr>
        <w:t> </w:t>
      </w:r>
      <w:r w:rsidRPr="00DB67BF">
        <w:rPr>
          <w:sz w:val="28"/>
          <w:szCs w:val="28"/>
          <w:lang w:val="uk-UA"/>
        </w:rPr>
        <w:t>п’ять основних класів препаратів: інгібітори ангіотензинперетворюючого ферменту (іАПФ), блокатори рецепторів ангіотензину(БРА)</w:t>
      </w:r>
      <w:r w:rsidRPr="00DB67BF">
        <w:rPr>
          <w:sz w:val="28"/>
          <w:szCs w:val="28"/>
        </w:rPr>
        <w:t> II </w:t>
      </w:r>
      <w:r w:rsidRPr="00DB67BF">
        <w:rPr>
          <w:sz w:val="28"/>
          <w:szCs w:val="28"/>
          <w:lang w:val="uk-UA"/>
        </w:rPr>
        <w:t xml:space="preserve">типу, блокатори </w:t>
      </w:r>
      <w:r w:rsidRPr="00DB67BF">
        <w:rPr>
          <w:sz w:val="28"/>
          <w:szCs w:val="28"/>
        </w:rPr>
        <w:t>β</w:t>
      </w:r>
      <w:r w:rsidRPr="00DB67BF">
        <w:rPr>
          <w:sz w:val="28"/>
          <w:szCs w:val="28"/>
          <w:lang w:val="uk-UA"/>
        </w:rPr>
        <w:t>-адренорецепторів, антагоністи кальцію</w:t>
      </w:r>
      <w:r w:rsidRPr="00DB67BF">
        <w:rPr>
          <w:sz w:val="28"/>
          <w:szCs w:val="28"/>
        </w:rPr>
        <w:t> </w:t>
      </w:r>
      <w:r w:rsidRPr="00DB67BF">
        <w:rPr>
          <w:sz w:val="28"/>
          <w:szCs w:val="28"/>
          <w:lang w:val="uk-UA"/>
        </w:rPr>
        <w:t>(АК) та</w:t>
      </w:r>
      <w:r w:rsidRPr="00DB67BF">
        <w:rPr>
          <w:sz w:val="28"/>
          <w:szCs w:val="28"/>
        </w:rPr>
        <w:t> </w:t>
      </w:r>
      <w:r w:rsidRPr="00DB67BF">
        <w:rPr>
          <w:sz w:val="28"/>
          <w:szCs w:val="28"/>
          <w:lang w:val="uk-UA"/>
        </w:rPr>
        <w:t>діуретики (тіазидні, тіазидоподібні).</w:t>
      </w:r>
      <w:r w:rsidRPr="00DB67BF">
        <w:rPr>
          <w:sz w:val="28"/>
          <w:szCs w:val="28"/>
          <w:shd w:val="clear" w:color="auto" w:fill="FFFFFF"/>
          <w:lang w:val="uk-UA"/>
        </w:rPr>
        <w:t xml:space="preserve"> Ці висновки підтверджені численними РКД та недавніми метааналізами [34,159,257], в</w:t>
      </w:r>
      <w:r w:rsidRPr="00DB67BF">
        <w:rPr>
          <w:sz w:val="28"/>
          <w:szCs w:val="28"/>
          <w:shd w:val="clear" w:color="auto" w:fill="FFFFFF"/>
          <w:lang w:val="en-US"/>
        </w:rPr>
        <w:t> </w:t>
      </w:r>
      <w:r w:rsidRPr="00DB67BF">
        <w:rPr>
          <w:sz w:val="28"/>
          <w:szCs w:val="28"/>
          <w:shd w:val="clear" w:color="auto" w:fill="FFFFFF"/>
          <w:lang w:val="uk-UA"/>
        </w:rPr>
        <w:t>яких наведено певні відмінності між результатами застосування цих груп лікарських засобів, проте загалом великі кардіоваскулярні події та смертність  були подібні при</w:t>
      </w:r>
      <w:r w:rsidRPr="00DB67BF">
        <w:rPr>
          <w:sz w:val="28"/>
          <w:szCs w:val="28"/>
          <w:shd w:val="clear" w:color="auto" w:fill="FFFFFF"/>
          <w:lang w:val="en-US"/>
        </w:rPr>
        <w:t> </w:t>
      </w:r>
      <w:r w:rsidRPr="00DB67BF">
        <w:rPr>
          <w:sz w:val="28"/>
          <w:szCs w:val="28"/>
          <w:shd w:val="clear" w:color="auto" w:fill="FFFFFF"/>
          <w:lang w:val="uk-UA"/>
        </w:rPr>
        <w:t>початковій терапії усіма п’ятьма основними класами препаратів.</w:t>
      </w:r>
    </w:p>
    <w:p w:rsidR="00E3259F" w:rsidRPr="00DB67BF" w:rsidRDefault="00E3259F" w:rsidP="00DB67BF">
      <w:pPr>
        <w:spacing w:line="360" w:lineRule="auto"/>
        <w:ind w:firstLine="709"/>
        <w:jc w:val="both"/>
        <w:rPr>
          <w:sz w:val="28"/>
          <w:szCs w:val="28"/>
          <w:shd w:val="clear" w:color="auto" w:fill="FFFFFF"/>
          <w:lang w:val="uk-UA"/>
        </w:rPr>
      </w:pPr>
      <w:r w:rsidRPr="00DB67BF">
        <w:rPr>
          <w:sz w:val="28"/>
          <w:szCs w:val="28"/>
          <w:shd w:val="clear" w:color="auto" w:fill="FFFFFF"/>
          <w:lang w:val="uk-UA"/>
        </w:rPr>
        <w:t>Протягом багатьох років літній вік був певною перешкодою для медикаментозного лікування ГХ через побоювання потенційно поганої переносимісті і навіть негативного  впливу  зниження АТ у літніх людей за наявності часто існуючих порушень механізмів, що підтримують гомеостаз і життєво важливу перфузію органів.</w:t>
      </w:r>
      <w:r w:rsidRPr="00DB67BF">
        <w:rPr>
          <w:sz w:val="28"/>
          <w:szCs w:val="28"/>
          <w:lang w:val="uk-UA"/>
        </w:rPr>
        <w:t xml:space="preserve"> </w:t>
      </w:r>
      <w:r w:rsidRPr="00DB67BF">
        <w:rPr>
          <w:sz w:val="28"/>
          <w:szCs w:val="28"/>
          <w:shd w:val="clear" w:color="auto" w:fill="FFFFFF"/>
          <w:lang w:val="uk-UA"/>
        </w:rPr>
        <w:t xml:space="preserve">На сьогоднішній день існують РКД, які чітко показали, що у людей похилого  віку (65-80 років) антигіпертензивна терапія значно знижує серцево-судинну захворюваність, а також смертність від кардіоваскулярних подій і смертність від усіх причин [26,265,348]. Так,  в дослідженні SYST-EUR (Systolic Hypertension in Europe Study) [348], в якому приймали участь 2902 пацієнти віком 60 років і старше з ГХ, було продемонстровано, що активна антигіпертензивна терапія, порівняно з плацебо, обумовлювала зниження частоти інсульту на 42%, нефатального інсульту - на 44%, а також зниження захворюваності деменцією на 50% за 2 роки в групі активного лікування. </w:t>
      </w:r>
    </w:p>
    <w:p w:rsidR="00E3259F" w:rsidRPr="00DB67BF" w:rsidRDefault="00E3259F" w:rsidP="00DB67BF">
      <w:pPr>
        <w:spacing w:line="360" w:lineRule="auto"/>
        <w:ind w:firstLine="709"/>
        <w:jc w:val="both"/>
        <w:rPr>
          <w:rStyle w:val="afb"/>
          <w:i w:val="0"/>
          <w:lang w:val="uk-UA"/>
        </w:rPr>
      </w:pPr>
      <w:r w:rsidRPr="00DB67BF">
        <w:rPr>
          <w:sz w:val="28"/>
          <w:szCs w:val="28"/>
          <w:shd w:val="clear" w:color="auto" w:fill="FFFFFF"/>
          <w:lang w:val="uk-UA"/>
        </w:rPr>
        <w:t>Одним з нових концептуальних підходів в Европейських рекомендаціях 2018 року є менш консервативна тактика щодо контролю АТ у осіб похилого віку, враховуючи важливість оцінки біологічного, а не хронологічного віку пацієнта. Виходячи з отриманих результатів досліджень, для переважної більшості пацієнтів з ГХ, у тому числі для людей похилого віку, настанови ESH / ESC (2018) рекомендують починати лікування з комбінованої (2 антигіпертензивних препарата) терапії, яка включає комбінації блокаторів ренін-ангіотензін-альдостеронової системи (РААС)  з  тіазидними або тіазидоподібними діуретиками або антагоністами кальцію [89,97</w:t>
      </w:r>
      <w:r w:rsidRPr="00DB67BF">
        <w:rPr>
          <w:rStyle w:val="afb"/>
          <w:i w:val="0"/>
          <w:sz w:val="28"/>
          <w:szCs w:val="28"/>
          <w:shd w:val="clear" w:color="auto" w:fill="FFFFFF"/>
          <w:lang w:val="uk-UA"/>
        </w:rPr>
        <w:t xml:space="preserve">]. </w:t>
      </w:r>
    </w:p>
    <w:p w:rsidR="00E3259F" w:rsidRPr="00DB67BF" w:rsidRDefault="00E3259F" w:rsidP="00DB67BF">
      <w:pPr>
        <w:spacing w:line="360" w:lineRule="auto"/>
        <w:ind w:firstLine="709"/>
        <w:jc w:val="both"/>
        <w:rPr>
          <w:lang w:val="uk-UA"/>
        </w:rPr>
      </w:pPr>
      <w:r w:rsidRPr="00DB67BF">
        <w:rPr>
          <w:sz w:val="28"/>
          <w:szCs w:val="28"/>
          <w:lang w:val="uk-UA"/>
        </w:rPr>
        <w:t xml:space="preserve">Існуючі докази ефективності контролю АТ щодо зниження ССУ у осіб з ЦД 2 типу демонструють, що зниження АТ, швидше за все,   може мати більшу економічну ефективність у пацієнтів з ЦД 2 типу, ніж у загальній популяції [21,48,222]. Відомо, що контроль АТ при діабеті більш складний та потребує, як правило, комбінованої терапії. Через доведену  більшу ефективність блокаторів РААС на екскрецію білка з сечею вважається доцільним застосовувати комбінації, до складу яких входять інгібітор АПФ або БРА ІІ типу [48,97].  Крім того існуючі рекомендації наголошують на глобальній цілі при контролі  та лікуванні ЦД - </w:t>
      </w:r>
      <w:hyperlink r:id="rId8" w:tgtFrame="_blank" w:history="1">
        <w:r w:rsidRPr="00DB67BF">
          <w:rPr>
            <w:rStyle w:val="a3"/>
            <w:color w:val="auto"/>
            <w:sz w:val="28"/>
            <w:szCs w:val="28"/>
            <w:u w:val="none"/>
            <w:lang w:val="uk-UA"/>
          </w:rPr>
          <w:t>глікемічний контроль</w:t>
        </w:r>
      </w:hyperlink>
      <w:r w:rsidRPr="00DB67BF">
        <w:rPr>
          <w:sz w:val="28"/>
          <w:szCs w:val="28"/>
          <w:lang w:val="uk-UA"/>
        </w:rPr>
        <w:t>, цільові рівні АТ і</w:t>
      </w:r>
      <w:r w:rsidRPr="00DB67BF">
        <w:rPr>
          <w:sz w:val="28"/>
          <w:szCs w:val="28"/>
        </w:rPr>
        <w:t> </w:t>
      </w:r>
      <w:r w:rsidRPr="00DB67BF">
        <w:rPr>
          <w:sz w:val="28"/>
          <w:szCs w:val="28"/>
          <w:lang w:val="uk-UA"/>
        </w:rPr>
        <w:t xml:space="preserve">рівня ХС ЛПНЩ [66,166,189]. Проте за даними  програми </w:t>
      </w:r>
      <w:r w:rsidRPr="00DB67BF">
        <w:rPr>
          <w:sz w:val="28"/>
          <w:szCs w:val="28"/>
          <w:lang w:val="en-US"/>
        </w:rPr>
        <w:t>NHANES</w:t>
      </w:r>
      <w:r w:rsidRPr="00DB67BF">
        <w:rPr>
          <w:sz w:val="28"/>
          <w:szCs w:val="28"/>
          <w:lang w:val="uk-UA"/>
        </w:rPr>
        <w:t xml:space="preserve"> тільки 14%</w:t>
      </w:r>
      <w:r w:rsidRPr="00DB67BF">
        <w:rPr>
          <w:sz w:val="28"/>
          <w:szCs w:val="28"/>
          <w:lang w:val="en-US"/>
        </w:rPr>
        <w:t> </w:t>
      </w:r>
      <w:r w:rsidRPr="00DB67BF">
        <w:rPr>
          <w:sz w:val="28"/>
          <w:szCs w:val="28"/>
          <w:lang w:val="uk-UA"/>
        </w:rPr>
        <w:t>хворих досягають всіх трьох</w:t>
      </w:r>
      <w:r w:rsidRPr="00DB67BF">
        <w:rPr>
          <w:sz w:val="28"/>
          <w:szCs w:val="28"/>
          <w:lang w:val="en-US"/>
        </w:rPr>
        <w:t> </w:t>
      </w:r>
      <w:r w:rsidRPr="00DB67BF">
        <w:rPr>
          <w:sz w:val="28"/>
          <w:szCs w:val="28"/>
          <w:lang w:val="uk-UA"/>
        </w:rPr>
        <w:t>цілей, а  в</w:t>
      </w:r>
      <w:r w:rsidRPr="00DB67BF">
        <w:rPr>
          <w:sz w:val="28"/>
          <w:szCs w:val="28"/>
        </w:rPr>
        <w:t> </w:t>
      </w:r>
      <w:r w:rsidRPr="00DB67BF">
        <w:rPr>
          <w:sz w:val="28"/>
          <w:szCs w:val="28"/>
          <w:lang w:val="uk-UA"/>
        </w:rPr>
        <w:t>Україні, за</w:t>
      </w:r>
      <w:r w:rsidRPr="00DB67BF">
        <w:rPr>
          <w:sz w:val="28"/>
          <w:szCs w:val="28"/>
        </w:rPr>
        <w:t> </w:t>
      </w:r>
      <w:r w:rsidRPr="00DB67BF">
        <w:rPr>
          <w:sz w:val="28"/>
          <w:szCs w:val="28"/>
          <w:lang w:val="uk-UA"/>
        </w:rPr>
        <w:t xml:space="preserve">даними дослідження </w:t>
      </w:r>
      <w:r w:rsidRPr="00DB67BF">
        <w:rPr>
          <w:sz w:val="28"/>
          <w:szCs w:val="28"/>
        </w:rPr>
        <w:t>IDMPS</w:t>
      </w:r>
      <w:r w:rsidRPr="00DB67BF">
        <w:rPr>
          <w:sz w:val="28"/>
          <w:szCs w:val="28"/>
          <w:lang w:val="uk-UA"/>
        </w:rPr>
        <w:t>, ситуація ще гірше – тільки у 6</w:t>
      </w:r>
      <w:r w:rsidRPr="00DB67BF">
        <w:rPr>
          <w:sz w:val="28"/>
          <w:szCs w:val="28"/>
        </w:rPr>
        <w:t> </w:t>
      </w:r>
      <w:r w:rsidRPr="00DB67BF">
        <w:rPr>
          <w:sz w:val="28"/>
          <w:szCs w:val="28"/>
          <w:lang w:val="uk-UA"/>
        </w:rPr>
        <w:t>із 533</w:t>
      </w:r>
      <w:r w:rsidRPr="00DB67BF">
        <w:rPr>
          <w:sz w:val="28"/>
          <w:szCs w:val="28"/>
        </w:rPr>
        <w:t> </w:t>
      </w:r>
      <w:r w:rsidRPr="00DB67BF">
        <w:rPr>
          <w:sz w:val="28"/>
          <w:szCs w:val="28"/>
          <w:lang w:val="uk-UA"/>
        </w:rPr>
        <w:t>учасників вдавалося досягти цільових рівнів всіх 3 показників [141</w:t>
      </w:r>
      <w:r w:rsidRPr="00DB67BF">
        <w:rPr>
          <w:b/>
          <w:sz w:val="28"/>
          <w:szCs w:val="28"/>
          <w:lang w:val="uk-UA"/>
        </w:rPr>
        <w:t>].</w:t>
      </w:r>
      <w:r w:rsidRPr="00DB67BF">
        <w:rPr>
          <w:sz w:val="28"/>
          <w:szCs w:val="28"/>
          <w:lang w:val="uk-UA"/>
        </w:rPr>
        <w:t xml:space="preserve">  </w:t>
      </w:r>
    </w:p>
    <w:p w:rsidR="00E3259F" w:rsidRPr="00DB67BF" w:rsidRDefault="00E3259F" w:rsidP="00DB67BF">
      <w:pPr>
        <w:spacing w:line="360" w:lineRule="auto"/>
        <w:ind w:firstLine="709"/>
        <w:jc w:val="both"/>
        <w:rPr>
          <w:rStyle w:val="authors-list-item"/>
          <w:rFonts w:eastAsiaTheme="majorEastAsia"/>
          <w:lang w:val="uk-UA"/>
        </w:rPr>
      </w:pPr>
      <w:r w:rsidRPr="00DB67BF">
        <w:rPr>
          <w:sz w:val="28"/>
          <w:szCs w:val="28"/>
          <w:lang w:val="uk-UA"/>
        </w:rPr>
        <w:t>Для глікемічного контролю препаратом першої лінії протягом останніх років вважається метформін, що підтверджено даними метааналізу, який включав 75 РКД з загальною кількістю пацієнтів понад 33 тисячі [185</w:t>
      </w:r>
      <w:r w:rsidRPr="00DB67BF">
        <w:rPr>
          <w:rStyle w:val="secondary-date"/>
          <w:rFonts w:eastAsiaTheme="majorEastAsia"/>
          <w:sz w:val="28"/>
          <w:szCs w:val="28"/>
          <w:lang w:val="uk-UA"/>
        </w:rPr>
        <w:t xml:space="preserve">]. Крім глюкозознижуючого ефекту, метформін має нефропротективний [272,334] та </w:t>
      </w:r>
      <w:r w:rsidRPr="00DB67BF">
        <w:rPr>
          <w:rStyle w:val="authors-list-item"/>
          <w:rFonts w:eastAsiaTheme="majorEastAsia"/>
          <w:sz w:val="28"/>
          <w:szCs w:val="28"/>
          <w:lang w:val="uk-UA"/>
        </w:rPr>
        <w:t>нейропротективний [312]</w:t>
      </w:r>
      <w:r w:rsidRPr="00DB67BF">
        <w:rPr>
          <w:rStyle w:val="secondary-date"/>
          <w:rFonts w:eastAsiaTheme="majorEastAsia"/>
          <w:sz w:val="28"/>
          <w:szCs w:val="28"/>
          <w:lang w:val="uk-UA"/>
        </w:rPr>
        <w:t xml:space="preserve"> плейотропний ефект, </w:t>
      </w:r>
      <w:r w:rsidRPr="00DB67BF">
        <w:rPr>
          <w:rStyle w:val="authors-list-item"/>
          <w:rFonts w:eastAsiaTheme="majorEastAsia"/>
          <w:sz w:val="28"/>
          <w:szCs w:val="28"/>
          <w:lang w:val="uk-UA"/>
        </w:rPr>
        <w:t xml:space="preserve">сприяє зниженню інсулінорезистентності [199] та надлишкової маси тіла, що також впливає на відношення до метформіну як </w:t>
      </w:r>
      <w:r w:rsidRPr="00DB67BF">
        <w:rPr>
          <w:rStyle w:val="authors-list-item"/>
          <w:rFonts w:eastAsiaTheme="majorEastAsia"/>
          <w:sz w:val="28"/>
          <w:szCs w:val="28"/>
          <w:shd w:val="clear" w:color="auto" w:fill="FFFFFF"/>
          <w:lang w:val="uk-UA"/>
        </w:rPr>
        <w:t>оптимального засобу першої лінії для лікування пацієнтів із ЦД</w:t>
      </w:r>
      <w:r w:rsidRPr="00DB67BF">
        <w:rPr>
          <w:rStyle w:val="authors-list-item"/>
          <w:rFonts w:eastAsiaTheme="majorEastAsia"/>
          <w:sz w:val="28"/>
          <w:szCs w:val="28"/>
          <w:lang w:val="uk-UA"/>
        </w:rPr>
        <w:t xml:space="preserve">. Проте кардіопротективні властивості метформіну до сих пір залишаються предметом наукової дискусії [421]. </w:t>
      </w:r>
      <w:r w:rsidRPr="00DB67BF">
        <w:rPr>
          <w:rStyle w:val="authors-list-item"/>
          <w:rFonts w:eastAsiaTheme="majorEastAsia"/>
          <w:sz w:val="28"/>
          <w:szCs w:val="28"/>
          <w:shd w:val="clear" w:color="auto" w:fill="FFFFFF"/>
          <w:lang w:val="uk-UA"/>
        </w:rPr>
        <w:t>У</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пацієнтів із</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ЦД 2 типу й</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атеросклеротичними ССЗ в діючих рекомендаціях як частина цукрознижувального режиму</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доступні тільки дві групи для вибору другої лінії терапії</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 xml:space="preserve">— інгібітори </w:t>
      </w:r>
      <w:r w:rsidRPr="00DB67BF">
        <w:rPr>
          <w:rStyle w:val="authors-list-item"/>
          <w:rFonts w:eastAsiaTheme="majorEastAsia"/>
          <w:sz w:val="28"/>
          <w:szCs w:val="28"/>
          <w:shd w:val="clear" w:color="auto" w:fill="FFFFFF"/>
        </w:rPr>
        <w:t>SGLT</w:t>
      </w:r>
      <w:r w:rsidRPr="00DB67BF">
        <w:rPr>
          <w:rStyle w:val="authors-list-item"/>
          <w:rFonts w:eastAsiaTheme="majorEastAsia"/>
          <w:sz w:val="28"/>
          <w:szCs w:val="28"/>
          <w:shd w:val="clear" w:color="auto" w:fill="FFFFFF"/>
          <w:lang w:val="uk-UA"/>
        </w:rPr>
        <w:t>2 та</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аналоги ГПП-1, що продемонстрували в значної кількості клінічних досліджень  переваги у</w:t>
      </w:r>
      <w:r w:rsidRPr="00DB67BF">
        <w:rPr>
          <w:rStyle w:val="authors-list-item"/>
          <w:rFonts w:eastAsiaTheme="majorEastAsia"/>
          <w:sz w:val="28"/>
          <w:szCs w:val="28"/>
          <w:shd w:val="clear" w:color="auto" w:fill="FFFFFF"/>
        </w:rPr>
        <w:t> </w:t>
      </w:r>
      <w:r w:rsidRPr="00DB67BF">
        <w:rPr>
          <w:rStyle w:val="authors-list-item"/>
          <w:rFonts w:eastAsiaTheme="majorEastAsia"/>
          <w:sz w:val="28"/>
          <w:szCs w:val="28"/>
          <w:shd w:val="clear" w:color="auto" w:fill="FFFFFF"/>
          <w:lang w:val="uk-UA"/>
        </w:rPr>
        <w:t xml:space="preserve"> даної категорії хворих [168,185,190].</w:t>
      </w:r>
    </w:p>
    <w:p w:rsidR="00E3259F" w:rsidRPr="00DB67BF" w:rsidRDefault="00E3259F" w:rsidP="00DB67BF">
      <w:pPr>
        <w:spacing w:line="360" w:lineRule="auto"/>
        <w:ind w:firstLine="709"/>
        <w:jc w:val="both"/>
        <w:rPr>
          <w:sz w:val="28"/>
          <w:szCs w:val="28"/>
          <w:lang w:val="uk-UA"/>
        </w:rPr>
      </w:pPr>
      <w:r w:rsidRPr="00DB67BF">
        <w:rPr>
          <w:sz w:val="28"/>
          <w:szCs w:val="28"/>
          <w:lang w:val="uk-UA"/>
        </w:rPr>
        <w:t>У пацієнтів з ГХ, особливо при наявності супутнього ЦД, часто має місце атерогенна дисліпідемія[347]. Ефективність ліпідознижуючої терапії в пацієнтів з ГХ з метою первинної та вторинної профілактики доведена в низці багатоцентрових досліджень [</w:t>
      </w:r>
      <w:bookmarkStart w:id="8" w:name="_Hlk43488126"/>
      <w:r w:rsidRPr="00DB67BF">
        <w:rPr>
          <w:sz w:val="28"/>
          <w:szCs w:val="28"/>
          <w:lang w:val="uk-UA"/>
        </w:rPr>
        <w:t>30,357,3</w:t>
      </w:r>
      <w:bookmarkEnd w:id="8"/>
      <w:r w:rsidRPr="00DB67BF">
        <w:rPr>
          <w:sz w:val="28"/>
          <w:szCs w:val="28"/>
          <w:lang w:val="uk-UA"/>
        </w:rPr>
        <w:t>94]. Актуальність корекції дисліпідемії у хворих з ГХ зумовлена ​​ще й тим, що вираженість дії антигіпертензивних препаратів залежить від рівня холестерину в плазмі крові. Проспективні дослідження довели покращення контролю АТ при статинотерапї на тлі загально прийнятої антигіпетензивної терапії [</w:t>
      </w:r>
      <w:r w:rsidRPr="00DB67BF">
        <w:rPr>
          <w:sz w:val="28"/>
          <w:szCs w:val="28"/>
        </w:rPr>
        <w:t>3</w:t>
      </w:r>
      <w:r w:rsidRPr="00DB67BF">
        <w:rPr>
          <w:sz w:val="28"/>
          <w:szCs w:val="28"/>
          <w:lang w:val="uk-UA"/>
        </w:rPr>
        <w:t>57]. Застосування статинів як найбільш ефективних засобів для зниження рівня ЛПНЩ і попередження ССУ у пацієнтів з ГХ обґрунтовано рекомендаціями Європейського товариства з вивчення АГ та Європейського кардіологічного товариства (ESH / ESC, 2013,2018) [275,397]. Разом з тим сучасні критерії призначення статинів ґрунтуються вже не на актуальних рівнях ліпідемії, а на оцінці індивідуального серцево-судинного ризику пацієнта. Уніфікований клінічний протокол медичної допомоги пацієнтам з АГ, затверджений Наказом МОЗ України від 24.05.2012 р № 284, також містить чіткі вказівки щодо обов'язкового призначення статинів особам з ГХ високого та дуже високого ризику при відсутності протипоказань [114]. Призначення статинів при ЦД 2 типу є одним з основоположних принципів сучасної антидіабетичної терапії. Незважаючи на те, що в останні роки з`явилось чимало робіт присвячених погіршенню перебігу [170], або появі нових випадків ЦД 2 типу на тлі статинотерапії особливо в літніх осіб [310,368], зниження у хворих на ЦД 2 типу ССУ та смертності при застосуванні статинів для первинної та вторинної профілактики багаторазово доведено, що відображено в рекомендаціях Американської діабетичної асоціації (American Diabetes Association, ADA) і Європейської асоціації дослідження діабету (European Association for the Study of Diabetes, EASD) [189,359].</w:t>
      </w:r>
    </w:p>
    <w:p w:rsidR="00E3259F" w:rsidRPr="00DB67BF" w:rsidRDefault="00E3259F" w:rsidP="00DB67BF">
      <w:pPr>
        <w:spacing w:line="360" w:lineRule="auto"/>
        <w:ind w:firstLine="709"/>
        <w:jc w:val="both"/>
        <w:rPr>
          <w:sz w:val="28"/>
          <w:szCs w:val="28"/>
          <w:shd w:val="clear" w:color="auto" w:fill="FFFFFF"/>
          <w:lang w:val="uk-UA"/>
        </w:rPr>
      </w:pPr>
      <w:r w:rsidRPr="00DB67BF">
        <w:rPr>
          <w:sz w:val="28"/>
          <w:szCs w:val="28"/>
          <w:shd w:val="clear" w:color="auto" w:fill="FFFFFF"/>
          <w:lang w:val="uk-UA"/>
        </w:rPr>
        <w:t>Однак у клінічній практиці ми нерідко стикаємося з актуальною проблемою, що полягає в складності формування в пацієнтів із хронічними захворюваннями стійкої прихильності до прийому препаратів у зв'язку з необхідністю їх тривалого застосування</w:t>
      </w:r>
      <w:r w:rsidRPr="00DB67BF">
        <w:rPr>
          <w:sz w:val="28"/>
          <w:szCs w:val="28"/>
          <w:lang w:val="uk-UA"/>
        </w:rPr>
        <w:t xml:space="preserve">. </w:t>
      </w:r>
      <w:r w:rsidRPr="00DB67BF">
        <w:rPr>
          <w:sz w:val="28"/>
          <w:szCs w:val="28"/>
          <w:shd w:val="clear" w:color="auto" w:fill="FFFFFF"/>
          <w:lang w:val="uk-UA"/>
        </w:rPr>
        <w:t>Особливо гостро ця проблема стоїть у пацієнтів з коморбідною патологією через вимушену поліпрагмазію, особливо у випадках відсутності явних симптомів захворювань, гарного самопочуття, недостатніх знань пацієнта про своє захворювання. Не останнє значення має і низький соціально-економічний статус пацієнта. За даними літератури, прихильність до терапії статинами залишається недостатньо високою [</w:t>
      </w:r>
      <w:r w:rsidRPr="00DB67BF">
        <w:rPr>
          <w:sz w:val="28"/>
          <w:szCs w:val="28"/>
        </w:rPr>
        <w:t>3</w:t>
      </w:r>
      <w:r w:rsidRPr="00DB67BF">
        <w:rPr>
          <w:sz w:val="28"/>
          <w:szCs w:val="28"/>
          <w:lang w:val="uk-UA"/>
        </w:rPr>
        <w:t>84</w:t>
      </w:r>
      <w:r w:rsidRPr="00DB67BF">
        <w:rPr>
          <w:sz w:val="28"/>
          <w:szCs w:val="28"/>
        </w:rPr>
        <w:t>]</w:t>
      </w:r>
      <w:r w:rsidRPr="00DB67BF">
        <w:rPr>
          <w:sz w:val="28"/>
          <w:szCs w:val="28"/>
          <w:shd w:val="clear" w:color="auto" w:fill="FFFFFF"/>
          <w:lang w:val="uk-UA"/>
        </w:rPr>
        <w:t xml:space="preserve">. </w:t>
      </w:r>
    </w:p>
    <w:p w:rsidR="00E3259F" w:rsidRPr="00DB67BF" w:rsidRDefault="00E3259F" w:rsidP="00DB67BF">
      <w:pPr>
        <w:spacing w:line="360" w:lineRule="auto"/>
        <w:ind w:firstLine="709"/>
        <w:jc w:val="both"/>
        <w:rPr>
          <w:sz w:val="28"/>
          <w:szCs w:val="28"/>
          <w:lang w:val="uk-UA"/>
        </w:rPr>
      </w:pPr>
      <w:r w:rsidRPr="00DB67BF">
        <w:rPr>
          <w:rStyle w:val="tlid-translation"/>
          <w:sz w:val="28"/>
          <w:szCs w:val="28"/>
          <w:lang w:val="uk-UA"/>
        </w:rPr>
        <w:t>Оскільки вважається, що судинний вік можна розцінювати як аналог біологічного віку, існує думка, що його зниження очікувано поліпшить функції інших систем, що призведе до зменшення віку всього організму. Таким чином, судинний вік може бути ідеальною мішенню для будь-яких антиейджингових втручань. Крім того, зниження судинного віку може мати подвійну вигоду: з одного боку,  зниження судинного віку та віку організму в цілому, а з іншого боку,  зниження ССУ. На цей</w:t>
      </w:r>
      <w:r w:rsidRPr="00DB67BF">
        <w:rPr>
          <w:sz w:val="28"/>
          <w:szCs w:val="28"/>
          <w:shd w:val="clear" w:color="auto" w:fill="FFFFFF"/>
          <w:lang w:val="uk-UA"/>
        </w:rPr>
        <w:t xml:space="preserve"> час описано багато плейотропних ефектів статинів (протизапальний, ендотелійпротекторний, антиоксидантний, антиапоптичний та інш.) [</w:t>
      </w:r>
      <w:r w:rsidRPr="00DB67BF">
        <w:rPr>
          <w:rStyle w:val="element-citation"/>
          <w:sz w:val="28"/>
          <w:szCs w:val="28"/>
          <w:lang w:val="uk-UA"/>
        </w:rPr>
        <w:t>243,282</w:t>
      </w:r>
      <w:r w:rsidRPr="00DB67BF">
        <w:rPr>
          <w:sz w:val="28"/>
          <w:szCs w:val="28"/>
          <w:shd w:val="clear" w:color="auto" w:fill="FFFFFF"/>
          <w:lang w:val="uk-UA"/>
        </w:rPr>
        <w:t xml:space="preserve">],  </w:t>
      </w:r>
      <w:r w:rsidRPr="00DB67BF">
        <w:rPr>
          <w:rStyle w:val="tlid-translation"/>
          <w:sz w:val="28"/>
          <w:szCs w:val="28"/>
          <w:lang w:val="uk-UA"/>
        </w:rPr>
        <w:t>що лягло в основу припущення</w:t>
      </w:r>
      <w:r w:rsidRPr="00DB67BF">
        <w:rPr>
          <w:sz w:val="28"/>
          <w:szCs w:val="28"/>
          <w:shd w:val="clear" w:color="auto" w:fill="FFFFFF"/>
          <w:lang w:val="uk-UA"/>
        </w:rPr>
        <w:t xml:space="preserve"> щодо антиейджингової дії статинів, яка дискутується в останні роки [</w:t>
      </w:r>
      <w:r w:rsidRPr="00DB67BF">
        <w:rPr>
          <w:sz w:val="28"/>
          <w:szCs w:val="28"/>
          <w:lang w:val="uk-UA"/>
        </w:rPr>
        <w:t>244,</w:t>
      </w:r>
      <w:r w:rsidRPr="00DB67BF">
        <w:rPr>
          <w:sz w:val="28"/>
          <w:szCs w:val="28"/>
        </w:rPr>
        <w:t>2</w:t>
      </w:r>
      <w:r w:rsidRPr="00DB67BF">
        <w:rPr>
          <w:sz w:val="28"/>
          <w:szCs w:val="28"/>
          <w:lang w:val="uk-UA"/>
        </w:rPr>
        <w:t>6</w:t>
      </w:r>
      <w:r w:rsidRPr="00DB67BF">
        <w:rPr>
          <w:sz w:val="28"/>
          <w:szCs w:val="28"/>
        </w:rPr>
        <w:t>5</w:t>
      </w:r>
      <w:r w:rsidRPr="00DB67BF">
        <w:rPr>
          <w:sz w:val="28"/>
          <w:szCs w:val="28"/>
          <w:shd w:val="clear" w:color="auto" w:fill="FFFFFF"/>
          <w:lang w:val="uk-UA"/>
        </w:rPr>
        <w:t xml:space="preserve">].  Більш того,  вважається, що </w:t>
      </w:r>
      <w:r w:rsidRPr="00DB67BF">
        <w:rPr>
          <w:rStyle w:val="tlid-translation"/>
          <w:sz w:val="28"/>
          <w:szCs w:val="28"/>
          <w:lang w:val="uk-UA"/>
        </w:rPr>
        <w:t>плейотропні ефекти не є суворо дозозалежні. Наприклад, показано, що плейотропні ефекти розувастатину  більш виражені при низьких дозах, ніж при високих. На моделі, проведеній на мишах, розувастатин у низьких дозах значно збільшував щільність капілярів та прискорював кровообіг хірургічно спричиненої ішемії кінцівок, що супроводжувалося збільшенням циркулюючих ендотеліальних клітин-попередників [</w:t>
      </w:r>
      <w:r w:rsidRPr="00DB67BF">
        <w:rPr>
          <w:rStyle w:val="element-citation"/>
          <w:rFonts w:eastAsiaTheme="majorEastAsia"/>
          <w:sz w:val="28"/>
          <w:szCs w:val="28"/>
          <w:lang w:val="uk-UA"/>
        </w:rPr>
        <w:t>419]</w:t>
      </w:r>
      <w:r w:rsidRPr="00DB67BF">
        <w:rPr>
          <w:rStyle w:val="tlid-translation"/>
          <w:sz w:val="28"/>
          <w:szCs w:val="28"/>
          <w:lang w:val="uk-UA"/>
        </w:rPr>
        <w:t>. Ці ефекти не спостерігалися при використанні розувастатину у високих дозах.</w:t>
      </w:r>
      <w:r w:rsidRPr="00DB67BF">
        <w:rPr>
          <w:sz w:val="28"/>
          <w:szCs w:val="28"/>
          <w:shd w:val="clear" w:color="auto" w:fill="FFFFFF"/>
          <w:lang w:val="uk-UA"/>
        </w:rPr>
        <w:t xml:space="preserve">  Крім визначених плейотропних ефектів в останні роки активно досліджується здатність статинів покращувати функціональну активність клітин, пригнічувати процес вкорочення теломер, таким чином затримувати процес старіння [</w:t>
      </w:r>
      <w:r w:rsidRPr="00DB67BF">
        <w:rPr>
          <w:sz w:val="28"/>
          <w:szCs w:val="28"/>
        </w:rPr>
        <w:t>1</w:t>
      </w:r>
      <w:r w:rsidRPr="00DB67BF">
        <w:rPr>
          <w:sz w:val="28"/>
          <w:szCs w:val="28"/>
          <w:lang w:val="uk-UA"/>
        </w:rPr>
        <w:t>49</w:t>
      </w:r>
      <w:r w:rsidRPr="00DB67BF">
        <w:rPr>
          <w:sz w:val="28"/>
          <w:szCs w:val="28"/>
        </w:rPr>
        <w:t>]</w:t>
      </w:r>
      <w:r w:rsidRPr="00DB67BF">
        <w:rPr>
          <w:sz w:val="28"/>
          <w:szCs w:val="28"/>
          <w:lang w:val="uk-UA"/>
        </w:rPr>
        <w:t xml:space="preserve">. </w:t>
      </w:r>
      <w:r w:rsidRPr="00DB67BF">
        <w:rPr>
          <w:rStyle w:val="tlid-translation"/>
          <w:sz w:val="28"/>
          <w:szCs w:val="28"/>
          <w:lang w:val="uk-UA"/>
        </w:rPr>
        <w:t xml:space="preserve">У дослідженні West of Scotland Coronary Prevention Trial, показано, що терапія статинами може знизити ризик  розвитку ІХС у пацієнтів з короткими теломерами </w:t>
      </w:r>
      <w:r w:rsidRPr="00DB67BF">
        <w:rPr>
          <w:sz w:val="28"/>
          <w:szCs w:val="28"/>
          <w:lang w:val="uk-UA"/>
        </w:rPr>
        <w:t>[164].  Проте вплив статинів на процеси судинного старіння ще потребує уточнення, оскільки не можна ігнорувати появу даних, щодо можливого погіршення ОС, функціонального стану ендотелію на тлі лікуванням статинами [412], що, без сумніву, не може не вплинути на загальну оцінку статинів як ліків з антиейджинговими властивостями.</w:t>
      </w:r>
    </w:p>
    <w:p w:rsidR="00E3259F" w:rsidRPr="00DB67BF" w:rsidRDefault="00E3259F" w:rsidP="00DB67BF">
      <w:pPr>
        <w:spacing w:line="360" w:lineRule="auto"/>
        <w:ind w:firstLine="709"/>
        <w:jc w:val="both"/>
        <w:rPr>
          <w:sz w:val="28"/>
          <w:szCs w:val="28"/>
          <w:lang w:val="uk-UA"/>
        </w:rPr>
      </w:pPr>
      <w:r w:rsidRPr="00DB67BF">
        <w:rPr>
          <w:sz w:val="28"/>
          <w:szCs w:val="28"/>
          <w:lang w:val="uk-UA"/>
        </w:rPr>
        <w:t xml:space="preserve">Показано, що довготривало нелікований СГТ у пацієнтів з рівнем ТТГ  в діапазоні 7-10 мкМО/мл асоціюється  </w:t>
      </w:r>
      <w:r w:rsidRPr="00DB67BF">
        <w:rPr>
          <w:rStyle w:val="tlid-translation"/>
          <w:sz w:val="28"/>
          <w:szCs w:val="28"/>
          <w:lang w:val="uk-UA"/>
        </w:rPr>
        <w:t>з більш високим ризиком розвитку ІХС навіть в осіб із низьким серцево-судинним ризиком [</w:t>
      </w:r>
      <w:r w:rsidRPr="00DB67BF">
        <w:rPr>
          <w:sz w:val="28"/>
          <w:szCs w:val="28"/>
          <w:lang w:val="uk-UA"/>
        </w:rPr>
        <w:t>338]. Вплив замісної терапії левотироксином на фактори КВР при СГТ вивчались в багатьох дослідженнях. Так</w:t>
      </w:r>
      <w:r w:rsidRPr="00DB67BF">
        <w:rPr>
          <w:rStyle w:val="10"/>
          <w:rFonts w:eastAsiaTheme="majorEastAsia"/>
          <w:sz w:val="28"/>
          <w:szCs w:val="28"/>
          <w:lang w:val="uk-UA"/>
        </w:rPr>
        <w:t xml:space="preserve"> </w:t>
      </w:r>
      <w:r w:rsidRPr="00DB67BF">
        <w:rPr>
          <w:rStyle w:val="10"/>
          <w:rFonts w:eastAsiaTheme="majorEastAsia"/>
          <w:b w:val="0"/>
          <w:sz w:val="28"/>
          <w:szCs w:val="28"/>
          <w:lang w:val="uk-UA"/>
        </w:rPr>
        <w:t>існує певна кількість досліджень, присвячених</w:t>
      </w:r>
      <w:r w:rsidRPr="00DB67BF">
        <w:rPr>
          <w:rStyle w:val="tlid-translation"/>
          <w:sz w:val="28"/>
          <w:szCs w:val="28"/>
          <w:lang w:val="uk-UA"/>
        </w:rPr>
        <w:t xml:space="preserve"> впливу терапії левотироксином на ліпідний профіль у пацієнтів із СГТ [19,187,326</w:t>
      </w:r>
      <w:r w:rsidRPr="00DB67BF">
        <w:rPr>
          <w:sz w:val="28"/>
          <w:szCs w:val="28"/>
          <w:lang w:val="uk-UA"/>
        </w:rPr>
        <w:t>], але е</w:t>
      </w:r>
      <w:r w:rsidRPr="00DB67BF">
        <w:rPr>
          <w:rStyle w:val="tlid-translation"/>
          <w:sz w:val="28"/>
          <w:szCs w:val="28"/>
          <w:lang w:val="uk-UA"/>
        </w:rPr>
        <w:t>фект використання левотироксину для зниження рівня ліпідів у сироватці крові у пацієнтів при субклінічній формі гіпотиреозу визнається не всіма дослідниками [358</w:t>
      </w:r>
      <w:r w:rsidRPr="00DB67BF">
        <w:rPr>
          <w:sz w:val="28"/>
          <w:szCs w:val="28"/>
          <w:lang w:val="uk-UA"/>
        </w:rPr>
        <w:t>]</w:t>
      </w:r>
      <w:r w:rsidRPr="00DB67BF">
        <w:rPr>
          <w:rStyle w:val="tlid-translation"/>
          <w:sz w:val="28"/>
          <w:szCs w:val="28"/>
          <w:lang w:val="uk-UA"/>
        </w:rPr>
        <w:t>. Так,деякі клінічні випробування показали, що немає чітких доказів того, що терапія левотироксином СГТ з рівнем ТТГ &lt;10 мМО/л може покращити стан ліпідів та інші серцево-судинні фактори ризику [181</w:t>
      </w:r>
      <w:r w:rsidRPr="00DB67BF">
        <w:rPr>
          <w:sz w:val="28"/>
          <w:szCs w:val="28"/>
          <w:lang w:val="uk-UA"/>
        </w:rPr>
        <w:t xml:space="preserve">]. </w:t>
      </w:r>
      <w:r w:rsidRPr="00DB67BF">
        <w:rPr>
          <w:rStyle w:val="tlid-translation"/>
          <w:sz w:val="28"/>
          <w:szCs w:val="28"/>
          <w:lang w:val="uk-UA"/>
        </w:rPr>
        <w:t>У доповіді робочої групи Сполучених Штатів щодо профілактики (U.S. Preventive Services Task Force - USPSTF) вказувалося, що із семи оцінюваних досліджень, присвячених впливу лікування СГТ на значення ліпідів, у шести замісна терапія не приводила до поліпшення показників ліпідного обміну [341].</w:t>
      </w:r>
      <w:r w:rsidRPr="00DB67BF">
        <w:rPr>
          <w:sz w:val="28"/>
          <w:szCs w:val="28"/>
          <w:lang w:val="uk-UA"/>
        </w:rPr>
        <w:t xml:space="preserve"> Проте вважається, що додавання замісної терапії до статинотерапії  може сприяти посиленню гіполіпідемічної терапії та розвитку більш стійкого ефекту лікування дисліпідемії при гіпотиреозі [358]. На цей час бракує даних щодо впливу комбінованої терапії статинами та левотироксином на рівень дисліпідемії при СГТ наразі недостатнього ефекта монотерапії статинами.</w:t>
      </w:r>
    </w:p>
    <w:p w:rsidR="00E3259F" w:rsidRPr="00DB67BF" w:rsidRDefault="00E3259F" w:rsidP="00DB67BF">
      <w:pPr>
        <w:pStyle w:val="1"/>
        <w:spacing w:before="0" w:beforeAutospacing="0" w:after="0" w:afterAutospacing="0" w:line="360" w:lineRule="auto"/>
        <w:ind w:firstLine="709"/>
        <w:jc w:val="both"/>
        <w:rPr>
          <w:sz w:val="28"/>
          <w:szCs w:val="28"/>
          <w:lang w:val="uk-UA"/>
        </w:rPr>
      </w:pPr>
      <w:r w:rsidRPr="00DB67BF">
        <w:rPr>
          <w:rStyle w:val="tlid-translation"/>
          <w:b w:val="0"/>
          <w:sz w:val="28"/>
          <w:szCs w:val="28"/>
          <w:lang w:val="uk-UA"/>
        </w:rPr>
        <w:t>У метааналізі, який включав 29 досліджень (10 рандомізованих контрольних досліджень і 19 проспективних досліджень) вивчено вплив лікування тироксином на рівень АТ у пацієнтів з СГТ, і зроблено висновок, що замісна терапія LT-4 при СГТ сприяє значному зниженню АТ, що може забезпечувати сприятливий ефект на КВР у цих пацієнтів [231]. З іншого боку, результати великого подвійного сліпого рандомізованого плацебо-контрольованого дослідження (TRUST) за участю 737 пацієнтів похилого віку (65 років і старше) зі СГТ не показали переваг від терапії тироксином щодо контролю АТ, хоча зниження АТ не було первинною кінцевою точкою в цьому дослідженні, та вибірка мала вікові обмеження й не може бути узагальнена для всіх вікових груп [361].</w:t>
      </w:r>
    </w:p>
    <w:p w:rsidR="00E3259F" w:rsidRPr="00DB67BF" w:rsidRDefault="00E3259F" w:rsidP="00DB67BF">
      <w:pPr>
        <w:pStyle w:val="1"/>
        <w:spacing w:before="0" w:beforeAutospacing="0" w:after="0" w:afterAutospacing="0" w:line="360" w:lineRule="auto"/>
        <w:ind w:firstLine="709"/>
        <w:jc w:val="both"/>
        <w:rPr>
          <w:rStyle w:val="tlid-translation"/>
          <w:lang w:val="uk-UA"/>
        </w:rPr>
      </w:pPr>
      <w:r w:rsidRPr="00DB67BF">
        <w:rPr>
          <w:b w:val="0"/>
          <w:sz w:val="28"/>
          <w:szCs w:val="28"/>
          <w:lang w:val="uk-UA"/>
        </w:rPr>
        <w:t>У метааналізі, який був проведений вченими зі США [148</w:t>
      </w:r>
      <w:r w:rsidRPr="00DB67BF">
        <w:rPr>
          <w:rStyle w:val="doi"/>
          <w:b w:val="0"/>
          <w:sz w:val="28"/>
          <w:szCs w:val="28"/>
          <w:lang w:val="uk-UA"/>
        </w:rPr>
        <w:t>],</w:t>
      </w:r>
      <w:r w:rsidRPr="00DB67BF">
        <w:rPr>
          <w:b w:val="0"/>
          <w:sz w:val="28"/>
          <w:szCs w:val="28"/>
          <w:lang w:val="uk-UA"/>
        </w:rPr>
        <w:t xml:space="preserve">   продемонстровано </w:t>
      </w:r>
      <w:r w:rsidRPr="00DB67BF">
        <w:rPr>
          <w:rStyle w:val="tlid-translation"/>
          <w:b w:val="0"/>
          <w:sz w:val="28"/>
          <w:szCs w:val="28"/>
          <w:lang w:val="uk-UA"/>
        </w:rPr>
        <w:t>значне зменшення ТКІМ та покращення ліпідного профілю</w:t>
      </w:r>
      <w:r w:rsidRPr="00DB67BF">
        <w:rPr>
          <w:b w:val="0"/>
          <w:sz w:val="28"/>
          <w:szCs w:val="28"/>
          <w:lang w:val="uk-UA"/>
        </w:rPr>
        <w:t xml:space="preserve"> в пацієнтів зі СГТ</w:t>
      </w:r>
      <w:r w:rsidRPr="00DB67BF">
        <w:rPr>
          <w:rStyle w:val="tlid-translation"/>
          <w:b w:val="0"/>
          <w:sz w:val="28"/>
          <w:szCs w:val="28"/>
          <w:lang w:val="uk-UA"/>
        </w:rPr>
        <w:t xml:space="preserve">, а також позитивний вплив на деякі модифіковані фактори КВР (АТ) на тлі терапії левотироксином. Автори підкреслюють, що призначення левотироксину мало сприятливий вплив на ТКІМ незалежно від початкового підвищення рівня ТТГ (як при </w:t>
      </w:r>
      <w:r w:rsidRPr="00DB67BF">
        <w:rPr>
          <w:rStyle w:val="tlid-translation"/>
          <w:rFonts w:eastAsiaTheme="majorEastAsia"/>
          <w:b w:val="0"/>
          <w:sz w:val="28"/>
          <w:szCs w:val="28"/>
          <w:lang w:val="uk-UA"/>
        </w:rPr>
        <w:t xml:space="preserve">ТТГ≤ 10,0 мМО/л, так і  при ТТГ&gt;10,0 мМО/л) та </w:t>
      </w:r>
      <w:r w:rsidRPr="00DB67BF">
        <w:rPr>
          <w:rStyle w:val="tlid-translation"/>
          <w:b w:val="0"/>
          <w:sz w:val="28"/>
          <w:szCs w:val="28"/>
          <w:lang w:val="uk-UA"/>
        </w:rPr>
        <w:t>може відіграти значну роль в уповільненні або запобіганні прогресуванню атеросклерозу. Також зазначено, що позитивний вплив замісної терапії був більш значущий при терміні лікування понад 6 місяців порівняно з більш коротким періодом лікування.</w:t>
      </w:r>
    </w:p>
    <w:p w:rsidR="00E3259F" w:rsidRPr="00DB67BF" w:rsidRDefault="00E3259F" w:rsidP="00DB67BF">
      <w:pPr>
        <w:spacing w:line="360" w:lineRule="auto"/>
        <w:ind w:firstLine="709"/>
        <w:jc w:val="both"/>
      </w:pPr>
      <w:r w:rsidRPr="00DB67BF">
        <w:rPr>
          <w:rStyle w:val="tlid-translation"/>
          <w:sz w:val="28"/>
          <w:szCs w:val="28"/>
          <w:lang w:val="uk-UA"/>
        </w:rPr>
        <w:t>Залишається невизначеним питання впливу терапії левотироксином на ризик розвитку ССУ. Існуючи дані суперечливі, відносяться до різних вікових груп та в цілому отримані на ізольованому СГТ, або наявність супутньої патології не бралося до уваги [</w:t>
      </w:r>
      <w:r w:rsidRPr="00DB67BF">
        <w:rPr>
          <w:sz w:val="28"/>
          <w:szCs w:val="28"/>
          <w:lang w:val="uk-UA"/>
        </w:rPr>
        <w:t>140</w:t>
      </w:r>
      <w:r w:rsidRPr="00DB67BF">
        <w:rPr>
          <w:rStyle w:val="doi"/>
          <w:rFonts w:eastAsiaTheme="majorEastAsia"/>
          <w:sz w:val="28"/>
          <w:szCs w:val="28"/>
          <w:lang w:val="uk-UA"/>
        </w:rPr>
        <w:t>,187,315</w:t>
      </w:r>
      <w:r w:rsidRPr="00DB67BF">
        <w:rPr>
          <w:rStyle w:val="doi"/>
          <w:rFonts w:eastAsiaTheme="majorEastAsia"/>
          <w:sz w:val="28"/>
          <w:szCs w:val="28"/>
        </w:rPr>
        <w:t>]</w:t>
      </w:r>
      <w:r w:rsidRPr="00DB67BF">
        <w:rPr>
          <w:rStyle w:val="doi"/>
          <w:rFonts w:eastAsiaTheme="majorEastAsia"/>
          <w:sz w:val="28"/>
          <w:szCs w:val="28"/>
          <w:lang w:val="uk-UA"/>
        </w:rPr>
        <w:t xml:space="preserve">. </w:t>
      </w:r>
      <w:r w:rsidRPr="00DB67BF">
        <w:rPr>
          <w:rStyle w:val="tlid-translation"/>
          <w:sz w:val="28"/>
          <w:szCs w:val="28"/>
          <w:lang w:val="uk-UA"/>
        </w:rPr>
        <w:t>Відомо, що наявність коморбідної патології може погіршувати перебіг захворювань більшою мірою, ніж ізольована форма захворювання, що має значення для розробки актуальних ліквально-профілактичних засобів. Так у рандомізованому подвійному сліпому плацебо-контрольованому дослідженні було продемонстровано більш виражене ушкодження нирок на тлі погіршення ОС у пацієнтів з ЦД 2 типу та діабетичною нефропатією при наявності СГТ [</w:t>
      </w:r>
      <w:r w:rsidRPr="00DB67BF">
        <w:rPr>
          <w:sz w:val="28"/>
          <w:szCs w:val="28"/>
          <w:lang w:val="uk-UA"/>
        </w:rPr>
        <w:t xml:space="preserve">182]. Призначення левотироксину в цьому дослідженні призводило до зниження ОС та зменшення ураження нирок. </w:t>
      </w:r>
    </w:p>
    <w:p w:rsidR="00E3259F" w:rsidRPr="00DB67BF" w:rsidRDefault="00E3259F" w:rsidP="00DB67BF">
      <w:pPr>
        <w:pStyle w:val="1"/>
        <w:spacing w:before="0" w:beforeAutospacing="0" w:after="0" w:afterAutospacing="0" w:line="360" w:lineRule="auto"/>
        <w:ind w:firstLine="709"/>
        <w:jc w:val="both"/>
        <w:rPr>
          <w:b w:val="0"/>
          <w:sz w:val="28"/>
          <w:szCs w:val="28"/>
          <w:lang w:val="uk-UA"/>
        </w:rPr>
      </w:pPr>
      <w:r w:rsidRPr="00DB67BF">
        <w:rPr>
          <w:rStyle w:val="tlid-translation"/>
          <w:b w:val="0"/>
          <w:sz w:val="28"/>
          <w:szCs w:val="28"/>
          <w:lang w:val="uk-UA"/>
        </w:rPr>
        <w:t>Виходячи із існуючих даних, лікування левотироксином СГТ показано молодим особам із рівнем ТТГ&gt;4,0 мкМО/мл [187</w:t>
      </w:r>
      <w:r w:rsidRPr="00DB67BF">
        <w:rPr>
          <w:b w:val="0"/>
          <w:sz w:val="28"/>
          <w:szCs w:val="28"/>
        </w:rPr>
        <w:t>]</w:t>
      </w:r>
      <w:r w:rsidRPr="00DB67BF">
        <w:rPr>
          <w:b w:val="0"/>
          <w:sz w:val="28"/>
          <w:szCs w:val="28"/>
          <w:lang w:val="uk-UA"/>
        </w:rPr>
        <w:t>.</w:t>
      </w:r>
      <w:r w:rsidRPr="00DB67BF">
        <w:rPr>
          <w:rStyle w:val="tlid-translation"/>
          <w:sz w:val="28"/>
          <w:szCs w:val="28"/>
          <w:lang w:val="uk-UA"/>
        </w:rPr>
        <w:t xml:space="preserve"> </w:t>
      </w:r>
      <w:r w:rsidRPr="00DB67BF">
        <w:rPr>
          <w:rStyle w:val="tlid-translation"/>
          <w:b w:val="0"/>
          <w:sz w:val="28"/>
          <w:szCs w:val="28"/>
          <w:lang w:val="uk-UA"/>
        </w:rPr>
        <w:t>В осіб похилого віку лікування повинно бути індивідуалізованим і базуватися на наявності симптомів з урахуванням рівнів ТТГ та розпочинатися при рівнях ТТГ ≥ 10 мкМО/мл  низькими дозами, щоб уникнути несприятливих серцево-судинних ефектів від передозування [184</w:t>
      </w:r>
      <w:r w:rsidRPr="00DB67BF">
        <w:rPr>
          <w:b w:val="0"/>
          <w:sz w:val="28"/>
          <w:szCs w:val="28"/>
          <w:lang w:val="uk-UA"/>
        </w:rPr>
        <w:t>],</w:t>
      </w:r>
      <w:r w:rsidRPr="00DB67BF">
        <w:rPr>
          <w:sz w:val="28"/>
          <w:szCs w:val="28"/>
          <w:lang w:val="uk-UA"/>
        </w:rPr>
        <w:t xml:space="preserve"> </w:t>
      </w:r>
      <w:r w:rsidRPr="00DB67BF">
        <w:rPr>
          <w:b w:val="0"/>
          <w:sz w:val="28"/>
          <w:szCs w:val="28"/>
          <w:lang w:val="uk-UA"/>
        </w:rPr>
        <w:t>через те, що люди похилого та старечого віку більш чутливі до впливу тиреоїдних гормонів, ніж молоді особи, а замісна гормональна терапія L-тироксином може спровокувати ішемію міокарда, ускладнюватися шлуночковими екстрасистолами.</w:t>
      </w:r>
      <w:r w:rsidRPr="00DB67BF">
        <w:rPr>
          <w:rStyle w:val="tlid-translation"/>
          <w:b w:val="0"/>
          <w:sz w:val="28"/>
          <w:szCs w:val="28"/>
          <w:lang w:val="uk-UA"/>
        </w:rPr>
        <w:t xml:space="preserve"> В існуючих протоколах немає чітких рекомендацій щодо ведення пацієнтів середнього віку з рівнями ТТГ менше 10,0 мкМО/мл, зокрема при наявності високого КВР або супутніми ССЗ або ЦД 2 типу [247</w:t>
      </w:r>
      <w:r w:rsidRPr="00DB67BF">
        <w:rPr>
          <w:rStyle w:val="doi"/>
          <w:rFonts w:eastAsiaTheme="majorEastAsia"/>
          <w:b w:val="0"/>
          <w:sz w:val="28"/>
          <w:szCs w:val="28"/>
          <w:lang w:val="uk-UA"/>
        </w:rPr>
        <w:t>].</w:t>
      </w:r>
    </w:p>
    <w:p w:rsidR="00E3259F" w:rsidRPr="00DB67BF" w:rsidRDefault="00E3259F" w:rsidP="00DB67BF">
      <w:pPr>
        <w:spacing w:line="360" w:lineRule="auto"/>
        <w:ind w:firstLine="709"/>
        <w:jc w:val="both"/>
        <w:rPr>
          <w:sz w:val="28"/>
          <w:szCs w:val="28"/>
          <w:lang w:val="uk-UA"/>
        </w:rPr>
      </w:pPr>
      <w:r w:rsidRPr="00DB67BF">
        <w:rPr>
          <w:sz w:val="28"/>
          <w:szCs w:val="28"/>
          <w:lang w:val="uk-UA" w:eastAsia="en-US"/>
        </w:rPr>
        <w:t>Таким чином, на сьогоднішній день накопичені дані, які свідчать про те, що СГТ може виступати в якості фактора, який впливає на перебіг ГХ у поєднанні зі ЦД 2 типу, але і</w:t>
      </w:r>
      <w:r w:rsidRPr="00DB67BF">
        <w:rPr>
          <w:sz w:val="28"/>
          <w:szCs w:val="28"/>
          <w:lang w:val="uk-UA"/>
        </w:rPr>
        <w:t>снує низка питань, які потребують більш детального вивчення, з метою оцінки прогнозу, розробки нових маркерів ранньої діагностики серцево-судинного ризику, для більш досконалих методів профілактики та призначення більш ефективних схем терапевтичного впливу на фактори КВР. Не визначений рівень ТТГ у діапазоні 4,1-10,0 мкМО/мл, який можна розцінювати як значимий для серцево-судинного ризику при цій коморбідності. З огляду на дуже незначну кількість даних, присвячених впливу СГТ у на таку поєднану патологію, як ГХ та ЦД 2 типу, вивчення та розуміння сумарного ризику розвитку ССУ дозволить розробити профілактичні та вдосконалити терапевтичні підходи для цієї когорти пацієнтів.</w:t>
      </w:r>
    </w:p>
    <w:p w:rsidR="00E3259F" w:rsidRDefault="00E3259F" w:rsidP="00E3259F">
      <w:pPr>
        <w:ind w:right="-143"/>
        <w:rPr>
          <w:rFonts w:asciiTheme="minorHAnsi" w:hAnsiTheme="minorHAnsi"/>
          <w:b/>
          <w:color w:val="000000"/>
          <w:sz w:val="23"/>
          <w:szCs w:val="23"/>
          <w:lang w:val="uk-UA"/>
        </w:rPr>
      </w:pPr>
    </w:p>
    <w:p w:rsidR="00E3259F" w:rsidRDefault="00E3259F" w:rsidP="00E3259F">
      <w:pPr>
        <w:spacing w:after="200" w:line="276" w:lineRule="auto"/>
        <w:rPr>
          <w:rFonts w:asciiTheme="minorHAnsi" w:hAnsiTheme="minorHAnsi"/>
          <w:b/>
          <w:bCs/>
          <w:caps/>
          <w:color w:val="000000"/>
          <w:kern w:val="36"/>
          <w:sz w:val="27"/>
          <w:szCs w:val="27"/>
          <w:lang w:val="uk-UA"/>
        </w:rPr>
      </w:pPr>
      <w:r>
        <w:rPr>
          <w:rFonts w:asciiTheme="minorHAnsi" w:hAnsiTheme="minorHAnsi"/>
          <w:caps/>
          <w:color w:val="000000"/>
          <w:sz w:val="27"/>
          <w:szCs w:val="27"/>
          <w:lang w:val="uk-UA"/>
        </w:rPr>
        <w:br w:type="page"/>
      </w:r>
    </w:p>
    <w:p w:rsidR="00E3259F" w:rsidRDefault="00E3259F" w:rsidP="00E3259F">
      <w:pPr>
        <w:pStyle w:val="1"/>
        <w:spacing w:before="0" w:beforeAutospacing="0" w:after="0" w:afterAutospacing="0" w:line="345" w:lineRule="atLeast"/>
        <w:jc w:val="center"/>
        <w:textAlignment w:val="top"/>
        <w:rPr>
          <w:b w:val="0"/>
          <w:caps/>
          <w:sz w:val="28"/>
          <w:szCs w:val="28"/>
          <w:lang w:val="uk-UA"/>
        </w:rPr>
      </w:pPr>
      <w:r>
        <w:rPr>
          <w:b w:val="0"/>
          <w:caps/>
          <w:sz w:val="28"/>
          <w:szCs w:val="28"/>
          <w:lang w:val="uk-UA"/>
        </w:rPr>
        <w:t xml:space="preserve">рОЗДІЛ 2. </w:t>
      </w:r>
    </w:p>
    <w:p w:rsidR="00E3259F" w:rsidRDefault="00E3259F" w:rsidP="00E3259F">
      <w:pPr>
        <w:pStyle w:val="1"/>
        <w:spacing w:before="0" w:beforeAutospacing="0" w:after="0" w:afterAutospacing="0" w:line="345" w:lineRule="atLeast"/>
        <w:jc w:val="center"/>
        <w:textAlignment w:val="top"/>
        <w:rPr>
          <w:b w:val="0"/>
          <w:caps/>
          <w:sz w:val="28"/>
          <w:szCs w:val="28"/>
          <w:lang w:val="uk-UA"/>
        </w:rPr>
      </w:pPr>
      <w:r>
        <w:rPr>
          <w:b w:val="0"/>
          <w:caps/>
          <w:sz w:val="28"/>
          <w:szCs w:val="28"/>
          <w:lang w:val="uk-UA"/>
        </w:rPr>
        <w:t>КЛІНІЧНА ХАРАКТЕРИСТИКА ТА  ТА МЕТОДИ ДОСЛІДЖЕННЯ</w:t>
      </w:r>
    </w:p>
    <w:p w:rsidR="00E3259F" w:rsidRDefault="00E3259F" w:rsidP="00E3259F">
      <w:pPr>
        <w:spacing w:line="360" w:lineRule="auto"/>
        <w:ind w:firstLine="709"/>
        <w:jc w:val="both"/>
        <w:rPr>
          <w:sz w:val="28"/>
          <w:szCs w:val="28"/>
          <w:lang w:val="uk-UA"/>
        </w:rPr>
      </w:pPr>
    </w:p>
    <w:p w:rsidR="00E3259F" w:rsidRDefault="00E3259F" w:rsidP="00E3259F">
      <w:pPr>
        <w:spacing w:line="360" w:lineRule="auto"/>
        <w:ind w:firstLine="709"/>
        <w:jc w:val="both"/>
        <w:rPr>
          <w:sz w:val="28"/>
          <w:szCs w:val="28"/>
          <w:lang w:val="uk-UA"/>
        </w:rPr>
      </w:pPr>
      <w:r>
        <w:rPr>
          <w:sz w:val="28"/>
          <w:szCs w:val="28"/>
          <w:lang w:val="uk-UA"/>
        </w:rPr>
        <w:t>2.1 Клінічна характеристика та об’єкт дослідження</w:t>
      </w:r>
    </w:p>
    <w:p w:rsidR="00E3259F" w:rsidRDefault="00E3259F" w:rsidP="001F5FF9">
      <w:pPr>
        <w:spacing w:line="360" w:lineRule="auto"/>
        <w:ind w:firstLine="709"/>
        <w:jc w:val="both"/>
        <w:rPr>
          <w:sz w:val="28"/>
          <w:szCs w:val="28"/>
          <w:lang w:val="uk-UA"/>
        </w:rPr>
      </w:pPr>
    </w:p>
    <w:p w:rsidR="00E3259F" w:rsidRPr="001F5FF9" w:rsidRDefault="00E3259F" w:rsidP="001F5FF9">
      <w:pPr>
        <w:widowControl w:val="0"/>
        <w:spacing w:line="360" w:lineRule="auto"/>
        <w:ind w:firstLine="709"/>
        <w:jc w:val="both"/>
        <w:rPr>
          <w:sz w:val="28"/>
          <w:szCs w:val="28"/>
          <w:lang w:val="uk-UA"/>
        </w:rPr>
      </w:pPr>
      <w:r w:rsidRPr="001F5FF9">
        <w:rPr>
          <w:rFonts w:eastAsia="Calibri"/>
          <w:color w:val="000000"/>
          <w:sz w:val="28"/>
          <w:szCs w:val="28"/>
          <w:lang w:val="uk-UA"/>
        </w:rPr>
        <w:t xml:space="preserve">Дисертаційну роботу виконано на базі поліклінічного відділення ДУ «Національний інститут терапії імені Л.Т. Малої НАМН України». </w:t>
      </w:r>
      <w:r w:rsidRPr="001F5FF9">
        <w:rPr>
          <w:spacing w:val="-4"/>
          <w:sz w:val="28"/>
          <w:szCs w:val="28"/>
          <w:lang w:val="uk-UA"/>
        </w:rPr>
        <w:t>Перед проведенням усіх процедур дослідження, всім пацієнтам була надана інформація щодо мети дослідження, процедур, переваги та ризики, пов'язані з дослідженням і можливі незручності. Усі пацієнти були проінформовані, що участь у цьому дослідженні добровільна, вони можуть відмовитися від участі, або припинити участь у дослідженні в будь-який час, без будь-яких штрафних санкцій або втрати переваг. Усі пацієнти, яких було залучено до дослідження,</w:t>
      </w:r>
      <w:r w:rsidRPr="001F5FF9">
        <w:rPr>
          <w:sz w:val="28"/>
          <w:szCs w:val="28"/>
          <w:lang w:val="uk-UA"/>
        </w:rPr>
        <w:t xml:space="preserve"> підписали Інформовану згоду на участь у дослідницькому проекті. </w:t>
      </w:r>
    </w:p>
    <w:p w:rsidR="00E3259F" w:rsidRPr="001F5FF9" w:rsidRDefault="00E3259F" w:rsidP="001F5FF9">
      <w:pPr>
        <w:spacing w:line="360" w:lineRule="auto"/>
        <w:ind w:firstLine="709"/>
        <w:jc w:val="both"/>
        <w:rPr>
          <w:sz w:val="28"/>
          <w:szCs w:val="28"/>
          <w:lang w:val="uk-UA"/>
        </w:rPr>
      </w:pPr>
      <w:r w:rsidRPr="001F5FF9">
        <w:rPr>
          <w:rFonts w:eastAsia="Calibri"/>
          <w:color w:val="000000"/>
          <w:sz w:val="28"/>
          <w:szCs w:val="28"/>
          <w:lang w:val="uk-UA"/>
        </w:rPr>
        <w:t xml:space="preserve">На проведення дослідження було отримано дозвіл комісії з біоетики </w:t>
      </w:r>
      <w:r w:rsidRPr="001F5FF9">
        <w:rPr>
          <w:sz w:val="28"/>
          <w:szCs w:val="28"/>
          <w:lang w:val="uk-UA"/>
        </w:rPr>
        <w:t xml:space="preserve">Харківського національного медичного університету МОЗ України, яка засвідчила, що дослідження проводилося відповідно до вимог Гельсинської декларації прав людини (1964), Конференції з гармонізації належної клінічної практики (ICH GCP), Конвенції Ради Європи щодо захисту прав і гідності людини у зв'язку з використанням досягнень біології та медицини </w:t>
      </w:r>
      <w:r w:rsidRPr="001F5FF9">
        <w:rPr>
          <w:bCs/>
          <w:sz w:val="28"/>
          <w:szCs w:val="28"/>
          <w:lang w:val="uk-UA"/>
        </w:rPr>
        <w:t>(Конвенція про права людини та біомедицину) (ETS-164)</w:t>
      </w:r>
      <w:r w:rsidRPr="001F5FF9">
        <w:rPr>
          <w:sz w:val="28"/>
          <w:szCs w:val="28"/>
          <w:lang w:val="uk-UA"/>
        </w:rPr>
        <w:t>, включаючи додатковий протокол до Конвенції про біомедичні дослідження від 25.01.2005 р. і законодавством України.</w:t>
      </w:r>
    </w:p>
    <w:p w:rsidR="00E3259F" w:rsidRPr="001F5FF9" w:rsidRDefault="00E3259F" w:rsidP="001F5FF9">
      <w:pPr>
        <w:spacing w:line="360" w:lineRule="auto"/>
        <w:ind w:firstLine="709"/>
        <w:jc w:val="both"/>
        <w:rPr>
          <w:rFonts w:eastAsia="Calibri"/>
          <w:sz w:val="28"/>
          <w:szCs w:val="28"/>
          <w:lang w:val="uk-UA"/>
        </w:rPr>
      </w:pPr>
      <w:r w:rsidRPr="001F5FF9">
        <w:rPr>
          <w:rFonts w:eastAsia="Calibri"/>
          <w:sz w:val="28"/>
          <w:szCs w:val="28"/>
          <w:lang w:val="uk-UA"/>
        </w:rPr>
        <w:t xml:space="preserve">Дослідження включало три етапи (рис.2.1). </w:t>
      </w:r>
    </w:p>
    <w:p w:rsidR="00E3259F" w:rsidRPr="001F5FF9" w:rsidRDefault="00E3259F" w:rsidP="001F5FF9">
      <w:pPr>
        <w:spacing w:line="360" w:lineRule="auto"/>
        <w:ind w:firstLine="709"/>
        <w:jc w:val="both"/>
        <w:rPr>
          <w:rFonts w:eastAsia="Calibri"/>
          <w:sz w:val="28"/>
          <w:szCs w:val="28"/>
          <w:lang w:val="uk-UA"/>
        </w:rPr>
      </w:pPr>
      <w:r w:rsidRPr="001F5FF9">
        <w:rPr>
          <w:rFonts w:eastAsia="Calibri"/>
          <w:sz w:val="28"/>
          <w:szCs w:val="28"/>
          <w:lang w:val="uk-UA"/>
        </w:rPr>
        <w:t>Перший (популяційний</w:t>
      </w:r>
      <w:r w:rsidRPr="001F5FF9">
        <w:rPr>
          <w:rFonts w:eastAsia="Calibri"/>
          <w:sz w:val="28"/>
          <w:szCs w:val="28"/>
          <w:u w:val="single"/>
          <w:lang w:val="uk-UA"/>
        </w:rPr>
        <w:t>)</w:t>
      </w:r>
      <w:r w:rsidRPr="001F5FF9">
        <w:rPr>
          <w:rFonts w:eastAsia="Calibri"/>
          <w:sz w:val="28"/>
          <w:szCs w:val="28"/>
          <w:lang w:val="uk-UA"/>
        </w:rPr>
        <w:t xml:space="preserve"> етап, який включав 500 осіб, чоловіки та жінки віком 44-75 років, які знаходяться на спостереженні або звернулися в поліклініку НІТ НАМНУ, з будь-якого приводу з обов'язковим зазначенням в анамнезі наявності ГХ. Було проаналізовано медичну документацію (амбулаторні та стаціонарні карти пацієнтів) з метою виявлення ЦД 2 типу, СГТ, критеріїв виключення, оцінки наявності факторів ризику для </w:t>
      </w:r>
    </w:p>
    <w:p w:rsidR="00E3259F" w:rsidRPr="001F5FF9" w:rsidRDefault="00E3259F" w:rsidP="001F5FF9">
      <w:pPr>
        <w:spacing w:line="360" w:lineRule="auto"/>
        <w:ind w:firstLine="709"/>
        <w:jc w:val="both"/>
        <w:rPr>
          <w:rFonts w:eastAsia="Calibri"/>
          <w:sz w:val="28"/>
          <w:szCs w:val="28"/>
          <w:lang w:val="uk-UA"/>
        </w:rPr>
      </w:pPr>
      <w:r w:rsidRPr="001F5FF9">
        <w:rPr>
          <w:rFonts w:eastAsia="Calibri"/>
          <w:sz w:val="28"/>
          <w:szCs w:val="28"/>
          <w:lang w:val="uk-UA"/>
        </w:rPr>
        <w:t xml:space="preserve">проведення стратифікації загального серцево-судинного ризику за категоріями низького, середнього, високого та дуже високого ризику </w:t>
      </w:r>
      <w:r w:rsidRPr="001F5FF9">
        <w:rPr>
          <w:sz w:val="28"/>
          <w:szCs w:val="28"/>
          <w:lang w:val="uk-UA"/>
        </w:rPr>
        <w:t>[319].</w:t>
      </w:r>
      <w:r w:rsidRPr="001F5FF9">
        <w:rPr>
          <w:rFonts w:eastAsia="Calibri"/>
          <w:sz w:val="28"/>
          <w:szCs w:val="28"/>
          <w:lang w:val="uk-UA"/>
        </w:rPr>
        <w:t xml:space="preserve"> Таким чином, всі хворі виявилися високого та дуже високого ризику.  На даному етапі було сформовано групу пацієнтів з ізольованою ГХ ІІ стадії (</w:t>
      </w:r>
      <w:r w:rsidRPr="001F5FF9">
        <w:rPr>
          <w:rFonts w:eastAsia="Calibri"/>
          <w:sz w:val="28"/>
          <w:szCs w:val="28"/>
          <w:lang w:val="en-US"/>
        </w:rPr>
        <w:t>n</w:t>
      </w:r>
      <w:r w:rsidRPr="001F5FF9">
        <w:rPr>
          <w:rFonts w:eastAsia="Calibri"/>
          <w:sz w:val="28"/>
          <w:szCs w:val="28"/>
          <w:lang w:val="uk-UA"/>
        </w:rPr>
        <w:t xml:space="preserve">=106) згідно з існуючою класифікацією ГХ </w:t>
      </w:r>
      <w:r w:rsidRPr="001F5FF9">
        <w:rPr>
          <w:sz w:val="28"/>
          <w:szCs w:val="28"/>
          <w:lang w:val="uk-UA"/>
        </w:rPr>
        <w:t>[275</w:t>
      </w:r>
      <w:r w:rsidRPr="001F5FF9">
        <w:rPr>
          <w:sz w:val="28"/>
          <w:szCs w:val="28"/>
        </w:rPr>
        <w:t>]</w:t>
      </w:r>
      <w:r w:rsidRPr="001F5FF9">
        <w:rPr>
          <w:sz w:val="28"/>
          <w:szCs w:val="28"/>
          <w:lang w:val="uk-UA"/>
        </w:rPr>
        <w:t>.</w:t>
      </w:r>
      <w:r w:rsidRPr="001F5FF9">
        <w:rPr>
          <w:rFonts w:eastAsia="Calibri"/>
          <w:sz w:val="28"/>
          <w:szCs w:val="28"/>
          <w:lang w:val="uk-UA"/>
        </w:rPr>
        <w:t xml:space="preserve"> </w:t>
      </w:r>
    </w:p>
    <w:p w:rsidR="00E3259F" w:rsidRPr="001F5FF9" w:rsidRDefault="00E3259F" w:rsidP="001F5FF9">
      <w:pPr>
        <w:tabs>
          <w:tab w:val="num" w:pos="567"/>
        </w:tabs>
        <w:spacing w:line="360" w:lineRule="auto"/>
        <w:ind w:firstLine="709"/>
        <w:jc w:val="both"/>
        <w:rPr>
          <w:rFonts w:eastAsia="Calibri"/>
          <w:sz w:val="28"/>
          <w:szCs w:val="28"/>
          <w:lang w:val="uk-UA"/>
        </w:rPr>
      </w:pPr>
      <w:r w:rsidRPr="001F5FF9">
        <w:rPr>
          <w:rFonts w:eastAsia="Calibri"/>
          <w:sz w:val="28"/>
          <w:szCs w:val="28"/>
          <w:lang w:val="uk-UA"/>
        </w:rPr>
        <w:t>Субклінічні форми дисфункції ЩЗ потребують ранньої діагностики за допомогою анкетування. На цьому етапі пацієнтам, які мали ГХ та ЦД 2 типу (</w:t>
      </w:r>
      <w:r w:rsidRPr="001F5FF9">
        <w:rPr>
          <w:rFonts w:eastAsia="Calibri"/>
          <w:sz w:val="28"/>
          <w:szCs w:val="28"/>
          <w:lang w:val="en-US"/>
        </w:rPr>
        <w:t>n</w:t>
      </w:r>
      <w:r w:rsidRPr="001F5FF9">
        <w:rPr>
          <w:rFonts w:eastAsia="Calibri"/>
          <w:sz w:val="28"/>
          <w:szCs w:val="28"/>
          <w:lang w:val="uk-UA"/>
        </w:rPr>
        <w:t xml:space="preserve">=355), з метою виявлення СГТ, було запропоновано опитування за допомогою опитувальника ризику наявності гіпотиреозу - </w:t>
      </w:r>
      <w:r w:rsidRPr="001F5FF9">
        <w:rPr>
          <w:rFonts w:eastAsia="Calibri"/>
          <w:sz w:val="28"/>
          <w:szCs w:val="28"/>
        </w:rPr>
        <w:t>Hypothyroid</w:t>
      </w:r>
      <w:r w:rsidRPr="001F5FF9">
        <w:rPr>
          <w:rFonts w:eastAsia="Calibri"/>
          <w:sz w:val="28"/>
          <w:szCs w:val="28"/>
          <w:lang w:val="uk-UA"/>
        </w:rPr>
        <w:t xml:space="preserve"> </w:t>
      </w:r>
      <w:r w:rsidRPr="001F5FF9">
        <w:rPr>
          <w:rFonts w:eastAsia="Calibri"/>
          <w:sz w:val="28"/>
          <w:szCs w:val="28"/>
        </w:rPr>
        <w:t>Risk</w:t>
      </w:r>
      <w:r w:rsidRPr="001F5FF9">
        <w:rPr>
          <w:rFonts w:eastAsia="Calibri"/>
          <w:sz w:val="28"/>
          <w:szCs w:val="28"/>
          <w:lang w:val="uk-UA"/>
        </w:rPr>
        <w:t xml:space="preserve"> </w:t>
      </w:r>
      <w:r w:rsidRPr="001F5FF9">
        <w:rPr>
          <w:rFonts w:eastAsia="Calibri"/>
          <w:sz w:val="28"/>
          <w:szCs w:val="28"/>
        </w:rPr>
        <w:t>Questionnaire</w:t>
      </w:r>
      <w:r w:rsidRPr="001F5FF9">
        <w:rPr>
          <w:rFonts w:eastAsia="Calibri"/>
          <w:sz w:val="28"/>
          <w:szCs w:val="28"/>
          <w:lang w:val="uk-UA"/>
        </w:rPr>
        <w:t xml:space="preserve"> (</w:t>
      </w:r>
      <w:r w:rsidRPr="001F5FF9">
        <w:rPr>
          <w:rFonts w:eastAsia="Calibri"/>
          <w:sz w:val="28"/>
          <w:szCs w:val="28"/>
        </w:rPr>
        <w:t>HRQ</w:t>
      </w:r>
      <w:r w:rsidRPr="001F5FF9">
        <w:rPr>
          <w:rFonts w:eastAsia="Calibri"/>
          <w:sz w:val="28"/>
          <w:szCs w:val="28"/>
          <w:lang w:val="uk-UA"/>
        </w:rPr>
        <w:t xml:space="preserve">) (див. </w:t>
      </w:r>
      <w:r w:rsidRPr="001F5FF9">
        <w:rPr>
          <w:rFonts w:eastAsia="Calibri"/>
          <w:sz w:val="28"/>
          <w:szCs w:val="28"/>
        </w:rPr>
        <w:t>Додат</w:t>
      </w:r>
      <w:r w:rsidRPr="001F5FF9">
        <w:rPr>
          <w:rFonts w:eastAsia="Calibri"/>
          <w:sz w:val="28"/>
          <w:szCs w:val="28"/>
          <w:lang w:val="uk-UA"/>
        </w:rPr>
        <w:t>о</w:t>
      </w:r>
      <w:r w:rsidRPr="001F5FF9">
        <w:rPr>
          <w:rFonts w:eastAsia="Calibri"/>
          <w:sz w:val="28"/>
          <w:szCs w:val="28"/>
        </w:rPr>
        <w:t>к</w:t>
      </w:r>
      <w:r w:rsidRPr="001F5FF9">
        <w:rPr>
          <w:rFonts w:eastAsia="Calibri"/>
          <w:sz w:val="28"/>
          <w:szCs w:val="28"/>
          <w:lang w:val="uk-UA"/>
        </w:rPr>
        <w:t xml:space="preserve"> А</w:t>
      </w:r>
      <w:r w:rsidRPr="001F5FF9">
        <w:rPr>
          <w:rFonts w:eastAsia="Calibri"/>
          <w:sz w:val="28"/>
          <w:szCs w:val="28"/>
        </w:rPr>
        <w:t>)</w:t>
      </w:r>
      <w:r w:rsidRPr="001F5FF9">
        <w:rPr>
          <w:rFonts w:eastAsia="Calibri"/>
          <w:sz w:val="28"/>
          <w:szCs w:val="28"/>
          <w:lang w:val="uk-UA"/>
        </w:rPr>
        <w:t xml:space="preserve"> </w:t>
      </w:r>
      <w:r w:rsidRPr="001F5FF9">
        <w:rPr>
          <w:sz w:val="28"/>
          <w:szCs w:val="28"/>
          <w:lang w:val="uk-UA"/>
        </w:rPr>
        <w:t>[237].</w:t>
      </w:r>
      <w:r w:rsidRPr="001F5FF9">
        <w:rPr>
          <w:rFonts w:eastAsia="Calibri"/>
          <w:sz w:val="28"/>
          <w:szCs w:val="28"/>
          <w:lang w:val="uk-UA"/>
        </w:rPr>
        <w:t xml:space="preserve"> Для визначення ризику розвитку СГТ ураховувалися показники, які представлені в 3-х секціях: А - симптоми (у балах), </w:t>
      </w:r>
      <w:r w:rsidRPr="001F5FF9">
        <w:rPr>
          <w:rFonts w:eastAsia="Calibri"/>
          <w:sz w:val="28"/>
          <w:szCs w:val="28"/>
        </w:rPr>
        <w:t>B</w:t>
      </w:r>
      <w:r w:rsidRPr="001F5FF9">
        <w:rPr>
          <w:rFonts w:eastAsia="Calibri"/>
          <w:sz w:val="28"/>
          <w:szCs w:val="28"/>
          <w:lang w:val="uk-UA"/>
        </w:rPr>
        <w:t xml:space="preserve"> - загальні ризики (у балах), С - додаткові ризики (у балах). Оцінка ризику розвитку гіпотиреозу проводилася шляхом  розрахунку сумарного балу на підставі зіставлення ризику за симптомами та загального ризику розвитку гіпотиреозу, що дозволяє визначити сумарний ризик розвитку гіпотиреозу за балами: низький ризик, помірний ризик, високий ризик. Результати анкетування враховувалися при подальшому дослідженні </w:t>
      </w:r>
      <w:r w:rsidRPr="001F5FF9">
        <w:rPr>
          <w:rFonts w:eastAsia="Calibri"/>
          <w:sz w:val="28"/>
          <w:szCs w:val="28"/>
        </w:rPr>
        <w:t xml:space="preserve"> та проведенн</w:t>
      </w:r>
      <w:r w:rsidRPr="001F5FF9">
        <w:rPr>
          <w:rFonts w:eastAsia="Calibri"/>
          <w:sz w:val="28"/>
          <w:szCs w:val="28"/>
          <w:lang w:val="uk-UA"/>
        </w:rPr>
        <w:t>і аналізу отриманих даних</w:t>
      </w:r>
      <w:r w:rsidRPr="001F5FF9">
        <w:rPr>
          <w:rFonts w:eastAsia="Calibri"/>
          <w:sz w:val="28"/>
          <w:szCs w:val="28"/>
        </w:rPr>
        <w:t>.</w:t>
      </w:r>
      <w:r w:rsidRPr="001F5FF9">
        <w:rPr>
          <w:rFonts w:eastAsia="Calibri"/>
          <w:sz w:val="28"/>
          <w:szCs w:val="28"/>
          <w:lang w:val="uk-UA"/>
        </w:rPr>
        <w:t xml:space="preserve"> </w:t>
      </w:r>
    </w:p>
    <w:p w:rsidR="00E3259F" w:rsidRDefault="00E3259F" w:rsidP="001F5FF9">
      <w:pPr>
        <w:widowControl w:val="0"/>
        <w:tabs>
          <w:tab w:val="left" w:pos="1020"/>
        </w:tabs>
        <w:suppressAutoHyphens/>
        <w:spacing w:line="360" w:lineRule="auto"/>
        <w:ind w:firstLine="709"/>
        <w:jc w:val="both"/>
        <w:textAlignment w:val="top"/>
        <w:rPr>
          <w:sz w:val="28"/>
          <w:szCs w:val="28"/>
          <w:lang w:val="uk-UA"/>
        </w:rPr>
      </w:pPr>
      <w:r w:rsidRPr="001F5FF9">
        <w:rPr>
          <w:rFonts w:eastAsia="Calibri"/>
          <w:sz w:val="28"/>
          <w:szCs w:val="28"/>
          <w:lang w:val="uk-UA"/>
        </w:rPr>
        <w:t xml:space="preserve">На другому етапі 355 пацієнтам з веріфікованим діагнозом ГХ та ЦД 2 типу  було проведено дослідження </w:t>
      </w:r>
      <w:r w:rsidRPr="001F5FF9">
        <w:rPr>
          <w:rFonts w:eastAsia="Arial Unicode MS"/>
          <w:color w:val="000000"/>
          <w:kern w:val="2"/>
          <w:sz w:val="28"/>
          <w:szCs w:val="28"/>
          <w:lang w:val="uk-UA" w:eastAsia="en-US"/>
        </w:rPr>
        <w:t xml:space="preserve">тиреоїдного обміну, за результатами якого було виявлено 69 (19.44±2,10%) пацієнтів з гіпотиреозом та 286 пацієнтів без порушення функції ЩЖ. </w:t>
      </w:r>
      <w:r w:rsidRPr="001F5FF9">
        <w:rPr>
          <w:rFonts w:eastAsia="Calibri"/>
          <w:sz w:val="28"/>
          <w:szCs w:val="28"/>
          <w:lang w:val="uk-UA"/>
        </w:rPr>
        <w:t xml:space="preserve">Відсоток виявлення гіпотиреозу в нашому дослідженні порівняний з даними інших дослідників, які виявили серед осіб з коморбідним перебігом ГХ та ЦД 2 типу більший відсоток гіпофункції ЩЗ, зокрема й на субклінічному рівні,  ніж у загальній популяції </w:t>
      </w:r>
      <w:r w:rsidRPr="001F5FF9">
        <w:rPr>
          <w:sz w:val="28"/>
          <w:szCs w:val="28"/>
          <w:lang w:val="uk-UA"/>
        </w:rPr>
        <w:t>[367].</w:t>
      </w:r>
      <w:r>
        <w:rPr>
          <w:sz w:val="28"/>
          <w:szCs w:val="28"/>
          <w:lang w:val="uk-UA"/>
        </w:rPr>
        <w:t xml:space="preserve"> </w:t>
      </w:r>
    </w:p>
    <w:p w:rsidR="00E3259F" w:rsidRDefault="00E3259F" w:rsidP="00E3259F">
      <w:pPr>
        <w:spacing w:after="200" w:line="276" w:lineRule="auto"/>
        <w:rPr>
          <w:rFonts w:eastAsia="Calibri"/>
          <w:sz w:val="28"/>
          <w:szCs w:val="28"/>
          <w:lang w:val="uk-UA"/>
        </w:rPr>
      </w:pPr>
      <w:r>
        <w:rPr>
          <w:rFonts w:eastAsia="Calibri"/>
          <w:sz w:val="28"/>
          <w:szCs w:val="28"/>
          <w:lang w:val="uk-UA"/>
        </w:rPr>
        <w:br w:type="page"/>
      </w:r>
    </w:p>
    <w:p w:rsidR="00E3259F" w:rsidRDefault="00E3259F" w:rsidP="00E3259F">
      <w:pPr>
        <w:widowControl w:val="0"/>
        <w:tabs>
          <w:tab w:val="left" w:pos="1020"/>
        </w:tabs>
        <w:suppressAutoHyphens/>
        <w:spacing w:line="360" w:lineRule="auto"/>
        <w:jc w:val="both"/>
        <w:textAlignment w:val="top"/>
        <w:rPr>
          <w:sz w:val="28"/>
          <w:szCs w:val="28"/>
          <w:lang w:val="uk-UA"/>
        </w:rPr>
      </w:pPr>
      <w:r>
        <w:rPr>
          <w:noProof/>
        </w:rPr>
        <mc:AlternateContent>
          <mc:Choice Requires="wps">
            <w:drawing>
              <wp:anchor distT="0" distB="0" distL="114300" distR="114300" simplePos="0" relativeHeight="251588608" behindDoc="0" locked="0" layoutInCell="1" allowOverlap="1">
                <wp:simplePos x="0" y="0"/>
                <wp:positionH relativeFrom="column">
                  <wp:posOffset>4491990</wp:posOffset>
                </wp:positionH>
                <wp:positionV relativeFrom="paragraph">
                  <wp:posOffset>3931920</wp:posOffset>
                </wp:positionV>
                <wp:extent cx="561975" cy="466725"/>
                <wp:effectExtent l="0" t="0" r="9525" b="9525"/>
                <wp:wrapNone/>
                <wp:docPr id="208" name="Прямоугольник 208"/>
                <wp:cNvGraphicFramePr/>
                <a:graphic xmlns:a="http://schemas.openxmlformats.org/drawingml/2006/main">
                  <a:graphicData uri="http://schemas.microsoft.com/office/word/2010/wordprocessingShape">
                    <wps:wsp>
                      <wps:cNvSpPr/>
                      <wps:spPr>
                        <a:xfrm>
                          <a:off x="0" y="0"/>
                          <a:ext cx="561975" cy="466725"/>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08" o:spid="_x0000_s1026" style="position:absolute;left:0;text-align:left;margin-left:353.7pt;margin-top:309.6pt;width:44.25pt;height:36.75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" fillcolor="white [3201]" stroked="f" strokeweight="2pt">
                <v:textbox>
                  <w:txbxContent>
                    <w:p w:rsidR="008E5154" w:rsidRDefault="008E5154" w:rsidP="00E3259F">
                      <w:pPr>
                        <w:jc w:val="center"/>
                        <w:rPr>
                          <w:lang w:val="uk-UA"/>
                        </w:rPr>
                      </w:pPr>
                      <w:r>
                        <w:rPr>
                          <w:lang w:val="uk-UA"/>
                        </w:rPr>
                        <w:t>Так</w:t>
                      </w:r>
                    </w:p>
                  </w:txbxContent>
                </v:textbox>
              </v:rect>
            </w:pict>
          </mc:Fallback>
        </mc:AlternateContent>
      </w:r>
      <w:r>
        <w:rPr>
          <w:noProof/>
        </w:rPr>
        <mc:AlternateContent>
          <mc:Choice Requires="wps">
            <w:drawing>
              <wp:anchor distT="0" distB="0" distL="114300" distR="114300" simplePos="0" relativeHeight="251589632" behindDoc="0" locked="0" layoutInCell="1" allowOverlap="1">
                <wp:simplePos x="0" y="0"/>
                <wp:positionH relativeFrom="column">
                  <wp:posOffset>1188720</wp:posOffset>
                </wp:positionH>
                <wp:positionV relativeFrom="paragraph">
                  <wp:posOffset>5601335</wp:posOffset>
                </wp:positionV>
                <wp:extent cx="0" cy="344805"/>
                <wp:effectExtent l="76200" t="0" r="76200" b="55245"/>
                <wp:wrapNone/>
                <wp:docPr id="207" name="Прямая со стрелкой 207"/>
                <wp:cNvGraphicFramePr/>
                <a:graphic xmlns:a="http://schemas.openxmlformats.org/drawingml/2006/main">
                  <a:graphicData uri="http://schemas.microsoft.com/office/word/2010/wordprocessingShape">
                    <wps:wsp>
                      <wps:cNvCnPr/>
                      <wps:spPr>
                        <a:xfrm>
                          <a:off x="0" y="0"/>
                          <a:ext cx="0" cy="34480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2CFB135" id="_x0000_t32" coordsize="21600,21600" o:spt="32" o:oned="t" path="m,l21600,21600e" filled="f">
                <v:path arrowok="t" fillok="f" o:connecttype="none"/>
                <o:lock v:ext="edit" shapetype="t"/>
              </v:shapetype>
              <v:shape id="Прямая со стрелкой 207" o:spid="_x0000_s1026" type="#_x0000_t32" style="position:absolute;margin-left:93.6pt;margin-top:441.05pt;width:0;height:27.1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" strokecolor="black [3200]" strokeweight="2pt">
                <v:stroke endarrow="block"/>
              </v:shape>
            </w:pict>
          </mc:Fallback>
        </mc:AlternateContent>
      </w:r>
      <w:r>
        <w:rPr>
          <w:noProof/>
        </w:rPr>
        <mc:AlternateContent>
          <mc:Choice Requires="wps">
            <w:drawing>
              <wp:anchor distT="0" distB="0" distL="114300" distR="114300" simplePos="0" relativeHeight="251590656" behindDoc="0" locked="0" layoutInCell="1" allowOverlap="1" wp14:anchorId="0B9B3B2C" wp14:editId="5D39C7F2">
                <wp:simplePos x="0" y="0"/>
                <wp:positionH relativeFrom="column">
                  <wp:posOffset>2164080</wp:posOffset>
                </wp:positionH>
                <wp:positionV relativeFrom="paragraph">
                  <wp:posOffset>-335915</wp:posOffset>
                </wp:positionV>
                <wp:extent cx="1955800" cy="609600"/>
                <wp:effectExtent l="0" t="0" r="25400" b="19050"/>
                <wp:wrapNone/>
                <wp:docPr id="205" name="Прямоугольник 205"/>
                <wp:cNvGraphicFramePr/>
                <a:graphic xmlns:a="http://schemas.openxmlformats.org/drawingml/2006/main">
                  <a:graphicData uri="http://schemas.microsoft.com/office/word/2010/wordprocessingShape">
                    <wps:wsp>
                      <wps:cNvSpPr/>
                      <wps:spPr>
                        <a:xfrm>
                          <a:off x="0" y="0"/>
                          <a:ext cx="1955800" cy="609600"/>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Пацієнти з ГХ</w:t>
                            </w:r>
                          </w:p>
                          <w:p w:rsidR="008E5154" w:rsidRDefault="008E5154" w:rsidP="00E3259F">
                            <w:pPr>
                              <w:jc w:val="center"/>
                              <w:rPr>
                                <w:lang w:val="en-US"/>
                              </w:rPr>
                            </w:pPr>
                            <w:r>
                              <w:rPr>
                                <w:lang w:val="uk-UA"/>
                              </w:rPr>
                              <w:t>(</w:t>
                            </w:r>
                            <w:r>
                              <w:rPr>
                                <w:lang w:val="en-US"/>
                              </w:rPr>
                              <w:t>n=500)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B9B3B2C" id="Прямоугольник 205" o:spid="_x0000_s1027" style="position:absolute;left:0;text-align:left;margin-left:170.4pt;margin-top:-26.45pt;width:154pt;height:48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" fillcolor="white [3201]" strokecolor="black [3200]" strokeweight="2pt">
                <v:textbox>
                  <w:txbxContent>
                    <w:p w:rsidR="008E5154" w:rsidRDefault="008E5154" w:rsidP="00E3259F">
                      <w:pPr>
                        <w:jc w:val="center"/>
                        <w:rPr>
                          <w:lang w:val="uk-UA"/>
                        </w:rPr>
                      </w:pPr>
                      <w:r>
                        <w:rPr>
                          <w:lang w:val="uk-UA"/>
                        </w:rPr>
                        <w:t>Пацієнти з ГХ</w:t>
                      </w:r>
                    </w:p>
                    <w:p w:rsidR="008E5154" w:rsidRDefault="008E5154" w:rsidP="00E3259F">
                      <w:pPr>
                        <w:jc w:val="center"/>
                        <w:rPr>
                          <w:lang w:val="en-US"/>
                        </w:rPr>
                      </w:pPr>
                      <w:r>
                        <w:rPr>
                          <w:lang w:val="uk-UA"/>
                        </w:rPr>
                        <w:t>(</w:t>
                      </w:r>
                      <w:r>
                        <w:rPr>
                          <w:lang w:val="en-US"/>
                        </w:rPr>
                        <w:t>n=500)</w:t>
                      </w:r>
                    </w:p>
                  </w:txbxContent>
                </v:textbox>
              </v:rect>
            </w:pict>
          </mc:Fallback>
        </mc:AlternateContent>
      </w:r>
      <w:r>
        <w:rPr>
          <w:noProof/>
        </w:rPr>
        <mc:AlternateContent>
          <mc:Choice Requires="wps">
            <w:drawing>
              <wp:anchor distT="0" distB="0" distL="114300" distR="114300" simplePos="0" relativeHeight="251591680" behindDoc="0" locked="0" layoutInCell="1" allowOverlap="1" wp14:anchorId="0CB87B44" wp14:editId="1C5D85D8">
                <wp:simplePos x="0" y="0"/>
                <wp:positionH relativeFrom="column">
                  <wp:posOffset>1110615</wp:posOffset>
                </wp:positionH>
                <wp:positionV relativeFrom="paragraph">
                  <wp:posOffset>441325</wp:posOffset>
                </wp:positionV>
                <wp:extent cx="1873250" cy="1905"/>
                <wp:effectExtent l="0" t="0" r="12700" b="36195"/>
                <wp:wrapNone/>
                <wp:docPr id="204" name="Прямая соединительная линия 204"/>
                <wp:cNvGraphicFramePr/>
                <a:graphic xmlns:a="http://schemas.openxmlformats.org/drawingml/2006/main">
                  <a:graphicData uri="http://schemas.microsoft.com/office/word/2010/wordprocessingShape">
                    <wps:wsp>
                      <wps:cNvCnPr/>
                      <wps:spPr>
                        <a:xfrm flipH="1">
                          <a:off x="0" y="0"/>
                          <a:ext cx="1873250" cy="190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947802" id="Прямая соединительная линия 204" o:spid="_x0000_s1026" style="position:absolute;flip:x;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45pt,34.75pt" to="234.9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" strokecolor="black [3213]" strokeweight="2pt"/>
            </w:pict>
          </mc:Fallback>
        </mc:AlternateContent>
      </w:r>
      <w:r>
        <w:rPr>
          <w:noProof/>
        </w:rPr>
        <mc:AlternateContent>
          <mc:Choice Requires="wps">
            <w:drawing>
              <wp:anchor distT="0" distB="0" distL="114300" distR="114300" simplePos="0" relativeHeight="251592704" behindDoc="0" locked="0" layoutInCell="1" allowOverlap="1" wp14:anchorId="4AE47467" wp14:editId="39527174">
                <wp:simplePos x="0" y="0"/>
                <wp:positionH relativeFrom="column">
                  <wp:posOffset>2982595</wp:posOffset>
                </wp:positionH>
                <wp:positionV relativeFrom="paragraph">
                  <wp:posOffset>396875</wp:posOffset>
                </wp:positionV>
                <wp:extent cx="2078355" cy="9525"/>
                <wp:effectExtent l="0" t="0" r="17145" b="28575"/>
                <wp:wrapNone/>
                <wp:docPr id="203" name="Прямая соединительная линия 203"/>
                <wp:cNvGraphicFramePr/>
                <a:graphic xmlns:a="http://schemas.openxmlformats.org/drawingml/2006/main">
                  <a:graphicData uri="http://schemas.microsoft.com/office/word/2010/wordprocessingShape">
                    <wps:wsp>
                      <wps:cNvCnPr/>
                      <wps:spPr>
                        <a:xfrm flipV="1">
                          <a:off x="0" y="0"/>
                          <a:ext cx="2078355" cy="952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75FACC" id="Прямая соединительная линия 203" o:spid="_x0000_s1026" style="position:absolute;flip:y;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85pt,31.25pt" to="398.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" strokecolor="black [3213]" strokeweight="2pt"/>
            </w:pict>
          </mc:Fallback>
        </mc:AlternateContent>
      </w:r>
      <w:r>
        <w:rPr>
          <w:noProof/>
        </w:rPr>
        <mc:AlternateContent>
          <mc:Choice Requires="wps">
            <w:drawing>
              <wp:anchor distT="0" distB="0" distL="114300" distR="114300" simplePos="0" relativeHeight="251593728" behindDoc="0" locked="0" layoutInCell="1" allowOverlap="1" wp14:anchorId="2AD74768" wp14:editId="1FDB3993">
                <wp:simplePos x="0" y="0"/>
                <wp:positionH relativeFrom="column">
                  <wp:posOffset>2205990</wp:posOffset>
                </wp:positionH>
                <wp:positionV relativeFrom="paragraph">
                  <wp:posOffset>2106930</wp:posOffset>
                </wp:positionV>
                <wp:extent cx="1014095" cy="264795"/>
                <wp:effectExtent l="0" t="0" r="0" b="1905"/>
                <wp:wrapNone/>
                <wp:docPr id="202" name="Поле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4095" cy="264795"/>
                        </a:xfrm>
                        <a:prstGeom prst="rect">
                          <a:avLst/>
                        </a:prstGeom>
                        <a:noFill/>
                        <a:ln w="9525">
                          <a:noFill/>
                          <a:miter lim="800000"/>
                          <a:headEnd/>
                          <a:tailEnd/>
                        </a:ln>
                      </wps:spPr>
                      <wps:txbx>
                        <w:txbxContent>
                          <w:p w:rsidR="008E5154" w:rsidRDefault="008E5154" w:rsidP="00E3259F"/>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2AD74768" id="_x0000_t202" coordsize="21600,21600" o:spt="202" path="m,l,21600r21600,l21600,xe">
                <v:stroke joinstyle="miter"/>
                <v:path gradientshapeok="t" o:connecttype="rect"/>
              </v:shapetype>
              <v:shape id="Поле 202" o:spid="_x0000_s1028" type="#_x0000_t202" style="position:absolute;left:0;text-align:left;margin-left:173.7pt;margin-top:165.9pt;width:79.85pt;height:20.8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" filled="f" stroked="f">
                <v:textbox>
                  <w:txbxContent>
                    <w:p w:rsidR="008E5154" w:rsidRDefault="008E5154" w:rsidP="00E3259F"/>
                  </w:txbxContent>
                </v:textbox>
              </v:shape>
            </w:pict>
          </mc:Fallback>
        </mc:AlternateContent>
      </w:r>
      <w:r>
        <w:rPr>
          <w:noProof/>
        </w:rPr>
        <mc:AlternateContent>
          <mc:Choice Requires="wps">
            <w:drawing>
              <wp:anchor distT="0" distB="0" distL="114300" distR="114300" simplePos="0" relativeHeight="251594752" behindDoc="0" locked="0" layoutInCell="1" allowOverlap="1" wp14:anchorId="383C793F" wp14:editId="03042C40">
                <wp:simplePos x="0" y="0"/>
                <wp:positionH relativeFrom="column">
                  <wp:posOffset>101600</wp:posOffset>
                </wp:positionH>
                <wp:positionV relativeFrom="paragraph">
                  <wp:posOffset>509270</wp:posOffset>
                </wp:positionV>
                <wp:extent cx="1856740" cy="842645"/>
                <wp:effectExtent l="0" t="0" r="0" b="0"/>
                <wp:wrapNone/>
                <wp:docPr id="201" name="Поле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6740" cy="842645"/>
                        </a:xfrm>
                        <a:prstGeom prst="rect">
                          <a:avLst/>
                        </a:prstGeom>
                        <a:noFill/>
                        <a:ln w="9525">
                          <a:noFill/>
                          <a:miter lim="800000"/>
                          <a:headEnd/>
                          <a:tailEnd/>
                        </a:ln>
                      </wps:spPr>
                      <wps:txbx>
                        <w:txbxContent>
                          <w:p w:rsidR="008E5154" w:rsidRDefault="008E5154" w:rsidP="00E3259F">
                            <w:pPr>
                              <w:jc w:val="center"/>
                              <w:rPr>
                                <w:lang w:val="uk-UA"/>
                              </w:rPr>
                            </w:pPr>
                            <w:r>
                              <w:rPr>
                                <w:lang w:val="uk-UA"/>
                              </w:rPr>
                              <w:t xml:space="preserve">          Пацієнти з </w:t>
                            </w:r>
                            <w:r>
                              <w:t>Г</w:t>
                            </w:r>
                            <w:r>
                              <w:rPr>
                                <w:lang w:val="uk-UA"/>
                              </w:rPr>
                              <w:t>Х</w:t>
                            </w:r>
                          </w:p>
                          <w:p w:rsidR="008E5154" w:rsidRDefault="008E5154" w:rsidP="00E3259F">
                            <w:pPr>
                              <w:jc w:val="center"/>
                              <w:rPr>
                                <w:lang w:val="uk-UA"/>
                              </w:rPr>
                            </w:pPr>
                            <w:r>
                              <w:rPr>
                                <w:lang w:val="uk-UA"/>
                              </w:rPr>
                              <w:t xml:space="preserve">         (</w:t>
                            </w:r>
                            <w:r>
                              <w:rPr>
                                <w:lang w:val="en-US"/>
                              </w:rPr>
                              <w:t>n</w:t>
                            </w:r>
                            <w:r>
                              <w:t xml:space="preserve"> = 106</w:t>
                            </w:r>
                            <w:r>
                              <w:rPr>
                                <w:lang w:val="uk-UA"/>
                              </w:rPr>
                              <w:t>) – група 1</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83C793F" id="Поле 201" o:spid="_x0000_s1029" type="#_x0000_t202" style="position:absolute;left:0;text-align:left;margin-left:8pt;margin-top:40.1pt;width:146.2pt;height:66.35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" filled="f" stroked="f">
                <v:textbox>
                  <w:txbxContent>
                    <w:p w:rsidR="008E5154" w:rsidRDefault="008E5154" w:rsidP="00E3259F">
                      <w:pPr>
                        <w:jc w:val="center"/>
                        <w:rPr>
                          <w:lang w:val="uk-UA"/>
                        </w:rPr>
                      </w:pPr>
                      <w:r>
                        <w:rPr>
                          <w:lang w:val="uk-UA"/>
                        </w:rPr>
                        <w:t xml:space="preserve">          Пацієнти з </w:t>
                      </w:r>
                      <w:r>
                        <w:t>Г</w:t>
                      </w:r>
                      <w:r>
                        <w:rPr>
                          <w:lang w:val="uk-UA"/>
                        </w:rPr>
                        <w:t>Х</w:t>
                      </w:r>
                    </w:p>
                    <w:p w:rsidR="008E5154" w:rsidRDefault="008E5154" w:rsidP="00E3259F">
                      <w:pPr>
                        <w:jc w:val="center"/>
                        <w:rPr>
                          <w:lang w:val="uk-UA"/>
                        </w:rPr>
                      </w:pPr>
                      <w:r>
                        <w:rPr>
                          <w:lang w:val="uk-UA"/>
                        </w:rPr>
                        <w:t xml:space="preserve">         (</w:t>
                      </w:r>
                      <w:r>
                        <w:rPr>
                          <w:lang w:val="en-US"/>
                        </w:rPr>
                        <w:t>n</w:t>
                      </w:r>
                      <w:r>
                        <w:t xml:space="preserve"> = 106</w:t>
                      </w:r>
                      <w:r>
                        <w:rPr>
                          <w:lang w:val="uk-UA"/>
                        </w:rPr>
                        <w:t>) – група 1</w:t>
                      </w:r>
                    </w:p>
                  </w:txbxContent>
                </v:textbox>
              </v:shape>
            </w:pict>
          </mc:Fallback>
        </mc:AlternateContent>
      </w:r>
      <w:r>
        <w:rPr>
          <w:noProof/>
        </w:rPr>
        <mc:AlternateContent>
          <mc:Choice Requires="wps">
            <w:drawing>
              <wp:anchor distT="0" distB="0" distL="114300" distR="114300" simplePos="0" relativeHeight="251595776" behindDoc="0" locked="0" layoutInCell="1" allowOverlap="1" wp14:anchorId="522235DE" wp14:editId="05795C59">
                <wp:simplePos x="0" y="0"/>
                <wp:positionH relativeFrom="column">
                  <wp:posOffset>1999615</wp:posOffset>
                </wp:positionH>
                <wp:positionV relativeFrom="paragraph">
                  <wp:posOffset>680085</wp:posOffset>
                </wp:positionV>
                <wp:extent cx="1744345" cy="771525"/>
                <wp:effectExtent l="0" t="0" r="0" b="0"/>
                <wp:wrapNone/>
                <wp:docPr id="200" name="Поле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4345" cy="771525"/>
                        </a:xfrm>
                        <a:prstGeom prst="rect">
                          <a:avLst/>
                        </a:prstGeom>
                        <a:noFill/>
                        <a:ln w="9525">
                          <a:noFill/>
                          <a:miter lim="800000"/>
                          <a:headEnd/>
                          <a:tailEnd/>
                        </a:ln>
                      </wps:spPr>
                      <wps:txbx>
                        <w:txbxContent>
                          <w:p w:rsidR="008E5154" w:rsidRDefault="008E5154" w:rsidP="00E3259F">
                            <w:pPr>
                              <w:jc w:val="center"/>
                              <w:rPr>
                                <w:lang w:val="uk-UA"/>
                              </w:rPr>
                            </w:pPr>
                            <w:r>
                              <w:rPr>
                                <w:lang w:val="uk-UA"/>
                              </w:rPr>
                              <w:t>Пацієнти з ГХ+ЦД 2 типу</w:t>
                            </w:r>
                          </w:p>
                          <w:p w:rsidR="008E5154" w:rsidRDefault="008E5154" w:rsidP="00E3259F">
                            <w:pPr>
                              <w:jc w:val="center"/>
                              <w:rPr>
                                <w:lang w:val="uk-UA"/>
                              </w:rPr>
                            </w:pPr>
                            <w:r>
                              <w:rPr>
                                <w:lang w:val="uk-UA"/>
                              </w:rPr>
                              <w:t>(</w:t>
                            </w:r>
                            <w:r>
                              <w:rPr>
                                <w:lang w:val="en-US"/>
                              </w:rPr>
                              <w:t xml:space="preserve">n = </w:t>
                            </w:r>
                            <w:r>
                              <w:rPr>
                                <w:lang w:val="uk-UA"/>
                              </w:rPr>
                              <w:t>355)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2235DE" id="Поле 200" o:spid="_x0000_s1030" type="#_x0000_t202" style="position:absolute;left:0;text-align:left;margin-left:157.45pt;margin-top:53.55pt;width:137.35pt;height:60.7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" filled="f" stroked="f">
                <v:textbox>
                  <w:txbxContent>
                    <w:p w:rsidR="008E5154" w:rsidRDefault="008E5154" w:rsidP="00E3259F">
                      <w:pPr>
                        <w:jc w:val="center"/>
                        <w:rPr>
                          <w:lang w:val="uk-UA"/>
                        </w:rPr>
                      </w:pPr>
                      <w:r>
                        <w:rPr>
                          <w:lang w:val="uk-UA"/>
                        </w:rPr>
                        <w:t>Пацієнти з ГХ+ЦД 2 типу</w:t>
                      </w:r>
                    </w:p>
                    <w:p w:rsidR="008E5154" w:rsidRDefault="008E5154" w:rsidP="00E3259F">
                      <w:pPr>
                        <w:jc w:val="center"/>
                        <w:rPr>
                          <w:lang w:val="uk-UA"/>
                        </w:rPr>
                      </w:pPr>
                      <w:r>
                        <w:rPr>
                          <w:lang w:val="uk-UA"/>
                        </w:rPr>
                        <w:t>(</w:t>
                      </w:r>
                      <w:r>
                        <w:rPr>
                          <w:lang w:val="en-US"/>
                        </w:rPr>
                        <w:t xml:space="preserve">n = </w:t>
                      </w:r>
                      <w:r>
                        <w:rPr>
                          <w:lang w:val="uk-UA"/>
                        </w:rPr>
                        <w:t>355)</w:t>
                      </w:r>
                    </w:p>
                  </w:txbxContent>
                </v:textbox>
              </v:shape>
            </w:pict>
          </mc:Fallback>
        </mc:AlternateContent>
      </w:r>
      <w:r>
        <w:rPr>
          <w:noProof/>
        </w:rPr>
        <mc:AlternateContent>
          <mc:Choice Requires="wps">
            <w:drawing>
              <wp:anchor distT="0" distB="0" distL="114300" distR="114300" simplePos="0" relativeHeight="251596800" behindDoc="0" locked="0" layoutInCell="1" allowOverlap="1" wp14:anchorId="1BD86C85" wp14:editId="58C7E7E8">
                <wp:simplePos x="0" y="0"/>
                <wp:positionH relativeFrom="page">
                  <wp:posOffset>4890770</wp:posOffset>
                </wp:positionH>
                <wp:positionV relativeFrom="paragraph">
                  <wp:posOffset>696595</wp:posOffset>
                </wp:positionV>
                <wp:extent cx="2103755" cy="771525"/>
                <wp:effectExtent l="0" t="0" r="0" b="0"/>
                <wp:wrapNone/>
                <wp:docPr id="199" name="Поле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3755" cy="771525"/>
                        </a:xfrm>
                        <a:prstGeom prst="rect">
                          <a:avLst/>
                        </a:prstGeom>
                        <a:noFill/>
                        <a:ln w="9525">
                          <a:noFill/>
                          <a:miter lim="800000"/>
                          <a:headEnd/>
                          <a:tailEnd/>
                        </a:ln>
                      </wps:spPr>
                      <wps:txbx>
                        <w:txbxContent>
                          <w:p w:rsidR="008E5154" w:rsidRDefault="008E5154" w:rsidP="00E3259F">
                            <w:pPr>
                              <w:spacing w:line="192" w:lineRule="auto"/>
                              <w:jc w:val="center"/>
                              <w:rPr>
                                <w:spacing w:val="-12"/>
                                <w:lang w:val="uk-UA"/>
                              </w:rPr>
                            </w:pPr>
                            <w:r>
                              <w:rPr>
                                <w:spacing w:val="-12"/>
                                <w:lang w:val="uk-UA"/>
                              </w:rPr>
                              <w:t>Пацієнти з ГХ+ЦД 2 типу+СГТ, що приймають статини</w:t>
                            </w:r>
                          </w:p>
                          <w:p w:rsidR="008E5154" w:rsidRDefault="008E5154" w:rsidP="00E3259F">
                            <w:pPr>
                              <w:jc w:val="center"/>
                              <w:rPr>
                                <w:spacing w:val="-12"/>
                                <w:lang w:val="uk-UA"/>
                              </w:rPr>
                            </w:pPr>
                            <w:r>
                              <w:rPr>
                                <w:spacing w:val="-12"/>
                                <w:lang w:val="uk-UA"/>
                              </w:rPr>
                              <w:t>(</w:t>
                            </w:r>
                            <w:r>
                              <w:rPr>
                                <w:spacing w:val="-12"/>
                                <w:lang w:val="en-US"/>
                              </w:rPr>
                              <w:t>n</w:t>
                            </w:r>
                            <w:r>
                              <w:rPr>
                                <w:spacing w:val="-12"/>
                                <w:lang w:val="uk-UA"/>
                              </w:rPr>
                              <w:t xml:space="preserve"> = 39)</w:t>
                            </w:r>
                          </w:p>
                          <w:p w:rsidR="008E5154" w:rsidRDefault="008E5154" w:rsidP="00E3259F">
                            <w:pPr>
                              <w:rPr>
                                <w:sz w:val="28"/>
                                <w:szCs w:val="28"/>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D86C85" id="Поле 199" o:spid="_x0000_s1031" type="#_x0000_t202" style="position:absolute;left:0;text-align:left;margin-left:385.1pt;margin-top:54.85pt;width:165.65pt;height:60.75pt;z-index:251596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" filled="f" stroked="f">
                <v:textbox>
                  <w:txbxContent>
                    <w:p w:rsidR="008E5154" w:rsidRDefault="008E5154" w:rsidP="00E3259F">
                      <w:pPr>
                        <w:spacing w:line="192" w:lineRule="auto"/>
                        <w:jc w:val="center"/>
                        <w:rPr>
                          <w:spacing w:val="-12"/>
                          <w:lang w:val="uk-UA"/>
                        </w:rPr>
                      </w:pPr>
                      <w:r>
                        <w:rPr>
                          <w:spacing w:val="-12"/>
                          <w:lang w:val="uk-UA"/>
                        </w:rPr>
                        <w:t>Пацієнти з ГХ+ЦД 2 типу+СГТ, що приймають статини</w:t>
                      </w:r>
                    </w:p>
                    <w:p w:rsidR="008E5154" w:rsidRDefault="008E5154" w:rsidP="00E3259F">
                      <w:pPr>
                        <w:jc w:val="center"/>
                        <w:rPr>
                          <w:spacing w:val="-12"/>
                          <w:lang w:val="uk-UA"/>
                        </w:rPr>
                      </w:pPr>
                      <w:r>
                        <w:rPr>
                          <w:spacing w:val="-12"/>
                          <w:lang w:val="uk-UA"/>
                        </w:rPr>
                        <w:t>(</w:t>
                      </w:r>
                      <w:r>
                        <w:rPr>
                          <w:spacing w:val="-12"/>
                          <w:lang w:val="en-US"/>
                        </w:rPr>
                        <w:t>n</w:t>
                      </w:r>
                      <w:r>
                        <w:rPr>
                          <w:spacing w:val="-12"/>
                          <w:lang w:val="uk-UA"/>
                        </w:rPr>
                        <w:t xml:space="preserve"> = 39)</w:t>
                      </w:r>
                    </w:p>
                    <w:p w:rsidR="008E5154" w:rsidRDefault="008E5154" w:rsidP="00E3259F">
                      <w:pPr>
                        <w:rPr>
                          <w:sz w:val="28"/>
                          <w:szCs w:val="28"/>
                          <w:lang w:val="uk-UA"/>
                        </w:rPr>
                      </w:pPr>
                    </w:p>
                  </w:txbxContent>
                </v:textbox>
                <w10:wrap anchorx="page"/>
              </v:shape>
            </w:pict>
          </mc:Fallback>
        </mc:AlternateContent>
      </w:r>
      <w:r>
        <w:rPr>
          <w:noProof/>
        </w:rPr>
        <mc:AlternateContent>
          <mc:Choice Requires="wps">
            <w:drawing>
              <wp:anchor distT="0" distB="0" distL="114300" distR="114300" simplePos="0" relativeHeight="251597824" behindDoc="0" locked="0" layoutInCell="1" allowOverlap="1" wp14:anchorId="081894F6" wp14:editId="32176780">
                <wp:simplePos x="0" y="0"/>
                <wp:positionH relativeFrom="margin">
                  <wp:posOffset>3896995</wp:posOffset>
                </wp:positionH>
                <wp:positionV relativeFrom="paragraph">
                  <wp:posOffset>691515</wp:posOffset>
                </wp:positionV>
                <wp:extent cx="1923415" cy="640080"/>
                <wp:effectExtent l="0" t="0" r="19685" b="26670"/>
                <wp:wrapNone/>
                <wp:docPr id="198" name="Прямоугольник 198"/>
                <wp:cNvGraphicFramePr/>
                <a:graphic xmlns:a="http://schemas.openxmlformats.org/drawingml/2006/main">
                  <a:graphicData uri="http://schemas.microsoft.com/office/word/2010/wordprocessingShape">
                    <wps:wsp>
                      <wps:cNvSpPr/>
                      <wps:spPr>
                        <a:xfrm>
                          <a:off x="0" y="0"/>
                          <a:ext cx="1923415" cy="64008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02ADFB6" id="Прямоугольник 198" o:spid="_x0000_s1026" style="position:absolute;margin-left:306.85pt;margin-top:54.45pt;width:151.45pt;height:50.4pt;z-index:251597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" filled="f" strokecolor="black [3213]" strokeweight="2pt">
                <w10:wrap anchorx="margin"/>
              </v:rect>
            </w:pict>
          </mc:Fallback>
        </mc:AlternateContent>
      </w:r>
      <w:r>
        <w:rPr>
          <w:noProof/>
        </w:rPr>
        <mc:AlternateContent>
          <mc:Choice Requires="wps">
            <w:drawing>
              <wp:anchor distT="0" distB="0" distL="114300" distR="114300" simplePos="0" relativeHeight="251598848" behindDoc="0" locked="0" layoutInCell="1" allowOverlap="1" wp14:anchorId="46EA73F0" wp14:editId="2B6EA13F">
                <wp:simplePos x="0" y="0"/>
                <wp:positionH relativeFrom="margin">
                  <wp:posOffset>2382520</wp:posOffset>
                </wp:positionH>
                <wp:positionV relativeFrom="paragraph">
                  <wp:posOffset>2795905</wp:posOffset>
                </wp:positionV>
                <wp:extent cx="2035810" cy="667385"/>
                <wp:effectExtent l="0" t="0" r="21590" b="18415"/>
                <wp:wrapNone/>
                <wp:docPr id="197" name="Прямоугольник 197"/>
                <wp:cNvGraphicFramePr/>
                <a:graphic xmlns:a="http://schemas.openxmlformats.org/drawingml/2006/main">
                  <a:graphicData uri="http://schemas.microsoft.com/office/word/2010/wordprocessingShape">
                    <wps:wsp>
                      <wps:cNvSpPr/>
                      <wps:spPr>
                        <a:xfrm>
                          <a:off x="0" y="0"/>
                          <a:ext cx="2035810" cy="6673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8266AC4" id="Прямоугольник 197" o:spid="_x0000_s1026" style="position:absolute;margin-left:187.6pt;margin-top:220.15pt;width:160.3pt;height:52.55pt;z-index:251598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" filled="f" strokecolor="black [3213]" strokeweight="2pt">
                <w10:wrap anchorx="margin"/>
              </v:rect>
            </w:pict>
          </mc:Fallback>
        </mc:AlternateContent>
      </w:r>
      <w:r>
        <w:rPr>
          <w:noProof/>
        </w:rPr>
        <mc:AlternateContent>
          <mc:Choice Requires="wps">
            <w:drawing>
              <wp:anchor distT="0" distB="0" distL="114300" distR="114300" simplePos="0" relativeHeight="251599872" behindDoc="0" locked="0" layoutInCell="1" allowOverlap="1" wp14:anchorId="4E2CA64F" wp14:editId="21F4F5EC">
                <wp:simplePos x="0" y="0"/>
                <wp:positionH relativeFrom="column">
                  <wp:posOffset>472440</wp:posOffset>
                </wp:positionH>
                <wp:positionV relativeFrom="paragraph">
                  <wp:posOffset>2805430</wp:posOffset>
                </wp:positionV>
                <wp:extent cx="1807210" cy="650240"/>
                <wp:effectExtent l="0" t="0" r="21590" b="16510"/>
                <wp:wrapNone/>
                <wp:docPr id="196" name="Прямоугольник 196"/>
                <wp:cNvGraphicFramePr/>
                <a:graphic xmlns:a="http://schemas.openxmlformats.org/drawingml/2006/main">
                  <a:graphicData uri="http://schemas.microsoft.com/office/word/2010/wordprocessingShape">
                    <wps:wsp>
                      <wps:cNvSpPr/>
                      <wps:spPr>
                        <a:xfrm>
                          <a:off x="0" y="0"/>
                          <a:ext cx="1807210" cy="649605"/>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04" w:lineRule="auto"/>
                              <w:jc w:val="center"/>
                              <w:rPr>
                                <w:lang w:val="uk-UA"/>
                              </w:rPr>
                            </w:pPr>
                            <w:r>
                              <w:rPr>
                                <w:lang w:val="uk-UA"/>
                              </w:rPr>
                              <w:t>Пацієнти з ГХ+ЦД 2 типу + маніфестний гіпотиреоз, (</w:t>
                            </w:r>
                            <w:r>
                              <w:rPr>
                                <w:lang w:val="en-US"/>
                              </w:rPr>
                              <w:t>n</w:t>
                            </w:r>
                            <w:r>
                              <w:rPr>
                                <w:lang w:val="uk-UA"/>
                              </w:rPr>
                              <w:t xml:space="preserve"> = 7)</w:t>
                            </w:r>
                          </w:p>
                          <w:p w:rsidR="008E5154" w:rsidRDefault="008E5154" w:rsidP="00E3259F">
                            <w:pPr>
                              <w:rPr>
                                <w:sz w:val="22"/>
                                <w:szCs w:val="22"/>
                                <w:lang w:val="uk-UA"/>
                              </w:rPr>
                            </w:pPr>
                          </w:p>
                          <w:p w:rsidR="008E5154" w:rsidRDefault="008E5154" w:rsidP="00E325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2CA64F" id="Прямоугольник 196" o:spid="_x0000_s1032" style="position:absolute;left:0;text-align:left;margin-left:37.2pt;margin-top:220.9pt;width:142.3pt;height:51.2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" fillcolor="white [3201]" strokecolor="black [3200]" strokeweight="2pt">
                <v:textbox>
                  <w:txbxContent>
                    <w:p w:rsidR="008E5154" w:rsidRDefault="008E5154" w:rsidP="00E3259F">
                      <w:pPr>
                        <w:spacing w:line="204" w:lineRule="auto"/>
                        <w:jc w:val="center"/>
                        <w:rPr>
                          <w:lang w:val="uk-UA"/>
                        </w:rPr>
                      </w:pPr>
                      <w:r>
                        <w:rPr>
                          <w:lang w:val="uk-UA"/>
                        </w:rPr>
                        <w:t>Пацієнти з ГХ+ЦД 2 типу + маніфестний гіпотиреоз, (</w:t>
                      </w:r>
                      <w:r>
                        <w:rPr>
                          <w:lang w:val="en-US"/>
                        </w:rPr>
                        <w:t>n</w:t>
                      </w:r>
                      <w:r>
                        <w:rPr>
                          <w:lang w:val="uk-UA"/>
                        </w:rPr>
                        <w:t xml:space="preserve"> = 7)</w:t>
                      </w:r>
                    </w:p>
                    <w:p w:rsidR="008E5154" w:rsidRDefault="008E5154" w:rsidP="00E3259F">
                      <w:pPr>
                        <w:rPr>
                          <w:sz w:val="22"/>
                          <w:szCs w:val="22"/>
                          <w:lang w:val="uk-UA"/>
                        </w:rPr>
                      </w:pPr>
                    </w:p>
                    <w:p w:rsidR="008E5154" w:rsidRDefault="008E5154" w:rsidP="00E3259F">
                      <w:pPr>
                        <w:jc w:val="center"/>
                      </w:pPr>
                    </w:p>
                  </w:txbxContent>
                </v:textbox>
              </v:rect>
            </w:pict>
          </mc:Fallback>
        </mc:AlternateContent>
      </w:r>
      <w:r>
        <w:rPr>
          <w:noProof/>
        </w:rPr>
        <mc:AlternateContent>
          <mc:Choice Requires="wps">
            <w:drawing>
              <wp:anchor distT="0" distB="0" distL="114300" distR="114300" simplePos="0" relativeHeight="251600896" behindDoc="0" locked="0" layoutInCell="1" allowOverlap="1" wp14:anchorId="4D8B34AD" wp14:editId="7070B7CC">
                <wp:simplePos x="0" y="0"/>
                <wp:positionH relativeFrom="column">
                  <wp:posOffset>551815</wp:posOffset>
                </wp:positionH>
                <wp:positionV relativeFrom="paragraph">
                  <wp:posOffset>661670</wp:posOffset>
                </wp:positionV>
                <wp:extent cx="1405890" cy="638175"/>
                <wp:effectExtent l="0" t="0" r="22860" b="28575"/>
                <wp:wrapNone/>
                <wp:docPr id="195" name="Прямоугольник 195"/>
                <wp:cNvGraphicFramePr/>
                <a:graphic xmlns:a="http://schemas.openxmlformats.org/drawingml/2006/main">
                  <a:graphicData uri="http://schemas.microsoft.com/office/word/2010/wordprocessingShape">
                    <wps:wsp>
                      <wps:cNvSpPr/>
                      <wps:spPr>
                        <a:xfrm>
                          <a:off x="0" y="0"/>
                          <a:ext cx="1405890" cy="6381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74063D" id="Прямоугольник 195" o:spid="_x0000_s1026" style="position:absolute;margin-left:43.45pt;margin-top:52.1pt;width:110.7pt;height:50.2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" filled="f" strokecolor="black [3213]" strokeweight="2pt"/>
            </w:pict>
          </mc:Fallback>
        </mc:AlternateContent>
      </w:r>
      <w:r>
        <w:rPr>
          <w:noProof/>
        </w:rPr>
        <mc:AlternateContent>
          <mc:Choice Requires="wps">
            <w:drawing>
              <wp:anchor distT="0" distB="0" distL="114300" distR="114300" simplePos="0" relativeHeight="251601920" behindDoc="0" locked="0" layoutInCell="1" allowOverlap="1" wp14:anchorId="2F47FCFB" wp14:editId="77C0E400">
                <wp:simplePos x="0" y="0"/>
                <wp:positionH relativeFrom="margin">
                  <wp:posOffset>3293110</wp:posOffset>
                </wp:positionH>
                <wp:positionV relativeFrom="paragraph">
                  <wp:posOffset>5073650</wp:posOffset>
                </wp:positionV>
                <wp:extent cx="1120775" cy="723900"/>
                <wp:effectExtent l="0" t="0" r="22225" b="19050"/>
                <wp:wrapNone/>
                <wp:docPr id="194" name="Прямоугольник 194"/>
                <wp:cNvGraphicFramePr/>
                <a:graphic xmlns:a="http://schemas.openxmlformats.org/drawingml/2006/main">
                  <a:graphicData uri="http://schemas.microsoft.com/office/word/2010/wordprocessingShape">
                    <wps:wsp>
                      <wps:cNvSpPr/>
                      <wps:spPr>
                        <a:xfrm>
                          <a:off x="0" y="0"/>
                          <a:ext cx="1120775" cy="723900"/>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04" w:lineRule="auto"/>
                              <w:jc w:val="center"/>
                              <w:rPr>
                                <w:lang w:val="uk-UA"/>
                              </w:rPr>
                            </w:pPr>
                            <w:r>
                              <w:rPr>
                                <w:sz w:val="26"/>
                                <w:szCs w:val="26"/>
                                <w:lang w:val="uk-UA"/>
                              </w:rPr>
                              <w:t xml:space="preserve"> </w:t>
                            </w:r>
                            <w:r>
                              <w:rPr>
                                <w:lang w:val="uk-UA"/>
                              </w:rPr>
                              <w:t>Пацієнти з ГХ+ЦД 2 типу</w:t>
                            </w:r>
                          </w:p>
                          <w:p w:rsidR="008E5154" w:rsidRDefault="008E5154" w:rsidP="00E3259F">
                            <w:pPr>
                              <w:spacing w:line="204" w:lineRule="auto"/>
                              <w:jc w:val="center"/>
                              <w:rPr>
                                <w:lang w:val="uk-UA"/>
                              </w:rPr>
                            </w:pPr>
                            <w:r>
                              <w:rPr>
                                <w:lang w:val="uk-UA"/>
                              </w:rPr>
                              <w:t xml:space="preserve"> (</w:t>
                            </w:r>
                            <w:r>
                              <w:rPr>
                                <w:lang w:val="en-US"/>
                              </w:rPr>
                              <w:t>n</w:t>
                            </w:r>
                            <w:r>
                              <w:rPr>
                                <w:lang w:val="uk-UA"/>
                              </w:rPr>
                              <w:t xml:space="preserve"> = 130)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47FCFB" id="Прямоугольник 194" o:spid="_x0000_s1033" style="position:absolute;left:0;text-align:left;margin-left:259.3pt;margin-top:399.5pt;width:88.25pt;height:57pt;z-index:251601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" fillcolor="white [3201]" strokecolor="black [3200]" strokeweight="2pt">
                <v:textbox>
                  <w:txbxContent>
                    <w:p w:rsidR="008E5154" w:rsidRDefault="008E5154" w:rsidP="00E3259F">
                      <w:pPr>
                        <w:spacing w:line="204" w:lineRule="auto"/>
                        <w:jc w:val="center"/>
                        <w:rPr>
                          <w:lang w:val="uk-UA"/>
                        </w:rPr>
                      </w:pPr>
                      <w:r>
                        <w:rPr>
                          <w:sz w:val="26"/>
                          <w:szCs w:val="26"/>
                          <w:lang w:val="uk-UA"/>
                        </w:rPr>
                        <w:t xml:space="preserve"> </w:t>
                      </w:r>
                      <w:r>
                        <w:rPr>
                          <w:lang w:val="uk-UA"/>
                        </w:rPr>
                        <w:t>Пацієнти з ГХ+ЦД 2 типу</w:t>
                      </w:r>
                    </w:p>
                    <w:p w:rsidR="008E5154" w:rsidRDefault="008E5154" w:rsidP="00E3259F">
                      <w:pPr>
                        <w:spacing w:line="204" w:lineRule="auto"/>
                        <w:jc w:val="center"/>
                        <w:rPr>
                          <w:lang w:val="uk-UA"/>
                        </w:rPr>
                      </w:pPr>
                      <w:r>
                        <w:rPr>
                          <w:lang w:val="uk-UA"/>
                        </w:rPr>
                        <w:t xml:space="preserve"> (</w:t>
                      </w:r>
                      <w:r>
                        <w:rPr>
                          <w:lang w:val="en-US"/>
                        </w:rPr>
                        <w:t>n</w:t>
                      </w:r>
                      <w:r>
                        <w:rPr>
                          <w:lang w:val="uk-UA"/>
                        </w:rPr>
                        <w:t xml:space="preserve"> = 130)</w:t>
                      </w:r>
                    </w:p>
                  </w:txbxContent>
                </v:textbox>
                <w10:wrap anchorx="margin"/>
              </v:rect>
            </w:pict>
          </mc:Fallback>
        </mc:AlternateContent>
      </w:r>
      <w:r>
        <w:rPr>
          <w:noProof/>
        </w:rPr>
        <mc:AlternateContent>
          <mc:Choice Requires="wps">
            <w:drawing>
              <wp:anchor distT="0" distB="0" distL="114300" distR="114300" simplePos="0" relativeHeight="251602944" behindDoc="0" locked="0" layoutInCell="1" allowOverlap="1" wp14:anchorId="3DF7C465" wp14:editId="65361BD9">
                <wp:simplePos x="0" y="0"/>
                <wp:positionH relativeFrom="column">
                  <wp:posOffset>2071370</wp:posOffset>
                </wp:positionH>
                <wp:positionV relativeFrom="paragraph">
                  <wp:posOffset>674370</wp:posOffset>
                </wp:positionV>
                <wp:extent cx="1744980" cy="648970"/>
                <wp:effectExtent l="0" t="0" r="26670" b="17780"/>
                <wp:wrapNone/>
                <wp:docPr id="191" name="Прямоугольник 191"/>
                <wp:cNvGraphicFramePr/>
                <a:graphic xmlns:a="http://schemas.openxmlformats.org/drawingml/2006/main">
                  <a:graphicData uri="http://schemas.microsoft.com/office/word/2010/wordprocessingShape">
                    <wps:wsp>
                      <wps:cNvSpPr/>
                      <wps:spPr>
                        <a:xfrm>
                          <a:off x="0" y="0"/>
                          <a:ext cx="1744980" cy="6489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3C64A2" id="Прямоугольник 191" o:spid="_x0000_s1026" style="position:absolute;margin-left:163.1pt;margin-top:53.1pt;width:137.4pt;height:51.1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" filled="f" strokecolor="black [3213]" strokeweight="2pt"/>
            </w:pict>
          </mc:Fallback>
        </mc:AlternateContent>
      </w:r>
      <w:r>
        <w:rPr>
          <w:noProof/>
        </w:rPr>
        <mc:AlternateContent>
          <mc:Choice Requires="wps">
            <w:drawing>
              <wp:anchor distT="0" distB="0" distL="114300" distR="114300" simplePos="0" relativeHeight="251603968" behindDoc="0" locked="0" layoutInCell="1" allowOverlap="1" wp14:anchorId="67D746C5" wp14:editId="48C2E5D5">
                <wp:simplePos x="0" y="0"/>
                <wp:positionH relativeFrom="column">
                  <wp:posOffset>2205990</wp:posOffset>
                </wp:positionH>
                <wp:positionV relativeFrom="paragraph">
                  <wp:posOffset>1622425</wp:posOffset>
                </wp:positionV>
                <wp:extent cx="2068830" cy="971550"/>
                <wp:effectExtent l="0" t="0" r="26670" b="19050"/>
                <wp:wrapNone/>
                <wp:docPr id="189" name="Ромб 189"/>
                <wp:cNvGraphicFramePr/>
                <a:graphic xmlns:a="http://schemas.openxmlformats.org/drawingml/2006/main">
                  <a:graphicData uri="http://schemas.microsoft.com/office/word/2010/wordprocessingShape">
                    <wps:wsp>
                      <wps:cNvSpPr/>
                      <wps:spPr>
                        <a:xfrm>
                          <a:off x="0" y="0"/>
                          <a:ext cx="2068830" cy="971550"/>
                        </a:xfrm>
                        <a:prstGeom prst="diamond">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spacing w:val="-24"/>
                                <w:lang w:val="uk-UA"/>
                              </w:rPr>
                            </w:pPr>
                            <w:r>
                              <w:rPr>
                                <w:spacing w:val="-24"/>
                                <w:lang w:val="uk-UA"/>
                              </w:rPr>
                              <w:t>Рівень ТТГ&lt;4,0 мкМО/мл?</w:t>
                            </w:r>
                          </w:p>
                          <w:p w:rsidR="008E5154" w:rsidRDefault="008E5154" w:rsidP="00E3259F">
                            <w:pPr>
                              <w:jc w:val="center"/>
                              <w:rPr>
                                <w:spacing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D746C5" id="_x0000_t4" coordsize="21600,21600" o:spt="4" path="m10800,l,10800,10800,21600,21600,10800xe">
                <v:stroke joinstyle="miter"/>
                <v:path gradientshapeok="t" o:connecttype="rect" textboxrect="5400,5400,16200,16200"/>
              </v:shapetype>
              <v:shape id="Ромб 189" o:spid="_x0000_s1034" type="#_x0000_t4" style="position:absolute;left:0;text-align:left;margin-left:173.7pt;margin-top:127.75pt;width:162.9pt;height:76.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" fillcolor="white [3201]" strokecolor="black [3200]" strokeweight="2pt">
                <v:textbox>
                  <w:txbxContent>
                    <w:p w:rsidR="008E5154" w:rsidRDefault="008E5154" w:rsidP="00E3259F">
                      <w:pPr>
                        <w:jc w:val="center"/>
                        <w:rPr>
                          <w:spacing w:val="-24"/>
                          <w:lang w:val="uk-UA"/>
                        </w:rPr>
                      </w:pPr>
                      <w:r>
                        <w:rPr>
                          <w:spacing w:val="-24"/>
                          <w:lang w:val="uk-UA"/>
                        </w:rPr>
                        <w:t>Рівень ТТГ&lt;4,0 мкМО/мл?</w:t>
                      </w:r>
                    </w:p>
                    <w:p w:rsidR="008E5154" w:rsidRDefault="008E5154" w:rsidP="00E3259F">
                      <w:pPr>
                        <w:jc w:val="center"/>
                        <w:rPr>
                          <w:spacing w:val="-24"/>
                          <w:lang w:val="uk-UA"/>
                        </w:rPr>
                      </w:pPr>
                    </w:p>
                  </w:txbxContent>
                </v:textbox>
              </v:shape>
            </w:pict>
          </mc:Fallback>
        </mc:AlternateContent>
      </w:r>
      <w:r>
        <w:rPr>
          <w:noProof/>
        </w:rPr>
        <mc:AlternateContent>
          <mc:Choice Requires="wps">
            <w:drawing>
              <wp:anchor distT="0" distB="0" distL="114300" distR="114300" simplePos="0" relativeHeight="251604992" behindDoc="0" locked="0" layoutInCell="1" allowOverlap="1" wp14:anchorId="77F7F64A" wp14:editId="7EB073E2">
                <wp:simplePos x="0" y="0"/>
                <wp:positionH relativeFrom="column">
                  <wp:posOffset>1495425</wp:posOffset>
                </wp:positionH>
                <wp:positionV relativeFrom="paragraph">
                  <wp:posOffset>1731010</wp:posOffset>
                </wp:positionV>
                <wp:extent cx="381000" cy="400050"/>
                <wp:effectExtent l="0" t="0" r="0" b="0"/>
                <wp:wrapNone/>
                <wp:docPr id="188" name="Прямоугольник 188"/>
                <wp:cNvGraphicFramePr/>
                <a:graphic xmlns:a="http://schemas.openxmlformats.org/drawingml/2006/main">
                  <a:graphicData uri="http://schemas.microsoft.com/office/word/2010/wordprocessingShape">
                    <wps:wsp>
                      <wps:cNvSpPr/>
                      <wps:spPr>
                        <a:xfrm>
                          <a:off x="0" y="0"/>
                          <a:ext cx="381000" cy="400050"/>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7F7F64A" id="Прямоугольник 188" o:spid="_x0000_s1035" style="position:absolute;left:0;text-align:left;margin-left:117.75pt;margin-top:136.3pt;width:30pt;height:31.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" fillcolor="white [3201]" stroked="f" strokeweight="2pt">
                <v:textbox>
                  <w:txbxContent>
                    <w:p w:rsidR="008E5154" w:rsidRDefault="008E5154" w:rsidP="00E3259F">
                      <w:pPr>
                        <w:jc w:val="center"/>
                        <w:rPr>
                          <w:lang w:val="uk-UA"/>
                        </w:rPr>
                      </w:pPr>
                      <w:r>
                        <w:rPr>
                          <w:lang w:val="uk-UA"/>
                        </w:rPr>
                        <w:t>Ні</w:t>
                      </w:r>
                    </w:p>
                  </w:txbxContent>
                </v:textbox>
              </v:rect>
            </w:pict>
          </mc:Fallback>
        </mc:AlternateContent>
      </w:r>
      <w:r>
        <w:rPr>
          <w:noProof/>
        </w:rPr>
        <mc:AlternateContent>
          <mc:Choice Requires="wps">
            <w:drawing>
              <wp:anchor distT="0" distB="0" distL="114300" distR="114300" simplePos="0" relativeHeight="251606016" behindDoc="0" locked="0" layoutInCell="1" allowOverlap="1" wp14:anchorId="525AA0CF" wp14:editId="79D7FAD7">
                <wp:simplePos x="0" y="0"/>
                <wp:positionH relativeFrom="column">
                  <wp:posOffset>4463415</wp:posOffset>
                </wp:positionH>
                <wp:positionV relativeFrom="paragraph">
                  <wp:posOffset>1682115</wp:posOffset>
                </wp:positionV>
                <wp:extent cx="561975" cy="466725"/>
                <wp:effectExtent l="0" t="0" r="9525" b="9525"/>
                <wp:wrapNone/>
                <wp:docPr id="187" name="Прямоугольник 187"/>
                <wp:cNvGraphicFramePr/>
                <a:graphic xmlns:a="http://schemas.openxmlformats.org/drawingml/2006/main">
                  <a:graphicData uri="http://schemas.microsoft.com/office/word/2010/wordprocessingShape">
                    <wps:wsp>
                      <wps:cNvSpPr/>
                      <wps:spPr>
                        <a:xfrm>
                          <a:off x="0" y="0"/>
                          <a:ext cx="561975" cy="466725"/>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5AA0CF" id="Прямоугольник 187" o:spid="_x0000_s1036" style="position:absolute;left:0;text-align:left;margin-left:351.45pt;margin-top:132.45pt;width:44.25pt;height:36.7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" fillcolor="white [3201]" stroked="f" strokeweight="2pt">
                <v:textbox>
                  <w:txbxContent>
                    <w:p w:rsidR="008E5154" w:rsidRDefault="008E5154" w:rsidP="00E3259F">
                      <w:pPr>
                        <w:jc w:val="center"/>
                        <w:rPr>
                          <w:lang w:val="uk-UA"/>
                        </w:rPr>
                      </w:pPr>
                      <w:r>
                        <w:rPr>
                          <w:lang w:val="uk-UA"/>
                        </w:rPr>
                        <w:t>Так</w:t>
                      </w:r>
                    </w:p>
                  </w:txbxContent>
                </v:textbox>
              </v:rect>
            </w:pict>
          </mc:Fallback>
        </mc:AlternateContent>
      </w:r>
      <w:r>
        <w:rPr>
          <w:noProof/>
        </w:rPr>
        <mc:AlternateContent>
          <mc:Choice Requires="wps">
            <w:drawing>
              <wp:anchor distT="0" distB="0" distL="114300" distR="114300" simplePos="0" relativeHeight="251607040" behindDoc="0" locked="0" layoutInCell="1" allowOverlap="1" wp14:anchorId="6DBEFB8B" wp14:editId="52C503D9">
                <wp:simplePos x="0" y="0"/>
                <wp:positionH relativeFrom="column">
                  <wp:posOffset>1788795</wp:posOffset>
                </wp:positionH>
                <wp:positionV relativeFrom="paragraph">
                  <wp:posOffset>2103120</wp:posOffset>
                </wp:positionV>
                <wp:extent cx="430530" cy="11430"/>
                <wp:effectExtent l="0" t="0" r="26670" b="26670"/>
                <wp:wrapNone/>
                <wp:docPr id="186" name="Прямая соединительная линия 186"/>
                <wp:cNvGraphicFramePr/>
                <a:graphic xmlns:a="http://schemas.openxmlformats.org/drawingml/2006/main">
                  <a:graphicData uri="http://schemas.microsoft.com/office/word/2010/wordprocessingShape">
                    <wps:wsp>
                      <wps:cNvCnPr/>
                      <wps:spPr>
                        <a:xfrm>
                          <a:off x="0" y="0"/>
                          <a:ext cx="430530" cy="1143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6D5CB613" id="Прямая соединительная линия 186" o:spid="_x0000_s1026" style="position:absolute;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85pt,165.6pt" to="174.7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" strokecolor="black [3213]" strokeweight="2pt"/>
            </w:pict>
          </mc:Fallback>
        </mc:AlternateContent>
      </w:r>
      <w:r>
        <w:rPr>
          <w:noProof/>
        </w:rPr>
        <mc:AlternateContent>
          <mc:Choice Requires="wps">
            <w:drawing>
              <wp:anchor distT="0" distB="0" distL="114300" distR="114300" simplePos="0" relativeHeight="251608064" behindDoc="0" locked="0" layoutInCell="1" allowOverlap="1" wp14:anchorId="6B317B83" wp14:editId="645C4F11">
                <wp:simplePos x="0" y="0"/>
                <wp:positionH relativeFrom="column">
                  <wp:posOffset>1788795</wp:posOffset>
                </wp:positionH>
                <wp:positionV relativeFrom="paragraph">
                  <wp:posOffset>2111375</wp:posOffset>
                </wp:positionV>
                <wp:extent cx="5715" cy="347980"/>
                <wp:effectExtent l="0" t="0" r="32385" b="13970"/>
                <wp:wrapNone/>
                <wp:docPr id="185" name="Прямая соединительная линия 185"/>
                <wp:cNvGraphicFramePr/>
                <a:graphic xmlns:a="http://schemas.openxmlformats.org/drawingml/2006/main">
                  <a:graphicData uri="http://schemas.microsoft.com/office/word/2010/wordprocessingShape">
                    <wps:wsp>
                      <wps:cNvCnPr/>
                      <wps:spPr>
                        <a:xfrm flipH="1">
                          <a:off x="0" y="0"/>
                          <a:ext cx="5715" cy="34798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C9B9AF" id="Прямая соединительная линия 185" o:spid="_x0000_s1026" style="position:absolute;flip:x;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85pt,166.25pt" to="141.3pt,19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" strokecolor="black [3200]" strokeweight="2pt"/>
            </w:pict>
          </mc:Fallback>
        </mc:AlternateContent>
      </w:r>
      <w:r>
        <w:rPr>
          <w:noProof/>
        </w:rPr>
        <mc:AlternateContent>
          <mc:Choice Requires="wps">
            <w:drawing>
              <wp:anchor distT="0" distB="0" distL="114300" distR="114300" simplePos="0" relativeHeight="251609088" behindDoc="0" locked="0" layoutInCell="1" allowOverlap="1" wp14:anchorId="44523064" wp14:editId="201757C7">
                <wp:simplePos x="0" y="0"/>
                <wp:positionH relativeFrom="column">
                  <wp:posOffset>1124585</wp:posOffset>
                </wp:positionH>
                <wp:positionV relativeFrom="paragraph">
                  <wp:posOffset>2494280</wp:posOffset>
                </wp:positionV>
                <wp:extent cx="1517015" cy="0"/>
                <wp:effectExtent l="0" t="0" r="26035" b="19050"/>
                <wp:wrapNone/>
                <wp:docPr id="184" name="Прямая соединительная линия 184"/>
                <wp:cNvGraphicFramePr/>
                <a:graphic xmlns:a="http://schemas.openxmlformats.org/drawingml/2006/main">
                  <a:graphicData uri="http://schemas.microsoft.com/office/word/2010/wordprocessingShape">
                    <wps:wsp>
                      <wps:cNvCnPr/>
                      <wps:spPr>
                        <a:xfrm>
                          <a:off x="0" y="0"/>
                          <a:ext cx="1517015" cy="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0DC5BC" id="Прямая соединительная линия 184" o:spid="_x0000_s1026" style="position:absolute;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55pt,196.4pt" to="208pt,19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" strokecolor="black [3200]" strokeweight="2pt"/>
            </w:pict>
          </mc:Fallback>
        </mc:AlternateContent>
      </w:r>
      <w:r>
        <w:rPr>
          <w:noProof/>
        </w:rPr>
        <mc:AlternateContent>
          <mc:Choice Requires="wps">
            <w:drawing>
              <wp:anchor distT="0" distB="0" distL="114300" distR="114300" simplePos="0" relativeHeight="251610112" behindDoc="0" locked="0" layoutInCell="1" allowOverlap="1" wp14:anchorId="3A8F32E7" wp14:editId="22A097F2">
                <wp:simplePos x="0" y="0"/>
                <wp:positionH relativeFrom="column">
                  <wp:posOffset>1129665</wp:posOffset>
                </wp:positionH>
                <wp:positionV relativeFrom="paragraph">
                  <wp:posOffset>2486025</wp:posOffset>
                </wp:positionV>
                <wp:extent cx="5715" cy="291465"/>
                <wp:effectExtent l="76200" t="0" r="70485" b="51435"/>
                <wp:wrapNone/>
                <wp:docPr id="183" name="Прямая со стрелкой 183"/>
                <wp:cNvGraphicFramePr/>
                <a:graphic xmlns:a="http://schemas.openxmlformats.org/drawingml/2006/main">
                  <a:graphicData uri="http://schemas.microsoft.com/office/word/2010/wordprocessingShape">
                    <wps:wsp>
                      <wps:cNvCnPr/>
                      <wps:spPr>
                        <a:xfrm>
                          <a:off x="0" y="0"/>
                          <a:ext cx="5715"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0166DC" id="Прямая со стрелкой 183" o:spid="_x0000_s1026" type="#_x0000_t32" style="position:absolute;margin-left:88.95pt;margin-top:195.75pt;width:.45pt;height:22.9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" strokecolor="black [3200]" strokeweight="2pt">
                <v:stroke endarrow="block"/>
              </v:shape>
            </w:pict>
          </mc:Fallback>
        </mc:AlternateContent>
      </w:r>
      <w:r>
        <w:rPr>
          <w:noProof/>
        </w:rPr>
        <mc:AlternateContent>
          <mc:Choice Requires="wps">
            <w:drawing>
              <wp:anchor distT="0" distB="0" distL="114300" distR="114300" simplePos="0" relativeHeight="251611136" behindDoc="0" locked="0" layoutInCell="1" allowOverlap="1" wp14:anchorId="05F1D218" wp14:editId="29159885">
                <wp:simplePos x="0" y="0"/>
                <wp:positionH relativeFrom="column">
                  <wp:posOffset>2633345</wp:posOffset>
                </wp:positionH>
                <wp:positionV relativeFrom="paragraph">
                  <wp:posOffset>2487295</wp:posOffset>
                </wp:positionV>
                <wp:extent cx="5715" cy="291465"/>
                <wp:effectExtent l="76200" t="0" r="70485" b="51435"/>
                <wp:wrapNone/>
                <wp:docPr id="182" name="Прямая со стрелкой 182"/>
                <wp:cNvGraphicFramePr/>
                <a:graphic xmlns:a="http://schemas.openxmlformats.org/drawingml/2006/main">
                  <a:graphicData uri="http://schemas.microsoft.com/office/word/2010/wordprocessingShape">
                    <wps:wsp>
                      <wps:cNvCnPr/>
                      <wps:spPr>
                        <a:xfrm>
                          <a:off x="0" y="0"/>
                          <a:ext cx="5715"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DD24840" id="Прямая со стрелкой 182" o:spid="_x0000_s1026" type="#_x0000_t32" style="position:absolute;margin-left:207.35pt;margin-top:195.85pt;width:.45pt;height:22.9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" strokecolor="black [3200]" strokeweight="2pt">
                <v:stroke endarrow="block"/>
              </v:shape>
            </w:pict>
          </mc:Fallback>
        </mc:AlternateContent>
      </w:r>
      <w:r>
        <w:rPr>
          <w:noProof/>
        </w:rPr>
        <mc:AlternateContent>
          <mc:Choice Requires="wps">
            <w:drawing>
              <wp:anchor distT="0" distB="0" distL="114300" distR="114300" simplePos="0" relativeHeight="251612160" behindDoc="0" locked="0" layoutInCell="1" allowOverlap="1" wp14:anchorId="3C88E9D4" wp14:editId="6B7F36BD">
                <wp:simplePos x="0" y="0"/>
                <wp:positionH relativeFrom="column">
                  <wp:posOffset>5193030</wp:posOffset>
                </wp:positionH>
                <wp:positionV relativeFrom="paragraph">
                  <wp:posOffset>2129790</wp:posOffset>
                </wp:positionV>
                <wp:extent cx="0" cy="1518285"/>
                <wp:effectExtent l="0" t="0" r="19050" b="24765"/>
                <wp:wrapNone/>
                <wp:docPr id="181" name="Прямая соединительная линия 181"/>
                <wp:cNvGraphicFramePr/>
                <a:graphic xmlns:a="http://schemas.openxmlformats.org/drawingml/2006/main">
                  <a:graphicData uri="http://schemas.microsoft.com/office/word/2010/wordprocessingShape">
                    <wps:wsp>
                      <wps:cNvCnPr/>
                      <wps:spPr>
                        <a:xfrm flipH="1">
                          <a:off x="0" y="0"/>
                          <a:ext cx="0" cy="151765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8987F4" id="Прямая соединительная линия 181" o:spid="_x0000_s1026" style="position:absolute;flip:x;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8.9pt,167.7pt" to="408.9pt,28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" strokecolor="black [3200]" strokeweight="2pt"/>
            </w:pict>
          </mc:Fallback>
        </mc:AlternateContent>
      </w:r>
      <w:r>
        <w:rPr>
          <w:noProof/>
        </w:rPr>
        <mc:AlternateContent>
          <mc:Choice Requires="wps">
            <w:drawing>
              <wp:anchor distT="0" distB="0" distL="114300" distR="114300" simplePos="0" relativeHeight="251613184" behindDoc="0" locked="0" layoutInCell="1" allowOverlap="1" wp14:anchorId="0A63F0DE" wp14:editId="371C2008">
                <wp:simplePos x="0" y="0"/>
                <wp:positionH relativeFrom="column">
                  <wp:posOffset>4224020</wp:posOffset>
                </wp:positionH>
                <wp:positionV relativeFrom="paragraph">
                  <wp:posOffset>2126615</wp:posOffset>
                </wp:positionV>
                <wp:extent cx="956945" cy="0"/>
                <wp:effectExtent l="0" t="0" r="14605" b="19050"/>
                <wp:wrapNone/>
                <wp:docPr id="180" name="Прямая соединительная линия 180"/>
                <wp:cNvGraphicFramePr/>
                <a:graphic xmlns:a="http://schemas.openxmlformats.org/drawingml/2006/main">
                  <a:graphicData uri="http://schemas.microsoft.com/office/word/2010/wordprocessingShape">
                    <wps:wsp>
                      <wps:cNvCnPr/>
                      <wps:spPr>
                        <a:xfrm>
                          <a:off x="0" y="0"/>
                          <a:ext cx="956945" cy="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66FAF2EC" id="Прямая соединительная линия 180" o:spid="_x0000_s1026" style="position:absolute;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332.6pt,167.45pt" to="407.95pt,16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" strokecolor="black [3213]" strokeweight="2pt"/>
            </w:pict>
          </mc:Fallback>
        </mc:AlternateContent>
      </w:r>
      <w:r>
        <w:rPr>
          <w:noProof/>
        </w:rPr>
        <mc:AlternateContent>
          <mc:Choice Requires="wps">
            <w:drawing>
              <wp:anchor distT="0" distB="0" distL="114300" distR="114300" simplePos="0" relativeHeight="251614208" behindDoc="0" locked="0" layoutInCell="1" allowOverlap="1" wp14:anchorId="4D05B343" wp14:editId="6EBB01CE">
                <wp:simplePos x="0" y="0"/>
                <wp:positionH relativeFrom="column">
                  <wp:posOffset>1106805</wp:posOffset>
                </wp:positionH>
                <wp:positionV relativeFrom="paragraph">
                  <wp:posOffset>4782820</wp:posOffset>
                </wp:positionV>
                <wp:extent cx="1195705" cy="15875"/>
                <wp:effectExtent l="0" t="0" r="23495" b="22225"/>
                <wp:wrapNone/>
                <wp:docPr id="179" name="Прямая соединительная линия 179"/>
                <wp:cNvGraphicFramePr/>
                <a:graphic xmlns:a="http://schemas.openxmlformats.org/drawingml/2006/main">
                  <a:graphicData uri="http://schemas.microsoft.com/office/word/2010/wordprocessingShape">
                    <wps:wsp>
                      <wps:cNvCnPr/>
                      <wps:spPr>
                        <a:xfrm>
                          <a:off x="0" y="0"/>
                          <a:ext cx="1195705" cy="15875"/>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1C8A2A" id="Прямая соединительная линия 179" o:spid="_x0000_s1026" style="position:absolute;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15pt,376.6pt" to="181.3pt,37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" strokecolor="black [3200]" strokeweight="2pt"/>
            </w:pict>
          </mc:Fallback>
        </mc:AlternateContent>
      </w:r>
      <w:r>
        <w:rPr>
          <w:noProof/>
        </w:rPr>
        <mc:AlternateContent>
          <mc:Choice Requires="wps">
            <w:drawing>
              <wp:anchor distT="0" distB="0" distL="114300" distR="114300" simplePos="0" relativeHeight="251615232" behindDoc="0" locked="0" layoutInCell="1" allowOverlap="1" wp14:anchorId="17412E54" wp14:editId="3A9B14F9">
                <wp:simplePos x="0" y="0"/>
                <wp:positionH relativeFrom="column">
                  <wp:posOffset>1118235</wp:posOffset>
                </wp:positionH>
                <wp:positionV relativeFrom="paragraph">
                  <wp:posOffset>4780915</wp:posOffset>
                </wp:positionV>
                <wp:extent cx="5080" cy="291465"/>
                <wp:effectExtent l="76200" t="0" r="71120" b="51435"/>
                <wp:wrapNone/>
                <wp:docPr id="178" name="Прямая со стрелкой 178"/>
                <wp:cNvGraphicFramePr/>
                <a:graphic xmlns:a="http://schemas.openxmlformats.org/drawingml/2006/main">
                  <a:graphicData uri="http://schemas.microsoft.com/office/word/2010/wordprocessingShape">
                    <wps:wsp>
                      <wps:cNvCnPr/>
                      <wps:spPr>
                        <a:xfrm>
                          <a:off x="0" y="0"/>
                          <a:ext cx="5080"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85670A9" id="Прямая со стрелкой 178" o:spid="_x0000_s1026" type="#_x0000_t32" style="position:absolute;margin-left:88.05pt;margin-top:376.45pt;width:.4pt;height:22.9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" strokecolor="black [3200]" strokeweight="2pt">
                <v:stroke endarrow="block"/>
              </v:shape>
            </w:pict>
          </mc:Fallback>
        </mc:AlternateContent>
      </w:r>
      <w:r>
        <w:rPr>
          <w:noProof/>
        </w:rPr>
        <mc:AlternateContent>
          <mc:Choice Requires="wps">
            <w:drawing>
              <wp:anchor distT="0" distB="0" distL="114300" distR="114300" simplePos="0" relativeHeight="251616256" behindDoc="0" locked="0" layoutInCell="1" allowOverlap="1" wp14:anchorId="6A8060BB" wp14:editId="5A0BE2B0">
                <wp:simplePos x="0" y="0"/>
                <wp:positionH relativeFrom="column">
                  <wp:posOffset>2282190</wp:posOffset>
                </wp:positionH>
                <wp:positionV relativeFrom="paragraph">
                  <wp:posOffset>4796155</wp:posOffset>
                </wp:positionV>
                <wp:extent cx="5080" cy="291465"/>
                <wp:effectExtent l="76200" t="0" r="71120" b="51435"/>
                <wp:wrapNone/>
                <wp:docPr id="177" name="Прямая со стрелкой 177"/>
                <wp:cNvGraphicFramePr/>
                <a:graphic xmlns:a="http://schemas.openxmlformats.org/drawingml/2006/main">
                  <a:graphicData uri="http://schemas.microsoft.com/office/word/2010/wordprocessingShape">
                    <wps:wsp>
                      <wps:cNvCnPr/>
                      <wps:spPr>
                        <a:xfrm>
                          <a:off x="0" y="0"/>
                          <a:ext cx="5080"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BB3BD4" id="Прямая со стрелкой 177" o:spid="_x0000_s1026" type="#_x0000_t32" style="position:absolute;margin-left:179.7pt;margin-top:377.65pt;width:.4pt;height:22.9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" strokecolor="black [3200]" strokeweight="2pt">
                <v:stroke endarrow="block"/>
              </v:shape>
            </w:pict>
          </mc:Fallback>
        </mc:AlternateContent>
      </w:r>
      <w:r>
        <w:rPr>
          <w:noProof/>
        </w:rPr>
        <mc:AlternateContent>
          <mc:Choice Requires="wps">
            <w:drawing>
              <wp:anchor distT="0" distB="0" distL="114300" distR="114300" simplePos="0" relativeHeight="251617280" behindDoc="0" locked="0" layoutInCell="1" allowOverlap="1" wp14:anchorId="15046457" wp14:editId="648A0E62">
                <wp:simplePos x="0" y="0"/>
                <wp:positionH relativeFrom="column">
                  <wp:posOffset>2379345</wp:posOffset>
                </wp:positionH>
                <wp:positionV relativeFrom="paragraph">
                  <wp:posOffset>2770505</wp:posOffset>
                </wp:positionV>
                <wp:extent cx="2034540" cy="609600"/>
                <wp:effectExtent l="0" t="0" r="0" b="0"/>
                <wp:wrapNone/>
                <wp:docPr id="176" name="Поле 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4540" cy="609600"/>
                        </a:xfrm>
                        <a:prstGeom prst="rect">
                          <a:avLst/>
                        </a:prstGeom>
                        <a:noFill/>
                        <a:ln w="9525">
                          <a:noFill/>
                          <a:miter lim="800000"/>
                          <a:headEnd/>
                          <a:tailEnd/>
                        </a:ln>
                      </wps:spPr>
                      <wps:txbx>
                        <w:txbxContent>
                          <w:p w:rsidR="008E5154" w:rsidRDefault="008E5154" w:rsidP="00E3259F">
                            <w:pPr>
                              <w:spacing w:line="192" w:lineRule="auto"/>
                              <w:jc w:val="center"/>
                              <w:rPr>
                                <w:lang w:val="uk-UA"/>
                              </w:rPr>
                            </w:pPr>
                            <w:r>
                              <w:rPr>
                                <w:lang w:val="uk-UA"/>
                              </w:rPr>
                              <w:t>Пацієнти з ГХ+ЦД 2 типу +СГТ</w:t>
                            </w:r>
                          </w:p>
                          <w:p w:rsidR="008E5154" w:rsidRDefault="008E5154" w:rsidP="00E3259F">
                            <w:pPr>
                              <w:spacing w:line="192" w:lineRule="auto"/>
                              <w:jc w:val="center"/>
                              <w:rPr>
                                <w:lang w:val="uk-UA"/>
                              </w:rPr>
                            </w:pPr>
                            <w:r>
                              <w:rPr>
                                <w:lang w:val="uk-UA"/>
                              </w:rPr>
                              <w:t>(</w:t>
                            </w:r>
                            <w:r>
                              <w:rPr>
                                <w:lang w:val="en-US"/>
                              </w:rPr>
                              <w:t>n</w:t>
                            </w:r>
                            <w:r>
                              <w:rPr>
                                <w:lang w:val="uk-UA"/>
                              </w:rPr>
                              <w:t xml:space="preserve"> = 62)</w:t>
                            </w:r>
                          </w:p>
                          <w:p w:rsidR="008E5154" w:rsidRDefault="008E5154" w:rsidP="00E3259F">
                            <w:pPr>
                              <w:rPr>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046457" id="Поле 176" o:spid="_x0000_s1037" type="#_x0000_t202" style="position:absolute;left:0;text-align:left;margin-left:187.35pt;margin-top:218.15pt;width:160.2pt;height:48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" filled="f" stroked="f">
                <v:textbox>
                  <w:txbxContent>
                    <w:p w:rsidR="008E5154" w:rsidRDefault="008E5154" w:rsidP="00E3259F">
                      <w:pPr>
                        <w:spacing w:line="192" w:lineRule="auto"/>
                        <w:jc w:val="center"/>
                        <w:rPr>
                          <w:lang w:val="uk-UA"/>
                        </w:rPr>
                      </w:pPr>
                      <w:r>
                        <w:rPr>
                          <w:lang w:val="uk-UA"/>
                        </w:rPr>
                        <w:t>Пацієнти з ГХ+ЦД 2 типу +СГТ</w:t>
                      </w:r>
                    </w:p>
                    <w:p w:rsidR="008E5154" w:rsidRDefault="008E5154" w:rsidP="00E3259F">
                      <w:pPr>
                        <w:spacing w:line="192" w:lineRule="auto"/>
                        <w:jc w:val="center"/>
                        <w:rPr>
                          <w:lang w:val="uk-UA"/>
                        </w:rPr>
                      </w:pPr>
                      <w:r>
                        <w:rPr>
                          <w:lang w:val="uk-UA"/>
                        </w:rPr>
                        <w:t>(</w:t>
                      </w:r>
                      <w:r>
                        <w:rPr>
                          <w:lang w:val="en-US"/>
                        </w:rPr>
                        <w:t>n</w:t>
                      </w:r>
                      <w:r>
                        <w:rPr>
                          <w:lang w:val="uk-UA"/>
                        </w:rPr>
                        <w:t xml:space="preserve"> = 62)</w:t>
                      </w:r>
                    </w:p>
                    <w:p w:rsidR="008E5154" w:rsidRDefault="008E5154" w:rsidP="00E3259F">
                      <w:pPr>
                        <w:rPr>
                          <w:lang w:val="uk-UA"/>
                        </w:rPr>
                      </w:pPr>
                    </w:p>
                  </w:txbxContent>
                </v:textbox>
              </v:shape>
            </w:pict>
          </mc:Fallback>
        </mc:AlternateContent>
      </w:r>
      <w:r>
        <w:rPr>
          <w:noProof/>
        </w:rPr>
        <mc:AlternateContent>
          <mc:Choice Requires="wps">
            <w:drawing>
              <wp:anchor distT="0" distB="0" distL="114300" distR="114300" simplePos="0" relativeHeight="251618304" behindDoc="0" locked="0" layoutInCell="1" allowOverlap="1" wp14:anchorId="1F56A8F5" wp14:editId="5A9C934C">
                <wp:simplePos x="0" y="0"/>
                <wp:positionH relativeFrom="column">
                  <wp:posOffset>3775710</wp:posOffset>
                </wp:positionH>
                <wp:positionV relativeFrom="paragraph">
                  <wp:posOffset>4735195</wp:posOffset>
                </wp:positionV>
                <wp:extent cx="1362710" cy="10160"/>
                <wp:effectExtent l="0" t="0" r="27940" b="27940"/>
                <wp:wrapNone/>
                <wp:docPr id="175" name="Прямая соединительная линия 175"/>
                <wp:cNvGraphicFramePr/>
                <a:graphic xmlns:a="http://schemas.openxmlformats.org/drawingml/2006/main">
                  <a:graphicData uri="http://schemas.microsoft.com/office/word/2010/wordprocessingShape">
                    <wps:wsp>
                      <wps:cNvCnPr/>
                      <wps:spPr>
                        <a:xfrm>
                          <a:off x="0" y="0"/>
                          <a:ext cx="1362710" cy="1016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EEEBD0" id="Прямая соединительная линия 175" o:spid="_x0000_s1026" style="position:absolute;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7.3pt,372.85pt" to="404.6pt,37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" strokecolor="black [3200]" strokeweight="2pt"/>
            </w:pict>
          </mc:Fallback>
        </mc:AlternateContent>
      </w:r>
      <w:r>
        <w:rPr>
          <w:noProof/>
        </w:rPr>
        <mc:AlternateContent>
          <mc:Choice Requires="wps">
            <w:drawing>
              <wp:anchor distT="0" distB="0" distL="114300" distR="114300" simplePos="0" relativeHeight="251619328" behindDoc="0" locked="0" layoutInCell="1" allowOverlap="1" wp14:anchorId="43CBB1B6" wp14:editId="786D6A8E">
                <wp:simplePos x="0" y="0"/>
                <wp:positionH relativeFrom="column">
                  <wp:posOffset>3807460</wp:posOffset>
                </wp:positionH>
                <wp:positionV relativeFrom="paragraph">
                  <wp:posOffset>4766310</wp:posOffset>
                </wp:positionV>
                <wp:extent cx="5080" cy="291465"/>
                <wp:effectExtent l="76200" t="0" r="71120" b="51435"/>
                <wp:wrapNone/>
                <wp:docPr id="174" name="Прямая со стрелкой 174"/>
                <wp:cNvGraphicFramePr/>
                <a:graphic xmlns:a="http://schemas.openxmlformats.org/drawingml/2006/main">
                  <a:graphicData uri="http://schemas.microsoft.com/office/word/2010/wordprocessingShape">
                    <wps:wsp>
                      <wps:cNvCnPr/>
                      <wps:spPr>
                        <a:xfrm>
                          <a:off x="0" y="0"/>
                          <a:ext cx="5080"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0A98F68" id="Прямая со стрелкой 174" o:spid="_x0000_s1026" type="#_x0000_t32" style="position:absolute;margin-left:299.8pt;margin-top:375.3pt;width:.4pt;height:22.9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" strokecolor="black [3200]" strokeweight="2pt">
                <v:stroke endarrow="block"/>
              </v:shape>
            </w:pict>
          </mc:Fallback>
        </mc:AlternateContent>
      </w:r>
      <w:r>
        <w:rPr>
          <w:noProof/>
        </w:rPr>
        <mc:AlternateContent>
          <mc:Choice Requires="wps">
            <w:drawing>
              <wp:anchor distT="0" distB="0" distL="114300" distR="114300" simplePos="0" relativeHeight="251620352" behindDoc="0" locked="0" layoutInCell="1" allowOverlap="1" wp14:anchorId="56F287A3" wp14:editId="314A60BE">
                <wp:simplePos x="0" y="0"/>
                <wp:positionH relativeFrom="column">
                  <wp:posOffset>472440</wp:posOffset>
                </wp:positionH>
                <wp:positionV relativeFrom="paragraph">
                  <wp:posOffset>5082540</wp:posOffset>
                </wp:positionV>
                <wp:extent cx="1403985" cy="715645"/>
                <wp:effectExtent l="0" t="0" r="24765" b="27305"/>
                <wp:wrapNone/>
                <wp:docPr id="172" name="Прямоугольник 172"/>
                <wp:cNvGraphicFramePr/>
                <a:graphic xmlns:a="http://schemas.openxmlformats.org/drawingml/2006/main">
                  <a:graphicData uri="http://schemas.microsoft.com/office/word/2010/wordprocessingShape">
                    <wps:wsp>
                      <wps:cNvSpPr/>
                      <wps:spPr>
                        <a:xfrm>
                          <a:off x="0" y="0"/>
                          <a:ext cx="1403985" cy="715645"/>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16" w:lineRule="auto"/>
                              <w:jc w:val="center"/>
                              <w:rPr>
                                <w:lang w:val="uk-UA"/>
                              </w:rPr>
                            </w:pPr>
                            <w:r>
                              <w:rPr>
                                <w:lang w:val="uk-UA"/>
                              </w:rPr>
                              <w:t>Пацієнти з ГХ+ЦД 2 типу (</w:t>
                            </w:r>
                            <w:r>
                              <w:rPr>
                                <w:lang w:val="en-US"/>
                              </w:rPr>
                              <w:t xml:space="preserve">n=156) </w:t>
                            </w:r>
                            <w:r>
                              <w:rPr>
                                <w:lang w:val="uk-UA"/>
                              </w:rPr>
                              <w:t xml:space="preserve"> </w:t>
                            </w:r>
                            <w:r>
                              <w:rPr>
                                <w:lang w:val="en-US"/>
                              </w:rPr>
                              <w:t xml:space="preserve">– </w:t>
                            </w:r>
                            <w:r>
                              <w:rPr>
                                <w:lang w:val="uk-UA"/>
                              </w:rPr>
                              <w:t>група 2</w:t>
                            </w:r>
                          </w:p>
                          <w:p w:rsidR="008E5154" w:rsidRDefault="008E5154" w:rsidP="00E3259F">
                            <w:pPr>
                              <w:rPr>
                                <w:sz w:val="22"/>
                                <w:szCs w:val="22"/>
                              </w:rPr>
                            </w:pPr>
                          </w:p>
                          <w:p w:rsidR="008E5154" w:rsidRDefault="008E5154" w:rsidP="00E3259F">
                            <w:pPr>
                              <w:jc w:val="center"/>
                              <w:rPr>
                                <w:sz w:val="22"/>
                                <w:szCs w:val="22"/>
                                <w:lang w:val="uk-UA"/>
                              </w:rPr>
                            </w:pPr>
                          </w:p>
                          <w:p w:rsidR="008E5154" w:rsidRDefault="008E5154" w:rsidP="00E325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F287A3" id="Прямоугольник 172" o:spid="_x0000_s1038" style="position:absolute;left:0;text-align:left;margin-left:37.2pt;margin-top:400.2pt;width:110.55pt;height:56.3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" fillcolor="white [3201]" strokecolor="black [3200]" strokeweight="2pt">
                <v:textbox>
                  <w:txbxContent>
                    <w:p w:rsidR="008E5154" w:rsidRDefault="008E5154" w:rsidP="00E3259F">
                      <w:pPr>
                        <w:spacing w:line="216" w:lineRule="auto"/>
                        <w:jc w:val="center"/>
                        <w:rPr>
                          <w:lang w:val="uk-UA"/>
                        </w:rPr>
                      </w:pPr>
                      <w:r>
                        <w:rPr>
                          <w:lang w:val="uk-UA"/>
                        </w:rPr>
                        <w:t>Пацієнти з ГХ+ЦД 2 типу (</w:t>
                      </w:r>
                      <w:r>
                        <w:rPr>
                          <w:lang w:val="en-US"/>
                        </w:rPr>
                        <w:t xml:space="preserve">n=156) </w:t>
                      </w:r>
                      <w:r>
                        <w:rPr>
                          <w:lang w:val="uk-UA"/>
                        </w:rPr>
                        <w:t xml:space="preserve"> </w:t>
                      </w:r>
                      <w:r>
                        <w:rPr>
                          <w:lang w:val="en-US"/>
                        </w:rPr>
                        <w:t xml:space="preserve">– </w:t>
                      </w:r>
                      <w:r>
                        <w:rPr>
                          <w:lang w:val="uk-UA"/>
                        </w:rPr>
                        <w:t>група 2</w:t>
                      </w:r>
                    </w:p>
                    <w:p w:rsidR="008E5154" w:rsidRDefault="008E5154" w:rsidP="00E3259F">
                      <w:pPr>
                        <w:rPr>
                          <w:sz w:val="22"/>
                          <w:szCs w:val="22"/>
                        </w:rPr>
                      </w:pPr>
                    </w:p>
                    <w:p w:rsidR="008E5154" w:rsidRDefault="008E5154" w:rsidP="00E3259F">
                      <w:pPr>
                        <w:jc w:val="center"/>
                        <w:rPr>
                          <w:sz w:val="22"/>
                          <w:szCs w:val="22"/>
                          <w:lang w:val="uk-UA"/>
                        </w:rPr>
                      </w:pPr>
                    </w:p>
                    <w:p w:rsidR="008E5154" w:rsidRDefault="008E5154" w:rsidP="00E3259F">
                      <w:pPr>
                        <w:jc w:val="center"/>
                      </w:pPr>
                    </w:p>
                  </w:txbxContent>
                </v:textbox>
              </v:rect>
            </w:pict>
          </mc:Fallback>
        </mc:AlternateContent>
      </w:r>
      <w:r>
        <w:rPr>
          <w:noProof/>
        </w:rPr>
        <mc:AlternateContent>
          <mc:Choice Requires="wps">
            <w:drawing>
              <wp:anchor distT="0" distB="0" distL="114300" distR="114300" simplePos="0" relativeHeight="251621376" behindDoc="0" locked="0" layoutInCell="1" allowOverlap="1" wp14:anchorId="0D6E1B6A" wp14:editId="541E626F">
                <wp:simplePos x="0" y="0"/>
                <wp:positionH relativeFrom="column">
                  <wp:posOffset>1354455</wp:posOffset>
                </wp:positionH>
                <wp:positionV relativeFrom="paragraph">
                  <wp:posOffset>8488680</wp:posOffset>
                </wp:positionV>
                <wp:extent cx="3673475" cy="492125"/>
                <wp:effectExtent l="0" t="0" r="0" b="3175"/>
                <wp:wrapNone/>
                <wp:docPr id="170" name="Поле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3475" cy="492125"/>
                        </a:xfrm>
                        <a:prstGeom prst="rect">
                          <a:avLst/>
                        </a:prstGeom>
                        <a:noFill/>
                        <a:ln w="9525">
                          <a:noFill/>
                          <a:miter lim="800000"/>
                          <a:headEnd/>
                          <a:tailEnd/>
                        </a:ln>
                      </wps:spPr>
                      <wps:txbx>
                        <w:txbxContent>
                          <w:p w:rsidR="008E5154" w:rsidRDefault="008E5154" w:rsidP="00E3259F">
                            <w:pPr>
                              <w:jc w:val="center"/>
                              <w:rPr>
                                <w:lang w:val="uk-UA"/>
                              </w:rPr>
                            </w:pPr>
                            <w:r>
                              <w:rPr>
                                <w:lang w:val="uk-UA"/>
                              </w:rPr>
                              <w:t>Період спостереження – 12місяців.</w:t>
                            </w:r>
                          </w:p>
                          <w:p w:rsidR="008E5154" w:rsidRDefault="008E5154" w:rsidP="00E3259F">
                            <w:pPr>
                              <w:jc w:val="center"/>
                              <w:rPr>
                                <w:lang w:val="uk-UA"/>
                              </w:rPr>
                            </w:pPr>
                            <w:r>
                              <w:rPr>
                                <w:lang w:val="uk-UA"/>
                              </w:rPr>
                              <w:t>Заключний візит</w:t>
                            </w:r>
                          </w:p>
                          <w:p w:rsidR="008E5154" w:rsidRDefault="008E5154" w:rsidP="00E3259F">
                            <w:pPr>
                              <w:rPr>
                                <w:sz w:val="28"/>
                                <w:szCs w:val="28"/>
                              </w:rPr>
                            </w:pPr>
                          </w:p>
                        </w:txbxContent>
                      </wps:txbx>
                      <wps:bodyPr rot="0" vert="horz" wrap="square" lIns="91440" tIns="45720" rIns="91440" bIns="45720" anchor="b" anchorCtr="0">
                        <a:noAutofit/>
                      </wps:bodyPr>
                    </wps:wsp>
                  </a:graphicData>
                </a:graphic>
                <wp14:sizeRelH relativeFrom="page">
                  <wp14:pctWidth>0</wp14:pctWidth>
                </wp14:sizeRelH>
                <wp14:sizeRelV relativeFrom="page">
                  <wp14:pctHeight>0</wp14:pctHeight>
                </wp14:sizeRelV>
              </wp:anchor>
            </w:drawing>
          </mc:Choice>
          <mc:Fallback>
            <w:pict>
              <v:shape w14:anchorId="0D6E1B6A" id="Поле 170" o:spid="_x0000_s1039" type="#_x0000_t202" style="position:absolute;left:0;text-align:left;margin-left:106.65pt;margin-top:668.4pt;width:289.25pt;height:38.7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" filled="f" stroked="f">
                <v:textbox>
                  <w:txbxContent>
                    <w:p w:rsidR="008E5154" w:rsidRDefault="008E5154" w:rsidP="00E3259F">
                      <w:pPr>
                        <w:jc w:val="center"/>
                        <w:rPr>
                          <w:lang w:val="uk-UA"/>
                        </w:rPr>
                      </w:pPr>
                      <w:r>
                        <w:rPr>
                          <w:lang w:val="uk-UA"/>
                        </w:rPr>
                        <w:t>Період спостереження – 12місяців.</w:t>
                      </w:r>
                    </w:p>
                    <w:p w:rsidR="008E5154" w:rsidRDefault="008E5154" w:rsidP="00E3259F">
                      <w:pPr>
                        <w:jc w:val="center"/>
                        <w:rPr>
                          <w:lang w:val="uk-UA"/>
                        </w:rPr>
                      </w:pPr>
                      <w:r>
                        <w:rPr>
                          <w:lang w:val="uk-UA"/>
                        </w:rPr>
                        <w:t>Заключний візит</w:t>
                      </w:r>
                    </w:p>
                    <w:p w:rsidR="008E5154" w:rsidRDefault="008E5154" w:rsidP="00E3259F">
                      <w:pPr>
                        <w:rPr>
                          <w:sz w:val="28"/>
                          <w:szCs w:val="28"/>
                        </w:rPr>
                      </w:pPr>
                    </w:p>
                  </w:txbxContent>
                </v:textbox>
              </v:shape>
            </w:pict>
          </mc:Fallback>
        </mc:AlternateContent>
      </w:r>
      <w:r>
        <w:rPr>
          <w:noProof/>
        </w:rPr>
        <mc:AlternateContent>
          <mc:Choice Requires="wps">
            <w:drawing>
              <wp:anchor distT="0" distB="0" distL="114300" distR="114300" simplePos="0" relativeHeight="251622400" behindDoc="0" locked="0" layoutInCell="1" allowOverlap="1" wp14:anchorId="2CB32D9E" wp14:editId="70E9D273">
                <wp:simplePos x="0" y="0"/>
                <wp:positionH relativeFrom="column">
                  <wp:posOffset>1955800</wp:posOffset>
                </wp:positionH>
                <wp:positionV relativeFrom="paragraph">
                  <wp:posOffset>5073650</wp:posOffset>
                </wp:positionV>
                <wp:extent cx="1250315" cy="723900"/>
                <wp:effectExtent l="0" t="0" r="26035" b="19050"/>
                <wp:wrapNone/>
                <wp:docPr id="169" name="Прямоугольник 169"/>
                <wp:cNvGraphicFramePr/>
                <a:graphic xmlns:a="http://schemas.openxmlformats.org/drawingml/2006/main">
                  <a:graphicData uri="http://schemas.microsoft.com/office/word/2010/wordprocessingShape">
                    <wps:wsp>
                      <wps:cNvSpPr/>
                      <wps:spPr>
                        <a:xfrm>
                          <a:off x="0" y="0"/>
                          <a:ext cx="1250315" cy="723900"/>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16" w:lineRule="auto"/>
                              <w:jc w:val="center"/>
                              <w:rPr>
                                <w:lang w:val="uk-UA"/>
                              </w:rPr>
                            </w:pPr>
                            <w:r>
                              <w:rPr>
                                <w:lang w:val="uk-UA"/>
                              </w:rPr>
                              <w:t>Пацієнти з ГХ+ЦД 2 типу+СГТ</w:t>
                            </w:r>
                          </w:p>
                          <w:p w:rsidR="008E5154" w:rsidRDefault="008E5154" w:rsidP="00E3259F">
                            <w:pPr>
                              <w:spacing w:line="216" w:lineRule="auto"/>
                              <w:jc w:val="center"/>
                            </w:pPr>
                            <w:r>
                              <w:rPr>
                                <w:lang w:val="uk-UA"/>
                              </w:rPr>
                              <w:t>(</w:t>
                            </w:r>
                            <w:r>
                              <w:rPr>
                                <w:lang w:val="en-US"/>
                              </w:rPr>
                              <w:t>n</w:t>
                            </w:r>
                            <w:r>
                              <w:rPr>
                                <w:lang w:val="uk-UA"/>
                              </w:rPr>
                              <w:t xml:space="preserve"> = 8)</w:t>
                            </w:r>
                          </w:p>
                          <w:p w:rsidR="008E5154" w:rsidRDefault="008E5154" w:rsidP="00E3259F">
                            <w:pPr>
                              <w:rPr>
                                <w:sz w:val="22"/>
                                <w:szCs w:val="22"/>
                              </w:rPr>
                            </w:pPr>
                          </w:p>
                          <w:p w:rsidR="008E5154" w:rsidRDefault="008E5154" w:rsidP="00E3259F">
                            <w:pPr>
                              <w:jc w:val="center"/>
                              <w:rPr>
                                <w:sz w:val="22"/>
                                <w:szCs w:val="22"/>
                                <w:lang w:val="uk-UA"/>
                              </w:rPr>
                            </w:pPr>
                          </w:p>
                          <w:p w:rsidR="008E5154" w:rsidRDefault="008E5154" w:rsidP="00E325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B32D9E" id="Прямоугольник 169" o:spid="_x0000_s1040" style="position:absolute;left:0;text-align:left;margin-left:154pt;margin-top:399.5pt;width:98.45pt;height:57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" fillcolor="white [3201]" strokecolor="black [3200]" strokeweight="2pt">
                <v:textbox>
                  <w:txbxContent>
                    <w:p w:rsidR="008E5154" w:rsidRDefault="008E5154" w:rsidP="00E3259F">
                      <w:pPr>
                        <w:spacing w:line="216" w:lineRule="auto"/>
                        <w:jc w:val="center"/>
                        <w:rPr>
                          <w:lang w:val="uk-UA"/>
                        </w:rPr>
                      </w:pPr>
                      <w:r>
                        <w:rPr>
                          <w:lang w:val="uk-UA"/>
                        </w:rPr>
                        <w:t>Пацієнти з ГХ+ЦД 2 типу+СГТ</w:t>
                      </w:r>
                    </w:p>
                    <w:p w:rsidR="008E5154" w:rsidRDefault="008E5154" w:rsidP="00E3259F">
                      <w:pPr>
                        <w:spacing w:line="216" w:lineRule="auto"/>
                        <w:jc w:val="center"/>
                      </w:pPr>
                      <w:r>
                        <w:rPr>
                          <w:lang w:val="uk-UA"/>
                        </w:rPr>
                        <w:t>(</w:t>
                      </w:r>
                      <w:r>
                        <w:rPr>
                          <w:lang w:val="en-US"/>
                        </w:rPr>
                        <w:t>n</w:t>
                      </w:r>
                      <w:r>
                        <w:rPr>
                          <w:lang w:val="uk-UA"/>
                        </w:rPr>
                        <w:t xml:space="preserve"> = 8)</w:t>
                      </w:r>
                    </w:p>
                    <w:p w:rsidR="008E5154" w:rsidRDefault="008E5154" w:rsidP="00E3259F">
                      <w:pPr>
                        <w:rPr>
                          <w:sz w:val="22"/>
                          <w:szCs w:val="22"/>
                        </w:rPr>
                      </w:pPr>
                    </w:p>
                    <w:p w:rsidR="008E5154" w:rsidRDefault="008E5154" w:rsidP="00E3259F">
                      <w:pPr>
                        <w:jc w:val="center"/>
                        <w:rPr>
                          <w:sz w:val="22"/>
                          <w:szCs w:val="22"/>
                          <w:lang w:val="uk-UA"/>
                        </w:rPr>
                      </w:pPr>
                    </w:p>
                    <w:p w:rsidR="008E5154" w:rsidRDefault="008E5154" w:rsidP="00E3259F">
                      <w:pPr>
                        <w:jc w:val="center"/>
                      </w:pPr>
                    </w:p>
                  </w:txbxContent>
                </v:textbox>
              </v:rect>
            </w:pict>
          </mc:Fallback>
        </mc:AlternateContent>
      </w:r>
      <w:r>
        <w:rPr>
          <w:noProof/>
        </w:rPr>
        <mc:AlternateContent>
          <mc:Choice Requires="wps">
            <w:drawing>
              <wp:anchor distT="0" distB="0" distL="114300" distR="114300" simplePos="0" relativeHeight="251623424" behindDoc="0" locked="0" layoutInCell="1" allowOverlap="1" wp14:anchorId="553B6DA1" wp14:editId="63E989E2">
                <wp:simplePos x="0" y="0"/>
                <wp:positionH relativeFrom="column">
                  <wp:posOffset>473710</wp:posOffset>
                </wp:positionH>
                <wp:positionV relativeFrom="paragraph">
                  <wp:posOffset>5948680</wp:posOffset>
                </wp:positionV>
                <wp:extent cx="1454785" cy="635000"/>
                <wp:effectExtent l="0" t="0" r="12065" b="12700"/>
                <wp:wrapNone/>
                <wp:docPr id="168" name="Прямоугольник 168"/>
                <wp:cNvGraphicFramePr/>
                <a:graphic xmlns:a="http://schemas.openxmlformats.org/drawingml/2006/main">
                  <a:graphicData uri="http://schemas.microsoft.com/office/word/2010/wordprocessingShape">
                    <wps:wsp>
                      <wps:cNvSpPr/>
                      <wps:spPr>
                        <a:xfrm>
                          <a:off x="0" y="0"/>
                          <a:ext cx="1454785" cy="635000"/>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Призначення статинів</w:t>
                            </w:r>
                          </w:p>
                          <w:p w:rsidR="008E5154" w:rsidRDefault="008E5154" w:rsidP="00E3259F"/>
                          <w:p w:rsidR="008E5154" w:rsidRDefault="008E5154" w:rsidP="00E3259F">
                            <w:pPr>
                              <w:jc w:val="center"/>
                              <w:rPr>
                                <w:sz w:val="22"/>
                                <w:szCs w:val="22"/>
                                <w:lang w:val="uk-UA"/>
                              </w:rPr>
                            </w:pPr>
                          </w:p>
                          <w:p w:rsidR="008E5154" w:rsidRDefault="008E5154" w:rsidP="00E325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3B6DA1" id="Прямоугольник 168" o:spid="_x0000_s1041" style="position:absolute;left:0;text-align:left;margin-left:37.3pt;margin-top:468.4pt;width:114.55pt;height:50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" fillcolor="white [3201]" strokecolor="black [3200]" strokeweight="2pt">
                <v:textbox>
                  <w:txbxContent>
                    <w:p w:rsidR="008E5154" w:rsidRDefault="008E5154" w:rsidP="00E3259F">
                      <w:pPr>
                        <w:jc w:val="center"/>
                        <w:rPr>
                          <w:lang w:val="uk-UA"/>
                        </w:rPr>
                      </w:pPr>
                      <w:r>
                        <w:rPr>
                          <w:lang w:val="uk-UA"/>
                        </w:rPr>
                        <w:t>Призначення статинів</w:t>
                      </w:r>
                    </w:p>
                    <w:p w:rsidR="008E5154" w:rsidRDefault="008E5154" w:rsidP="00E3259F"/>
                    <w:p w:rsidR="008E5154" w:rsidRDefault="008E5154" w:rsidP="00E3259F">
                      <w:pPr>
                        <w:jc w:val="center"/>
                        <w:rPr>
                          <w:sz w:val="22"/>
                          <w:szCs w:val="22"/>
                          <w:lang w:val="uk-UA"/>
                        </w:rPr>
                      </w:pPr>
                    </w:p>
                    <w:p w:rsidR="008E5154" w:rsidRDefault="008E5154" w:rsidP="00E3259F">
                      <w:pPr>
                        <w:jc w:val="center"/>
                      </w:pPr>
                    </w:p>
                  </w:txbxContent>
                </v:textbox>
              </v:rect>
            </w:pict>
          </mc:Fallback>
        </mc:AlternateContent>
      </w:r>
      <w:r>
        <w:rPr>
          <w:noProof/>
        </w:rPr>
        <mc:AlternateContent>
          <mc:Choice Requires="wps">
            <w:drawing>
              <wp:anchor distT="0" distB="0" distL="114300" distR="114300" simplePos="0" relativeHeight="251624448" behindDoc="0" locked="0" layoutInCell="1" allowOverlap="1" wp14:anchorId="115B9F7C" wp14:editId="03021F9C">
                <wp:simplePos x="0" y="0"/>
                <wp:positionH relativeFrom="column">
                  <wp:posOffset>5267325</wp:posOffset>
                </wp:positionH>
                <wp:positionV relativeFrom="paragraph">
                  <wp:posOffset>8127365</wp:posOffset>
                </wp:positionV>
                <wp:extent cx="635" cy="172720"/>
                <wp:effectExtent l="0" t="0" r="37465" b="17780"/>
                <wp:wrapNone/>
                <wp:docPr id="166" name="Прямая соединительная линия 166"/>
                <wp:cNvGraphicFramePr/>
                <a:graphic xmlns:a="http://schemas.openxmlformats.org/drawingml/2006/main">
                  <a:graphicData uri="http://schemas.microsoft.com/office/word/2010/wordprocessingShape">
                    <wps:wsp>
                      <wps:cNvCnPr/>
                      <wps:spPr>
                        <a:xfrm flipH="1">
                          <a:off x="0" y="0"/>
                          <a:ext cx="635" cy="17272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89A71C" id="Прямая соединительная линия 166" o:spid="_x0000_s1026" style="position:absolute;flip:x;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4.75pt,639.95pt" to="414.8pt,6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" strokecolor="black [3200]" strokeweight="2pt"/>
            </w:pict>
          </mc:Fallback>
        </mc:AlternateContent>
      </w:r>
      <w:r>
        <w:rPr>
          <w:noProof/>
        </w:rPr>
        <mc:AlternateContent>
          <mc:Choice Requires="wps">
            <w:drawing>
              <wp:anchor distT="0" distB="0" distL="114300" distR="114300" simplePos="0" relativeHeight="251625472" behindDoc="0" locked="0" layoutInCell="1" allowOverlap="1" wp14:anchorId="038342B2" wp14:editId="5DA261C9">
                <wp:simplePos x="0" y="0"/>
                <wp:positionH relativeFrom="margin">
                  <wp:posOffset>1102360</wp:posOffset>
                </wp:positionH>
                <wp:positionV relativeFrom="paragraph">
                  <wp:posOffset>6570345</wp:posOffset>
                </wp:positionV>
                <wp:extent cx="17145" cy="1725295"/>
                <wp:effectExtent l="0" t="0" r="20955" b="27305"/>
                <wp:wrapNone/>
                <wp:docPr id="165" name="Прямая соединительная линия 165"/>
                <wp:cNvGraphicFramePr/>
                <a:graphic xmlns:a="http://schemas.openxmlformats.org/drawingml/2006/main">
                  <a:graphicData uri="http://schemas.microsoft.com/office/word/2010/wordprocessingShape">
                    <wps:wsp>
                      <wps:cNvCnPr/>
                      <wps:spPr>
                        <a:xfrm flipH="1">
                          <a:off x="0" y="0"/>
                          <a:ext cx="17145" cy="172466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A6D4D3" id="Прямая соединительная линия 165" o:spid="_x0000_s1026" style="position:absolute;flip:x;z-index:251625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6.8pt,517.35pt" to="88.15pt,65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" strokecolor="black [3200]" strokeweight="2pt">
                <w10:wrap anchorx="margin"/>
              </v:line>
            </w:pict>
          </mc:Fallback>
        </mc:AlternateContent>
      </w:r>
      <w:r>
        <w:rPr>
          <w:noProof/>
        </w:rPr>
        <mc:AlternateContent>
          <mc:Choice Requires="wps">
            <w:drawing>
              <wp:anchor distT="0" distB="0" distL="114300" distR="114300" simplePos="0" relativeHeight="251626496" behindDoc="0" locked="0" layoutInCell="1" allowOverlap="1" wp14:anchorId="398E328F" wp14:editId="1F366248">
                <wp:simplePos x="0" y="0"/>
                <wp:positionH relativeFrom="column">
                  <wp:posOffset>1081405</wp:posOffset>
                </wp:positionH>
                <wp:positionV relativeFrom="paragraph">
                  <wp:posOffset>8314690</wp:posOffset>
                </wp:positionV>
                <wp:extent cx="4201160" cy="8255"/>
                <wp:effectExtent l="0" t="0" r="27940" b="29845"/>
                <wp:wrapNone/>
                <wp:docPr id="164" name="Прямая соединительная линия 164"/>
                <wp:cNvGraphicFramePr/>
                <a:graphic xmlns:a="http://schemas.openxmlformats.org/drawingml/2006/main">
                  <a:graphicData uri="http://schemas.microsoft.com/office/word/2010/wordprocessingShape">
                    <wps:wsp>
                      <wps:cNvCnPr/>
                      <wps:spPr>
                        <a:xfrm>
                          <a:off x="0" y="0"/>
                          <a:ext cx="4201160" cy="825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3FDEB010" id="Прямая соединительная линия 164" o:spid="_x0000_s1026" style="position:absolute;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5.15pt,654.7pt" to="415.95pt,6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" strokecolor="black [3213]" strokeweight="2pt"/>
            </w:pict>
          </mc:Fallback>
        </mc:AlternateContent>
      </w:r>
      <w:r>
        <w:rPr>
          <w:noProof/>
        </w:rPr>
        <mc:AlternateContent>
          <mc:Choice Requires="wps">
            <w:drawing>
              <wp:anchor distT="0" distB="0" distL="114300" distR="114300" simplePos="0" relativeHeight="251627520" behindDoc="0" locked="0" layoutInCell="1" allowOverlap="1" wp14:anchorId="04651ED4" wp14:editId="365C671C">
                <wp:simplePos x="0" y="0"/>
                <wp:positionH relativeFrom="column">
                  <wp:posOffset>3241040</wp:posOffset>
                </wp:positionH>
                <wp:positionV relativeFrom="paragraph">
                  <wp:posOffset>1339215</wp:posOffset>
                </wp:positionV>
                <wp:extent cx="5715" cy="291465"/>
                <wp:effectExtent l="76200" t="0" r="70485" b="51435"/>
                <wp:wrapNone/>
                <wp:docPr id="163" name="Прямая со стрелкой 163"/>
                <wp:cNvGraphicFramePr/>
                <a:graphic xmlns:a="http://schemas.openxmlformats.org/drawingml/2006/main">
                  <a:graphicData uri="http://schemas.microsoft.com/office/word/2010/wordprocessingShape">
                    <wps:wsp>
                      <wps:cNvCnPr/>
                      <wps:spPr>
                        <a:xfrm>
                          <a:off x="0" y="0"/>
                          <a:ext cx="5715"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6C7D346" id="Прямая со стрелкой 163" o:spid="_x0000_s1026" type="#_x0000_t32" style="position:absolute;margin-left:255.2pt;margin-top:105.45pt;width:.45pt;height:22.9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" strokecolor="black [3200]" strokeweight="2pt">
                <v:stroke endarrow="block"/>
              </v:shape>
            </w:pict>
          </mc:Fallback>
        </mc:AlternateContent>
      </w:r>
      <w:r>
        <w:rPr>
          <w:noProof/>
        </w:rPr>
        <mc:AlternateContent>
          <mc:Choice Requires="wps">
            <w:drawing>
              <wp:anchor distT="0" distB="0" distL="114300" distR="114300" simplePos="0" relativeHeight="251628544" behindDoc="0" locked="0" layoutInCell="1" allowOverlap="1" wp14:anchorId="11EC6A93" wp14:editId="35C1553B">
                <wp:simplePos x="0" y="0"/>
                <wp:positionH relativeFrom="column">
                  <wp:posOffset>5058410</wp:posOffset>
                </wp:positionH>
                <wp:positionV relativeFrom="paragraph">
                  <wp:posOffset>443865</wp:posOffset>
                </wp:positionV>
                <wp:extent cx="0" cy="248285"/>
                <wp:effectExtent l="76200" t="0" r="57150" b="56515"/>
                <wp:wrapNone/>
                <wp:docPr id="162" name="Прямая со стрелкой 162"/>
                <wp:cNvGraphicFramePr/>
                <a:graphic xmlns:a="http://schemas.openxmlformats.org/drawingml/2006/main">
                  <a:graphicData uri="http://schemas.microsoft.com/office/word/2010/wordprocessingShape">
                    <wps:wsp>
                      <wps:cNvCnPr/>
                      <wps:spPr>
                        <a:xfrm>
                          <a:off x="0" y="0"/>
                          <a:ext cx="0" cy="248285"/>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9B71F3E" id="Прямая со стрелкой 162" o:spid="_x0000_s1026" type="#_x0000_t32" style="position:absolute;margin-left:398.3pt;margin-top:34.95pt;width:0;height:19.5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" strokecolor="black [3213]" strokeweight="2pt">
                <v:stroke endarrow="block"/>
              </v:shape>
            </w:pict>
          </mc:Fallback>
        </mc:AlternateContent>
      </w:r>
      <w:r>
        <w:rPr>
          <w:noProof/>
        </w:rPr>
        <mc:AlternateContent>
          <mc:Choice Requires="wps">
            <w:drawing>
              <wp:anchor distT="0" distB="0" distL="114300" distR="114300" simplePos="0" relativeHeight="251629568" behindDoc="0" locked="0" layoutInCell="1" allowOverlap="1" wp14:anchorId="54EF8B61" wp14:editId="04C2E501">
                <wp:simplePos x="0" y="0"/>
                <wp:positionH relativeFrom="column">
                  <wp:posOffset>1097915</wp:posOffset>
                </wp:positionH>
                <wp:positionV relativeFrom="paragraph">
                  <wp:posOffset>426720</wp:posOffset>
                </wp:positionV>
                <wp:extent cx="0" cy="248285"/>
                <wp:effectExtent l="76200" t="0" r="57150" b="56515"/>
                <wp:wrapNone/>
                <wp:docPr id="161" name="Прямая со стрелкой 161"/>
                <wp:cNvGraphicFramePr/>
                <a:graphic xmlns:a="http://schemas.openxmlformats.org/drawingml/2006/main">
                  <a:graphicData uri="http://schemas.microsoft.com/office/word/2010/wordprocessingShape">
                    <wps:wsp>
                      <wps:cNvCnPr/>
                      <wps:spPr>
                        <a:xfrm>
                          <a:off x="0" y="0"/>
                          <a:ext cx="0" cy="248285"/>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C13D65" id="Прямая со стрелкой 161" o:spid="_x0000_s1026" type="#_x0000_t32" style="position:absolute;margin-left:86.45pt;margin-top:33.6pt;width:0;height:19.5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" strokecolor="black [3213]" strokeweight="2pt">
                <v:stroke endarrow="block"/>
              </v:shape>
            </w:pict>
          </mc:Fallback>
        </mc:AlternateContent>
      </w:r>
      <w:r>
        <w:rPr>
          <w:noProof/>
        </w:rPr>
        <mc:AlternateContent>
          <mc:Choice Requires="wps">
            <w:drawing>
              <wp:anchor distT="0" distB="0" distL="114300" distR="114300" simplePos="0" relativeHeight="251630592" behindDoc="0" locked="0" layoutInCell="1" allowOverlap="1" wp14:anchorId="43D805E5" wp14:editId="5166F450">
                <wp:simplePos x="0" y="0"/>
                <wp:positionH relativeFrom="column">
                  <wp:posOffset>3241675</wp:posOffset>
                </wp:positionH>
                <wp:positionV relativeFrom="paragraph">
                  <wp:posOffset>433070</wp:posOffset>
                </wp:positionV>
                <wp:extent cx="3175" cy="258445"/>
                <wp:effectExtent l="76200" t="0" r="73025" b="65405"/>
                <wp:wrapNone/>
                <wp:docPr id="160" name="Прямая со стрелкой 160"/>
                <wp:cNvGraphicFramePr/>
                <a:graphic xmlns:a="http://schemas.openxmlformats.org/drawingml/2006/main">
                  <a:graphicData uri="http://schemas.microsoft.com/office/word/2010/wordprocessingShape">
                    <wps:wsp>
                      <wps:cNvCnPr/>
                      <wps:spPr>
                        <a:xfrm flipH="1">
                          <a:off x="0" y="0"/>
                          <a:ext cx="3175" cy="258445"/>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5637DB8" id="Прямая со стрелкой 160" o:spid="_x0000_s1026" type="#_x0000_t32" style="position:absolute;margin-left:255.25pt;margin-top:34.1pt;width:.25pt;height:20.35pt;flip:x;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" strokecolor="black [3213]" strokeweight="2pt">
                <v:stroke endarrow="block"/>
              </v:shape>
            </w:pict>
          </mc:Fallback>
        </mc:AlternateContent>
      </w:r>
      <w:r>
        <w:rPr>
          <w:noProof/>
        </w:rPr>
        <mc:AlternateContent>
          <mc:Choice Requires="wps">
            <w:drawing>
              <wp:anchor distT="0" distB="0" distL="114300" distR="114300" simplePos="0" relativeHeight="251631616" behindDoc="0" locked="0" layoutInCell="1" allowOverlap="1" wp14:anchorId="75B77DE5" wp14:editId="1B65BC6B">
                <wp:simplePos x="0" y="0"/>
                <wp:positionH relativeFrom="column">
                  <wp:posOffset>5821045</wp:posOffset>
                </wp:positionH>
                <wp:positionV relativeFrom="paragraph">
                  <wp:posOffset>962025</wp:posOffset>
                </wp:positionV>
                <wp:extent cx="94615" cy="0"/>
                <wp:effectExtent l="0" t="0" r="19685" b="19050"/>
                <wp:wrapNone/>
                <wp:docPr id="143" name="Прямая соединительная линия 143"/>
                <wp:cNvGraphicFramePr/>
                <a:graphic xmlns:a="http://schemas.openxmlformats.org/drawingml/2006/main">
                  <a:graphicData uri="http://schemas.microsoft.com/office/word/2010/wordprocessingShape">
                    <wps:wsp>
                      <wps:cNvCnPr/>
                      <wps:spPr>
                        <a:xfrm flipV="1">
                          <a:off x="0" y="0"/>
                          <a:ext cx="94615" cy="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3FE39D" id="Прямая соединительная линия 143" o:spid="_x0000_s1026" style="position:absolute;flip:y;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8.35pt,75.75pt" to="465.8pt,7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" strokecolor="black [3040]" strokeweight="2pt"/>
            </w:pict>
          </mc:Fallback>
        </mc:AlternateContent>
      </w:r>
      <w:r>
        <w:rPr>
          <w:noProof/>
        </w:rPr>
        <mc:AlternateContent>
          <mc:Choice Requires="wps">
            <w:drawing>
              <wp:anchor distT="0" distB="0" distL="114300" distR="114300" simplePos="0" relativeHeight="251632640" behindDoc="0" locked="0" layoutInCell="1" allowOverlap="1" wp14:anchorId="28FA22E0" wp14:editId="1F18A23A">
                <wp:simplePos x="0" y="0"/>
                <wp:positionH relativeFrom="column">
                  <wp:posOffset>3126740</wp:posOffset>
                </wp:positionH>
                <wp:positionV relativeFrom="paragraph">
                  <wp:posOffset>8315960</wp:posOffset>
                </wp:positionV>
                <wp:extent cx="0" cy="164465"/>
                <wp:effectExtent l="76200" t="0" r="57150" b="64135"/>
                <wp:wrapNone/>
                <wp:docPr id="141" name="Прямая со стрелкой 141"/>
                <wp:cNvGraphicFramePr/>
                <a:graphic xmlns:a="http://schemas.openxmlformats.org/drawingml/2006/main">
                  <a:graphicData uri="http://schemas.microsoft.com/office/word/2010/wordprocessingShape">
                    <wps:wsp>
                      <wps:cNvCnPr/>
                      <wps:spPr>
                        <a:xfrm>
                          <a:off x="0" y="0"/>
                          <a:ext cx="0" cy="164465"/>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02819F4" id="Прямая со стрелкой 141" o:spid="_x0000_s1026" type="#_x0000_t32" style="position:absolute;margin-left:246.2pt;margin-top:654.8pt;width:0;height:12.9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" strokecolor="black [3213]" strokeweight="2pt">
                <v:stroke endarrow="block"/>
              </v:shape>
            </w:pict>
          </mc:Fallback>
        </mc:AlternateContent>
      </w:r>
      <w:r>
        <w:rPr>
          <w:noProof/>
        </w:rPr>
        <mc:AlternateContent>
          <mc:Choice Requires="wps">
            <w:drawing>
              <wp:anchor distT="0" distB="0" distL="114300" distR="114300" simplePos="0" relativeHeight="251633664" behindDoc="0" locked="0" layoutInCell="1" allowOverlap="1" wp14:anchorId="0F143D0D" wp14:editId="1676D51F">
                <wp:simplePos x="0" y="0"/>
                <wp:positionH relativeFrom="column">
                  <wp:posOffset>31115</wp:posOffset>
                </wp:positionH>
                <wp:positionV relativeFrom="paragraph">
                  <wp:posOffset>-367665</wp:posOffset>
                </wp:positionV>
                <wp:extent cx="350520" cy="1673225"/>
                <wp:effectExtent l="0" t="0" r="11430" b="22225"/>
                <wp:wrapNone/>
                <wp:docPr id="139" name="Прямоугольник 139"/>
                <wp:cNvGraphicFramePr/>
                <a:graphic xmlns:a="http://schemas.openxmlformats.org/drawingml/2006/main">
                  <a:graphicData uri="http://schemas.microsoft.com/office/word/2010/wordprocessingShape">
                    <wps:wsp>
                      <wps:cNvSpPr/>
                      <wps:spPr>
                        <a:xfrm rot="10800000">
                          <a:off x="0" y="0"/>
                          <a:ext cx="350520" cy="1673225"/>
                        </a:xfrm>
                        <a:prstGeom prst="rect">
                          <a:avLst/>
                        </a:prstGeom>
                        <a:solidFill>
                          <a:schemeClr val="bg1"/>
                        </a:solidFill>
                        <a:ln w="19050" cap="rnd">
                          <a:solidFill>
                            <a:schemeClr val="tx1"/>
                          </a:solidFill>
                          <a:round/>
                        </a:ln>
                      </wps:spPr>
                      <wps:style>
                        <a:lnRef idx="2">
                          <a:schemeClr val="accent1">
                            <a:shade val="50000"/>
                          </a:schemeClr>
                        </a:lnRef>
                        <a:fillRef idx="1">
                          <a:schemeClr val="accent1"/>
                        </a:fillRef>
                        <a:effectRef idx="0">
                          <a:schemeClr val="accent1"/>
                        </a:effectRef>
                        <a:fontRef idx="minor">
                          <a:schemeClr val="lt1"/>
                        </a:fontRef>
                      </wps:style>
                      <wps:txbx>
                        <w:txbxContent>
                          <w:p w:rsidR="008E5154" w:rsidRDefault="008E5154" w:rsidP="00E3259F">
                            <w:pPr>
                              <w:jc w:val="center"/>
                              <w:rPr>
                                <w:color w:val="000000" w:themeColor="text1"/>
                              </w:rPr>
                            </w:pPr>
                            <w:r>
                              <w:rPr>
                                <w:color w:val="000000" w:themeColor="text1"/>
                                <w:lang w:val="en-US"/>
                              </w:rPr>
                              <w:t xml:space="preserve">I </w:t>
                            </w:r>
                            <w:r>
                              <w:rPr>
                                <w:color w:val="000000" w:themeColor="text1"/>
                              </w:rPr>
                              <w:t>ЕТАП</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143D0D" id="Прямоугольник 139" o:spid="_x0000_s1042" style="position:absolute;left:0;text-align:left;margin-left:2.45pt;margin-top:-28.95pt;width:27.6pt;height:131.75pt;rotation:180;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" fillcolor="white [3212]" strokecolor="black [3213]" strokeweight="1.5pt">
                <v:stroke joinstyle="round" endcap="round"/>
                <v:textbox style="layout-flow:vertical">
                  <w:txbxContent>
                    <w:p w:rsidR="008E5154" w:rsidRDefault="008E5154" w:rsidP="00E3259F">
                      <w:pPr>
                        <w:jc w:val="center"/>
                        <w:rPr>
                          <w:color w:val="000000" w:themeColor="text1"/>
                        </w:rPr>
                      </w:pPr>
                      <w:r>
                        <w:rPr>
                          <w:color w:val="000000" w:themeColor="text1"/>
                          <w:lang w:val="en-US"/>
                        </w:rPr>
                        <w:t xml:space="preserve">I </w:t>
                      </w:r>
                      <w:r>
                        <w:rPr>
                          <w:color w:val="000000" w:themeColor="text1"/>
                        </w:rPr>
                        <w:t>ЕТАП</w:t>
                      </w:r>
                    </w:p>
                  </w:txbxContent>
                </v:textbox>
              </v:rect>
            </w:pict>
          </mc:Fallback>
        </mc:AlternateContent>
      </w:r>
      <w:r>
        <w:rPr>
          <w:noProof/>
        </w:rPr>
        <mc:AlternateContent>
          <mc:Choice Requires="wps">
            <w:drawing>
              <wp:anchor distT="0" distB="0" distL="114300" distR="114300" simplePos="0" relativeHeight="251634688" behindDoc="0" locked="0" layoutInCell="1" allowOverlap="1" wp14:anchorId="67DABEFB" wp14:editId="4DDD9047">
                <wp:simplePos x="0" y="0"/>
                <wp:positionH relativeFrom="column">
                  <wp:posOffset>34290</wp:posOffset>
                </wp:positionH>
                <wp:positionV relativeFrom="paragraph">
                  <wp:posOffset>1395730</wp:posOffset>
                </wp:positionV>
                <wp:extent cx="350520" cy="4506595"/>
                <wp:effectExtent l="0" t="0" r="11430" b="27305"/>
                <wp:wrapNone/>
                <wp:docPr id="136" name="Прямоугольник 136"/>
                <wp:cNvGraphicFramePr/>
                <a:graphic xmlns:a="http://schemas.openxmlformats.org/drawingml/2006/main">
                  <a:graphicData uri="http://schemas.microsoft.com/office/word/2010/wordprocessingShape">
                    <wps:wsp>
                      <wps:cNvSpPr/>
                      <wps:spPr>
                        <a:xfrm rot="10800000">
                          <a:off x="0" y="0"/>
                          <a:ext cx="350520" cy="450659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E5154" w:rsidRDefault="008E5154" w:rsidP="00E3259F">
                            <w:pPr>
                              <w:jc w:val="center"/>
                              <w:rPr>
                                <w:color w:val="000000" w:themeColor="text1"/>
                              </w:rPr>
                            </w:pPr>
                            <w:r>
                              <w:rPr>
                                <w:color w:val="000000" w:themeColor="text1"/>
                                <w:lang w:val="en-US"/>
                              </w:rPr>
                              <w:t xml:space="preserve">II </w:t>
                            </w:r>
                            <w:r>
                              <w:rPr>
                                <w:color w:val="000000" w:themeColor="text1"/>
                              </w:rPr>
                              <w:t>ЕТАП</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DABEFB" id="Прямоугольник 136" o:spid="_x0000_s1043" style="position:absolute;left:0;text-align:left;margin-left:2.7pt;margin-top:109.9pt;width:27.6pt;height:354.85pt;rotation:180;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" fillcolor="white [3212]" strokecolor="black [3213]" strokeweight="1.5pt">
                <v:textbox style="layout-flow:vertical">
                  <w:txbxContent>
                    <w:p w:rsidR="008E5154" w:rsidRDefault="008E5154" w:rsidP="00E3259F">
                      <w:pPr>
                        <w:jc w:val="center"/>
                        <w:rPr>
                          <w:color w:val="000000" w:themeColor="text1"/>
                        </w:rPr>
                      </w:pPr>
                      <w:r>
                        <w:rPr>
                          <w:color w:val="000000" w:themeColor="text1"/>
                          <w:lang w:val="en-US"/>
                        </w:rPr>
                        <w:t xml:space="preserve">II </w:t>
                      </w:r>
                      <w:r>
                        <w:rPr>
                          <w:color w:val="000000" w:themeColor="text1"/>
                        </w:rPr>
                        <w:t>ЕТАП</w:t>
                      </w:r>
                    </w:p>
                  </w:txbxContent>
                </v:textbox>
              </v:rect>
            </w:pict>
          </mc:Fallback>
        </mc:AlternateContent>
      </w:r>
      <w:r>
        <w:rPr>
          <w:noProof/>
        </w:rPr>
        <mc:AlternateContent>
          <mc:Choice Requires="wps">
            <w:drawing>
              <wp:anchor distT="0" distB="0" distL="114300" distR="114300" simplePos="0" relativeHeight="251635712" behindDoc="0" locked="0" layoutInCell="1" allowOverlap="1" wp14:anchorId="47F4DF9D" wp14:editId="1833727D">
                <wp:simplePos x="0" y="0"/>
                <wp:positionH relativeFrom="column">
                  <wp:posOffset>24130</wp:posOffset>
                </wp:positionH>
                <wp:positionV relativeFrom="paragraph">
                  <wp:posOffset>5943600</wp:posOffset>
                </wp:positionV>
                <wp:extent cx="350520" cy="3061970"/>
                <wp:effectExtent l="0" t="0" r="11430" b="24130"/>
                <wp:wrapNone/>
                <wp:docPr id="135" name="Прямоугольник 135"/>
                <wp:cNvGraphicFramePr/>
                <a:graphic xmlns:a="http://schemas.openxmlformats.org/drawingml/2006/main">
                  <a:graphicData uri="http://schemas.microsoft.com/office/word/2010/wordprocessingShape">
                    <wps:wsp>
                      <wps:cNvSpPr/>
                      <wps:spPr>
                        <a:xfrm rot="10800000">
                          <a:off x="0" y="0"/>
                          <a:ext cx="350520" cy="306197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E5154" w:rsidRDefault="008E5154" w:rsidP="00E3259F">
                            <w:pPr>
                              <w:jc w:val="center"/>
                              <w:rPr>
                                <w:color w:val="000000" w:themeColor="text1"/>
                              </w:rPr>
                            </w:pPr>
                            <w:r>
                              <w:rPr>
                                <w:color w:val="000000" w:themeColor="text1"/>
                                <w:lang w:val="en-US"/>
                              </w:rPr>
                              <w:t xml:space="preserve">III </w:t>
                            </w:r>
                            <w:r>
                              <w:rPr>
                                <w:color w:val="000000" w:themeColor="text1"/>
                              </w:rPr>
                              <w:t>ЕТАП</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F4DF9D" id="Прямоугольник 135" o:spid="_x0000_s1044" style="position:absolute;left:0;text-align:left;margin-left:1.9pt;margin-top:468pt;width:27.6pt;height:241.1pt;rotation:180;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" fillcolor="white [3212]" strokecolor="black [3213]" strokeweight="1.5pt">
                <v:textbox style="layout-flow:vertical">
                  <w:txbxContent>
                    <w:p w:rsidR="008E5154" w:rsidRDefault="008E5154" w:rsidP="00E3259F">
                      <w:pPr>
                        <w:jc w:val="center"/>
                        <w:rPr>
                          <w:color w:val="000000" w:themeColor="text1"/>
                        </w:rPr>
                      </w:pPr>
                      <w:r>
                        <w:rPr>
                          <w:color w:val="000000" w:themeColor="text1"/>
                          <w:lang w:val="en-US"/>
                        </w:rPr>
                        <w:t xml:space="preserve">III </w:t>
                      </w:r>
                      <w:r>
                        <w:rPr>
                          <w:color w:val="000000" w:themeColor="text1"/>
                        </w:rPr>
                        <w:t>ЕТАП</w:t>
                      </w:r>
                    </w:p>
                  </w:txbxContent>
                </v:textbox>
              </v:rect>
            </w:pict>
          </mc:Fallback>
        </mc:AlternateContent>
      </w:r>
      <w:r>
        <w:rPr>
          <w:noProof/>
        </w:rPr>
        <mc:AlternateContent>
          <mc:Choice Requires="wps">
            <w:drawing>
              <wp:anchor distT="0" distB="0" distL="114300" distR="114300" simplePos="0" relativeHeight="251636736" behindDoc="0" locked="0" layoutInCell="1" allowOverlap="1" wp14:anchorId="08BBE0D5" wp14:editId="2AAD006E">
                <wp:simplePos x="0" y="0"/>
                <wp:positionH relativeFrom="margin">
                  <wp:posOffset>3234055</wp:posOffset>
                </wp:positionH>
                <wp:positionV relativeFrom="paragraph">
                  <wp:posOffset>3461385</wp:posOffset>
                </wp:positionV>
                <wp:extent cx="5715" cy="392430"/>
                <wp:effectExtent l="0" t="0" r="32385" b="26670"/>
                <wp:wrapNone/>
                <wp:docPr id="134" name="Прямая соединительная линия 134"/>
                <wp:cNvGraphicFramePr/>
                <a:graphic xmlns:a="http://schemas.openxmlformats.org/drawingml/2006/main">
                  <a:graphicData uri="http://schemas.microsoft.com/office/word/2010/wordprocessingShape">
                    <wps:wsp>
                      <wps:cNvCnPr/>
                      <wps:spPr>
                        <a:xfrm flipH="1">
                          <a:off x="0" y="0"/>
                          <a:ext cx="5715" cy="392430"/>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A414D7" id="Прямая соединительная линия 134" o:spid="_x0000_s1026" style="position:absolute;flip:x;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4.65pt,272.55pt" to="255.1pt,30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" strokecolor="black [3200]" strokeweight="2pt">
                <w10:wrap anchorx="margin"/>
              </v:line>
            </w:pict>
          </mc:Fallback>
        </mc:AlternateContent>
      </w:r>
      <w:r>
        <w:rPr>
          <w:noProof/>
        </w:rPr>
        <mc:AlternateContent>
          <mc:Choice Requires="wps">
            <w:drawing>
              <wp:anchor distT="0" distB="0" distL="114300" distR="114300" simplePos="0" relativeHeight="251637760" behindDoc="0" locked="0" layoutInCell="1" allowOverlap="1" wp14:anchorId="49F64684" wp14:editId="07FC0588">
                <wp:simplePos x="0" y="0"/>
                <wp:positionH relativeFrom="column">
                  <wp:posOffset>2099945</wp:posOffset>
                </wp:positionH>
                <wp:positionV relativeFrom="paragraph">
                  <wp:posOffset>3915410</wp:posOffset>
                </wp:positionV>
                <wp:extent cx="2241550" cy="971550"/>
                <wp:effectExtent l="0" t="0" r="25400" b="19050"/>
                <wp:wrapNone/>
                <wp:docPr id="131" name="Ромб 131"/>
                <wp:cNvGraphicFramePr/>
                <a:graphic xmlns:a="http://schemas.openxmlformats.org/drawingml/2006/main">
                  <a:graphicData uri="http://schemas.microsoft.com/office/word/2010/wordprocessingShape">
                    <wps:wsp>
                      <wps:cNvSpPr/>
                      <wps:spPr>
                        <a:xfrm>
                          <a:off x="0" y="0"/>
                          <a:ext cx="2241550" cy="971550"/>
                        </a:xfrm>
                        <a:prstGeom prst="diamond">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sz w:val="26"/>
                                <w:szCs w:val="26"/>
                                <w:lang w:val="uk-UA"/>
                              </w:rPr>
                            </w:pPr>
                            <w:r>
                              <w:rPr>
                                <w:sz w:val="26"/>
                                <w:szCs w:val="26"/>
                                <w:lang w:val="uk-UA"/>
                              </w:rPr>
                              <w:t xml:space="preserve">Приймають статини? </w:t>
                            </w:r>
                          </w:p>
                          <w:p w:rsidR="008E5154" w:rsidRDefault="008E5154" w:rsidP="00E3259F">
                            <w:pPr>
                              <w:jc w:val="center"/>
                              <w:rPr>
                                <w:spacing w:val="-1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F64684" id="Ромб 131" o:spid="_x0000_s1045" type="#_x0000_t4" style="position:absolute;left:0;text-align:left;margin-left:165.35pt;margin-top:308.3pt;width:176.5pt;height:76.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" fillcolor="white [3201]" strokecolor="black [3200]" strokeweight="2pt">
                <v:textbox>
                  <w:txbxContent>
                    <w:p w:rsidR="008E5154" w:rsidRDefault="008E5154" w:rsidP="00E3259F">
                      <w:pPr>
                        <w:jc w:val="center"/>
                        <w:rPr>
                          <w:sz w:val="26"/>
                          <w:szCs w:val="26"/>
                          <w:lang w:val="uk-UA"/>
                        </w:rPr>
                      </w:pPr>
                      <w:r>
                        <w:rPr>
                          <w:sz w:val="26"/>
                          <w:szCs w:val="26"/>
                          <w:lang w:val="uk-UA"/>
                        </w:rPr>
                        <w:t xml:space="preserve">Приймають статини? </w:t>
                      </w:r>
                    </w:p>
                    <w:p w:rsidR="008E5154" w:rsidRDefault="008E5154" w:rsidP="00E3259F">
                      <w:pPr>
                        <w:jc w:val="center"/>
                        <w:rPr>
                          <w:spacing w:val="-14"/>
                          <w:lang w:val="uk-UA"/>
                        </w:rPr>
                      </w:pPr>
                    </w:p>
                  </w:txbxContent>
                </v:textbox>
              </v:shape>
            </w:pict>
          </mc:Fallback>
        </mc:AlternateContent>
      </w:r>
      <w:r>
        <w:rPr>
          <w:noProof/>
        </w:rPr>
        <mc:AlternateContent>
          <mc:Choice Requires="wps">
            <w:drawing>
              <wp:anchor distT="0" distB="0" distL="114300" distR="114300" simplePos="0" relativeHeight="251638784" behindDoc="0" locked="0" layoutInCell="1" allowOverlap="1" wp14:anchorId="6A6CE222" wp14:editId="6E2C273D">
                <wp:simplePos x="0" y="0"/>
                <wp:positionH relativeFrom="column">
                  <wp:posOffset>1680845</wp:posOffset>
                </wp:positionH>
                <wp:positionV relativeFrom="paragraph">
                  <wp:posOffset>4010660</wp:posOffset>
                </wp:positionV>
                <wp:extent cx="381000" cy="400050"/>
                <wp:effectExtent l="0" t="0" r="0" b="0"/>
                <wp:wrapNone/>
                <wp:docPr id="130" name="Прямоугольник 130"/>
                <wp:cNvGraphicFramePr/>
                <a:graphic xmlns:a="http://schemas.openxmlformats.org/drawingml/2006/main">
                  <a:graphicData uri="http://schemas.microsoft.com/office/word/2010/wordprocessingShape">
                    <wps:wsp>
                      <wps:cNvSpPr/>
                      <wps:spPr>
                        <a:xfrm>
                          <a:off x="0" y="0"/>
                          <a:ext cx="381000" cy="400050"/>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A6CE222" id="Прямоугольник 130" o:spid="_x0000_s1046" style="position:absolute;left:0;text-align:left;margin-left:132.35pt;margin-top:315.8pt;width:30pt;height:31.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" fillcolor="white [3201]" stroked="f" strokeweight="2pt">
                <v:textbox>
                  <w:txbxContent>
                    <w:p w:rsidR="008E5154" w:rsidRDefault="008E5154" w:rsidP="00E3259F">
                      <w:pPr>
                        <w:jc w:val="center"/>
                        <w:rPr>
                          <w:lang w:val="uk-UA"/>
                        </w:rPr>
                      </w:pPr>
                      <w:r>
                        <w:rPr>
                          <w:lang w:val="uk-UA"/>
                        </w:rPr>
                        <w:t>Ні</w:t>
                      </w:r>
                    </w:p>
                  </w:txbxContent>
                </v:textbox>
              </v:rect>
            </w:pict>
          </mc:Fallback>
        </mc:AlternateContent>
      </w:r>
      <w:r>
        <w:rPr>
          <w:noProof/>
        </w:rPr>
        <mc:AlternateContent>
          <mc:Choice Requires="wps">
            <w:drawing>
              <wp:anchor distT="0" distB="0" distL="114300" distR="114300" simplePos="0" relativeHeight="251639808" behindDoc="0" locked="0" layoutInCell="1" allowOverlap="1" wp14:anchorId="2EEA36CA" wp14:editId="6A449EF3">
                <wp:simplePos x="0" y="0"/>
                <wp:positionH relativeFrom="column">
                  <wp:posOffset>1784985</wp:posOffset>
                </wp:positionH>
                <wp:positionV relativeFrom="paragraph">
                  <wp:posOffset>4373880</wp:posOffset>
                </wp:positionV>
                <wp:extent cx="5080" cy="347345"/>
                <wp:effectExtent l="0" t="0" r="33020" b="14605"/>
                <wp:wrapNone/>
                <wp:docPr id="129" name="Прямая соединительная линия 129"/>
                <wp:cNvGraphicFramePr/>
                <a:graphic xmlns:a="http://schemas.openxmlformats.org/drawingml/2006/main">
                  <a:graphicData uri="http://schemas.microsoft.com/office/word/2010/wordprocessingShape">
                    <wps:wsp>
                      <wps:cNvCnPr/>
                      <wps:spPr>
                        <a:xfrm flipH="1">
                          <a:off x="0" y="0"/>
                          <a:ext cx="5080" cy="347345"/>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A2D12B" id="Прямая соединительная линия 129" o:spid="_x0000_s1026" style="position:absolute;flip:x;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55pt,344.4pt" to="140.95pt,37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" strokecolor="black [3200]" strokeweight="2pt"/>
            </w:pict>
          </mc:Fallback>
        </mc:AlternateContent>
      </w:r>
      <w:r>
        <w:rPr>
          <w:noProof/>
        </w:rPr>
        <mc:AlternateContent>
          <mc:Choice Requires="wps">
            <w:drawing>
              <wp:anchor distT="0" distB="0" distL="114300" distR="114300" simplePos="0" relativeHeight="251640832" behindDoc="0" locked="0" layoutInCell="1" allowOverlap="1" wp14:anchorId="6592B9A0" wp14:editId="48E817CD">
                <wp:simplePos x="0" y="0"/>
                <wp:positionH relativeFrom="column">
                  <wp:posOffset>1788160</wp:posOffset>
                </wp:positionH>
                <wp:positionV relativeFrom="paragraph">
                  <wp:posOffset>4370070</wp:posOffset>
                </wp:positionV>
                <wp:extent cx="306705" cy="8255"/>
                <wp:effectExtent l="0" t="0" r="17145" b="29845"/>
                <wp:wrapNone/>
                <wp:docPr id="128" name="Прямая соединительная линия 128"/>
                <wp:cNvGraphicFramePr/>
                <a:graphic xmlns:a="http://schemas.openxmlformats.org/drawingml/2006/main">
                  <a:graphicData uri="http://schemas.microsoft.com/office/word/2010/wordprocessingShape">
                    <wps:wsp>
                      <wps:cNvCnPr/>
                      <wps:spPr>
                        <a:xfrm>
                          <a:off x="0" y="0"/>
                          <a:ext cx="306705" cy="8255"/>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5CE9E2A7" id="Прямая соединительная линия 128"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8pt,344.1pt" to="164.95pt,3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" strokecolor="black [3213]" strokeweight="2pt"/>
            </w:pict>
          </mc:Fallback>
        </mc:AlternateContent>
      </w:r>
      <w:r>
        <w:rPr>
          <w:noProof/>
        </w:rPr>
        <mc:AlternateContent>
          <mc:Choice Requires="wps">
            <w:drawing>
              <wp:anchor distT="0" distB="0" distL="114300" distR="114300" simplePos="0" relativeHeight="251641856" behindDoc="0" locked="0" layoutInCell="1" allowOverlap="1" wp14:anchorId="0AE5E3CD" wp14:editId="3060D829">
                <wp:simplePos x="0" y="0"/>
                <wp:positionH relativeFrom="column">
                  <wp:posOffset>4718685</wp:posOffset>
                </wp:positionH>
                <wp:positionV relativeFrom="paragraph">
                  <wp:posOffset>4359910</wp:posOffset>
                </wp:positionV>
                <wp:extent cx="5080" cy="347345"/>
                <wp:effectExtent l="0" t="0" r="33020" b="14605"/>
                <wp:wrapNone/>
                <wp:docPr id="127" name="Прямая соединительная линия 127"/>
                <wp:cNvGraphicFramePr/>
                <a:graphic xmlns:a="http://schemas.openxmlformats.org/drawingml/2006/main">
                  <a:graphicData uri="http://schemas.microsoft.com/office/word/2010/wordprocessingShape">
                    <wps:wsp>
                      <wps:cNvCnPr/>
                      <wps:spPr>
                        <a:xfrm flipH="1">
                          <a:off x="0" y="0"/>
                          <a:ext cx="5080" cy="347345"/>
                        </a:xfrm>
                        <a:prstGeom prst="line">
                          <a:avLst/>
                        </a:prstGeom>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759820" id="Прямая соединительная линия 127" o:spid="_x0000_s1026" style="position:absolute;flip:x;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55pt,343.3pt" to="371.95pt,37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" strokecolor="black [3200]" strokeweight="2pt"/>
            </w:pict>
          </mc:Fallback>
        </mc:AlternateContent>
      </w:r>
      <w:r>
        <w:rPr>
          <w:noProof/>
        </w:rPr>
        <mc:AlternateContent>
          <mc:Choice Requires="wps">
            <w:drawing>
              <wp:anchor distT="0" distB="0" distL="114300" distR="114300" simplePos="0" relativeHeight="251642880" behindDoc="0" locked="0" layoutInCell="1" allowOverlap="1" wp14:anchorId="0E516893" wp14:editId="64259469">
                <wp:simplePos x="0" y="0"/>
                <wp:positionH relativeFrom="column">
                  <wp:posOffset>4353560</wp:posOffset>
                </wp:positionH>
                <wp:positionV relativeFrom="paragraph">
                  <wp:posOffset>4378325</wp:posOffset>
                </wp:positionV>
                <wp:extent cx="349885" cy="0"/>
                <wp:effectExtent l="0" t="0" r="12065" b="19050"/>
                <wp:wrapNone/>
                <wp:docPr id="126" name="Прямая соединительная линия 126"/>
                <wp:cNvGraphicFramePr/>
                <a:graphic xmlns:a="http://schemas.openxmlformats.org/drawingml/2006/main">
                  <a:graphicData uri="http://schemas.microsoft.com/office/word/2010/wordprocessingShape">
                    <wps:wsp>
                      <wps:cNvCnPr/>
                      <wps:spPr>
                        <a:xfrm>
                          <a:off x="0" y="0"/>
                          <a:ext cx="349885" cy="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6A01A609" id="Прямая соединительная линия 126"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342.8pt,344.75pt" to="370.35pt,3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" strokecolor="black [3213]" strokeweight="2pt"/>
            </w:pict>
          </mc:Fallback>
        </mc:AlternateContent>
      </w:r>
      <w:r>
        <w:rPr>
          <w:noProof/>
        </w:rPr>
        <mc:AlternateContent>
          <mc:Choice Requires="wps">
            <w:drawing>
              <wp:anchor distT="0" distB="0" distL="114300" distR="114300" simplePos="0" relativeHeight="251643904" behindDoc="0" locked="0" layoutInCell="1" allowOverlap="1" wp14:anchorId="10BB6527" wp14:editId="002436F4">
                <wp:simplePos x="0" y="0"/>
                <wp:positionH relativeFrom="column">
                  <wp:posOffset>1654175</wp:posOffset>
                </wp:positionH>
                <wp:positionV relativeFrom="paragraph">
                  <wp:posOffset>8491855</wp:posOffset>
                </wp:positionV>
                <wp:extent cx="3112135" cy="414020"/>
                <wp:effectExtent l="0" t="0" r="12065" b="24130"/>
                <wp:wrapNone/>
                <wp:docPr id="125" name="Параллелограмм 125"/>
                <wp:cNvGraphicFramePr/>
                <a:graphic xmlns:a="http://schemas.openxmlformats.org/drawingml/2006/main">
                  <a:graphicData uri="http://schemas.microsoft.com/office/word/2010/wordprocessingShape">
                    <wps:wsp>
                      <wps:cNvSpPr/>
                      <wps:spPr>
                        <a:xfrm>
                          <a:off x="0" y="0"/>
                          <a:ext cx="3112135" cy="414020"/>
                        </a:xfrm>
                        <a:prstGeom prst="parallelogram">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0E7BC8"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125" o:spid="_x0000_s1026" type="#_x0000_t7" style="position:absolute;margin-left:130.25pt;margin-top:668.65pt;width:245.05pt;height:32.6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" adj="718" filled="f" strokecolor="black [3213]" strokeweight="2pt"/>
            </w:pict>
          </mc:Fallback>
        </mc:AlternateContent>
      </w:r>
      <w:r>
        <w:rPr>
          <w:noProof/>
        </w:rPr>
        <mc:AlternateContent>
          <mc:Choice Requires="wps">
            <w:drawing>
              <wp:anchor distT="0" distB="0" distL="114300" distR="114300" simplePos="0" relativeHeight="251644928" behindDoc="0" locked="0" layoutInCell="1" allowOverlap="1" wp14:anchorId="085CE172" wp14:editId="6E418BBC">
                <wp:simplePos x="0" y="0"/>
                <wp:positionH relativeFrom="column">
                  <wp:posOffset>3233420</wp:posOffset>
                </wp:positionH>
                <wp:positionV relativeFrom="paragraph">
                  <wp:posOffset>3633470</wp:posOffset>
                </wp:positionV>
                <wp:extent cx="5715" cy="291465"/>
                <wp:effectExtent l="76200" t="0" r="70485" b="51435"/>
                <wp:wrapNone/>
                <wp:docPr id="133" name="Прямая со стрелкой 133"/>
                <wp:cNvGraphicFramePr/>
                <a:graphic xmlns:a="http://schemas.openxmlformats.org/drawingml/2006/main">
                  <a:graphicData uri="http://schemas.microsoft.com/office/word/2010/wordprocessingShape">
                    <wps:wsp>
                      <wps:cNvCnPr/>
                      <wps:spPr>
                        <a:xfrm>
                          <a:off x="0" y="0"/>
                          <a:ext cx="5715" cy="2914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DA5EB76" id="Прямая со стрелкой 133" o:spid="_x0000_s1026" type="#_x0000_t32" style="position:absolute;margin-left:254.6pt;margin-top:286.1pt;width:.45pt;height:22.9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" strokecolor="black [3200]" strokeweight="2pt">
                <v:stroke endarrow="block"/>
              </v:shape>
            </w:pict>
          </mc:Fallback>
        </mc:AlternateContent>
      </w:r>
      <w:r>
        <w:rPr>
          <w:noProof/>
        </w:rPr>
        <mc:AlternateContent>
          <mc:Choice Requires="wps">
            <w:drawing>
              <wp:anchor distT="0" distB="0" distL="114300" distR="114300" simplePos="0" relativeHeight="251645952" behindDoc="0" locked="0" layoutInCell="1" allowOverlap="1" wp14:anchorId="639A91CA" wp14:editId="3BD7CF85">
                <wp:simplePos x="0" y="0"/>
                <wp:positionH relativeFrom="column">
                  <wp:posOffset>5207635</wp:posOffset>
                </wp:positionH>
                <wp:positionV relativeFrom="paragraph">
                  <wp:posOffset>7268210</wp:posOffset>
                </wp:positionV>
                <wp:extent cx="0" cy="213360"/>
                <wp:effectExtent l="76200" t="0" r="57150" b="53340"/>
                <wp:wrapNone/>
                <wp:docPr id="124" name="Прямая со стрелкой 124"/>
                <wp:cNvGraphicFramePr/>
                <a:graphic xmlns:a="http://schemas.openxmlformats.org/drawingml/2006/main">
                  <a:graphicData uri="http://schemas.microsoft.com/office/word/2010/wordprocessingShape">
                    <wps:wsp>
                      <wps:cNvCnPr/>
                      <wps:spPr>
                        <a:xfrm>
                          <a:off x="0" y="0"/>
                          <a:ext cx="0" cy="213360"/>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8A13C29" id="Прямая со стрелкой 124" o:spid="_x0000_s1026" type="#_x0000_t32" style="position:absolute;margin-left:410.05pt;margin-top:572.3pt;width:0;height:16.8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" strokecolor="black [3213]" strokeweight="2pt">
                <v:stroke endarrow="block"/>
              </v:shape>
            </w:pict>
          </mc:Fallback>
        </mc:AlternateContent>
      </w:r>
      <w:r>
        <w:rPr>
          <w:noProof/>
        </w:rPr>
        <mc:AlternateContent>
          <mc:Choice Requires="wps">
            <w:drawing>
              <wp:anchor distT="0" distB="0" distL="114300" distR="114300" simplePos="0" relativeHeight="251646976" behindDoc="0" locked="0" layoutInCell="1" allowOverlap="1" wp14:anchorId="6140F2B0" wp14:editId="13AB2DD2">
                <wp:simplePos x="0" y="0"/>
                <wp:positionH relativeFrom="column">
                  <wp:posOffset>1443990</wp:posOffset>
                </wp:positionH>
                <wp:positionV relativeFrom="paragraph">
                  <wp:posOffset>8955405</wp:posOffset>
                </wp:positionV>
                <wp:extent cx="3260090" cy="294005"/>
                <wp:effectExtent l="0" t="0" r="16510" b="10795"/>
                <wp:wrapNone/>
                <wp:docPr id="119" name="Прямоугольник 119"/>
                <wp:cNvGraphicFramePr/>
                <a:graphic xmlns:a="http://schemas.openxmlformats.org/drawingml/2006/main">
                  <a:graphicData uri="http://schemas.microsoft.com/office/word/2010/wordprocessingShape">
                    <wps:wsp>
                      <wps:cNvSpPr/>
                      <wps:spPr>
                        <a:xfrm>
                          <a:off x="0" y="0"/>
                          <a:ext cx="3260090" cy="29400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E5154" w:rsidRDefault="008E5154" w:rsidP="00E3259F">
                            <w:pPr>
                              <w:spacing w:line="360" w:lineRule="auto"/>
                              <w:jc w:val="center"/>
                            </w:pPr>
                            <w:r>
                              <w:rPr>
                                <w:rFonts w:eastAsiaTheme="minorHAnsi"/>
                                <w:color w:val="000000" w:themeColor="text1"/>
                                <w:sz w:val="28"/>
                                <w:szCs w:val="28"/>
                                <w:lang w:val="uk-UA"/>
                              </w:rPr>
                              <w:t>Рис 2</w:t>
                            </w:r>
                            <w:r>
                              <w:rPr>
                                <w:rFonts w:eastAsia="Calibri"/>
                                <w:color w:val="000000" w:themeColor="text1"/>
                                <w:sz w:val="28"/>
                                <w:szCs w:val="28"/>
                                <w:lang w:val="uk-UA"/>
                              </w:rPr>
                              <w:t>.1 Дизайн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140F2B0" id="Прямоугольник 119" o:spid="_x0000_s1047" style="position:absolute;left:0;text-align:left;margin-left:113.7pt;margin-top:705.15pt;width:256.7pt;height:23.1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" fillcolor="white [3212]" strokecolor="white [3212]" strokeweight="2pt">
                <v:textbox>
                  <w:txbxContent>
                    <w:p w:rsidR="008E5154" w:rsidRDefault="008E5154" w:rsidP="00E3259F">
                      <w:pPr>
                        <w:spacing w:line="360" w:lineRule="auto"/>
                        <w:jc w:val="center"/>
                      </w:pPr>
                      <w:r>
                        <w:rPr>
                          <w:rFonts w:eastAsiaTheme="minorHAnsi"/>
                          <w:color w:val="000000" w:themeColor="text1"/>
                          <w:sz w:val="28"/>
                          <w:szCs w:val="28"/>
                          <w:lang w:val="uk-UA"/>
                        </w:rPr>
                        <w:t>Рис 2</w:t>
                      </w:r>
                      <w:r>
                        <w:rPr>
                          <w:rFonts w:eastAsia="Calibri"/>
                          <w:color w:val="000000" w:themeColor="text1"/>
                          <w:sz w:val="28"/>
                          <w:szCs w:val="28"/>
                          <w:lang w:val="uk-UA"/>
                        </w:rPr>
                        <w:t>.1 Дизайн дослідження</w:t>
                      </w:r>
                    </w:p>
                  </w:txbxContent>
                </v:textbox>
              </v:rect>
            </w:pict>
          </mc:Fallback>
        </mc:AlternateContent>
      </w:r>
      <w:r>
        <w:rPr>
          <w:noProof/>
        </w:rPr>
        <mc:AlternateContent>
          <mc:Choice Requires="wps">
            <w:drawing>
              <wp:anchor distT="0" distB="0" distL="114300" distR="114300" simplePos="0" relativeHeight="251648000" behindDoc="0" locked="0" layoutInCell="1" allowOverlap="1" wp14:anchorId="290989A3" wp14:editId="6DF1FC77">
                <wp:simplePos x="0" y="0"/>
                <wp:positionH relativeFrom="column">
                  <wp:posOffset>3241040</wp:posOffset>
                </wp:positionH>
                <wp:positionV relativeFrom="paragraph">
                  <wp:posOffset>274955</wp:posOffset>
                </wp:positionV>
                <wp:extent cx="5715" cy="166370"/>
                <wp:effectExtent l="76200" t="0" r="70485" b="62230"/>
                <wp:wrapNone/>
                <wp:docPr id="11" name="Прямая со стрелкой 11"/>
                <wp:cNvGraphicFramePr/>
                <a:graphic xmlns:a="http://schemas.openxmlformats.org/drawingml/2006/main">
                  <a:graphicData uri="http://schemas.microsoft.com/office/word/2010/wordprocessingShape">
                    <wps:wsp>
                      <wps:cNvCnPr/>
                      <wps:spPr>
                        <a:xfrm flipH="1">
                          <a:off x="0" y="0"/>
                          <a:ext cx="5715" cy="166370"/>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shape w14:anchorId="3AF0A32A" id="Прямая со стрелкой 11" o:spid="_x0000_s1026" type="#_x0000_t32" style="position:absolute;margin-left:255.2pt;margin-top:21.65pt;width:.45pt;height:13.1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" strokecolor="black [3213]" strokeweight="2pt">
                <v:stroke endarrow="block"/>
              </v:shape>
            </w:pict>
          </mc:Fallback>
        </mc:AlternateContent>
      </w:r>
    </w:p>
    <w:p w:rsidR="00E3259F" w:rsidRDefault="00E3259F" w:rsidP="00E3259F">
      <w:pPr>
        <w:widowControl w:val="0"/>
        <w:tabs>
          <w:tab w:val="left" w:pos="1020"/>
        </w:tabs>
        <w:suppressAutoHyphens/>
        <w:spacing w:line="360" w:lineRule="auto"/>
        <w:jc w:val="both"/>
        <w:textAlignment w:val="top"/>
        <w:rPr>
          <w:sz w:val="28"/>
          <w:szCs w:val="28"/>
          <w:lang w:val="uk-UA"/>
        </w:rPr>
      </w:pPr>
    </w:p>
    <w:p w:rsidR="00E3259F" w:rsidRDefault="00E3259F" w:rsidP="00E3259F">
      <w:pPr>
        <w:spacing w:line="360" w:lineRule="auto"/>
        <w:jc w:val="both"/>
        <w:rPr>
          <w:rFonts w:eastAsia="Calibri"/>
          <w:sz w:val="28"/>
          <w:szCs w:val="28"/>
          <w:lang w:val="uk-UA"/>
        </w:rPr>
      </w:pP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49024" behindDoc="0" locked="0" layoutInCell="1" allowOverlap="1" wp14:anchorId="776F61A8" wp14:editId="0702509D">
                <wp:simplePos x="0" y="0"/>
                <wp:positionH relativeFrom="column">
                  <wp:posOffset>5911215</wp:posOffset>
                </wp:positionH>
                <wp:positionV relativeFrom="paragraph">
                  <wp:posOffset>79375</wp:posOffset>
                </wp:positionV>
                <wp:extent cx="0" cy="4906645"/>
                <wp:effectExtent l="76200" t="0" r="76200" b="65405"/>
                <wp:wrapNone/>
                <wp:docPr id="140" name="Прямая со стрелкой 140"/>
                <wp:cNvGraphicFramePr/>
                <a:graphic xmlns:a="http://schemas.openxmlformats.org/drawingml/2006/main">
                  <a:graphicData uri="http://schemas.microsoft.com/office/word/2010/wordprocessingShape">
                    <wps:wsp>
                      <wps:cNvCnPr/>
                      <wps:spPr>
                        <a:xfrm>
                          <a:off x="0" y="0"/>
                          <a:ext cx="0" cy="4906645"/>
                        </a:xfrm>
                        <a:prstGeom prst="straightConnector1">
                          <a:avLst/>
                        </a:prstGeom>
                        <a:ln w="254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914D8B8" id="Прямая со стрелкой 140" o:spid="_x0000_s1026" type="#_x0000_t32" style="position:absolute;margin-left:465.45pt;margin-top:6.25pt;width:0;height:386.3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" strokecolor="black [3213]" strokeweight="2pt">
                <v:stroke endarrow="block"/>
              </v:shape>
            </w:pict>
          </mc:Fallback>
        </mc:AlternateContent>
      </w: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0048" behindDoc="0" locked="0" layoutInCell="1" allowOverlap="1" wp14:anchorId="7EDB3DC5" wp14:editId="3BDDAB3F">
                <wp:simplePos x="0" y="0"/>
                <wp:positionH relativeFrom="column">
                  <wp:posOffset>3222625</wp:posOffset>
                </wp:positionH>
                <wp:positionV relativeFrom="paragraph">
                  <wp:posOffset>285115</wp:posOffset>
                </wp:positionV>
                <wp:extent cx="1972945" cy="0"/>
                <wp:effectExtent l="0" t="0" r="27305" b="19050"/>
                <wp:wrapNone/>
                <wp:docPr id="132" name="Прямая соединительная линия 132"/>
                <wp:cNvGraphicFramePr/>
                <a:graphic xmlns:a="http://schemas.openxmlformats.org/drawingml/2006/main">
                  <a:graphicData uri="http://schemas.microsoft.com/office/word/2010/wordprocessingShape">
                    <wps:wsp>
                      <wps:cNvCnPr/>
                      <wps:spPr>
                        <a:xfrm flipV="1">
                          <a:off x="0" y="0"/>
                          <a:ext cx="1972945" cy="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56DB82F6" id="Прямая соединительная линия 132" o:spid="_x0000_s1026" style="position:absolute;flip:y;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253.75pt,22.45pt" to="409.1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" strokecolor="black [3213]" strokeweight="2pt"/>
            </w:pict>
          </mc:Fallback>
        </mc:AlternateContent>
      </w: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E3259F" w:rsidP="00E3259F">
      <w:pPr>
        <w:spacing w:line="360" w:lineRule="auto"/>
        <w:jc w:val="both"/>
        <w:rPr>
          <w:rFonts w:eastAsia="Calibri"/>
          <w:sz w:val="28"/>
          <w:szCs w:val="28"/>
          <w:lang w:val="uk-UA"/>
        </w:rPr>
      </w:pP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1072" behindDoc="0" locked="0" layoutInCell="1" allowOverlap="1" wp14:anchorId="42ECEAB1" wp14:editId="15F450FC">
                <wp:simplePos x="0" y="0"/>
                <wp:positionH relativeFrom="column">
                  <wp:posOffset>5144770</wp:posOffset>
                </wp:positionH>
                <wp:positionV relativeFrom="paragraph">
                  <wp:posOffset>133350</wp:posOffset>
                </wp:positionV>
                <wp:extent cx="4445" cy="367665"/>
                <wp:effectExtent l="76200" t="0" r="71755" b="51435"/>
                <wp:wrapNone/>
                <wp:docPr id="173" name="Прямая со стрелкой 173"/>
                <wp:cNvGraphicFramePr/>
                <a:graphic xmlns:a="http://schemas.openxmlformats.org/drawingml/2006/main">
                  <a:graphicData uri="http://schemas.microsoft.com/office/word/2010/wordprocessingShape">
                    <wps:wsp>
                      <wps:cNvCnPr/>
                      <wps:spPr>
                        <a:xfrm flipH="1">
                          <a:off x="0" y="0"/>
                          <a:ext cx="4445" cy="367665"/>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D71BEEC" id="Прямая со стрелкой 173" o:spid="_x0000_s1026" type="#_x0000_t32" style="position:absolute;margin-left:405.1pt;margin-top:10.5pt;width:.35pt;height:28.95pt;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" strokecolor="black [3200]" strokeweight="2pt">
                <v:stroke endarrow="block"/>
              </v:shape>
            </w:pict>
          </mc:Fallback>
        </mc:AlternateContent>
      </w: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2096" behindDoc="0" locked="0" layoutInCell="1" allowOverlap="1" wp14:anchorId="213D29B5" wp14:editId="4275C33F">
                <wp:simplePos x="0" y="0"/>
                <wp:positionH relativeFrom="margin">
                  <wp:posOffset>4463415</wp:posOffset>
                </wp:positionH>
                <wp:positionV relativeFrom="paragraph">
                  <wp:posOffset>179070</wp:posOffset>
                </wp:positionV>
                <wp:extent cx="1293495" cy="714375"/>
                <wp:effectExtent l="0" t="0" r="20955" b="28575"/>
                <wp:wrapNone/>
                <wp:docPr id="193" name="Прямоугольник 193"/>
                <wp:cNvGraphicFramePr/>
                <a:graphic xmlns:a="http://schemas.openxmlformats.org/drawingml/2006/main">
                  <a:graphicData uri="http://schemas.microsoft.com/office/word/2010/wordprocessingShape">
                    <wps:wsp>
                      <wps:cNvSpPr/>
                      <wps:spPr>
                        <a:xfrm>
                          <a:off x="0" y="0"/>
                          <a:ext cx="1293495" cy="714375"/>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92" w:lineRule="auto"/>
                              <w:rPr>
                                <w:lang w:val="uk-UA"/>
                              </w:rPr>
                            </w:pPr>
                            <w:r>
                              <w:rPr>
                                <w:lang w:val="uk-UA"/>
                              </w:rPr>
                              <w:t>Пацієнти з ГХ +ЦД 2 типу +СГТ, (</w:t>
                            </w:r>
                            <w:r>
                              <w:rPr>
                                <w:lang w:val="en-US"/>
                              </w:rPr>
                              <w:t>n</w:t>
                            </w:r>
                            <w:r>
                              <w:rPr>
                                <w:lang w:val="uk-UA"/>
                              </w:rPr>
                              <w:t xml:space="preserve"> = 54)</w:t>
                            </w:r>
                          </w:p>
                          <w:p w:rsidR="008E5154" w:rsidRDefault="008E5154" w:rsidP="00E3259F">
                            <w:pPr>
                              <w:spacing w:line="192"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213D29B5" id="Прямоугольник 193" o:spid="_x0000_s1048" style="position:absolute;left:0;text-align:left;margin-left:351.45pt;margin-top:14.1pt;width:101.85pt;height:56.2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" fillcolor="white [3201]" strokecolor="black [3200]" strokeweight="2pt">
                <v:textbox>
                  <w:txbxContent>
                    <w:p w:rsidR="008E5154" w:rsidRDefault="008E5154" w:rsidP="00E3259F">
                      <w:pPr>
                        <w:spacing w:line="192" w:lineRule="auto"/>
                        <w:rPr>
                          <w:lang w:val="uk-UA"/>
                        </w:rPr>
                      </w:pPr>
                      <w:r>
                        <w:rPr>
                          <w:lang w:val="uk-UA"/>
                        </w:rPr>
                        <w:t>Пацієнти з ГХ +ЦД 2 типу +СГТ, (</w:t>
                      </w:r>
                      <w:r>
                        <w:rPr>
                          <w:lang w:val="en-US"/>
                        </w:rPr>
                        <w:t>n</w:t>
                      </w:r>
                      <w:r>
                        <w:rPr>
                          <w:lang w:val="uk-UA"/>
                        </w:rPr>
                        <w:t xml:space="preserve"> = 54)</w:t>
                      </w:r>
                    </w:p>
                    <w:p w:rsidR="008E5154" w:rsidRDefault="008E5154" w:rsidP="00E3259F">
                      <w:pPr>
                        <w:spacing w:line="192" w:lineRule="auto"/>
                        <w:jc w:val="center"/>
                      </w:pPr>
                    </w:p>
                  </w:txbxContent>
                </v:textbox>
                <w10:wrap anchorx="margin"/>
              </v:rect>
            </w:pict>
          </mc:Fallback>
        </mc:AlternateContent>
      </w:r>
    </w:p>
    <w:p w:rsidR="00E3259F" w:rsidRDefault="00E3259F" w:rsidP="00E3259F">
      <w:pPr>
        <w:spacing w:line="360" w:lineRule="auto"/>
        <w:jc w:val="both"/>
        <w:rPr>
          <w:rFonts w:eastAsia="Calibri"/>
          <w:sz w:val="28"/>
          <w:szCs w:val="28"/>
          <w:lang w:val="uk-UA"/>
        </w:rPr>
      </w:pP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3120" behindDoc="0" locked="0" layoutInCell="1" allowOverlap="1" wp14:anchorId="1E3E35D3" wp14:editId="53A3B119">
                <wp:simplePos x="0" y="0"/>
                <wp:positionH relativeFrom="column">
                  <wp:posOffset>5130165</wp:posOffset>
                </wp:positionH>
                <wp:positionV relativeFrom="paragraph">
                  <wp:posOffset>280035</wp:posOffset>
                </wp:positionV>
                <wp:extent cx="0" cy="152400"/>
                <wp:effectExtent l="76200" t="0" r="57150" b="57150"/>
                <wp:wrapNone/>
                <wp:docPr id="206" name="Прямая со стрелкой 206"/>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triangle"/>
                        </a:ln>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7E0DD0" id="Прямая со стрелкой 206" o:spid="_x0000_s1026" type="#_x0000_t32" style="position:absolute;margin-left:403.95pt;margin-top:22.05pt;width:0;height:1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" strokecolor="black [3200]" strokeweight="2pt">
                <v:stroke endarrow="block"/>
              </v:shape>
            </w:pict>
          </mc:Fallback>
        </mc:AlternateContent>
      </w: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4144" behindDoc="0" locked="0" layoutInCell="1" allowOverlap="1" wp14:anchorId="28FE1F8D" wp14:editId="380D312D">
                <wp:simplePos x="0" y="0"/>
                <wp:positionH relativeFrom="page">
                  <wp:posOffset>5419725</wp:posOffset>
                </wp:positionH>
                <wp:positionV relativeFrom="paragraph">
                  <wp:posOffset>116204</wp:posOffset>
                </wp:positionV>
                <wp:extent cx="1792605" cy="676275"/>
                <wp:effectExtent l="0" t="0" r="0" b="0"/>
                <wp:wrapNone/>
                <wp:docPr id="190" name="Поле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2605" cy="676275"/>
                        </a:xfrm>
                        <a:prstGeom prst="rect">
                          <a:avLst/>
                        </a:prstGeom>
                        <a:noFill/>
                        <a:ln w="9525">
                          <a:noFill/>
                          <a:miter lim="800000"/>
                          <a:headEnd/>
                          <a:tailEnd/>
                        </a:ln>
                      </wps:spPr>
                      <wps:txbx>
                        <w:txbxContent>
                          <w:p w:rsidR="008E5154" w:rsidRDefault="008E5154" w:rsidP="00E3259F">
                            <w:pPr>
                              <w:spacing w:line="180" w:lineRule="auto"/>
                              <w:jc w:val="center"/>
                              <w:rPr>
                                <w:lang w:val="uk-UA"/>
                              </w:rPr>
                            </w:pPr>
                            <w:r>
                              <w:rPr>
                                <w:lang w:val="uk-UA"/>
                              </w:rPr>
                              <w:t>Пацієнти з ГХ+ЦД 2 типу+СГТ, що приймають статини</w:t>
                            </w:r>
                          </w:p>
                          <w:p w:rsidR="008E5154" w:rsidRDefault="008E5154" w:rsidP="00E3259F">
                            <w:pPr>
                              <w:spacing w:line="180" w:lineRule="auto"/>
                              <w:jc w:val="center"/>
                            </w:pPr>
                            <w:r>
                              <w:rPr>
                                <w:lang w:val="uk-UA"/>
                              </w:rPr>
                              <w:t xml:space="preserve">  (</w:t>
                            </w:r>
                            <w:r>
                              <w:rPr>
                                <w:lang w:val="en-US"/>
                              </w:rPr>
                              <w:t>n</w:t>
                            </w:r>
                            <w:r>
                              <w:rPr>
                                <w:lang w:val="uk-UA"/>
                              </w:rPr>
                              <w:t xml:space="preserve"> = 93) – група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FE1F8D" id="Поле 190" o:spid="_x0000_s1049" type="#_x0000_t202" style="position:absolute;left:0;text-align:left;margin-left:426.75pt;margin-top:9.15pt;width:141.15pt;height:53.2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" filled="f" stroked="f">
                <v:textbox>
                  <w:txbxContent>
                    <w:p w:rsidR="008E5154" w:rsidRDefault="008E5154" w:rsidP="00E3259F">
                      <w:pPr>
                        <w:spacing w:line="180" w:lineRule="auto"/>
                        <w:jc w:val="center"/>
                        <w:rPr>
                          <w:lang w:val="uk-UA"/>
                        </w:rPr>
                      </w:pPr>
                      <w:r>
                        <w:rPr>
                          <w:lang w:val="uk-UA"/>
                        </w:rPr>
                        <w:t>Пацієнти з ГХ+ЦД 2 типу+СГТ, що приймають статини</w:t>
                      </w:r>
                    </w:p>
                    <w:p w:rsidR="008E5154" w:rsidRDefault="008E5154" w:rsidP="00E3259F">
                      <w:pPr>
                        <w:spacing w:line="180" w:lineRule="auto"/>
                        <w:jc w:val="center"/>
                      </w:pPr>
                      <w:r>
                        <w:rPr>
                          <w:lang w:val="uk-UA"/>
                        </w:rPr>
                        <w:t xml:space="preserve">  (</w:t>
                      </w:r>
                      <w:r>
                        <w:rPr>
                          <w:lang w:val="en-US"/>
                        </w:rPr>
                        <w:t>n</w:t>
                      </w:r>
                      <w:r>
                        <w:rPr>
                          <w:lang w:val="uk-UA"/>
                        </w:rPr>
                        <w:t xml:space="preserve"> = 93) – група 3</w:t>
                      </w:r>
                    </w:p>
                  </w:txbxContent>
                </v:textbox>
                <w10:wrap anchorx="page"/>
              </v:shape>
            </w:pict>
          </mc:Fallback>
        </mc:AlternateContent>
      </w:r>
      <w:r>
        <w:rPr>
          <w:noProof/>
        </w:rPr>
        <mc:AlternateContent>
          <mc:Choice Requires="wps">
            <w:drawing>
              <wp:anchor distT="0" distB="0" distL="114300" distR="114300" simplePos="0" relativeHeight="251655168" behindDoc="0" locked="0" layoutInCell="1" allowOverlap="1" wp14:anchorId="02B43CC2" wp14:editId="578B84FD">
                <wp:simplePos x="0" y="0"/>
                <wp:positionH relativeFrom="column">
                  <wp:posOffset>4335145</wp:posOffset>
                </wp:positionH>
                <wp:positionV relativeFrom="paragraph">
                  <wp:posOffset>112395</wp:posOffset>
                </wp:positionV>
                <wp:extent cx="1724660" cy="676275"/>
                <wp:effectExtent l="0" t="0" r="27940" b="28575"/>
                <wp:wrapNone/>
                <wp:docPr id="167" name="Прямоугольник 167"/>
                <wp:cNvGraphicFramePr/>
                <a:graphic xmlns:a="http://schemas.openxmlformats.org/drawingml/2006/main">
                  <a:graphicData uri="http://schemas.microsoft.com/office/word/2010/wordprocessingShape">
                    <wps:wsp>
                      <wps:cNvSpPr/>
                      <wps:spPr>
                        <a:xfrm>
                          <a:off x="0" y="0"/>
                          <a:ext cx="1724660" cy="6762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710CCB" id="Прямоугольник 167" o:spid="_x0000_s1026" style="position:absolute;margin-left:341.35pt;margin-top:8.85pt;width:135.8pt;height:53.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" filled="f" strokecolor="black [3213]" strokeweight="2pt"/>
            </w:pict>
          </mc:Fallback>
        </mc:AlternateContent>
      </w:r>
    </w:p>
    <w:p w:rsidR="00E3259F" w:rsidRDefault="00E3259F" w:rsidP="00E3259F">
      <w:pPr>
        <w:spacing w:line="360" w:lineRule="auto"/>
        <w:jc w:val="both"/>
        <w:rPr>
          <w:rFonts w:eastAsia="Calibri"/>
          <w:sz w:val="28"/>
          <w:szCs w:val="28"/>
          <w:lang w:val="uk-UA"/>
        </w:rPr>
      </w:pP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6192" behindDoc="0" locked="0" layoutInCell="1" allowOverlap="1" wp14:anchorId="5F463A05" wp14:editId="242CC715">
                <wp:simplePos x="0" y="0"/>
                <wp:positionH relativeFrom="column">
                  <wp:posOffset>5149215</wp:posOffset>
                </wp:positionH>
                <wp:positionV relativeFrom="paragraph">
                  <wp:posOffset>207645</wp:posOffset>
                </wp:positionV>
                <wp:extent cx="0" cy="156210"/>
                <wp:effectExtent l="76200" t="0" r="57150" b="53340"/>
                <wp:wrapNone/>
                <wp:docPr id="142" name="Прямая со стрелкой 142"/>
                <wp:cNvGraphicFramePr/>
                <a:graphic xmlns:a="http://schemas.openxmlformats.org/drawingml/2006/main">
                  <a:graphicData uri="http://schemas.microsoft.com/office/word/2010/wordprocessingShape">
                    <wps:wsp>
                      <wps:cNvCnPr/>
                      <wps:spPr>
                        <a:xfrm>
                          <a:off x="0" y="0"/>
                          <a:ext cx="0" cy="156210"/>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0614D75" id="Прямая со стрелкой 142" o:spid="_x0000_s1026" type="#_x0000_t32" style="position:absolute;margin-left:405.45pt;margin-top:16.35pt;width:0;height:12.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" strokecolor="black [3213]" strokeweight="2pt">
                <v:stroke endarrow="block"/>
              </v:shape>
            </w:pict>
          </mc:Fallback>
        </mc:AlternateContent>
      </w: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7216" behindDoc="0" locked="0" layoutInCell="1" allowOverlap="1" wp14:anchorId="119EFE01" wp14:editId="1B8336FF">
                <wp:simplePos x="0" y="0"/>
                <wp:positionH relativeFrom="margin">
                  <wp:posOffset>4337050</wp:posOffset>
                </wp:positionH>
                <wp:positionV relativeFrom="paragraph">
                  <wp:posOffset>25400</wp:posOffset>
                </wp:positionV>
                <wp:extent cx="1725295" cy="517525"/>
                <wp:effectExtent l="0" t="0" r="27305" b="15875"/>
                <wp:wrapNone/>
                <wp:docPr id="192" name="Прямоугольник 192"/>
                <wp:cNvGraphicFramePr/>
                <a:graphic xmlns:a="http://schemas.openxmlformats.org/drawingml/2006/main">
                  <a:graphicData uri="http://schemas.microsoft.com/office/word/2010/wordprocessingShape">
                    <wps:wsp>
                      <wps:cNvSpPr/>
                      <wps:spPr>
                        <a:xfrm>
                          <a:off x="0" y="0"/>
                          <a:ext cx="1725295" cy="517525"/>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Призначення левотироксину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9EFE01" id="Прямоугольник 192" o:spid="_x0000_s1050" style="position:absolute;left:0;text-align:left;margin-left:341.5pt;margin-top:2pt;width:135.85pt;height:40.7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" fillcolor="white [3201]" strokecolor="black [3200]" strokeweight="2pt">
                <v:textbox>
                  <w:txbxContent>
                    <w:p w:rsidR="008E5154" w:rsidRDefault="008E5154" w:rsidP="00E3259F">
                      <w:pPr>
                        <w:jc w:val="center"/>
                        <w:rPr>
                          <w:lang w:val="uk-UA"/>
                        </w:rPr>
                      </w:pPr>
                      <w:r>
                        <w:rPr>
                          <w:lang w:val="uk-UA"/>
                        </w:rPr>
                        <w:t>Призначення левотироксину</w:t>
                      </w:r>
                    </w:p>
                  </w:txbxContent>
                </v:textbox>
                <w10:wrap anchorx="margin"/>
              </v:rect>
            </w:pict>
          </mc:Fallback>
        </mc:AlternateContent>
      </w:r>
    </w:p>
    <w:p w:rsidR="00E3259F" w:rsidRDefault="00E3259F" w:rsidP="00E3259F">
      <w:pPr>
        <w:spacing w:line="360" w:lineRule="auto"/>
        <w:jc w:val="both"/>
        <w:rPr>
          <w:rFonts w:eastAsia="Calibri"/>
          <w:sz w:val="28"/>
          <w:szCs w:val="28"/>
          <w:lang w:val="uk-UA"/>
        </w:rPr>
      </w:pPr>
    </w:p>
    <w:p w:rsidR="00E3259F" w:rsidRDefault="001F5FF9" w:rsidP="00E3259F">
      <w:pPr>
        <w:spacing w:line="360" w:lineRule="auto"/>
        <w:jc w:val="both"/>
        <w:rPr>
          <w:rFonts w:eastAsia="Calibri"/>
          <w:sz w:val="28"/>
          <w:szCs w:val="28"/>
          <w:lang w:val="uk-UA"/>
        </w:rPr>
      </w:pPr>
      <w:r>
        <w:rPr>
          <w:noProof/>
        </w:rPr>
        <mc:AlternateContent>
          <mc:Choice Requires="wps">
            <w:drawing>
              <wp:anchor distT="0" distB="0" distL="114300" distR="114300" simplePos="0" relativeHeight="251658240" behindDoc="0" locked="0" layoutInCell="1" allowOverlap="1" wp14:anchorId="481092D0" wp14:editId="3EDD037D">
                <wp:simplePos x="0" y="0"/>
                <wp:positionH relativeFrom="column">
                  <wp:posOffset>4371340</wp:posOffset>
                </wp:positionH>
                <wp:positionV relativeFrom="paragraph">
                  <wp:posOffset>123190</wp:posOffset>
                </wp:positionV>
                <wp:extent cx="1779905" cy="628650"/>
                <wp:effectExtent l="0" t="0" r="10795" b="19050"/>
                <wp:wrapNone/>
                <wp:docPr id="171" name="Прямоугольник 171"/>
                <wp:cNvGraphicFramePr/>
                <a:graphic xmlns:a="http://schemas.openxmlformats.org/drawingml/2006/main">
                  <a:graphicData uri="http://schemas.microsoft.com/office/word/2010/wordprocessingShape">
                    <wps:wsp>
                      <wps:cNvSpPr/>
                      <wps:spPr>
                        <a:xfrm>
                          <a:off x="0" y="0"/>
                          <a:ext cx="1779905" cy="628650"/>
                        </a:xfrm>
                        <a:prstGeom prst="rect">
                          <a:avLst/>
                        </a:prstGeom>
                        <a:ln/>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Еутіреоз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81092D0" id="Прямоугольник 171" o:spid="_x0000_s1051" style="position:absolute;left:0;text-align:left;margin-left:344.2pt;margin-top:9.7pt;width:140.15pt;height:4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" fillcolor="white [3201]" strokecolor="black [3200]" strokeweight="2pt">
                <v:textbox>
                  <w:txbxContent>
                    <w:p w:rsidR="008E5154" w:rsidRDefault="008E5154" w:rsidP="00E3259F">
                      <w:pPr>
                        <w:jc w:val="center"/>
                        <w:rPr>
                          <w:lang w:val="uk-UA"/>
                        </w:rPr>
                      </w:pPr>
                      <w:r>
                        <w:rPr>
                          <w:lang w:val="uk-UA"/>
                        </w:rPr>
                        <w:t>Еутіреоз</w:t>
                      </w:r>
                    </w:p>
                  </w:txbxContent>
                </v:textbox>
              </v:rect>
            </w:pict>
          </mc:Fallback>
        </mc:AlternateContent>
      </w:r>
    </w:p>
    <w:p w:rsidR="00E3259F" w:rsidRDefault="00E3259F" w:rsidP="00E3259F">
      <w:pPr>
        <w:spacing w:line="360" w:lineRule="auto"/>
        <w:jc w:val="both"/>
        <w:rPr>
          <w:rFonts w:eastAsiaTheme="minorHAnsi"/>
          <w:lang w:val="uk-UA"/>
        </w:rPr>
      </w:pPr>
    </w:p>
    <w:p w:rsidR="00E3259F" w:rsidRDefault="00E3259F" w:rsidP="00E3259F">
      <w:pPr>
        <w:spacing w:line="360" w:lineRule="auto"/>
        <w:jc w:val="both"/>
        <w:rPr>
          <w:rFonts w:eastAsiaTheme="minorHAnsi"/>
          <w:lang w:val="uk-UA"/>
        </w:rPr>
      </w:pPr>
    </w:p>
    <w:p w:rsidR="00E3259F" w:rsidRDefault="00E3259F" w:rsidP="00E3259F">
      <w:pPr>
        <w:spacing w:line="360" w:lineRule="auto"/>
        <w:jc w:val="both"/>
        <w:rPr>
          <w:rFonts w:eastAsiaTheme="minorHAnsi"/>
          <w:lang w:val="uk-UA"/>
        </w:rPr>
      </w:pPr>
    </w:p>
    <w:p w:rsidR="00E3259F" w:rsidRDefault="00E3259F" w:rsidP="00E3259F">
      <w:pPr>
        <w:spacing w:line="360" w:lineRule="auto"/>
        <w:jc w:val="both"/>
        <w:rPr>
          <w:rFonts w:eastAsiaTheme="minorHAnsi"/>
          <w:lang w:val="uk-UA"/>
        </w:rPr>
      </w:pPr>
    </w:p>
    <w:p w:rsidR="00E3259F" w:rsidRDefault="00E3259F" w:rsidP="00E3259F">
      <w:pPr>
        <w:spacing w:line="360" w:lineRule="auto"/>
        <w:jc w:val="both"/>
        <w:rPr>
          <w:lang w:val="uk-UA"/>
        </w:rPr>
      </w:pPr>
    </w:p>
    <w:p w:rsidR="00E3259F" w:rsidRPr="0042783B" w:rsidRDefault="00E3259F" w:rsidP="0042783B">
      <w:pPr>
        <w:widowControl w:val="0"/>
        <w:tabs>
          <w:tab w:val="left" w:pos="1020"/>
        </w:tabs>
        <w:suppressAutoHyphens/>
        <w:spacing w:line="360" w:lineRule="auto"/>
        <w:ind w:firstLine="1021"/>
        <w:jc w:val="both"/>
        <w:rPr>
          <w:rFonts w:eastAsia="Calibri"/>
          <w:sz w:val="28"/>
          <w:szCs w:val="28"/>
          <w:lang w:val="uk-UA"/>
        </w:rPr>
      </w:pPr>
      <w:r w:rsidRPr="0042783B">
        <w:rPr>
          <w:rFonts w:eastAsia="Calibri"/>
          <w:sz w:val="28"/>
          <w:szCs w:val="28"/>
          <w:lang w:val="uk-UA"/>
        </w:rPr>
        <w:t xml:space="preserve">Серед пацієнтів з ГХ поєднаної зі ЦД 2 типу, у яких був виявлений гіпотиреоз,  у 62 (89,86±3,63%)  пацієнтів був виявлений субклінічний гіпотиреоз, а в 7 (10,14±3,63%) пацієнтів – маніфестний гіпотиреоз. Особи з маніфестним гіпотиреозом не залучалися до подальшої програми дослідження. </w:t>
      </w:r>
    </w:p>
    <w:p w:rsidR="00E3259F" w:rsidRPr="0042783B" w:rsidRDefault="00E3259F" w:rsidP="0042783B">
      <w:pPr>
        <w:tabs>
          <w:tab w:val="num" w:pos="567"/>
        </w:tabs>
        <w:spacing w:line="360" w:lineRule="auto"/>
        <w:ind w:firstLine="1021"/>
        <w:jc w:val="both"/>
        <w:rPr>
          <w:rFonts w:eastAsia="Calibri"/>
          <w:sz w:val="28"/>
          <w:szCs w:val="28"/>
          <w:lang w:val="uk-UA"/>
        </w:rPr>
      </w:pPr>
      <w:r w:rsidRPr="0042783B">
        <w:rPr>
          <w:rStyle w:val="longtext10"/>
          <w:rFonts w:eastAsiaTheme="majorEastAsia"/>
          <w:sz w:val="28"/>
          <w:szCs w:val="28"/>
          <w:lang w:val="uk-UA"/>
        </w:rPr>
        <w:t>У зв’язку з наявністю завдань дослідження щодо вивчення впливу статинотерапії на досліджувальні показники,</w:t>
      </w:r>
      <w:r w:rsidRPr="0042783B">
        <w:rPr>
          <w:rFonts w:eastAsia="Calibri"/>
          <w:sz w:val="28"/>
          <w:szCs w:val="28"/>
          <w:lang w:val="uk-UA"/>
        </w:rPr>
        <w:t xml:space="preserve"> пацієнти з поєднаним перебігом ГХ та ЦД 2 типу незалежно від функціонального стану ЩЗ (</w:t>
      </w:r>
      <w:r w:rsidRPr="0042783B">
        <w:rPr>
          <w:rFonts w:eastAsia="Calibri"/>
          <w:sz w:val="28"/>
          <w:szCs w:val="28"/>
          <w:lang w:val="en-US"/>
        </w:rPr>
        <w:t>n</w:t>
      </w:r>
      <w:r w:rsidRPr="0042783B">
        <w:rPr>
          <w:rFonts w:eastAsia="Calibri"/>
          <w:sz w:val="28"/>
          <w:szCs w:val="28"/>
          <w:lang w:val="uk-UA"/>
        </w:rPr>
        <w:t>=355) були поділені на дві групи залежно від прийому статинів:  пацієнти, які приймають статини (</w:t>
      </w:r>
      <w:r w:rsidRPr="0042783B">
        <w:rPr>
          <w:rFonts w:eastAsia="Calibri"/>
          <w:sz w:val="28"/>
          <w:szCs w:val="28"/>
          <w:lang w:val="en-US"/>
        </w:rPr>
        <w:t>n</w:t>
      </w:r>
      <w:r w:rsidRPr="0042783B">
        <w:rPr>
          <w:rFonts w:eastAsia="Calibri"/>
          <w:sz w:val="28"/>
          <w:szCs w:val="28"/>
          <w:lang w:val="uk-UA"/>
        </w:rPr>
        <w:t>=191) та пацієнти, які з будь – яких причин, не приймають статини (</w:t>
      </w:r>
      <w:r w:rsidRPr="0042783B">
        <w:rPr>
          <w:rFonts w:eastAsia="Calibri"/>
          <w:sz w:val="28"/>
          <w:szCs w:val="28"/>
          <w:lang w:val="en-US"/>
        </w:rPr>
        <w:t>n</w:t>
      </w:r>
      <w:r w:rsidRPr="0042783B">
        <w:rPr>
          <w:rFonts w:eastAsia="Calibri"/>
          <w:sz w:val="28"/>
          <w:szCs w:val="28"/>
          <w:lang w:val="uk-UA"/>
        </w:rPr>
        <w:t>=164). Серед пацієнтів, які не приймають статини</w:t>
      </w:r>
      <w:r w:rsidRPr="0042783B">
        <w:rPr>
          <w:rFonts w:eastAsia="Calibri"/>
          <w:sz w:val="28"/>
          <w:szCs w:val="28"/>
        </w:rPr>
        <w:t>,</w:t>
      </w:r>
      <w:r w:rsidRPr="0042783B">
        <w:rPr>
          <w:rFonts w:eastAsia="Calibri"/>
          <w:sz w:val="28"/>
          <w:szCs w:val="28"/>
          <w:lang w:val="uk-UA"/>
        </w:rPr>
        <w:t xml:space="preserve"> не було осіб з наявністю в анамнезі непереносимості цих лікарських засобів. Пацієнти з поєднаним перебігом ГХ, ЦД 2 типу та СГТ, які не приймали статини до початку дослідження (</w:t>
      </w:r>
      <w:r w:rsidRPr="0042783B">
        <w:rPr>
          <w:rFonts w:eastAsia="Calibri"/>
          <w:sz w:val="28"/>
          <w:szCs w:val="28"/>
          <w:lang w:val="en-US"/>
        </w:rPr>
        <w:t>n</w:t>
      </w:r>
      <w:r w:rsidRPr="0042783B">
        <w:rPr>
          <w:rFonts w:eastAsia="Calibri"/>
          <w:sz w:val="28"/>
          <w:szCs w:val="28"/>
          <w:lang w:val="uk-UA"/>
        </w:rPr>
        <w:t>=8) та пацієнти з поєднаним перебігом ГХ та ЦД 2 типу без СГТ, які приймали статини до початку дослідження, до подальших етапів дослідження не включались. Пацієнти з ГХ та ЦД 2 типу та неушкодженою функцією ЩЗ (</w:t>
      </w:r>
      <w:r w:rsidRPr="0042783B">
        <w:rPr>
          <w:rFonts w:eastAsia="Calibri"/>
          <w:sz w:val="28"/>
          <w:szCs w:val="28"/>
          <w:lang w:val="en-US"/>
        </w:rPr>
        <w:t>n</w:t>
      </w:r>
      <w:r w:rsidRPr="0042783B">
        <w:rPr>
          <w:rFonts w:eastAsia="Calibri"/>
          <w:sz w:val="28"/>
          <w:szCs w:val="28"/>
        </w:rPr>
        <w:t>=156)</w:t>
      </w:r>
      <w:r w:rsidRPr="0042783B">
        <w:rPr>
          <w:rFonts w:eastAsia="Calibri"/>
          <w:sz w:val="28"/>
          <w:szCs w:val="28"/>
          <w:lang w:val="uk-UA"/>
        </w:rPr>
        <w:t>, які не приймали статини, склали 2 групу в дослідженні.  Для дослідження впливу замісної терапії левотироксином на метаболічно-генетичні та антропометричні показники, що вивчалися в дослідженні, у  групу 3 (</w:t>
      </w:r>
      <w:r w:rsidRPr="0042783B">
        <w:rPr>
          <w:rFonts w:eastAsia="Calibri"/>
          <w:sz w:val="28"/>
          <w:szCs w:val="28"/>
          <w:lang w:val="en-US"/>
        </w:rPr>
        <w:t>n</w:t>
      </w:r>
      <w:r w:rsidRPr="0042783B">
        <w:rPr>
          <w:rFonts w:eastAsia="Calibri"/>
          <w:sz w:val="28"/>
          <w:szCs w:val="28"/>
          <w:lang w:val="uk-UA"/>
        </w:rPr>
        <w:t>=93) були залучені пацієнти з поєднаним перебігом ГХ, ЦД 2 типу та СГТ, які до початку дослідження регулярно приймали статини: 39 осіб було відібрано на першому етапі дослідження (пацієнти, у яких на тлі ГХ та ЦД 2 типу раніше був діагностований СГТ, але ніякої замісної терапії ці пацієнти не отримували) та 54 пацієнти на другому етапі дослідження.</w:t>
      </w:r>
    </w:p>
    <w:p w:rsidR="00E3259F" w:rsidRPr="0042783B" w:rsidRDefault="00E3259F" w:rsidP="0042783B">
      <w:pPr>
        <w:widowControl w:val="0"/>
        <w:tabs>
          <w:tab w:val="left" w:pos="1020"/>
        </w:tabs>
        <w:suppressAutoHyphens/>
        <w:spacing w:line="360" w:lineRule="auto"/>
        <w:ind w:firstLine="1021"/>
        <w:jc w:val="both"/>
        <w:rPr>
          <w:sz w:val="28"/>
          <w:szCs w:val="28"/>
          <w:lang w:val="uk-UA"/>
        </w:rPr>
      </w:pPr>
      <w:r w:rsidRPr="0042783B">
        <w:rPr>
          <w:rFonts w:eastAsia="Calibri"/>
          <w:sz w:val="28"/>
          <w:szCs w:val="28"/>
          <w:lang w:val="uk-UA"/>
        </w:rPr>
        <w:t xml:space="preserve">Згідно  існуючих рекомендацій діагноз СГТ підтверджувався при наявності дворазового, з інтервалом 3 або 6 місяців, виявлення рівня ТТГ, що перевищує верхню межу референтного діапазону (4,0 мкМОд/мл), на тлі нормальних рівнів </w:t>
      </w:r>
      <w:r w:rsidRPr="0042783B">
        <w:rPr>
          <w:rFonts w:eastAsia="Calibri"/>
          <w:sz w:val="28"/>
          <w:szCs w:val="28"/>
        </w:rPr>
        <w:t>T</w:t>
      </w:r>
      <w:r w:rsidRPr="0042783B">
        <w:rPr>
          <w:rFonts w:eastAsia="Calibri"/>
          <w:sz w:val="28"/>
          <w:szCs w:val="28"/>
          <w:lang w:val="uk-UA"/>
        </w:rPr>
        <w:t xml:space="preserve">4 (10,3-24,5 пмоль/л) та </w:t>
      </w:r>
      <w:r w:rsidRPr="0042783B">
        <w:rPr>
          <w:rFonts w:eastAsia="Calibri"/>
          <w:sz w:val="28"/>
          <w:szCs w:val="28"/>
        </w:rPr>
        <w:t>T</w:t>
      </w:r>
      <w:r w:rsidRPr="0042783B">
        <w:rPr>
          <w:rFonts w:eastAsia="Calibri"/>
          <w:sz w:val="28"/>
          <w:szCs w:val="28"/>
          <w:lang w:val="uk-UA"/>
        </w:rPr>
        <w:t xml:space="preserve">3 (2,3-6,3 </w:t>
      </w:r>
      <w:r w:rsidRPr="0042783B">
        <w:rPr>
          <w:rFonts w:eastAsia="Arial Unicode MS"/>
          <w:kern w:val="2"/>
          <w:sz w:val="28"/>
          <w:szCs w:val="28"/>
          <w:lang w:val="uk-UA" w:eastAsia="en-US"/>
        </w:rPr>
        <w:t>пг/мл</w:t>
      </w:r>
      <w:r w:rsidRPr="0042783B">
        <w:rPr>
          <w:rFonts w:eastAsia="Calibri"/>
          <w:sz w:val="28"/>
          <w:szCs w:val="28"/>
          <w:lang w:val="uk-UA"/>
        </w:rPr>
        <w:t xml:space="preserve">).  </w:t>
      </w:r>
      <w:r w:rsidRPr="0042783B">
        <w:rPr>
          <w:sz w:val="28"/>
          <w:szCs w:val="28"/>
          <w:lang w:val="uk-UA"/>
        </w:rPr>
        <w:t xml:space="preserve">Для відбору пацієнтів були використані діагностичні критерії ГХ, схвалені Європейськими рекомендаціями з діагностики та лікування АГ (2013, 2018) [275,397].  Діагноз СГТ та ЦД 2 типу </w:t>
      </w:r>
      <w:r w:rsidRPr="0042783B">
        <w:rPr>
          <w:rStyle w:val="longtext10"/>
          <w:rFonts w:eastAsiaTheme="majorEastAsia"/>
          <w:sz w:val="28"/>
          <w:szCs w:val="28"/>
          <w:lang w:val="uk-UA"/>
        </w:rPr>
        <w:t xml:space="preserve"> ставився згідно із затвердженим Наказом МОЗ </w:t>
      </w:r>
      <w:r w:rsidRPr="0042783B">
        <w:rPr>
          <w:sz w:val="28"/>
          <w:szCs w:val="28"/>
          <w:lang w:val="uk-UA"/>
        </w:rPr>
        <w:t xml:space="preserve">№ 1118 </w:t>
      </w:r>
      <w:r w:rsidRPr="0042783B">
        <w:rPr>
          <w:rStyle w:val="longtext10"/>
          <w:rFonts w:eastAsiaTheme="majorEastAsia"/>
          <w:sz w:val="28"/>
          <w:szCs w:val="28"/>
          <w:lang w:val="uk-UA"/>
        </w:rPr>
        <w:t xml:space="preserve"> </w:t>
      </w:r>
      <w:r w:rsidRPr="0042783B">
        <w:rPr>
          <w:sz w:val="28"/>
          <w:szCs w:val="28"/>
          <w:lang w:val="uk-UA"/>
        </w:rPr>
        <w:t xml:space="preserve">від 21.12.2012 </w:t>
      </w:r>
      <w:r w:rsidRPr="0042783B">
        <w:rPr>
          <w:rStyle w:val="longtext10"/>
          <w:rFonts w:eastAsiaTheme="majorEastAsia"/>
          <w:sz w:val="28"/>
          <w:szCs w:val="28"/>
          <w:lang w:val="uk-UA"/>
        </w:rPr>
        <w:t>«</w:t>
      </w:r>
      <w:r w:rsidRPr="0042783B">
        <w:rPr>
          <w:sz w:val="28"/>
          <w:szCs w:val="28"/>
          <w:lang w:val="uk-UA"/>
        </w:rPr>
        <w:t>Про затвердження та впровадження медико-технологічних документів зі стандартизації медичної допомоги при цукровому діабеті 2 типу» [116],  та згідно з рекомендаціями Європейської тиреоїдологічної асоціації (2013) та</w:t>
      </w:r>
      <w:r w:rsidRPr="0042783B">
        <w:rPr>
          <w:b/>
          <w:sz w:val="28"/>
          <w:szCs w:val="28"/>
          <w:lang w:val="uk-UA"/>
        </w:rPr>
        <w:t xml:space="preserve"> </w:t>
      </w:r>
      <w:r w:rsidRPr="0042783B">
        <w:rPr>
          <w:sz w:val="28"/>
          <w:szCs w:val="28"/>
          <w:lang w:val="uk-UA"/>
        </w:rPr>
        <w:t>Американської діабетичної асоціації</w:t>
      </w:r>
      <w:r w:rsidRPr="0042783B">
        <w:rPr>
          <w:b/>
          <w:sz w:val="28"/>
          <w:szCs w:val="28"/>
          <w:lang w:val="uk-UA"/>
        </w:rPr>
        <w:t xml:space="preserve"> </w:t>
      </w:r>
      <w:r w:rsidRPr="0042783B">
        <w:rPr>
          <w:sz w:val="28"/>
          <w:szCs w:val="28"/>
          <w:lang w:val="uk-UA"/>
        </w:rPr>
        <w:t>(</w:t>
      </w:r>
      <w:r w:rsidRPr="0042783B">
        <w:rPr>
          <w:sz w:val="28"/>
          <w:szCs w:val="28"/>
          <w:lang w:val="en-US"/>
        </w:rPr>
        <w:t>the</w:t>
      </w:r>
      <w:r w:rsidRPr="0042783B">
        <w:rPr>
          <w:sz w:val="28"/>
          <w:szCs w:val="28"/>
          <w:lang w:val="uk-UA"/>
        </w:rPr>
        <w:t xml:space="preserve"> </w:t>
      </w:r>
      <w:r w:rsidRPr="0042783B">
        <w:rPr>
          <w:sz w:val="28"/>
          <w:szCs w:val="28"/>
          <w:lang w:val="en-US"/>
        </w:rPr>
        <w:t>American</w:t>
      </w:r>
      <w:r w:rsidRPr="0042783B">
        <w:rPr>
          <w:sz w:val="28"/>
          <w:szCs w:val="28"/>
          <w:lang w:val="uk-UA"/>
        </w:rPr>
        <w:t xml:space="preserve"> </w:t>
      </w:r>
      <w:r w:rsidRPr="0042783B">
        <w:rPr>
          <w:sz w:val="28"/>
          <w:szCs w:val="28"/>
          <w:lang w:val="en-US"/>
        </w:rPr>
        <w:t>Diabetes</w:t>
      </w:r>
      <w:r w:rsidRPr="0042783B">
        <w:rPr>
          <w:sz w:val="28"/>
          <w:szCs w:val="28"/>
          <w:lang w:val="uk-UA"/>
        </w:rPr>
        <w:t xml:space="preserve"> </w:t>
      </w:r>
      <w:r w:rsidRPr="0042783B">
        <w:rPr>
          <w:sz w:val="28"/>
          <w:szCs w:val="28"/>
          <w:lang w:val="en-US"/>
        </w:rPr>
        <w:t>Association</w:t>
      </w:r>
      <w:r w:rsidRPr="0042783B">
        <w:rPr>
          <w:sz w:val="28"/>
          <w:szCs w:val="28"/>
          <w:lang w:val="uk-UA"/>
        </w:rPr>
        <w:t>) і Європейською асоціацією з вивчення цукрового діабету (</w:t>
      </w:r>
      <w:r w:rsidRPr="0042783B">
        <w:rPr>
          <w:sz w:val="28"/>
          <w:szCs w:val="28"/>
          <w:lang w:val="en-US"/>
        </w:rPr>
        <w:t>the</w:t>
      </w:r>
      <w:r w:rsidRPr="0042783B">
        <w:rPr>
          <w:sz w:val="28"/>
          <w:szCs w:val="28"/>
          <w:lang w:val="uk-UA"/>
        </w:rPr>
        <w:t xml:space="preserve"> </w:t>
      </w:r>
      <w:r w:rsidRPr="0042783B">
        <w:rPr>
          <w:sz w:val="28"/>
          <w:szCs w:val="28"/>
          <w:lang w:val="en-US"/>
        </w:rPr>
        <w:t>European</w:t>
      </w:r>
      <w:r w:rsidRPr="0042783B">
        <w:rPr>
          <w:sz w:val="28"/>
          <w:szCs w:val="28"/>
          <w:lang w:val="uk-UA"/>
        </w:rPr>
        <w:t xml:space="preserve"> </w:t>
      </w:r>
      <w:r w:rsidRPr="0042783B">
        <w:rPr>
          <w:sz w:val="28"/>
          <w:szCs w:val="28"/>
          <w:lang w:val="en-US"/>
        </w:rPr>
        <w:t>Association</w:t>
      </w:r>
      <w:r w:rsidRPr="0042783B">
        <w:rPr>
          <w:sz w:val="28"/>
          <w:szCs w:val="28"/>
          <w:lang w:val="uk-UA"/>
        </w:rPr>
        <w:t xml:space="preserve"> </w:t>
      </w:r>
      <w:r w:rsidRPr="0042783B">
        <w:rPr>
          <w:sz w:val="28"/>
          <w:szCs w:val="28"/>
          <w:lang w:val="en-US"/>
        </w:rPr>
        <w:t>for</w:t>
      </w:r>
      <w:r w:rsidRPr="0042783B">
        <w:rPr>
          <w:sz w:val="28"/>
          <w:szCs w:val="28"/>
          <w:lang w:val="uk-UA"/>
        </w:rPr>
        <w:t xml:space="preserve"> </w:t>
      </w:r>
      <w:r w:rsidRPr="0042783B">
        <w:rPr>
          <w:sz w:val="28"/>
          <w:szCs w:val="28"/>
          <w:lang w:val="en-US"/>
        </w:rPr>
        <w:t>the</w:t>
      </w:r>
      <w:r w:rsidRPr="0042783B">
        <w:rPr>
          <w:sz w:val="28"/>
          <w:szCs w:val="28"/>
          <w:lang w:val="uk-UA"/>
        </w:rPr>
        <w:t xml:space="preserve"> </w:t>
      </w:r>
      <w:r w:rsidRPr="0042783B">
        <w:rPr>
          <w:sz w:val="28"/>
          <w:szCs w:val="28"/>
          <w:lang w:val="en-US"/>
        </w:rPr>
        <w:t>Study</w:t>
      </w:r>
      <w:r w:rsidRPr="0042783B">
        <w:rPr>
          <w:sz w:val="28"/>
          <w:szCs w:val="28"/>
          <w:lang w:val="uk-UA"/>
        </w:rPr>
        <w:t xml:space="preserve"> </w:t>
      </w:r>
      <w:r w:rsidRPr="0042783B">
        <w:rPr>
          <w:sz w:val="28"/>
          <w:szCs w:val="28"/>
          <w:lang w:val="en-US"/>
        </w:rPr>
        <w:t>of</w:t>
      </w:r>
      <w:r w:rsidRPr="0042783B">
        <w:rPr>
          <w:sz w:val="28"/>
          <w:szCs w:val="28"/>
          <w:lang w:val="uk-UA"/>
        </w:rPr>
        <w:t xml:space="preserve"> </w:t>
      </w:r>
      <w:r w:rsidRPr="0042783B">
        <w:rPr>
          <w:sz w:val="28"/>
          <w:szCs w:val="28"/>
          <w:lang w:val="en-US"/>
        </w:rPr>
        <w:t>Diabetes</w:t>
      </w:r>
      <w:r w:rsidRPr="0042783B">
        <w:rPr>
          <w:sz w:val="28"/>
          <w:szCs w:val="28"/>
          <w:lang w:val="uk-UA"/>
        </w:rPr>
        <w:t>) (2015,2018) [</w:t>
      </w:r>
      <w:bookmarkStart w:id="9" w:name="_Hlk43498900"/>
      <w:r w:rsidRPr="0042783B">
        <w:rPr>
          <w:sz w:val="28"/>
          <w:szCs w:val="28"/>
          <w:lang w:val="uk-UA"/>
        </w:rPr>
        <w:t>185,239,</w:t>
      </w:r>
      <w:bookmarkEnd w:id="9"/>
      <w:r w:rsidRPr="0042783B">
        <w:rPr>
          <w:sz w:val="28"/>
          <w:szCs w:val="28"/>
          <w:lang w:val="uk-UA"/>
        </w:rPr>
        <w:t>314].</w:t>
      </w:r>
    </w:p>
    <w:p w:rsidR="00E3259F" w:rsidRPr="0042783B" w:rsidRDefault="00E3259F" w:rsidP="0042783B">
      <w:pPr>
        <w:spacing w:line="360" w:lineRule="auto"/>
        <w:ind w:firstLine="1021"/>
        <w:jc w:val="both"/>
        <w:rPr>
          <w:rStyle w:val="longtext10"/>
          <w:rFonts w:eastAsiaTheme="majorEastAsia"/>
          <w:sz w:val="28"/>
          <w:szCs w:val="28"/>
          <w:lang w:val="uk-UA"/>
        </w:rPr>
      </w:pPr>
      <w:r w:rsidRPr="0042783B">
        <w:rPr>
          <w:sz w:val="28"/>
          <w:szCs w:val="28"/>
          <w:lang w:val="uk-UA"/>
        </w:rPr>
        <w:t>Перед залученням до дослідження всі хворі на тлі дієтичних рекомендацій отримували стандартизований лікувальний комплекс, щодо до існуючих  міжнародних та національних рекомендацій до лікування ГХ та ЦД 2 типу [115,116,185,239,397]. С</w:t>
      </w:r>
      <w:r w:rsidRPr="0042783B">
        <w:rPr>
          <w:rStyle w:val="longtext10"/>
          <w:rFonts w:eastAsiaTheme="majorEastAsia"/>
          <w:sz w:val="28"/>
          <w:szCs w:val="28"/>
          <w:lang w:val="uk-UA"/>
        </w:rPr>
        <w:t xml:space="preserve">табільну антигіпертензивну терапію всі пацієнти отримували не менше 6 місяців до залучення в дослідження в індивідуально підібраних дозах з використанням ІАПФ/БРА </w:t>
      </w:r>
      <w:r w:rsidRPr="0042783B">
        <w:rPr>
          <w:rStyle w:val="longtext10"/>
          <w:rFonts w:eastAsiaTheme="majorEastAsia"/>
          <w:sz w:val="28"/>
          <w:szCs w:val="28"/>
          <w:lang w:val="en-US"/>
        </w:rPr>
        <w:t>II</w:t>
      </w:r>
      <w:r w:rsidRPr="0042783B">
        <w:rPr>
          <w:rStyle w:val="longtext10"/>
          <w:rFonts w:eastAsiaTheme="majorEastAsia"/>
          <w:sz w:val="28"/>
          <w:szCs w:val="28"/>
          <w:lang w:val="uk-UA"/>
        </w:rPr>
        <w:t>, діуретиків (індапамід); частина пацієнтів отримувала антагоністи кальцію (амлодипін або лерканідипін). В якості антидіабетичної терапії пацієнти з ЦД 2 типу отримували метформін в індивідуально підібраних дозах від 1000 до 2000 мг на добу, 7 (2,81%) пацієнтів  додатково приймали і</w:t>
      </w:r>
      <w:r w:rsidRPr="0042783B">
        <w:rPr>
          <w:sz w:val="28"/>
          <w:szCs w:val="28"/>
          <w:shd w:val="clear" w:color="auto" w:fill="FDFDFD"/>
          <w:lang w:val="uk-UA"/>
        </w:rPr>
        <w:t>нгібітор натрий-глюкозного котранспортеру 2</w:t>
      </w:r>
      <w:r w:rsidRPr="0042783B">
        <w:rPr>
          <w:sz w:val="28"/>
          <w:szCs w:val="28"/>
          <w:shd w:val="clear" w:color="auto" w:fill="FDFDFD"/>
        </w:rPr>
        <w:t> </w:t>
      </w:r>
      <w:r w:rsidRPr="0042783B">
        <w:rPr>
          <w:sz w:val="28"/>
          <w:szCs w:val="28"/>
          <w:shd w:val="clear" w:color="auto" w:fill="FDFDFD"/>
          <w:lang w:val="uk-UA"/>
        </w:rPr>
        <w:t>типу (</w:t>
      </w:r>
      <w:r w:rsidRPr="0042783B">
        <w:rPr>
          <w:sz w:val="28"/>
          <w:szCs w:val="28"/>
          <w:shd w:val="clear" w:color="auto" w:fill="FDFDFD"/>
        </w:rPr>
        <w:t>SGLT</w:t>
      </w:r>
      <w:r w:rsidRPr="0042783B">
        <w:rPr>
          <w:sz w:val="28"/>
          <w:szCs w:val="28"/>
          <w:shd w:val="clear" w:color="auto" w:fill="FDFDFD"/>
          <w:lang w:val="uk-UA"/>
        </w:rPr>
        <w:t>2) та</w:t>
      </w:r>
      <w:r w:rsidRPr="0042783B">
        <w:rPr>
          <w:rStyle w:val="longtext10"/>
          <w:rFonts w:eastAsiaTheme="majorEastAsia"/>
          <w:sz w:val="28"/>
          <w:szCs w:val="28"/>
          <w:lang w:val="uk-UA"/>
        </w:rPr>
        <w:t xml:space="preserve"> 12 (4,82%) пацієнтів - </w:t>
      </w:r>
      <w:r w:rsidRPr="0042783B">
        <w:rPr>
          <w:sz w:val="28"/>
          <w:szCs w:val="28"/>
          <w:shd w:val="clear" w:color="auto" w:fill="FDFDFD"/>
          <w:lang w:val="uk-UA"/>
        </w:rPr>
        <w:t>агоніст глюкагоноподібного пептиду- 1 (ГПП</w:t>
      </w:r>
      <w:r w:rsidRPr="0042783B">
        <w:rPr>
          <w:sz w:val="28"/>
          <w:szCs w:val="28"/>
          <w:shd w:val="clear" w:color="auto" w:fill="FDFDFD"/>
          <w:lang w:val="uk-UA"/>
        </w:rPr>
        <w:noBreakHyphen/>
        <w:t>1) [</w:t>
      </w:r>
      <w:bookmarkStart w:id="10" w:name="_Hlk43499875"/>
      <w:r w:rsidRPr="0042783B">
        <w:rPr>
          <w:sz w:val="28"/>
          <w:szCs w:val="28"/>
          <w:shd w:val="clear" w:color="auto" w:fill="FDFDFD"/>
          <w:lang w:val="uk-UA"/>
        </w:rPr>
        <w:t>168,1</w:t>
      </w:r>
      <w:bookmarkEnd w:id="10"/>
      <w:r w:rsidRPr="0042783B">
        <w:rPr>
          <w:sz w:val="28"/>
          <w:szCs w:val="28"/>
          <w:shd w:val="clear" w:color="auto" w:fill="FDFDFD"/>
          <w:lang w:val="uk-UA"/>
        </w:rPr>
        <w:t>90</w:t>
      </w:r>
      <w:r w:rsidRPr="0042783B">
        <w:rPr>
          <w:sz w:val="28"/>
          <w:szCs w:val="28"/>
          <w:lang w:val="uk-UA"/>
        </w:rPr>
        <w:t>].</w:t>
      </w:r>
      <w:r w:rsidRPr="0042783B">
        <w:rPr>
          <w:rStyle w:val="longtext10"/>
          <w:rFonts w:eastAsiaTheme="majorEastAsia"/>
          <w:sz w:val="28"/>
          <w:szCs w:val="28"/>
          <w:lang w:val="uk-UA"/>
        </w:rPr>
        <w:t xml:space="preserve"> Всі пацієнти з патологією ендокринної системи були проконсультовані ендокринологом.  </w:t>
      </w:r>
    </w:p>
    <w:p w:rsidR="00E3259F" w:rsidRPr="0042783B" w:rsidRDefault="00E3259F" w:rsidP="0042783B">
      <w:pPr>
        <w:spacing w:line="360" w:lineRule="auto"/>
        <w:ind w:firstLine="1021"/>
        <w:jc w:val="both"/>
        <w:rPr>
          <w:rFonts w:eastAsia="Calibri"/>
          <w:lang w:val="uk-UA"/>
        </w:rPr>
      </w:pPr>
      <w:r w:rsidRPr="0042783B">
        <w:rPr>
          <w:sz w:val="28"/>
          <w:szCs w:val="28"/>
          <w:lang w:val="uk-UA"/>
        </w:rPr>
        <w:t>Проведення анкетування осіб з ГХ та ЦД 2 типу виявило значну його чутливість до СГТ (Таблиця 2.1): серед осіб з верифікованим СГТ  у переважної більшості 83,87±3,81% був виявлений високий ризик гіпотиреозу та осіб з низьким ризиком виявлено не було. Серед пацієнтів з ГХ та ЦД 2 тиу без порушення функції ЩЗ низький та помірний ризик гіпотиреозу мали 48,08±4,00%, високий ризик – 51,92±4,00%. Це свідчить, що анкетування за допомогою опитувальника</w:t>
      </w:r>
      <w:r w:rsidRPr="0042783B">
        <w:rPr>
          <w:rFonts w:eastAsia="Calibri"/>
          <w:sz w:val="28"/>
          <w:szCs w:val="28"/>
          <w:lang w:val="uk-UA"/>
        </w:rPr>
        <w:t xml:space="preserve"> </w:t>
      </w:r>
      <w:r w:rsidRPr="0042783B">
        <w:rPr>
          <w:rFonts w:eastAsia="Calibri"/>
          <w:sz w:val="28"/>
          <w:szCs w:val="28"/>
        </w:rPr>
        <w:t>Hypothyroid</w:t>
      </w:r>
      <w:r w:rsidRPr="0042783B">
        <w:rPr>
          <w:rFonts w:eastAsia="Calibri"/>
          <w:sz w:val="28"/>
          <w:szCs w:val="28"/>
          <w:lang w:val="uk-UA"/>
        </w:rPr>
        <w:t xml:space="preserve"> </w:t>
      </w:r>
      <w:r w:rsidRPr="0042783B">
        <w:rPr>
          <w:rFonts w:eastAsia="Calibri"/>
          <w:sz w:val="28"/>
          <w:szCs w:val="28"/>
        </w:rPr>
        <w:t>Risk</w:t>
      </w:r>
      <w:r w:rsidRPr="0042783B">
        <w:rPr>
          <w:rFonts w:eastAsia="Calibri"/>
          <w:sz w:val="28"/>
          <w:szCs w:val="28"/>
          <w:lang w:val="uk-UA"/>
        </w:rPr>
        <w:t xml:space="preserve"> </w:t>
      </w:r>
      <w:r w:rsidRPr="0042783B">
        <w:rPr>
          <w:rFonts w:eastAsia="Calibri"/>
          <w:sz w:val="28"/>
          <w:szCs w:val="28"/>
        </w:rPr>
        <w:t>Questionnaire</w:t>
      </w:r>
      <w:r w:rsidRPr="0042783B">
        <w:rPr>
          <w:rFonts w:eastAsia="Calibri"/>
          <w:sz w:val="28"/>
          <w:szCs w:val="28"/>
          <w:lang w:val="uk-UA"/>
        </w:rPr>
        <w:t xml:space="preserve"> (</w:t>
      </w:r>
      <w:r w:rsidRPr="0042783B">
        <w:rPr>
          <w:rFonts w:eastAsia="Calibri"/>
          <w:sz w:val="28"/>
          <w:szCs w:val="28"/>
        </w:rPr>
        <w:t>HRQ</w:t>
      </w:r>
      <w:r w:rsidRPr="0042783B">
        <w:rPr>
          <w:rFonts w:eastAsia="Calibri"/>
          <w:sz w:val="28"/>
          <w:szCs w:val="28"/>
          <w:lang w:val="uk-UA"/>
        </w:rPr>
        <w:t>) може бути корисним при скринінговому обстеженні також і пацієнтів з коморбідною патологією для виявлення осіб з високим ризиком СГТ.</w:t>
      </w:r>
    </w:p>
    <w:p w:rsidR="00E3259F" w:rsidRDefault="00E3259F" w:rsidP="00E3259F">
      <w:pPr>
        <w:spacing w:line="360" w:lineRule="auto"/>
        <w:ind w:firstLine="709"/>
        <w:jc w:val="right"/>
        <w:rPr>
          <w:rFonts w:eastAsia="Calibri"/>
          <w:sz w:val="28"/>
          <w:szCs w:val="28"/>
          <w:lang w:val="uk-UA"/>
        </w:rPr>
      </w:pPr>
    </w:p>
    <w:p w:rsidR="00E3259F" w:rsidRPr="0042783B" w:rsidRDefault="00E3259F" w:rsidP="0042783B">
      <w:pPr>
        <w:spacing w:line="360" w:lineRule="auto"/>
        <w:jc w:val="right"/>
        <w:rPr>
          <w:rFonts w:eastAsia="Calibri"/>
          <w:sz w:val="28"/>
          <w:szCs w:val="28"/>
          <w:lang w:val="uk-UA"/>
        </w:rPr>
      </w:pPr>
      <w:r w:rsidRPr="0042783B">
        <w:rPr>
          <w:rFonts w:eastAsia="Calibri"/>
          <w:sz w:val="28"/>
          <w:szCs w:val="28"/>
          <w:lang w:val="uk-UA"/>
        </w:rPr>
        <w:t>Таблиця 2.1</w:t>
      </w:r>
    </w:p>
    <w:p w:rsidR="00E3259F" w:rsidRPr="0042783B" w:rsidRDefault="00E3259F" w:rsidP="0042783B">
      <w:pPr>
        <w:spacing w:line="360" w:lineRule="auto"/>
        <w:jc w:val="center"/>
        <w:rPr>
          <w:rFonts w:eastAsia="Calibri"/>
          <w:sz w:val="28"/>
          <w:szCs w:val="28"/>
          <w:lang w:val="uk-UA"/>
        </w:rPr>
      </w:pPr>
      <w:r w:rsidRPr="0042783B">
        <w:rPr>
          <w:rFonts w:eastAsia="Calibri"/>
          <w:sz w:val="28"/>
          <w:szCs w:val="28"/>
          <w:lang w:val="uk-UA"/>
        </w:rPr>
        <w:t>Сумарний ризик розвитку гіпотиреозу за результатами анкетування в досліджуваних групах пацієнтів з коморбідною патологією</w:t>
      </w:r>
    </w:p>
    <w:tbl>
      <w:tblPr>
        <w:tblW w:w="0" w:type="auto"/>
        <w:tblLayout w:type="fixed"/>
        <w:tblLook w:val="04A0" w:firstRow="1" w:lastRow="0" w:firstColumn="1" w:lastColumn="0" w:noHBand="0" w:noVBand="1"/>
      </w:tblPr>
      <w:tblGrid>
        <w:gridCol w:w="2943"/>
        <w:gridCol w:w="1276"/>
        <w:gridCol w:w="1985"/>
        <w:gridCol w:w="1275"/>
        <w:gridCol w:w="1843"/>
      </w:tblGrid>
      <w:tr w:rsidR="00E3259F" w:rsidRPr="0042783B" w:rsidTr="00E3259F">
        <w:tc>
          <w:tcPr>
            <w:tcW w:w="2943" w:type="dxa"/>
            <w:vMerge w:val="restart"/>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rPr>
                <w:rFonts w:eastAsia="Calibri"/>
                <w:sz w:val="28"/>
                <w:szCs w:val="28"/>
                <w:lang w:val="uk-UA" w:eastAsia="en-US"/>
              </w:rPr>
            </w:pPr>
            <w:r w:rsidRPr="0042783B">
              <w:rPr>
                <w:rFonts w:eastAsia="Calibri"/>
                <w:sz w:val="28"/>
                <w:szCs w:val="28"/>
                <w:lang w:val="uk-UA" w:eastAsia="en-US"/>
              </w:rPr>
              <w:t>Сумарний ризик</w:t>
            </w:r>
          </w:p>
          <w:p w:rsidR="00E3259F" w:rsidRPr="0042783B" w:rsidRDefault="00E3259F" w:rsidP="0042783B">
            <w:pPr>
              <w:spacing w:line="360" w:lineRule="auto"/>
              <w:rPr>
                <w:rFonts w:eastAsia="Calibri"/>
                <w:sz w:val="28"/>
                <w:szCs w:val="28"/>
                <w:lang w:val="uk-UA" w:eastAsia="en-US"/>
              </w:rPr>
            </w:pPr>
            <w:r w:rsidRPr="0042783B">
              <w:rPr>
                <w:rFonts w:eastAsia="Calibri"/>
                <w:sz w:val="28"/>
                <w:szCs w:val="28"/>
                <w:lang w:val="uk-UA" w:eastAsia="en-US"/>
              </w:rPr>
              <w:t xml:space="preserve"> розвитку гіпотиреозу</w:t>
            </w:r>
          </w:p>
        </w:tc>
        <w:tc>
          <w:tcPr>
            <w:tcW w:w="6379" w:type="dxa"/>
            <w:gridSpan w:val="4"/>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Групи пацієнтів</w:t>
            </w:r>
          </w:p>
        </w:tc>
      </w:tr>
      <w:tr w:rsidR="00E3259F" w:rsidRPr="0042783B" w:rsidTr="00E3259F">
        <w:tc>
          <w:tcPr>
            <w:tcW w:w="2943" w:type="dxa"/>
            <w:vMerge/>
            <w:tcBorders>
              <w:top w:val="single" w:sz="4" w:space="0" w:color="auto"/>
              <w:left w:val="single" w:sz="4" w:space="0" w:color="auto"/>
              <w:bottom w:val="single" w:sz="4" w:space="0" w:color="auto"/>
              <w:right w:val="single" w:sz="4" w:space="0" w:color="auto"/>
            </w:tcBorders>
            <w:vAlign w:val="center"/>
            <w:hideMark/>
          </w:tcPr>
          <w:p w:rsidR="00E3259F" w:rsidRPr="0042783B" w:rsidRDefault="00E3259F" w:rsidP="0042783B">
            <w:pPr>
              <w:spacing w:line="360" w:lineRule="auto"/>
              <w:rPr>
                <w:rFonts w:eastAsia="Calibri"/>
                <w:sz w:val="28"/>
                <w:szCs w:val="28"/>
                <w:lang w:val="uk-UA" w:eastAsia="en-US"/>
              </w:rPr>
            </w:pPr>
          </w:p>
        </w:tc>
        <w:tc>
          <w:tcPr>
            <w:tcW w:w="3261" w:type="dxa"/>
            <w:gridSpan w:val="2"/>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група</w:t>
            </w:r>
            <w:r w:rsidRPr="0042783B">
              <w:rPr>
                <w:rFonts w:eastAsia="Calibri"/>
                <w:sz w:val="28"/>
                <w:szCs w:val="28"/>
                <w:lang w:val="en-US" w:eastAsia="en-US"/>
              </w:rPr>
              <w:t xml:space="preserve"> </w:t>
            </w:r>
            <w:r w:rsidRPr="0042783B">
              <w:rPr>
                <w:rFonts w:eastAsia="Calibri"/>
                <w:sz w:val="28"/>
                <w:szCs w:val="28"/>
                <w:lang w:val="uk-UA" w:eastAsia="en-US"/>
              </w:rPr>
              <w:t>2</w:t>
            </w:r>
          </w:p>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w:t>
            </w:r>
            <w:r w:rsidRPr="0042783B">
              <w:rPr>
                <w:rFonts w:eastAsia="Calibri"/>
                <w:sz w:val="28"/>
                <w:szCs w:val="28"/>
                <w:lang w:val="en-US" w:eastAsia="en-US"/>
              </w:rPr>
              <w:t>n=</w:t>
            </w:r>
            <w:r w:rsidRPr="0042783B">
              <w:rPr>
                <w:rFonts w:eastAsia="Calibri"/>
                <w:sz w:val="28"/>
                <w:szCs w:val="28"/>
                <w:lang w:val="uk-UA" w:eastAsia="en-US"/>
              </w:rPr>
              <w:t>156)</w:t>
            </w:r>
          </w:p>
        </w:tc>
        <w:tc>
          <w:tcPr>
            <w:tcW w:w="3118" w:type="dxa"/>
            <w:gridSpan w:val="2"/>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група</w:t>
            </w:r>
            <w:r w:rsidRPr="0042783B">
              <w:rPr>
                <w:rFonts w:eastAsia="Calibri"/>
                <w:sz w:val="28"/>
                <w:szCs w:val="28"/>
                <w:lang w:val="en-US" w:eastAsia="en-US"/>
              </w:rPr>
              <w:t xml:space="preserve"> </w:t>
            </w:r>
            <w:r w:rsidRPr="0042783B">
              <w:rPr>
                <w:rFonts w:eastAsia="Calibri"/>
                <w:sz w:val="28"/>
                <w:szCs w:val="28"/>
                <w:lang w:val="uk-UA" w:eastAsia="en-US"/>
              </w:rPr>
              <w:t>3</w:t>
            </w:r>
          </w:p>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w:t>
            </w:r>
            <w:r w:rsidRPr="0042783B">
              <w:rPr>
                <w:rFonts w:eastAsia="Calibri"/>
                <w:sz w:val="28"/>
                <w:szCs w:val="28"/>
                <w:lang w:val="en-US" w:eastAsia="en-US"/>
              </w:rPr>
              <w:t>n=</w:t>
            </w:r>
            <w:r w:rsidRPr="0042783B">
              <w:rPr>
                <w:rFonts w:eastAsia="Calibri"/>
                <w:sz w:val="28"/>
                <w:szCs w:val="28"/>
                <w:lang w:val="uk-UA" w:eastAsia="en-US"/>
              </w:rPr>
              <w:t>93)</w:t>
            </w:r>
          </w:p>
        </w:tc>
      </w:tr>
      <w:tr w:rsidR="00E3259F" w:rsidRPr="0042783B" w:rsidTr="00E3259F">
        <w:tc>
          <w:tcPr>
            <w:tcW w:w="2943" w:type="dxa"/>
            <w:vMerge/>
            <w:tcBorders>
              <w:top w:val="single" w:sz="4" w:space="0" w:color="auto"/>
              <w:left w:val="single" w:sz="4" w:space="0" w:color="auto"/>
              <w:bottom w:val="single" w:sz="4" w:space="0" w:color="auto"/>
              <w:right w:val="single" w:sz="4" w:space="0" w:color="auto"/>
            </w:tcBorders>
            <w:vAlign w:val="center"/>
            <w:hideMark/>
          </w:tcPr>
          <w:p w:rsidR="00E3259F" w:rsidRPr="0042783B" w:rsidRDefault="00E3259F" w:rsidP="0042783B">
            <w:pPr>
              <w:spacing w:line="360" w:lineRule="auto"/>
              <w:rPr>
                <w:rFonts w:eastAsia="Calibri"/>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val="uk-UA" w:eastAsia="en-US"/>
              </w:rPr>
              <w:t>а</w:t>
            </w:r>
            <w:r w:rsidRPr="0042783B">
              <w:rPr>
                <w:rFonts w:eastAsia="Calibri"/>
                <w:sz w:val="28"/>
                <w:szCs w:val="28"/>
                <w:lang w:eastAsia="en-US"/>
              </w:rPr>
              <w:t>бс.</w:t>
            </w:r>
          </w:p>
        </w:tc>
        <w:tc>
          <w:tcPr>
            <w:tcW w:w="198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eastAsia="en-US"/>
              </w:rPr>
              <w:t>%</w:t>
            </w:r>
          </w:p>
        </w:tc>
        <w:tc>
          <w:tcPr>
            <w:tcW w:w="127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val="uk-UA" w:eastAsia="en-US"/>
              </w:rPr>
              <w:t>а</w:t>
            </w:r>
            <w:r w:rsidRPr="0042783B">
              <w:rPr>
                <w:rFonts w:eastAsia="Calibri"/>
                <w:sz w:val="28"/>
                <w:szCs w:val="28"/>
                <w:lang w:eastAsia="en-US"/>
              </w:rPr>
              <w:t>бс.</w:t>
            </w:r>
          </w:p>
        </w:tc>
        <w:tc>
          <w:tcPr>
            <w:tcW w:w="18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eastAsia="en-US"/>
              </w:rPr>
              <w:t>%</w:t>
            </w:r>
          </w:p>
        </w:tc>
      </w:tr>
      <w:tr w:rsidR="00E3259F" w:rsidRPr="0042783B" w:rsidTr="00E3259F">
        <w:tc>
          <w:tcPr>
            <w:tcW w:w="29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Низький ризик</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10</w:t>
            </w:r>
          </w:p>
        </w:tc>
        <w:tc>
          <w:tcPr>
            <w:tcW w:w="198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bCs/>
                <w:sz w:val="28"/>
                <w:szCs w:val="28"/>
                <w:shd w:val="clear" w:color="auto" w:fill="FAFAFA"/>
                <w:lang w:eastAsia="en-US"/>
              </w:rPr>
              <w:t>6.41±</w:t>
            </w:r>
            <w:r w:rsidRPr="0042783B">
              <w:rPr>
                <w:bCs/>
                <w:sz w:val="28"/>
                <w:szCs w:val="28"/>
                <w:shd w:val="clear" w:color="auto" w:fill="FAFAFA"/>
                <w:lang w:val="uk-UA" w:eastAsia="en-US"/>
              </w:rPr>
              <w:t>1,96</w:t>
            </w:r>
          </w:p>
        </w:tc>
        <w:tc>
          <w:tcPr>
            <w:tcW w:w="127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0</w:t>
            </w:r>
          </w:p>
        </w:tc>
      </w:tr>
      <w:tr w:rsidR="00E3259F" w:rsidRPr="0042783B" w:rsidTr="00E3259F">
        <w:tc>
          <w:tcPr>
            <w:tcW w:w="29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Помірний ризик</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65</w:t>
            </w:r>
          </w:p>
        </w:tc>
        <w:tc>
          <w:tcPr>
            <w:tcW w:w="198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bCs/>
                <w:sz w:val="28"/>
                <w:szCs w:val="28"/>
                <w:shd w:val="clear" w:color="auto" w:fill="FAFAFA"/>
                <w:lang w:eastAsia="en-US"/>
              </w:rPr>
              <w:t>41.67±</w:t>
            </w:r>
            <w:r w:rsidRPr="0042783B">
              <w:rPr>
                <w:bCs/>
                <w:sz w:val="28"/>
                <w:szCs w:val="28"/>
                <w:shd w:val="clear" w:color="auto" w:fill="FAFAFA"/>
                <w:lang w:val="uk-UA" w:eastAsia="en-US"/>
              </w:rPr>
              <w:t>3,95</w:t>
            </w:r>
          </w:p>
        </w:tc>
        <w:tc>
          <w:tcPr>
            <w:tcW w:w="127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16</w:t>
            </w:r>
          </w:p>
        </w:tc>
        <w:tc>
          <w:tcPr>
            <w:tcW w:w="18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bCs/>
                <w:sz w:val="28"/>
                <w:szCs w:val="28"/>
                <w:shd w:val="clear" w:color="auto" w:fill="FAFAFA"/>
                <w:lang w:eastAsia="en-US"/>
              </w:rPr>
              <w:t>17.02±</w:t>
            </w:r>
            <w:r w:rsidRPr="0042783B">
              <w:rPr>
                <w:bCs/>
                <w:sz w:val="28"/>
                <w:szCs w:val="28"/>
                <w:shd w:val="clear" w:color="auto" w:fill="FAFAFA"/>
                <w:lang w:val="uk-UA" w:eastAsia="en-US"/>
              </w:rPr>
              <w:t>3,91</w:t>
            </w:r>
          </w:p>
        </w:tc>
      </w:tr>
      <w:tr w:rsidR="00E3259F" w:rsidRPr="0042783B" w:rsidTr="00E3259F">
        <w:tc>
          <w:tcPr>
            <w:tcW w:w="29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Високий ризик</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81</w:t>
            </w:r>
          </w:p>
        </w:tc>
        <w:tc>
          <w:tcPr>
            <w:tcW w:w="198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sz w:val="28"/>
                <w:szCs w:val="28"/>
                <w:lang w:val="uk-UA" w:eastAsia="en-US"/>
              </w:rPr>
              <w:t>51,92±4,00</w:t>
            </w:r>
          </w:p>
        </w:tc>
        <w:tc>
          <w:tcPr>
            <w:tcW w:w="1275"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rFonts w:eastAsia="Calibri"/>
                <w:sz w:val="28"/>
                <w:szCs w:val="28"/>
                <w:lang w:val="uk-UA" w:eastAsia="en-US"/>
              </w:rPr>
              <w:t>78</w:t>
            </w:r>
          </w:p>
        </w:tc>
        <w:tc>
          <w:tcPr>
            <w:tcW w:w="1843"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en-US"/>
              </w:rPr>
            </w:pPr>
            <w:r w:rsidRPr="0042783B">
              <w:rPr>
                <w:sz w:val="28"/>
                <w:szCs w:val="28"/>
                <w:lang w:val="uk-UA" w:eastAsia="en-US"/>
              </w:rPr>
              <w:t>83,87±3,81</w:t>
            </w:r>
          </w:p>
        </w:tc>
      </w:tr>
    </w:tbl>
    <w:p w:rsidR="00E3259F" w:rsidRDefault="00E3259F" w:rsidP="00E3259F">
      <w:pPr>
        <w:spacing w:line="360" w:lineRule="auto"/>
        <w:ind w:firstLine="709"/>
        <w:jc w:val="center"/>
        <w:rPr>
          <w:rFonts w:eastAsia="Calibri"/>
          <w:sz w:val="28"/>
          <w:szCs w:val="28"/>
          <w:lang w:val="uk-UA"/>
        </w:rPr>
      </w:pPr>
    </w:p>
    <w:p w:rsidR="00E3259F" w:rsidRPr="0042783B" w:rsidRDefault="00E3259F" w:rsidP="0042783B">
      <w:pPr>
        <w:widowControl w:val="0"/>
        <w:tabs>
          <w:tab w:val="left" w:pos="1020"/>
        </w:tabs>
        <w:suppressAutoHyphens/>
        <w:spacing w:line="360" w:lineRule="auto"/>
        <w:ind w:firstLine="561"/>
        <w:jc w:val="both"/>
        <w:rPr>
          <w:rFonts w:eastAsia="Calibri"/>
          <w:sz w:val="28"/>
          <w:szCs w:val="28"/>
        </w:rPr>
      </w:pPr>
      <w:r w:rsidRPr="0042783B">
        <w:rPr>
          <w:sz w:val="28"/>
          <w:szCs w:val="28"/>
          <w:lang w:val="uk-UA"/>
        </w:rPr>
        <w:t>На цьому етапі пацієнтам, які були відібрані,  проводилося комплексне клініко-біохімічне,</w:t>
      </w:r>
      <w:r w:rsidRPr="0042783B">
        <w:rPr>
          <w:rFonts w:eastAsia="Calibri"/>
          <w:sz w:val="28"/>
          <w:szCs w:val="28"/>
          <w:lang w:val="uk-UA"/>
        </w:rPr>
        <w:t xml:space="preserve"> антропометричне, імуноферментне та генетичне обстеження. </w:t>
      </w:r>
      <w:r w:rsidRPr="0042783B">
        <w:rPr>
          <w:sz w:val="28"/>
          <w:szCs w:val="28"/>
          <w:lang w:val="uk-UA"/>
        </w:rPr>
        <w:t>За дизайном дослідження всі хворі з ГХ були розподілені на групи (Рис. 2.2) залежно від супутньої патології: група 1 - хворі з ізольованою  ГХ (</w:t>
      </w:r>
      <w:r w:rsidRPr="0042783B">
        <w:rPr>
          <w:sz w:val="28"/>
          <w:szCs w:val="28"/>
        </w:rPr>
        <w:t>n</w:t>
      </w:r>
      <w:r w:rsidRPr="0042783B">
        <w:rPr>
          <w:sz w:val="28"/>
          <w:szCs w:val="28"/>
          <w:lang w:val="uk-UA"/>
        </w:rPr>
        <w:t>=106) – група порівняння,  група 2  - 156 хворих з поєднаним перебігом ГХ та ЦД 2 типу, групу 3 склали пацієнти з поєднаним перебігом ГХ, ЦД 2 типу та СГТ (</w:t>
      </w:r>
      <w:r w:rsidRPr="0042783B">
        <w:rPr>
          <w:sz w:val="28"/>
          <w:szCs w:val="28"/>
        </w:rPr>
        <w:t>n</w:t>
      </w:r>
      <w:r w:rsidRPr="0042783B">
        <w:rPr>
          <w:sz w:val="28"/>
          <w:szCs w:val="28"/>
          <w:lang w:val="uk-UA"/>
        </w:rPr>
        <w:t>=93).  Третя група складалася з пацієнтів, у яких було виявлено СГТ при активному скринінгу осіб з ГХ та супутнім ЦД 2 типу (</w:t>
      </w:r>
      <w:r w:rsidRPr="0042783B">
        <w:rPr>
          <w:sz w:val="28"/>
          <w:szCs w:val="28"/>
        </w:rPr>
        <w:t>n</w:t>
      </w:r>
      <w:r w:rsidRPr="0042783B">
        <w:rPr>
          <w:sz w:val="28"/>
          <w:szCs w:val="28"/>
          <w:lang w:val="uk-UA"/>
        </w:rPr>
        <w:t>=39) і пацієнтів з раніше діагностованим СГТ, який відповідає критеріям включення (</w:t>
      </w:r>
      <w:r w:rsidRPr="0042783B">
        <w:rPr>
          <w:sz w:val="28"/>
          <w:szCs w:val="28"/>
        </w:rPr>
        <w:t>n</w:t>
      </w:r>
      <w:r w:rsidRPr="0042783B">
        <w:rPr>
          <w:sz w:val="28"/>
          <w:szCs w:val="28"/>
          <w:lang w:val="uk-UA"/>
        </w:rPr>
        <w:t xml:space="preserve">=54). </w:t>
      </w:r>
      <w:r w:rsidRPr="0042783B">
        <w:rPr>
          <w:rFonts w:eastAsia="Calibri"/>
          <w:sz w:val="28"/>
          <w:szCs w:val="28"/>
          <w:lang w:val="uk-UA"/>
        </w:rPr>
        <w:t>Середня т</w:t>
      </w:r>
      <w:r w:rsidRPr="0042783B">
        <w:rPr>
          <w:rFonts w:eastAsia="Calibri"/>
          <w:sz w:val="28"/>
          <w:szCs w:val="28"/>
        </w:rPr>
        <w:t xml:space="preserve">ривалість </w:t>
      </w:r>
      <w:r w:rsidRPr="0042783B">
        <w:rPr>
          <w:rFonts w:eastAsia="Calibri"/>
          <w:sz w:val="28"/>
          <w:szCs w:val="28"/>
          <w:lang w:val="uk-UA"/>
        </w:rPr>
        <w:t>ГХ</w:t>
      </w:r>
      <w:r w:rsidRPr="0042783B">
        <w:rPr>
          <w:rFonts w:eastAsia="Calibri"/>
          <w:sz w:val="28"/>
          <w:szCs w:val="28"/>
        </w:rPr>
        <w:t xml:space="preserve"> – (</w:t>
      </w:r>
      <w:r w:rsidRPr="0042783B">
        <w:rPr>
          <w:rFonts w:eastAsia="Calibri"/>
          <w:sz w:val="28"/>
          <w:szCs w:val="28"/>
          <w:lang w:val="uk-UA"/>
        </w:rPr>
        <w:t>10</w:t>
      </w:r>
      <w:r w:rsidRPr="0042783B">
        <w:rPr>
          <w:rFonts w:eastAsia="Calibri"/>
          <w:sz w:val="28"/>
          <w:szCs w:val="28"/>
        </w:rPr>
        <w:t>,</w:t>
      </w:r>
      <w:r w:rsidRPr="0042783B">
        <w:rPr>
          <w:rFonts w:eastAsia="Calibri"/>
          <w:sz w:val="28"/>
          <w:szCs w:val="28"/>
          <w:lang w:val="uk-UA"/>
        </w:rPr>
        <w:t>2</w:t>
      </w:r>
      <w:r w:rsidRPr="0042783B">
        <w:rPr>
          <w:rFonts w:eastAsia="Calibri"/>
          <w:sz w:val="28"/>
          <w:szCs w:val="28"/>
        </w:rPr>
        <w:t xml:space="preserve"> ± </w:t>
      </w:r>
      <w:r w:rsidRPr="0042783B">
        <w:rPr>
          <w:rFonts w:eastAsia="Calibri"/>
          <w:sz w:val="28"/>
          <w:szCs w:val="28"/>
          <w:lang w:val="uk-UA"/>
        </w:rPr>
        <w:t>2</w:t>
      </w:r>
      <w:r w:rsidRPr="0042783B">
        <w:rPr>
          <w:rFonts w:eastAsia="Calibri"/>
          <w:sz w:val="28"/>
          <w:szCs w:val="28"/>
        </w:rPr>
        <w:t>,</w:t>
      </w:r>
      <w:r w:rsidRPr="0042783B">
        <w:rPr>
          <w:rFonts w:eastAsia="Calibri"/>
          <w:sz w:val="28"/>
          <w:szCs w:val="28"/>
          <w:lang w:val="uk-UA"/>
        </w:rPr>
        <w:t>16</w:t>
      </w:r>
      <w:r w:rsidRPr="0042783B">
        <w:rPr>
          <w:rFonts w:eastAsia="Calibri"/>
          <w:sz w:val="28"/>
          <w:szCs w:val="28"/>
        </w:rPr>
        <w:t>) роки</w:t>
      </w:r>
      <w:r w:rsidRPr="0042783B">
        <w:rPr>
          <w:rFonts w:eastAsia="Calibri"/>
          <w:sz w:val="28"/>
          <w:szCs w:val="28"/>
          <w:lang w:val="uk-UA"/>
        </w:rPr>
        <w:t>, ЦД 2 типу – (5</w:t>
      </w:r>
      <w:r w:rsidRPr="0042783B">
        <w:rPr>
          <w:rFonts w:eastAsia="Calibri"/>
          <w:sz w:val="28"/>
          <w:szCs w:val="28"/>
        </w:rPr>
        <w:t>,</w:t>
      </w:r>
      <w:r w:rsidRPr="0042783B">
        <w:rPr>
          <w:rFonts w:eastAsia="Calibri"/>
          <w:sz w:val="28"/>
          <w:szCs w:val="28"/>
          <w:lang w:val="uk-UA"/>
        </w:rPr>
        <w:t>25</w:t>
      </w:r>
      <w:r w:rsidRPr="0042783B">
        <w:rPr>
          <w:rFonts w:eastAsia="Calibri"/>
          <w:sz w:val="28"/>
          <w:szCs w:val="28"/>
        </w:rPr>
        <w:t>±</w:t>
      </w:r>
      <w:r w:rsidRPr="0042783B">
        <w:rPr>
          <w:rFonts w:eastAsia="Calibri"/>
          <w:sz w:val="28"/>
          <w:szCs w:val="28"/>
          <w:lang w:val="uk-UA"/>
        </w:rPr>
        <w:t>3</w:t>
      </w:r>
      <w:r w:rsidRPr="0042783B">
        <w:rPr>
          <w:rFonts w:eastAsia="Calibri"/>
          <w:sz w:val="28"/>
          <w:szCs w:val="28"/>
        </w:rPr>
        <w:t>,</w:t>
      </w:r>
      <w:r w:rsidRPr="0042783B">
        <w:rPr>
          <w:rFonts w:eastAsia="Calibri"/>
          <w:sz w:val="28"/>
          <w:szCs w:val="28"/>
          <w:lang w:val="uk-UA"/>
        </w:rPr>
        <w:t>23) роки, СГТ, який був встановлений до скрінінгу (1,56±0,83) роки</w:t>
      </w:r>
      <w:r w:rsidRPr="0042783B">
        <w:rPr>
          <w:rFonts w:eastAsia="Calibri"/>
          <w:sz w:val="28"/>
          <w:szCs w:val="28"/>
        </w:rPr>
        <w:t>.</w:t>
      </w:r>
    </w:p>
    <w:p w:rsidR="00E3259F" w:rsidRPr="0042783B" w:rsidRDefault="00E3259F" w:rsidP="0042783B">
      <w:pPr>
        <w:spacing w:line="360" w:lineRule="auto"/>
        <w:ind w:firstLine="561"/>
        <w:jc w:val="both"/>
        <w:rPr>
          <w:sz w:val="28"/>
          <w:szCs w:val="28"/>
        </w:rPr>
      </w:pPr>
    </w:p>
    <w:p w:rsidR="00E3259F" w:rsidRDefault="00E3259F" w:rsidP="00E3259F">
      <w:pPr>
        <w:spacing w:line="360" w:lineRule="auto"/>
        <w:ind w:firstLine="563"/>
        <w:rPr>
          <w:sz w:val="28"/>
          <w:szCs w:val="28"/>
          <w:lang w:val="uk-UA"/>
        </w:rPr>
      </w:pPr>
      <w:r>
        <w:rPr>
          <w:noProof/>
        </w:rPr>
        <w:drawing>
          <wp:inline distT="0" distB="0" distL="0" distR="0">
            <wp:extent cx="4648200" cy="238125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3259F" w:rsidRDefault="00E3259F" w:rsidP="00E3259F">
      <w:pPr>
        <w:spacing w:line="360" w:lineRule="auto"/>
        <w:ind w:firstLine="540"/>
        <w:jc w:val="both"/>
        <w:rPr>
          <w:sz w:val="28"/>
          <w:szCs w:val="28"/>
          <w:lang w:val="uk-UA"/>
        </w:rPr>
      </w:pPr>
      <w:r>
        <w:rPr>
          <w:sz w:val="28"/>
          <w:szCs w:val="28"/>
          <w:lang w:val="uk-UA"/>
        </w:rPr>
        <w:t>Рис. 2.2 Розподіл пацієнтів за групами.</w:t>
      </w:r>
    </w:p>
    <w:p w:rsidR="00E3259F" w:rsidRDefault="00E3259F" w:rsidP="00E3259F">
      <w:pPr>
        <w:spacing w:line="360" w:lineRule="auto"/>
        <w:ind w:firstLine="563"/>
        <w:jc w:val="right"/>
        <w:rPr>
          <w:sz w:val="28"/>
          <w:szCs w:val="28"/>
          <w:lang w:val="uk-UA"/>
        </w:rPr>
      </w:pPr>
    </w:p>
    <w:p w:rsidR="00E3259F" w:rsidRPr="0042783B" w:rsidRDefault="00E3259F" w:rsidP="0042783B">
      <w:pPr>
        <w:pStyle w:val="1"/>
        <w:spacing w:before="0" w:beforeAutospacing="0" w:after="0" w:afterAutospacing="0" w:line="360" w:lineRule="auto"/>
        <w:jc w:val="both"/>
        <w:rPr>
          <w:b w:val="0"/>
          <w:sz w:val="28"/>
          <w:szCs w:val="28"/>
          <w:lang w:val="uk-UA"/>
        </w:rPr>
      </w:pPr>
      <w:r w:rsidRPr="0042783B">
        <w:rPr>
          <w:b w:val="0"/>
          <w:sz w:val="28"/>
          <w:szCs w:val="28"/>
          <w:lang w:val="uk-UA"/>
        </w:rPr>
        <w:t>Поряд із цим  усі пацієнти були розподілені на дві вікові підгрупи: підгрупа І – 44-60 років, підгрупа ІІ – 61-75 років згідно з класифікацією вікових груп ВООЗ (Таблиця 2.2) [23].</w:t>
      </w:r>
      <w:r w:rsidRPr="0042783B">
        <w:rPr>
          <w:rFonts w:eastAsia="Calibri"/>
          <w:b w:val="0"/>
          <w:sz w:val="28"/>
          <w:szCs w:val="28"/>
          <w:lang w:val="uk-UA"/>
        </w:rPr>
        <w:t xml:space="preserve"> </w:t>
      </w:r>
    </w:p>
    <w:p w:rsidR="00E3259F" w:rsidRPr="0042783B" w:rsidRDefault="00E3259F" w:rsidP="0042783B">
      <w:pPr>
        <w:spacing w:line="360" w:lineRule="auto"/>
        <w:jc w:val="right"/>
        <w:rPr>
          <w:sz w:val="28"/>
          <w:szCs w:val="28"/>
          <w:lang w:val="uk-UA"/>
        </w:rPr>
      </w:pPr>
      <w:r w:rsidRPr="0042783B">
        <w:rPr>
          <w:sz w:val="28"/>
          <w:szCs w:val="28"/>
          <w:lang w:val="uk-UA"/>
        </w:rPr>
        <w:t>Таблиця 2.2</w:t>
      </w:r>
    </w:p>
    <w:p w:rsidR="00E3259F" w:rsidRPr="0042783B" w:rsidRDefault="00E3259F" w:rsidP="0042783B">
      <w:pPr>
        <w:spacing w:line="360" w:lineRule="auto"/>
        <w:jc w:val="center"/>
        <w:rPr>
          <w:sz w:val="28"/>
          <w:szCs w:val="28"/>
          <w:lang w:val="uk-UA"/>
        </w:rPr>
      </w:pPr>
      <w:r w:rsidRPr="0042783B">
        <w:rPr>
          <w:sz w:val="28"/>
          <w:szCs w:val="28"/>
          <w:lang w:val="uk-UA"/>
        </w:rPr>
        <w:t>Розподіл пацієнтів за віковими підгрупами</w:t>
      </w:r>
    </w:p>
    <w:tbl>
      <w:tblPr>
        <w:tblW w:w="0" w:type="auto"/>
        <w:tblLook w:val="04A0" w:firstRow="1" w:lastRow="0" w:firstColumn="1" w:lastColumn="0" w:noHBand="0" w:noVBand="1"/>
      </w:tblPr>
      <w:tblGrid>
        <w:gridCol w:w="2660"/>
        <w:gridCol w:w="1134"/>
        <w:gridCol w:w="1490"/>
        <w:gridCol w:w="1417"/>
        <w:gridCol w:w="1559"/>
      </w:tblGrid>
      <w:tr w:rsidR="00E3259F" w:rsidRPr="0042783B" w:rsidTr="00E3259F">
        <w:tc>
          <w:tcPr>
            <w:tcW w:w="2660" w:type="dxa"/>
            <w:tcBorders>
              <w:top w:val="single" w:sz="4" w:space="0" w:color="auto"/>
              <w:left w:val="single" w:sz="4" w:space="0" w:color="auto"/>
              <w:bottom w:val="single" w:sz="4" w:space="0" w:color="auto"/>
              <w:right w:val="single" w:sz="4" w:space="0" w:color="auto"/>
            </w:tcBorders>
          </w:tcPr>
          <w:p w:rsidR="00E3259F" w:rsidRPr="0042783B" w:rsidRDefault="00E3259F" w:rsidP="0042783B">
            <w:pPr>
              <w:spacing w:line="360" w:lineRule="auto"/>
              <w:jc w:val="both"/>
              <w:rPr>
                <w:sz w:val="28"/>
                <w:szCs w:val="28"/>
                <w:lang w:val="uk-UA" w:eastAsia="en-US"/>
              </w:rPr>
            </w:pPr>
          </w:p>
        </w:tc>
        <w:tc>
          <w:tcPr>
            <w:tcW w:w="2410" w:type="dxa"/>
            <w:gridSpan w:val="2"/>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sz w:val="28"/>
                <w:szCs w:val="28"/>
                <w:lang w:val="uk-UA" w:eastAsia="en-US"/>
              </w:rPr>
            </w:pPr>
            <w:r w:rsidRPr="0042783B">
              <w:rPr>
                <w:sz w:val="28"/>
                <w:szCs w:val="28"/>
                <w:lang w:val="uk-UA" w:eastAsia="en-US"/>
              </w:rPr>
              <w:t>Підгрупа І</w:t>
            </w:r>
          </w:p>
          <w:p w:rsidR="00E3259F" w:rsidRPr="0042783B" w:rsidRDefault="00E3259F" w:rsidP="0042783B">
            <w:pPr>
              <w:spacing w:line="360" w:lineRule="auto"/>
              <w:jc w:val="center"/>
              <w:rPr>
                <w:sz w:val="28"/>
                <w:szCs w:val="28"/>
                <w:lang w:val="uk-UA" w:eastAsia="en-US"/>
              </w:rPr>
            </w:pPr>
            <w:r w:rsidRPr="0042783B">
              <w:rPr>
                <w:sz w:val="28"/>
                <w:szCs w:val="28"/>
                <w:lang w:val="uk-UA" w:eastAsia="en-US"/>
              </w:rPr>
              <w:t>(44-60 років)</w:t>
            </w:r>
          </w:p>
        </w:tc>
        <w:tc>
          <w:tcPr>
            <w:tcW w:w="2976" w:type="dxa"/>
            <w:gridSpan w:val="2"/>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sz w:val="28"/>
                <w:szCs w:val="28"/>
                <w:lang w:val="uk-UA" w:eastAsia="en-US"/>
              </w:rPr>
            </w:pPr>
            <w:r w:rsidRPr="0042783B">
              <w:rPr>
                <w:sz w:val="28"/>
                <w:szCs w:val="28"/>
                <w:lang w:val="uk-UA" w:eastAsia="en-US"/>
              </w:rPr>
              <w:t>Підгрупа ІІ</w:t>
            </w:r>
          </w:p>
          <w:p w:rsidR="00E3259F" w:rsidRPr="0042783B" w:rsidRDefault="00E3259F" w:rsidP="0042783B">
            <w:pPr>
              <w:spacing w:line="360" w:lineRule="auto"/>
              <w:jc w:val="center"/>
              <w:rPr>
                <w:sz w:val="28"/>
                <w:szCs w:val="28"/>
                <w:lang w:val="uk-UA" w:eastAsia="en-US"/>
              </w:rPr>
            </w:pPr>
            <w:r w:rsidRPr="0042783B">
              <w:rPr>
                <w:sz w:val="28"/>
                <w:szCs w:val="28"/>
                <w:lang w:val="uk-UA" w:eastAsia="en-US"/>
              </w:rPr>
              <w:t>(61-75 років)</w:t>
            </w:r>
          </w:p>
        </w:tc>
      </w:tr>
      <w:tr w:rsidR="00E3259F" w:rsidRPr="0042783B" w:rsidTr="00E3259F">
        <w:tc>
          <w:tcPr>
            <w:tcW w:w="2660" w:type="dxa"/>
            <w:tcBorders>
              <w:top w:val="single" w:sz="4" w:space="0" w:color="auto"/>
              <w:left w:val="single" w:sz="4" w:space="0" w:color="auto"/>
              <w:bottom w:val="single" w:sz="4" w:space="0" w:color="auto"/>
              <w:right w:val="single" w:sz="4" w:space="0" w:color="auto"/>
            </w:tcBorders>
          </w:tcPr>
          <w:p w:rsidR="00E3259F" w:rsidRPr="0042783B" w:rsidRDefault="00E3259F" w:rsidP="0042783B">
            <w:pPr>
              <w:spacing w:line="360" w:lineRule="auto"/>
              <w:jc w:val="both"/>
              <w:rPr>
                <w:sz w:val="28"/>
                <w:szCs w:val="28"/>
                <w:lang w:val="uk-UA" w:eastAsia="en-US"/>
              </w:rPr>
            </w:pPr>
          </w:p>
        </w:tc>
        <w:tc>
          <w:tcPr>
            <w:tcW w:w="1134"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val="uk-UA" w:eastAsia="en-US"/>
              </w:rPr>
              <w:t>а</w:t>
            </w:r>
            <w:r w:rsidRPr="0042783B">
              <w:rPr>
                <w:rFonts w:eastAsia="Calibri"/>
                <w:sz w:val="28"/>
                <w:szCs w:val="28"/>
                <w:lang w:eastAsia="en-US"/>
              </w:rPr>
              <w:t>бс.</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val="uk-UA" w:eastAsia="en-US"/>
              </w:rPr>
              <w:t>а</w:t>
            </w:r>
            <w:r w:rsidRPr="0042783B">
              <w:rPr>
                <w:rFonts w:eastAsia="Calibri"/>
                <w:sz w:val="28"/>
                <w:szCs w:val="28"/>
                <w:lang w:eastAsia="en-US"/>
              </w:rPr>
              <w:t>бс.</w:t>
            </w:r>
          </w:p>
        </w:tc>
        <w:tc>
          <w:tcPr>
            <w:tcW w:w="1559"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center"/>
              <w:rPr>
                <w:rFonts w:eastAsia="Calibri"/>
                <w:sz w:val="28"/>
                <w:szCs w:val="28"/>
                <w:lang w:val="uk-UA" w:eastAsia="uk-UA"/>
              </w:rPr>
            </w:pPr>
            <w:r w:rsidRPr="0042783B">
              <w:rPr>
                <w:rFonts w:eastAsia="Calibri"/>
                <w:sz w:val="28"/>
                <w:szCs w:val="28"/>
                <w:lang w:eastAsia="en-US"/>
              </w:rPr>
              <w:t>%</w:t>
            </w:r>
          </w:p>
        </w:tc>
      </w:tr>
      <w:tr w:rsidR="00E3259F" w:rsidRPr="0042783B"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jc w:val="both"/>
              <w:rPr>
                <w:sz w:val="28"/>
                <w:szCs w:val="28"/>
                <w:lang w:val="uk-UA" w:eastAsia="en-US"/>
              </w:rPr>
            </w:pPr>
            <w:r w:rsidRPr="0042783B">
              <w:rPr>
                <w:rFonts w:eastAsia="Calibri"/>
                <w:sz w:val="28"/>
                <w:szCs w:val="28"/>
                <w:lang w:val="uk-UA" w:eastAsia="en-US"/>
              </w:rPr>
              <w:t>1 група (</w:t>
            </w:r>
            <w:r w:rsidRPr="0042783B">
              <w:rPr>
                <w:rFonts w:eastAsia="Calibri"/>
                <w:sz w:val="28"/>
                <w:szCs w:val="28"/>
                <w:lang w:val="en-US" w:eastAsia="en-US"/>
              </w:rPr>
              <w:t>n=</w:t>
            </w:r>
            <w:r w:rsidRPr="0042783B">
              <w:rPr>
                <w:rFonts w:eastAsia="Calibri"/>
                <w:sz w:val="28"/>
                <w:szCs w:val="28"/>
                <w:lang w:val="uk-UA" w:eastAsia="en-US"/>
              </w:rPr>
              <w:t>106)</w:t>
            </w:r>
          </w:p>
        </w:tc>
        <w:tc>
          <w:tcPr>
            <w:tcW w:w="1134"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sz w:val="28"/>
                <w:szCs w:val="28"/>
                <w:lang w:val="uk-UA" w:eastAsia="en-US"/>
              </w:rPr>
              <w:t>47</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bCs/>
                <w:sz w:val="28"/>
                <w:szCs w:val="28"/>
                <w:shd w:val="clear" w:color="auto" w:fill="FAFAFA"/>
                <w:lang w:eastAsia="en-US"/>
              </w:rPr>
              <w:t>44</w:t>
            </w:r>
            <w:r w:rsidRPr="0042783B">
              <w:rPr>
                <w:bCs/>
                <w:sz w:val="28"/>
                <w:szCs w:val="28"/>
                <w:shd w:val="clear" w:color="auto" w:fill="FAFAFA"/>
                <w:lang w:val="uk-UA" w:eastAsia="en-US"/>
              </w:rPr>
              <w:t>,</w:t>
            </w:r>
            <w:r w:rsidRPr="0042783B">
              <w:rPr>
                <w:bCs/>
                <w:sz w:val="28"/>
                <w:szCs w:val="28"/>
                <w:shd w:val="clear" w:color="auto" w:fill="FAFAFA"/>
                <w:lang w:eastAsia="en-US"/>
              </w:rPr>
              <w:t>34±4,82</w:t>
            </w:r>
          </w:p>
        </w:tc>
        <w:tc>
          <w:tcPr>
            <w:tcW w:w="1417"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sz w:val="28"/>
                <w:szCs w:val="28"/>
                <w:lang w:val="uk-UA" w:eastAsia="en-US"/>
              </w:rPr>
              <w:t>59</w:t>
            </w:r>
          </w:p>
        </w:tc>
        <w:tc>
          <w:tcPr>
            <w:tcW w:w="1559"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bCs/>
                <w:sz w:val="28"/>
                <w:szCs w:val="28"/>
                <w:shd w:val="clear" w:color="auto" w:fill="FAFAFA"/>
                <w:lang w:eastAsia="en-US"/>
              </w:rPr>
              <w:t>55</w:t>
            </w:r>
            <w:r w:rsidRPr="0042783B">
              <w:rPr>
                <w:bCs/>
                <w:sz w:val="28"/>
                <w:szCs w:val="28"/>
                <w:shd w:val="clear" w:color="auto" w:fill="FAFAFA"/>
                <w:lang w:val="uk-UA" w:eastAsia="en-US"/>
              </w:rPr>
              <w:t>,</w:t>
            </w:r>
            <w:r w:rsidRPr="0042783B">
              <w:rPr>
                <w:bCs/>
                <w:sz w:val="28"/>
                <w:szCs w:val="28"/>
                <w:shd w:val="clear" w:color="auto" w:fill="FAFAFA"/>
                <w:lang w:eastAsia="en-US"/>
              </w:rPr>
              <w:t>66±4,82</w:t>
            </w:r>
          </w:p>
        </w:tc>
      </w:tr>
      <w:tr w:rsidR="00E3259F" w:rsidRPr="0042783B"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rPr>
                <w:sz w:val="28"/>
                <w:szCs w:val="28"/>
                <w:lang w:val="uk-UA" w:eastAsia="en-US"/>
              </w:rPr>
            </w:pPr>
            <w:r w:rsidRPr="0042783B">
              <w:rPr>
                <w:rFonts w:eastAsia="Calibri"/>
                <w:sz w:val="28"/>
                <w:szCs w:val="28"/>
                <w:lang w:val="uk-UA" w:eastAsia="en-US"/>
              </w:rPr>
              <w:t>2 група (</w:t>
            </w:r>
            <w:r w:rsidRPr="0042783B">
              <w:rPr>
                <w:rFonts w:eastAsia="Calibri"/>
                <w:sz w:val="28"/>
                <w:szCs w:val="28"/>
                <w:lang w:val="en-US" w:eastAsia="en-US"/>
              </w:rPr>
              <w:t>n=</w:t>
            </w:r>
            <w:r w:rsidRPr="0042783B">
              <w:rPr>
                <w:rFonts w:eastAsia="Calibri"/>
                <w:sz w:val="28"/>
                <w:szCs w:val="28"/>
                <w:lang w:val="uk-UA" w:eastAsia="en-US"/>
              </w:rPr>
              <w:t>156)</w:t>
            </w:r>
          </w:p>
        </w:tc>
        <w:tc>
          <w:tcPr>
            <w:tcW w:w="1134"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sz w:val="28"/>
                <w:szCs w:val="28"/>
                <w:lang w:val="uk-UA" w:eastAsia="en-US"/>
              </w:rPr>
              <w:t>70</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bCs/>
                <w:sz w:val="28"/>
                <w:szCs w:val="28"/>
                <w:shd w:val="clear" w:color="auto" w:fill="FAFAFA"/>
                <w:lang w:eastAsia="en-US"/>
              </w:rPr>
              <w:t>44</w:t>
            </w:r>
            <w:r w:rsidRPr="0042783B">
              <w:rPr>
                <w:bCs/>
                <w:sz w:val="28"/>
                <w:szCs w:val="28"/>
                <w:shd w:val="clear" w:color="auto" w:fill="FAFAFA"/>
                <w:lang w:val="uk-UA" w:eastAsia="en-US"/>
              </w:rPr>
              <w:t>,</w:t>
            </w:r>
            <w:r w:rsidRPr="0042783B">
              <w:rPr>
                <w:bCs/>
                <w:sz w:val="28"/>
                <w:szCs w:val="28"/>
                <w:shd w:val="clear" w:color="auto" w:fill="FAFAFA"/>
                <w:lang w:eastAsia="en-US"/>
              </w:rPr>
              <w:t>87±3,98</w:t>
            </w:r>
          </w:p>
        </w:tc>
        <w:tc>
          <w:tcPr>
            <w:tcW w:w="1417"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sz w:val="28"/>
                <w:szCs w:val="28"/>
                <w:lang w:val="uk-UA" w:eastAsia="en-US"/>
              </w:rPr>
              <w:t>86</w:t>
            </w:r>
          </w:p>
        </w:tc>
        <w:tc>
          <w:tcPr>
            <w:tcW w:w="1559"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bCs/>
                <w:sz w:val="28"/>
                <w:szCs w:val="28"/>
                <w:shd w:val="clear" w:color="auto" w:fill="FAFAFA"/>
                <w:lang w:eastAsia="en-US"/>
              </w:rPr>
              <w:t>55</w:t>
            </w:r>
            <w:r w:rsidRPr="0042783B">
              <w:rPr>
                <w:bCs/>
                <w:sz w:val="28"/>
                <w:szCs w:val="28"/>
                <w:shd w:val="clear" w:color="auto" w:fill="FAFAFA"/>
                <w:lang w:val="uk-UA" w:eastAsia="en-US"/>
              </w:rPr>
              <w:t>,</w:t>
            </w:r>
            <w:r w:rsidRPr="0042783B">
              <w:rPr>
                <w:bCs/>
                <w:sz w:val="28"/>
                <w:szCs w:val="28"/>
                <w:shd w:val="clear" w:color="auto" w:fill="FAFAFA"/>
                <w:lang w:eastAsia="en-US"/>
              </w:rPr>
              <w:t>13±3,98</w:t>
            </w:r>
          </w:p>
        </w:tc>
      </w:tr>
      <w:tr w:rsidR="00E3259F" w:rsidRPr="0042783B"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42783B" w:rsidRDefault="00E3259F" w:rsidP="0042783B">
            <w:pPr>
              <w:spacing w:line="360" w:lineRule="auto"/>
              <w:rPr>
                <w:sz w:val="28"/>
                <w:szCs w:val="28"/>
                <w:lang w:val="uk-UA" w:eastAsia="en-US"/>
              </w:rPr>
            </w:pPr>
            <w:r w:rsidRPr="0042783B">
              <w:rPr>
                <w:rFonts w:eastAsia="Calibri"/>
                <w:sz w:val="28"/>
                <w:szCs w:val="28"/>
                <w:lang w:val="uk-UA" w:eastAsia="en-US"/>
              </w:rPr>
              <w:t>3 група (</w:t>
            </w:r>
            <w:r w:rsidRPr="0042783B">
              <w:rPr>
                <w:rFonts w:eastAsia="Calibri"/>
                <w:sz w:val="28"/>
                <w:szCs w:val="28"/>
                <w:lang w:val="en-US" w:eastAsia="en-US"/>
              </w:rPr>
              <w:t>n=</w:t>
            </w:r>
            <w:r w:rsidRPr="0042783B">
              <w:rPr>
                <w:rFonts w:eastAsia="Calibri"/>
                <w:sz w:val="28"/>
                <w:szCs w:val="28"/>
                <w:lang w:val="uk-UA" w:eastAsia="en-US"/>
              </w:rPr>
              <w:t>93)</w:t>
            </w:r>
          </w:p>
        </w:tc>
        <w:tc>
          <w:tcPr>
            <w:tcW w:w="1134"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sz w:val="28"/>
                <w:szCs w:val="28"/>
                <w:lang w:val="uk-UA" w:eastAsia="en-US"/>
              </w:rPr>
              <w:t>36</w:t>
            </w:r>
          </w:p>
        </w:tc>
        <w:tc>
          <w:tcPr>
            <w:tcW w:w="1276"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bCs/>
                <w:sz w:val="28"/>
                <w:szCs w:val="28"/>
                <w:shd w:val="clear" w:color="auto" w:fill="FAFAFA"/>
                <w:lang w:eastAsia="en-US"/>
              </w:rPr>
              <w:t>3</w:t>
            </w:r>
            <w:r w:rsidRPr="0042783B">
              <w:rPr>
                <w:bCs/>
                <w:sz w:val="28"/>
                <w:szCs w:val="28"/>
                <w:shd w:val="clear" w:color="auto" w:fill="FAFAFA"/>
                <w:lang w:val="uk-UA" w:eastAsia="en-US"/>
              </w:rPr>
              <w:t>8,71</w:t>
            </w:r>
            <w:r w:rsidRPr="0042783B">
              <w:rPr>
                <w:bCs/>
                <w:sz w:val="28"/>
                <w:szCs w:val="28"/>
                <w:shd w:val="clear" w:color="auto" w:fill="FAFAFA"/>
                <w:lang w:eastAsia="en-US"/>
              </w:rPr>
              <w:t>±5,05</w:t>
            </w:r>
          </w:p>
        </w:tc>
        <w:tc>
          <w:tcPr>
            <w:tcW w:w="1417"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sz w:val="28"/>
                <w:szCs w:val="28"/>
                <w:lang w:val="uk-UA" w:eastAsia="en-US"/>
              </w:rPr>
              <w:t>57</w:t>
            </w:r>
          </w:p>
        </w:tc>
        <w:tc>
          <w:tcPr>
            <w:tcW w:w="1559" w:type="dxa"/>
            <w:tcBorders>
              <w:top w:val="single" w:sz="4" w:space="0" w:color="auto"/>
              <w:left w:val="single" w:sz="4" w:space="0" w:color="auto"/>
              <w:bottom w:val="single" w:sz="4" w:space="0" w:color="auto"/>
              <w:right w:val="single" w:sz="4" w:space="0" w:color="auto"/>
            </w:tcBorders>
            <w:hideMark/>
          </w:tcPr>
          <w:p w:rsidR="00E3259F" w:rsidRPr="0042783B" w:rsidRDefault="00E3259F" w:rsidP="00D8466F">
            <w:pPr>
              <w:spacing w:line="360" w:lineRule="auto"/>
              <w:jc w:val="center"/>
              <w:rPr>
                <w:sz w:val="28"/>
                <w:szCs w:val="28"/>
                <w:lang w:val="uk-UA" w:eastAsia="en-US"/>
              </w:rPr>
            </w:pPr>
            <w:r w:rsidRPr="0042783B">
              <w:rPr>
                <w:bCs/>
                <w:sz w:val="28"/>
                <w:szCs w:val="28"/>
                <w:shd w:val="clear" w:color="auto" w:fill="FAFAFA"/>
                <w:lang w:eastAsia="en-US"/>
              </w:rPr>
              <w:t>6</w:t>
            </w:r>
            <w:r w:rsidRPr="0042783B">
              <w:rPr>
                <w:bCs/>
                <w:sz w:val="28"/>
                <w:szCs w:val="28"/>
                <w:shd w:val="clear" w:color="auto" w:fill="FAFAFA"/>
                <w:lang w:val="uk-UA" w:eastAsia="en-US"/>
              </w:rPr>
              <w:t>1,29</w:t>
            </w:r>
            <w:r w:rsidRPr="0042783B">
              <w:rPr>
                <w:bCs/>
                <w:sz w:val="28"/>
                <w:szCs w:val="28"/>
                <w:shd w:val="clear" w:color="auto" w:fill="FAFAFA"/>
                <w:lang w:eastAsia="en-US"/>
              </w:rPr>
              <w:t>±5,05</w:t>
            </w:r>
          </w:p>
        </w:tc>
      </w:tr>
    </w:tbl>
    <w:p w:rsidR="00E3259F" w:rsidRPr="0042783B" w:rsidRDefault="00E3259F" w:rsidP="0042783B">
      <w:pPr>
        <w:spacing w:line="360" w:lineRule="auto"/>
        <w:jc w:val="both"/>
        <w:rPr>
          <w:sz w:val="28"/>
          <w:szCs w:val="28"/>
          <w:lang w:val="uk-UA"/>
        </w:rPr>
      </w:pPr>
    </w:p>
    <w:p w:rsidR="00E3259F" w:rsidRPr="00D8466F" w:rsidRDefault="00E3259F" w:rsidP="00D8466F">
      <w:pPr>
        <w:pStyle w:val="1"/>
        <w:spacing w:before="0" w:beforeAutospacing="0" w:after="0" w:afterAutospacing="0" w:line="360" w:lineRule="auto"/>
        <w:ind w:firstLine="709"/>
        <w:jc w:val="both"/>
        <w:rPr>
          <w:b w:val="0"/>
          <w:sz w:val="28"/>
          <w:szCs w:val="28"/>
          <w:lang w:val="uk-UA"/>
        </w:rPr>
      </w:pPr>
      <w:r w:rsidRPr="00D8466F">
        <w:rPr>
          <w:rFonts w:eastAsia="Calibri"/>
          <w:b w:val="0"/>
          <w:sz w:val="28"/>
          <w:szCs w:val="28"/>
          <w:lang w:val="uk-UA"/>
        </w:rPr>
        <w:t xml:space="preserve">Для визначення впливу рівнів ТТГ на субклінічному рівні та з’ясування порогового рівня ТТГ щодо підвищення КВР пацієнти з ГХ, </w:t>
      </w:r>
      <w:r w:rsidRPr="00D8466F">
        <w:rPr>
          <w:rStyle w:val="tlid-translation"/>
          <w:rFonts w:eastAsiaTheme="majorEastAsia"/>
          <w:b w:val="0"/>
          <w:sz w:val="28"/>
          <w:szCs w:val="28"/>
          <w:lang w:val="uk-UA"/>
        </w:rPr>
        <w:t>ЦД 2 типу</w:t>
      </w:r>
      <w:r w:rsidRPr="00D8466F">
        <w:rPr>
          <w:rFonts w:eastAsia="Calibri"/>
          <w:b w:val="0"/>
          <w:sz w:val="28"/>
          <w:szCs w:val="28"/>
          <w:lang w:val="uk-UA"/>
        </w:rPr>
        <w:t xml:space="preserve"> та СГТ були розподілені залежно від </w:t>
      </w:r>
      <w:r w:rsidRPr="00D8466F">
        <w:rPr>
          <w:b w:val="0"/>
          <w:sz w:val="28"/>
          <w:szCs w:val="28"/>
          <w:lang w:val="uk-UA"/>
        </w:rPr>
        <w:t>вихідного рівня ТТГ</w:t>
      </w:r>
      <w:r w:rsidRPr="00D8466F">
        <w:rPr>
          <w:rFonts w:eastAsia="Calibri"/>
          <w:b w:val="0"/>
          <w:sz w:val="28"/>
          <w:szCs w:val="28"/>
          <w:lang w:val="uk-UA"/>
        </w:rPr>
        <w:t xml:space="preserve"> на 2 підгрупи</w:t>
      </w:r>
      <w:r w:rsidRPr="00D8466F">
        <w:rPr>
          <w:b w:val="0"/>
          <w:sz w:val="28"/>
          <w:szCs w:val="28"/>
          <w:lang w:val="uk-UA"/>
        </w:rPr>
        <w:t xml:space="preserve">: підгрупа А – рівень ТТГ від 4,1 до 6,0 мкМО/мл </w:t>
      </w:r>
      <w:r w:rsidRPr="00D8466F">
        <w:rPr>
          <w:b w:val="0"/>
          <w:sz w:val="28"/>
          <w:szCs w:val="28"/>
          <w:shd w:val="clear" w:color="auto" w:fill="FFFFFF"/>
          <w:lang w:val="uk-UA" w:eastAsia="en-US"/>
        </w:rPr>
        <w:t>(</w:t>
      </w:r>
      <w:r w:rsidRPr="00D8466F">
        <w:rPr>
          <w:b w:val="0"/>
          <w:sz w:val="28"/>
          <w:szCs w:val="28"/>
          <w:shd w:val="clear" w:color="auto" w:fill="FFFFFF"/>
          <w:lang w:val="en-US" w:eastAsia="en-US"/>
        </w:rPr>
        <w:t>n</w:t>
      </w:r>
      <w:r w:rsidRPr="00D8466F">
        <w:rPr>
          <w:b w:val="0"/>
          <w:sz w:val="28"/>
          <w:szCs w:val="28"/>
          <w:shd w:val="clear" w:color="auto" w:fill="FFFFFF"/>
          <w:lang w:val="uk-UA" w:eastAsia="en-US"/>
        </w:rPr>
        <w:t>=52)</w:t>
      </w:r>
      <w:r w:rsidRPr="00D8466F">
        <w:rPr>
          <w:b w:val="0"/>
          <w:sz w:val="28"/>
          <w:szCs w:val="28"/>
          <w:lang w:val="uk-UA"/>
        </w:rPr>
        <w:t>; підгрупа Б – рівень ТТГ від 6,1 до 10 мкМО/мл (</w:t>
      </w:r>
      <w:r w:rsidRPr="00D8466F">
        <w:rPr>
          <w:b w:val="0"/>
          <w:sz w:val="28"/>
          <w:szCs w:val="28"/>
          <w:shd w:val="clear" w:color="auto" w:fill="FFFFFF"/>
          <w:lang w:val="en-US" w:eastAsia="en-US"/>
        </w:rPr>
        <w:t>n</w:t>
      </w:r>
      <w:r w:rsidRPr="00D8466F">
        <w:rPr>
          <w:b w:val="0"/>
          <w:sz w:val="28"/>
          <w:szCs w:val="28"/>
          <w:shd w:val="clear" w:color="auto" w:fill="FFFFFF"/>
          <w:lang w:val="uk-UA" w:eastAsia="en-US"/>
        </w:rPr>
        <w:t>=41)</w:t>
      </w:r>
      <w:r w:rsidRPr="00D8466F">
        <w:rPr>
          <w:b w:val="0"/>
          <w:sz w:val="28"/>
          <w:szCs w:val="28"/>
          <w:lang w:val="uk-UA"/>
        </w:rPr>
        <w:t>.</w:t>
      </w:r>
    </w:p>
    <w:p w:rsidR="00E3259F" w:rsidRPr="00D8466F" w:rsidRDefault="00E3259F" w:rsidP="00D8466F">
      <w:pPr>
        <w:spacing w:line="360" w:lineRule="auto"/>
        <w:ind w:firstLine="709"/>
        <w:jc w:val="both"/>
        <w:rPr>
          <w:sz w:val="28"/>
          <w:szCs w:val="28"/>
          <w:lang w:val="uk-UA"/>
        </w:rPr>
      </w:pPr>
      <w:r w:rsidRPr="00D8466F">
        <w:rPr>
          <w:sz w:val="28"/>
          <w:szCs w:val="28"/>
          <w:lang w:val="uk-UA"/>
        </w:rPr>
        <w:t>Середній вік хворих 1-ї групи становив (60,29±0,79) роки, із них чоловіків було 34 (32,08</w:t>
      </w:r>
      <w:r w:rsidRPr="00D8466F">
        <w:rPr>
          <w:bCs/>
          <w:sz w:val="28"/>
          <w:szCs w:val="28"/>
          <w:shd w:val="clear" w:color="auto" w:fill="FAFAFA"/>
          <w:lang w:val="uk-UA" w:eastAsia="en-US"/>
        </w:rPr>
        <w:t>±4,53</w:t>
      </w:r>
      <w:r w:rsidRPr="00D8466F">
        <w:rPr>
          <w:sz w:val="28"/>
          <w:szCs w:val="28"/>
          <w:lang w:val="uk-UA"/>
        </w:rPr>
        <w:t xml:space="preserve"> %), жінок – 72 (67,92</w:t>
      </w:r>
      <w:r w:rsidRPr="00D8466F">
        <w:rPr>
          <w:bCs/>
          <w:sz w:val="28"/>
          <w:szCs w:val="28"/>
          <w:shd w:val="clear" w:color="auto" w:fill="FAFAFA"/>
          <w:lang w:val="uk-UA" w:eastAsia="en-US"/>
        </w:rPr>
        <w:t>±4,53</w:t>
      </w:r>
      <w:r w:rsidRPr="00D8466F">
        <w:rPr>
          <w:sz w:val="28"/>
          <w:szCs w:val="28"/>
          <w:lang w:val="uk-UA"/>
        </w:rPr>
        <w:t xml:space="preserve"> %), в другій групі середній вік – (62,11±0,64) роки, чоловіків було 82 (52,56</w:t>
      </w:r>
      <w:r w:rsidRPr="00D8466F">
        <w:rPr>
          <w:bCs/>
          <w:sz w:val="28"/>
          <w:szCs w:val="28"/>
          <w:shd w:val="clear" w:color="auto" w:fill="FAFAFA"/>
          <w:lang w:val="uk-UA" w:eastAsia="en-US"/>
        </w:rPr>
        <w:t>±4,00</w:t>
      </w:r>
      <w:r w:rsidRPr="00D8466F">
        <w:rPr>
          <w:sz w:val="28"/>
          <w:szCs w:val="28"/>
          <w:lang w:val="uk-UA"/>
        </w:rPr>
        <w:t>%), жінок – 74 (47,44</w:t>
      </w:r>
      <w:r w:rsidRPr="00D8466F">
        <w:rPr>
          <w:bCs/>
          <w:sz w:val="28"/>
          <w:szCs w:val="28"/>
          <w:shd w:val="clear" w:color="auto" w:fill="FAFAFA"/>
          <w:lang w:val="uk-UA" w:eastAsia="en-US"/>
        </w:rPr>
        <w:t>±4,00</w:t>
      </w:r>
      <w:r w:rsidRPr="00D8466F">
        <w:rPr>
          <w:sz w:val="28"/>
          <w:szCs w:val="28"/>
          <w:lang w:val="uk-UA"/>
        </w:rPr>
        <w:t xml:space="preserve"> %), у  групі 3 середній вік був (61,71±0,87) роки, чоловіків було 12 (12,9</w:t>
      </w:r>
      <w:r w:rsidRPr="00D8466F">
        <w:rPr>
          <w:bCs/>
          <w:sz w:val="28"/>
          <w:szCs w:val="28"/>
          <w:shd w:val="clear" w:color="auto" w:fill="FAFAFA"/>
          <w:lang w:val="uk-UA" w:eastAsia="en-US"/>
        </w:rPr>
        <w:t>±3,48</w:t>
      </w:r>
      <w:r w:rsidRPr="00D8466F">
        <w:rPr>
          <w:sz w:val="28"/>
          <w:szCs w:val="28"/>
          <w:lang w:val="uk-UA"/>
        </w:rPr>
        <w:t xml:space="preserve"> %), жінок – 81 (87,1</w:t>
      </w:r>
      <w:r w:rsidRPr="00D8466F">
        <w:rPr>
          <w:bCs/>
          <w:sz w:val="28"/>
          <w:szCs w:val="28"/>
          <w:shd w:val="clear" w:color="auto" w:fill="FAFAFA"/>
          <w:lang w:val="uk-UA" w:eastAsia="en-US"/>
        </w:rPr>
        <w:t>±3,48</w:t>
      </w:r>
      <w:r w:rsidRPr="00D8466F">
        <w:rPr>
          <w:sz w:val="28"/>
          <w:szCs w:val="28"/>
          <w:lang w:val="uk-UA"/>
        </w:rPr>
        <w:t xml:space="preserve"> %) . До контрольної групи увійшло 30 осіб без наявності в анамнезі та клінічних ознаків ССЗ, ендокринопатій та важких хронічних соматичних захворювань. Середній вік осіб, що увійшли до контрольної групи, становив 58,40±1,80  років. Групи були порівнянні за віком і статтю. </w:t>
      </w:r>
    </w:p>
    <w:p w:rsidR="00E3259F" w:rsidRPr="00D8466F" w:rsidRDefault="00E3259F" w:rsidP="00D8466F">
      <w:pPr>
        <w:spacing w:line="360" w:lineRule="auto"/>
        <w:ind w:firstLine="709"/>
        <w:jc w:val="both"/>
        <w:rPr>
          <w:sz w:val="28"/>
          <w:szCs w:val="28"/>
          <w:lang w:val="uk-UA"/>
        </w:rPr>
      </w:pPr>
      <w:r w:rsidRPr="00D8466F">
        <w:rPr>
          <w:sz w:val="28"/>
          <w:szCs w:val="28"/>
          <w:lang w:val="uk-UA"/>
        </w:rPr>
        <w:t xml:space="preserve">Аналіз розподілу пацієнтів з ГХ та ЦД 2 типу без порушення функції ЩЗ та з СГТ за віковими групами, ураховуючи ризик розвитку гіпотиреозу за результатами анкетування, виявив, що зі збільшенням віку ймовірність розвитку гіпотиреозу переважно знижується (табл. 2.3). </w:t>
      </w:r>
    </w:p>
    <w:p w:rsidR="00E3259F" w:rsidRDefault="00E3259F" w:rsidP="00E3259F">
      <w:pPr>
        <w:spacing w:line="360" w:lineRule="auto"/>
        <w:ind w:firstLine="709"/>
        <w:jc w:val="right"/>
        <w:rPr>
          <w:sz w:val="28"/>
          <w:szCs w:val="28"/>
          <w:lang w:val="uk-UA"/>
        </w:rPr>
      </w:pPr>
      <w:r>
        <w:rPr>
          <w:sz w:val="28"/>
          <w:szCs w:val="28"/>
          <w:lang w:val="uk-UA"/>
        </w:rPr>
        <w:t>Таблиця 2.3</w:t>
      </w:r>
    </w:p>
    <w:tbl>
      <w:tblPr>
        <w:tblW w:w="5000" w:type="pct"/>
        <w:shd w:val="clear" w:color="auto" w:fill="FFFFFF"/>
        <w:tblCellMar>
          <w:left w:w="0" w:type="dxa"/>
          <w:right w:w="0" w:type="dxa"/>
        </w:tblCellMar>
        <w:tblLook w:val="04A0" w:firstRow="1" w:lastRow="0" w:firstColumn="1" w:lastColumn="0" w:noHBand="0" w:noVBand="1"/>
      </w:tblPr>
      <w:tblGrid>
        <w:gridCol w:w="2070"/>
        <w:gridCol w:w="1910"/>
        <w:gridCol w:w="1770"/>
        <w:gridCol w:w="1910"/>
        <w:gridCol w:w="1910"/>
      </w:tblGrid>
      <w:tr w:rsidR="00D8466F" w:rsidRPr="00D8466F" w:rsidTr="00E3259F">
        <w:tc>
          <w:tcPr>
            <w:tcW w:w="1082"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8466F" w:rsidRPr="00D8466F" w:rsidRDefault="00E3259F" w:rsidP="00D8466F">
            <w:pPr>
              <w:spacing w:line="360" w:lineRule="auto"/>
              <w:rPr>
                <w:sz w:val="28"/>
                <w:szCs w:val="28"/>
                <w:lang w:val="uk-UA" w:eastAsia="en-US"/>
              </w:rPr>
            </w:pPr>
            <w:r w:rsidRPr="00D8466F">
              <w:rPr>
                <w:sz w:val="28"/>
                <w:szCs w:val="28"/>
                <w:lang w:val="uk-UA" w:eastAsia="en-US"/>
              </w:rPr>
              <w:t>Сумарний ризик розвитку гіпотиреозу</w:t>
            </w:r>
            <w:r w:rsidR="00D8466F" w:rsidRPr="00D8466F">
              <w:rPr>
                <w:sz w:val="28"/>
                <w:szCs w:val="28"/>
                <w:lang w:val="uk-UA" w:eastAsia="en-US"/>
              </w:rPr>
              <w:t>/</w:t>
            </w:r>
          </w:p>
          <w:p w:rsidR="00E3259F" w:rsidRPr="00D8466F" w:rsidRDefault="00D8466F" w:rsidP="00D8466F">
            <w:pPr>
              <w:spacing w:line="360" w:lineRule="auto"/>
              <w:rPr>
                <w:sz w:val="28"/>
                <w:szCs w:val="28"/>
                <w:lang w:val="uk-UA" w:eastAsia="en-US"/>
              </w:rPr>
            </w:pPr>
            <w:r w:rsidRPr="00D8466F">
              <w:rPr>
                <w:sz w:val="28"/>
                <w:szCs w:val="28"/>
                <w:lang w:val="uk-UA" w:eastAsia="en-US"/>
              </w:rPr>
              <w:t>підгрупа</w:t>
            </w:r>
          </w:p>
        </w:tc>
        <w:tc>
          <w:tcPr>
            <w:tcW w:w="1922" w:type="pct"/>
            <w:gridSpan w:val="2"/>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Група 2</w:t>
            </w:r>
          </w:p>
        </w:tc>
        <w:tc>
          <w:tcPr>
            <w:tcW w:w="1996" w:type="pct"/>
            <w:gridSpan w:val="2"/>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Група 3</w:t>
            </w:r>
          </w:p>
        </w:tc>
      </w:tr>
      <w:tr w:rsidR="00D8466F" w:rsidRPr="00D8466F" w:rsidTr="00E3259F">
        <w:tc>
          <w:tcPr>
            <w:tcW w:w="0" w:type="auto"/>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E3259F" w:rsidRPr="00D8466F" w:rsidRDefault="00E3259F" w:rsidP="00D8466F">
            <w:pPr>
              <w:spacing w:line="360" w:lineRule="auto"/>
              <w:rPr>
                <w:sz w:val="28"/>
                <w:szCs w:val="28"/>
                <w:lang w:val="uk-UA" w:eastAsia="en-US"/>
              </w:rPr>
            </w:pP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Підгрупа І</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(44-60 років)</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w:t>
            </w:r>
            <w:r w:rsidRPr="00D8466F">
              <w:rPr>
                <w:sz w:val="28"/>
                <w:szCs w:val="28"/>
                <w:lang w:val="en-US" w:eastAsia="en-US"/>
              </w:rPr>
              <w:t>n</w:t>
            </w:r>
            <w:r w:rsidRPr="00D8466F">
              <w:rPr>
                <w:sz w:val="28"/>
                <w:szCs w:val="28"/>
                <w:lang w:val="uk-UA" w:eastAsia="en-US"/>
              </w:rPr>
              <w:t>=56)</w:t>
            </w:r>
          </w:p>
        </w:tc>
        <w:tc>
          <w:tcPr>
            <w:tcW w:w="92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Підгрупа ІІ</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(61-75 років)</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w:t>
            </w:r>
            <w:r w:rsidRPr="00D8466F">
              <w:rPr>
                <w:sz w:val="28"/>
                <w:szCs w:val="28"/>
                <w:lang w:val="en-US" w:eastAsia="en-US"/>
              </w:rPr>
              <w:t>n</w:t>
            </w:r>
            <w:r w:rsidRPr="00D8466F">
              <w:rPr>
                <w:sz w:val="28"/>
                <w:szCs w:val="28"/>
                <w:lang w:val="uk-UA" w:eastAsia="en-US"/>
              </w:rPr>
              <w:t>=100)</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Підгрупа І</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(44-60 років)</w:t>
            </w:r>
          </w:p>
          <w:p w:rsidR="00E3259F" w:rsidRPr="00D8466F" w:rsidRDefault="00E3259F" w:rsidP="00D8466F">
            <w:pPr>
              <w:spacing w:line="360" w:lineRule="auto"/>
              <w:jc w:val="center"/>
              <w:rPr>
                <w:sz w:val="28"/>
                <w:szCs w:val="28"/>
                <w:lang w:eastAsia="en-US"/>
              </w:rPr>
            </w:pPr>
            <w:r w:rsidRPr="00D8466F">
              <w:rPr>
                <w:sz w:val="28"/>
                <w:szCs w:val="28"/>
                <w:lang w:val="uk-UA" w:eastAsia="en-US"/>
              </w:rPr>
              <w:t xml:space="preserve"> (</w:t>
            </w:r>
            <w:r w:rsidRPr="00D8466F">
              <w:rPr>
                <w:sz w:val="28"/>
                <w:szCs w:val="28"/>
                <w:lang w:val="en-US" w:eastAsia="en-US"/>
              </w:rPr>
              <w:t>n</w:t>
            </w:r>
            <w:r w:rsidRPr="00D8466F">
              <w:rPr>
                <w:sz w:val="28"/>
                <w:szCs w:val="28"/>
                <w:lang w:val="uk-UA" w:eastAsia="en-US"/>
              </w:rPr>
              <w:t>=37</w:t>
            </w:r>
            <w:r w:rsidRPr="00D8466F">
              <w:rPr>
                <w:sz w:val="28"/>
                <w:szCs w:val="28"/>
                <w:lang w:eastAsia="en-US"/>
              </w:rPr>
              <w:t>)</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Підгрупа ІІ</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(61-75 років)</w:t>
            </w:r>
          </w:p>
          <w:p w:rsidR="00E3259F" w:rsidRPr="00D8466F" w:rsidRDefault="00E3259F" w:rsidP="00D8466F">
            <w:pPr>
              <w:spacing w:line="360" w:lineRule="auto"/>
              <w:jc w:val="center"/>
              <w:rPr>
                <w:sz w:val="28"/>
                <w:szCs w:val="28"/>
                <w:lang w:val="en-US" w:eastAsia="en-US"/>
              </w:rPr>
            </w:pPr>
            <w:r w:rsidRPr="00D8466F">
              <w:rPr>
                <w:sz w:val="28"/>
                <w:szCs w:val="28"/>
                <w:lang w:val="en-US" w:eastAsia="en-US"/>
              </w:rPr>
              <w:t xml:space="preserve"> (n=</w:t>
            </w:r>
            <w:r w:rsidRPr="00D8466F">
              <w:rPr>
                <w:sz w:val="28"/>
                <w:szCs w:val="28"/>
                <w:lang w:val="uk-UA" w:eastAsia="en-US"/>
              </w:rPr>
              <w:t>56</w:t>
            </w:r>
            <w:r w:rsidRPr="00D8466F">
              <w:rPr>
                <w:sz w:val="28"/>
                <w:szCs w:val="28"/>
                <w:lang w:val="en-US" w:eastAsia="en-US"/>
              </w:rPr>
              <w:t>)</w:t>
            </w:r>
          </w:p>
        </w:tc>
      </w:tr>
      <w:tr w:rsidR="00D8466F" w:rsidRPr="00D8466F" w:rsidTr="00E3259F">
        <w:tc>
          <w:tcPr>
            <w:tcW w:w="108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rPr>
                <w:sz w:val="28"/>
                <w:szCs w:val="28"/>
                <w:lang w:val="en-US" w:eastAsia="en-US"/>
              </w:rPr>
            </w:pPr>
            <w:r w:rsidRPr="00D8466F">
              <w:rPr>
                <w:sz w:val="28"/>
                <w:szCs w:val="28"/>
                <w:lang w:val="uk-UA" w:eastAsia="en-US"/>
              </w:rPr>
              <w:t>Низький ризик</w:t>
            </w:r>
            <w:r w:rsidRPr="00D8466F">
              <w:rPr>
                <w:sz w:val="28"/>
                <w:szCs w:val="28"/>
                <w:lang w:val="en-US" w:eastAsia="en-US"/>
              </w:rPr>
              <w:t>, n (%)</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 xml:space="preserve">8 </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w:t>
            </w:r>
            <w:r w:rsidRPr="00D8466F">
              <w:rPr>
                <w:sz w:val="28"/>
                <w:szCs w:val="28"/>
                <w:lang w:eastAsia="en-US"/>
              </w:rPr>
              <w:t>14,29</w:t>
            </w:r>
            <w:r w:rsidRPr="00D8466F">
              <w:rPr>
                <w:bCs/>
                <w:sz w:val="28"/>
                <w:szCs w:val="28"/>
                <w:shd w:val="clear" w:color="auto" w:fill="FAFAFA"/>
                <w:lang w:eastAsia="en-US"/>
              </w:rPr>
              <w:t>±4,68</w:t>
            </w:r>
            <w:r w:rsidRPr="00D8466F">
              <w:rPr>
                <w:bCs/>
                <w:sz w:val="28"/>
                <w:szCs w:val="28"/>
                <w:shd w:val="clear" w:color="auto" w:fill="FAFAFA"/>
                <w:lang w:val="uk-UA" w:eastAsia="en-US"/>
              </w:rPr>
              <w:t>)</w:t>
            </w:r>
          </w:p>
        </w:tc>
        <w:tc>
          <w:tcPr>
            <w:tcW w:w="92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en-US" w:eastAsia="en-US"/>
              </w:rPr>
            </w:pPr>
            <w:r w:rsidRPr="00D8466F">
              <w:rPr>
                <w:sz w:val="28"/>
                <w:szCs w:val="28"/>
                <w:lang w:val="uk-UA" w:eastAsia="en-US"/>
              </w:rPr>
              <w:t xml:space="preserve">4 </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(4,00</w:t>
            </w:r>
            <w:r w:rsidRPr="00D8466F">
              <w:rPr>
                <w:bCs/>
                <w:sz w:val="28"/>
                <w:szCs w:val="28"/>
                <w:shd w:val="clear" w:color="auto" w:fill="FAFAFA"/>
                <w:lang w:eastAsia="en-US"/>
              </w:rPr>
              <w:t>±1,96</w:t>
            </w:r>
            <w:r w:rsidRPr="00D8466F">
              <w:rPr>
                <w:sz w:val="28"/>
                <w:szCs w:val="28"/>
                <w:lang w:val="uk-UA" w:eastAsia="en-US"/>
              </w:rPr>
              <w:t>)</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р=</w:t>
            </w:r>
            <w:r w:rsidRPr="00D8466F">
              <w:rPr>
                <w:sz w:val="28"/>
                <w:szCs w:val="28"/>
                <w:lang w:eastAsia="en-US"/>
              </w:rPr>
              <w:t>0,021</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0</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0</w:t>
            </w:r>
          </w:p>
        </w:tc>
      </w:tr>
      <w:tr w:rsidR="00D8466F" w:rsidRPr="00D8466F" w:rsidTr="00E3259F">
        <w:tc>
          <w:tcPr>
            <w:tcW w:w="108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rPr>
                <w:sz w:val="28"/>
                <w:szCs w:val="28"/>
                <w:lang w:eastAsia="en-US"/>
              </w:rPr>
            </w:pPr>
            <w:r w:rsidRPr="00D8466F">
              <w:rPr>
                <w:sz w:val="28"/>
                <w:szCs w:val="28"/>
                <w:lang w:val="uk-UA" w:eastAsia="en-US"/>
              </w:rPr>
              <w:t>Помірний ризик</w:t>
            </w:r>
            <w:r w:rsidRPr="00D8466F">
              <w:rPr>
                <w:sz w:val="28"/>
                <w:szCs w:val="28"/>
                <w:lang w:val="en-US" w:eastAsia="en-US"/>
              </w:rPr>
              <w:t>, n</w:t>
            </w:r>
            <w:r w:rsidRPr="00D8466F">
              <w:rPr>
                <w:sz w:val="28"/>
                <w:szCs w:val="28"/>
                <w:lang w:eastAsia="en-US"/>
              </w:rPr>
              <w:t xml:space="preserve"> (%) </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en-US" w:eastAsia="en-US"/>
              </w:rPr>
            </w:pPr>
            <w:r w:rsidRPr="00D8466F">
              <w:rPr>
                <w:sz w:val="28"/>
                <w:szCs w:val="28"/>
                <w:lang w:val="uk-UA" w:eastAsia="en-US"/>
              </w:rPr>
              <w:t>2</w:t>
            </w:r>
            <w:r w:rsidRPr="00D8466F">
              <w:rPr>
                <w:sz w:val="28"/>
                <w:szCs w:val="28"/>
                <w:lang w:eastAsia="en-US"/>
              </w:rPr>
              <w:t>3</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(41,07±6,57%)</w:t>
            </w:r>
          </w:p>
        </w:tc>
        <w:tc>
          <w:tcPr>
            <w:tcW w:w="92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39</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(39,0±4,88%)</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р&gt;0,05</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en-US" w:eastAsia="en-US"/>
              </w:rPr>
            </w:pPr>
            <w:r w:rsidRPr="00D8466F">
              <w:rPr>
                <w:sz w:val="28"/>
                <w:szCs w:val="28"/>
                <w:lang w:val="en-US" w:eastAsia="en-US"/>
              </w:rPr>
              <w:t>5</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(13,51±5,62%)</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D8466F" w:rsidRDefault="00E3259F" w:rsidP="00D8466F">
            <w:pPr>
              <w:spacing w:line="360" w:lineRule="auto"/>
              <w:jc w:val="center"/>
              <w:rPr>
                <w:sz w:val="28"/>
                <w:szCs w:val="28"/>
                <w:lang w:val="uk-UA" w:eastAsia="en-US"/>
              </w:rPr>
            </w:pPr>
            <w:r w:rsidRPr="00D8466F">
              <w:rPr>
                <w:sz w:val="28"/>
                <w:szCs w:val="28"/>
                <w:lang w:val="uk-UA" w:eastAsia="en-US"/>
              </w:rPr>
              <w:t>1</w:t>
            </w:r>
            <w:r w:rsidRPr="00D8466F">
              <w:rPr>
                <w:sz w:val="28"/>
                <w:szCs w:val="28"/>
                <w:lang w:val="en-US" w:eastAsia="en-US"/>
              </w:rPr>
              <w:t>5</w:t>
            </w:r>
            <w:r w:rsidRPr="00D8466F">
              <w:rPr>
                <w:sz w:val="28"/>
                <w:szCs w:val="28"/>
                <w:lang w:val="uk-UA" w:eastAsia="en-US"/>
              </w:rPr>
              <w:t xml:space="preserve"> </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(26,78±5,92%)</w:t>
            </w:r>
          </w:p>
          <w:p w:rsidR="00E3259F" w:rsidRPr="00D8466F" w:rsidRDefault="00E3259F" w:rsidP="00D8466F">
            <w:pPr>
              <w:spacing w:line="360" w:lineRule="auto"/>
              <w:jc w:val="center"/>
              <w:rPr>
                <w:sz w:val="28"/>
                <w:szCs w:val="28"/>
                <w:lang w:val="uk-UA" w:eastAsia="en-US"/>
              </w:rPr>
            </w:pPr>
            <w:r w:rsidRPr="00D8466F">
              <w:rPr>
                <w:sz w:val="28"/>
                <w:szCs w:val="28"/>
                <w:lang w:val="uk-UA" w:eastAsia="en-US"/>
              </w:rPr>
              <w:t>р&gt;0,05</w:t>
            </w:r>
          </w:p>
        </w:tc>
      </w:tr>
      <w:tr w:rsidR="00D8466F" w:rsidRPr="00793AD7" w:rsidTr="00E3259F">
        <w:tc>
          <w:tcPr>
            <w:tcW w:w="1082"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E3259F" w:rsidRPr="00793AD7" w:rsidRDefault="00E3259F" w:rsidP="00D8466F">
            <w:pPr>
              <w:spacing w:line="360" w:lineRule="auto"/>
              <w:rPr>
                <w:sz w:val="28"/>
                <w:szCs w:val="28"/>
                <w:lang w:val="en-US" w:eastAsia="en-US"/>
              </w:rPr>
            </w:pPr>
            <w:r w:rsidRPr="00793AD7">
              <w:rPr>
                <w:sz w:val="28"/>
                <w:szCs w:val="28"/>
                <w:lang w:val="uk-UA" w:eastAsia="en-US"/>
              </w:rPr>
              <w:t>Високий ризик</w:t>
            </w:r>
            <w:r w:rsidRPr="00793AD7">
              <w:rPr>
                <w:sz w:val="28"/>
                <w:szCs w:val="28"/>
                <w:lang w:val="en-US" w:eastAsia="en-US"/>
              </w:rPr>
              <w:t>, n (%)</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793AD7" w:rsidRDefault="00E3259F" w:rsidP="00D8466F">
            <w:pPr>
              <w:spacing w:line="360" w:lineRule="auto"/>
              <w:jc w:val="center"/>
              <w:rPr>
                <w:sz w:val="28"/>
                <w:szCs w:val="28"/>
                <w:lang w:val="uk-UA" w:eastAsia="en-US"/>
              </w:rPr>
            </w:pPr>
            <w:r w:rsidRPr="00793AD7">
              <w:rPr>
                <w:sz w:val="28"/>
                <w:szCs w:val="28"/>
                <w:lang w:val="uk-UA" w:eastAsia="en-US"/>
              </w:rPr>
              <w:t xml:space="preserve">39 </w:t>
            </w:r>
          </w:p>
          <w:p w:rsidR="00E3259F" w:rsidRPr="00793AD7" w:rsidRDefault="00E3259F" w:rsidP="00D8466F">
            <w:pPr>
              <w:spacing w:line="360" w:lineRule="auto"/>
              <w:jc w:val="center"/>
              <w:rPr>
                <w:sz w:val="28"/>
                <w:szCs w:val="28"/>
                <w:lang w:eastAsia="en-US"/>
              </w:rPr>
            </w:pPr>
            <w:r w:rsidRPr="00793AD7">
              <w:rPr>
                <w:sz w:val="28"/>
                <w:szCs w:val="28"/>
                <w:lang w:val="uk-UA" w:eastAsia="en-US"/>
              </w:rPr>
              <w:t>(69,6±6,14 %)</w:t>
            </w:r>
          </w:p>
        </w:tc>
        <w:tc>
          <w:tcPr>
            <w:tcW w:w="92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793AD7" w:rsidRDefault="00E3259F" w:rsidP="00D8466F">
            <w:pPr>
              <w:spacing w:line="360" w:lineRule="auto"/>
              <w:jc w:val="center"/>
              <w:rPr>
                <w:sz w:val="28"/>
                <w:szCs w:val="28"/>
                <w:lang w:val="en-US" w:eastAsia="en-US"/>
              </w:rPr>
            </w:pPr>
            <w:r w:rsidRPr="00793AD7">
              <w:rPr>
                <w:sz w:val="28"/>
                <w:szCs w:val="28"/>
                <w:lang w:val="uk-UA" w:eastAsia="en-US"/>
              </w:rPr>
              <w:t xml:space="preserve">43 </w:t>
            </w:r>
          </w:p>
          <w:p w:rsidR="00E3259F" w:rsidRPr="00793AD7" w:rsidRDefault="00E3259F" w:rsidP="00D8466F">
            <w:pPr>
              <w:spacing w:line="360" w:lineRule="auto"/>
              <w:jc w:val="center"/>
              <w:rPr>
                <w:sz w:val="28"/>
                <w:szCs w:val="28"/>
                <w:lang w:val="uk-UA" w:eastAsia="en-US"/>
              </w:rPr>
            </w:pPr>
            <w:r w:rsidRPr="00793AD7">
              <w:rPr>
                <w:sz w:val="28"/>
                <w:szCs w:val="28"/>
                <w:lang w:val="uk-UA" w:eastAsia="en-US"/>
              </w:rPr>
              <w:t>(43,0±4,95%)</w:t>
            </w:r>
          </w:p>
          <w:p w:rsidR="00E3259F" w:rsidRPr="00793AD7" w:rsidRDefault="00E3259F" w:rsidP="00D8466F">
            <w:pPr>
              <w:spacing w:line="360" w:lineRule="auto"/>
              <w:jc w:val="center"/>
              <w:rPr>
                <w:sz w:val="28"/>
                <w:szCs w:val="28"/>
                <w:lang w:val="uk-UA" w:eastAsia="en-US"/>
              </w:rPr>
            </w:pPr>
            <w:r w:rsidRPr="00793AD7">
              <w:rPr>
                <w:sz w:val="28"/>
                <w:szCs w:val="28"/>
                <w:lang w:val="uk-UA" w:eastAsia="en-US"/>
              </w:rPr>
              <w:t>р=0,002</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793AD7" w:rsidRDefault="00E3259F" w:rsidP="00D8466F">
            <w:pPr>
              <w:spacing w:line="360" w:lineRule="auto"/>
              <w:jc w:val="center"/>
              <w:rPr>
                <w:sz w:val="28"/>
                <w:szCs w:val="28"/>
                <w:lang w:val="uk-UA" w:eastAsia="en-US"/>
              </w:rPr>
            </w:pPr>
            <w:r w:rsidRPr="00793AD7">
              <w:rPr>
                <w:sz w:val="28"/>
                <w:szCs w:val="28"/>
                <w:lang w:val="uk-UA" w:eastAsia="en-US"/>
              </w:rPr>
              <w:t xml:space="preserve">31 </w:t>
            </w:r>
          </w:p>
          <w:p w:rsidR="00E3259F" w:rsidRPr="00793AD7" w:rsidRDefault="00E3259F" w:rsidP="00D8466F">
            <w:pPr>
              <w:spacing w:line="360" w:lineRule="auto"/>
              <w:jc w:val="center"/>
              <w:rPr>
                <w:sz w:val="28"/>
                <w:szCs w:val="28"/>
                <w:lang w:val="uk-UA" w:eastAsia="en-US"/>
              </w:rPr>
            </w:pPr>
            <w:r w:rsidRPr="00793AD7">
              <w:rPr>
                <w:sz w:val="28"/>
                <w:szCs w:val="28"/>
                <w:lang w:val="uk-UA" w:eastAsia="en-US"/>
              </w:rPr>
              <w:t>(83,78±6,06%)</w:t>
            </w:r>
          </w:p>
        </w:tc>
        <w:tc>
          <w:tcPr>
            <w:tcW w:w="99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E3259F" w:rsidRPr="00793AD7" w:rsidRDefault="00E3259F" w:rsidP="00D8466F">
            <w:pPr>
              <w:spacing w:line="360" w:lineRule="auto"/>
              <w:jc w:val="center"/>
              <w:rPr>
                <w:sz w:val="28"/>
                <w:szCs w:val="28"/>
                <w:lang w:val="uk-UA" w:eastAsia="en-US"/>
              </w:rPr>
            </w:pPr>
            <w:r w:rsidRPr="00793AD7">
              <w:rPr>
                <w:sz w:val="28"/>
                <w:szCs w:val="28"/>
                <w:lang w:val="uk-UA" w:eastAsia="en-US"/>
              </w:rPr>
              <w:t xml:space="preserve">42 </w:t>
            </w:r>
          </w:p>
          <w:p w:rsidR="00E3259F" w:rsidRPr="00793AD7" w:rsidRDefault="00E3259F" w:rsidP="00D8466F">
            <w:pPr>
              <w:spacing w:line="360" w:lineRule="auto"/>
              <w:jc w:val="center"/>
              <w:rPr>
                <w:sz w:val="28"/>
                <w:szCs w:val="28"/>
                <w:lang w:val="uk-UA" w:eastAsia="en-US"/>
              </w:rPr>
            </w:pPr>
            <w:r w:rsidRPr="00793AD7">
              <w:rPr>
                <w:sz w:val="28"/>
                <w:szCs w:val="28"/>
                <w:lang w:val="uk-UA" w:eastAsia="en-US"/>
              </w:rPr>
              <w:t>(75,0±5,79%)</w:t>
            </w:r>
          </w:p>
          <w:p w:rsidR="00E3259F" w:rsidRPr="00793AD7" w:rsidRDefault="00E3259F" w:rsidP="00D8466F">
            <w:pPr>
              <w:spacing w:line="360" w:lineRule="auto"/>
              <w:jc w:val="center"/>
              <w:rPr>
                <w:sz w:val="28"/>
                <w:szCs w:val="28"/>
                <w:lang w:val="uk-UA" w:eastAsia="en-US"/>
              </w:rPr>
            </w:pPr>
            <w:r w:rsidRPr="00793AD7">
              <w:rPr>
                <w:sz w:val="28"/>
                <w:szCs w:val="28"/>
                <w:lang w:val="uk-UA" w:eastAsia="en-US"/>
              </w:rPr>
              <w:t>р&gt;0,05</w:t>
            </w:r>
          </w:p>
        </w:tc>
      </w:tr>
    </w:tbl>
    <w:p w:rsidR="00E3259F" w:rsidRPr="00D8466F" w:rsidRDefault="00E3259F" w:rsidP="00D8466F">
      <w:pPr>
        <w:spacing w:line="360" w:lineRule="auto"/>
        <w:jc w:val="both"/>
        <w:rPr>
          <w:sz w:val="28"/>
          <w:szCs w:val="28"/>
          <w:lang w:val="uk-UA"/>
        </w:rPr>
      </w:pPr>
      <w:r w:rsidRPr="00793AD7">
        <w:rPr>
          <w:sz w:val="28"/>
          <w:szCs w:val="28"/>
          <w:lang w:val="uk-UA"/>
        </w:rPr>
        <w:t xml:space="preserve">Примітка: р- рівень значущості відмінностей при при порівнянні пацієнтів вікової підгрупи </w:t>
      </w:r>
      <w:r w:rsidR="00D8466F" w:rsidRPr="00793AD7">
        <w:rPr>
          <w:sz w:val="28"/>
          <w:szCs w:val="28"/>
          <w:lang w:val="uk-UA"/>
        </w:rPr>
        <w:t xml:space="preserve">І </w:t>
      </w:r>
      <w:r w:rsidRPr="00793AD7">
        <w:rPr>
          <w:sz w:val="28"/>
          <w:szCs w:val="28"/>
          <w:lang w:val="uk-UA"/>
        </w:rPr>
        <w:t xml:space="preserve"> з пацієнтами вікової підгрупи </w:t>
      </w:r>
      <w:r w:rsidR="00D8466F" w:rsidRPr="00793AD7">
        <w:rPr>
          <w:sz w:val="28"/>
          <w:szCs w:val="28"/>
          <w:lang w:val="uk-UA"/>
        </w:rPr>
        <w:t>ІІ</w:t>
      </w:r>
      <w:r w:rsidRPr="00793AD7">
        <w:rPr>
          <w:sz w:val="28"/>
          <w:szCs w:val="28"/>
          <w:lang w:val="uk-UA"/>
        </w:rPr>
        <w:t>, відповідно, у групах</w:t>
      </w:r>
    </w:p>
    <w:p w:rsidR="00E3259F" w:rsidRDefault="00E3259F" w:rsidP="00E3259F">
      <w:pPr>
        <w:widowControl w:val="0"/>
        <w:tabs>
          <w:tab w:val="left" w:pos="1020"/>
        </w:tabs>
        <w:suppressAutoHyphens/>
        <w:spacing w:line="360" w:lineRule="auto"/>
        <w:ind w:firstLine="563"/>
        <w:jc w:val="both"/>
        <w:rPr>
          <w:sz w:val="28"/>
          <w:szCs w:val="28"/>
          <w:lang w:val="uk-UA"/>
        </w:rPr>
      </w:pPr>
    </w:p>
    <w:p w:rsidR="00E3259F" w:rsidRDefault="00E3259F" w:rsidP="00E3259F">
      <w:pPr>
        <w:widowControl w:val="0"/>
        <w:tabs>
          <w:tab w:val="left" w:pos="1020"/>
        </w:tabs>
        <w:suppressAutoHyphens/>
        <w:spacing w:line="360" w:lineRule="auto"/>
        <w:ind w:firstLine="563"/>
        <w:jc w:val="both"/>
        <w:rPr>
          <w:sz w:val="28"/>
          <w:szCs w:val="28"/>
          <w:lang w:val="uk-UA"/>
        </w:rPr>
      </w:pPr>
    </w:p>
    <w:p w:rsidR="00E3259F" w:rsidRPr="00D8466F" w:rsidRDefault="00E3259F" w:rsidP="00D8466F">
      <w:pPr>
        <w:widowControl w:val="0"/>
        <w:tabs>
          <w:tab w:val="left" w:pos="1020"/>
        </w:tabs>
        <w:suppressAutoHyphens/>
        <w:spacing w:line="360" w:lineRule="auto"/>
        <w:ind w:firstLine="709"/>
        <w:jc w:val="both"/>
        <w:rPr>
          <w:sz w:val="28"/>
          <w:szCs w:val="28"/>
          <w:lang w:val="uk-UA"/>
        </w:rPr>
      </w:pPr>
      <w:r w:rsidRPr="00D8466F">
        <w:rPr>
          <w:sz w:val="28"/>
          <w:szCs w:val="28"/>
          <w:lang w:val="uk-UA"/>
        </w:rPr>
        <w:t>Так, у пацієнтів  групи 2 віком від 44 до 60 років низький ризик розвитку гіпотиреозу був достовірно вище, ніж у старшій вікової групі (14,28±4,8% проти 4,0±1,96% пацієнтів,відповідно,</w:t>
      </w:r>
      <w:r w:rsidRPr="00D8466F">
        <w:rPr>
          <w:rFonts w:ascii="Arial" w:hAnsi="Arial" w:cs="Arial"/>
          <w:sz w:val="28"/>
          <w:szCs w:val="28"/>
          <w:shd w:val="clear" w:color="auto" w:fill="FFFFFF"/>
          <w:lang w:val="uk-UA"/>
        </w:rPr>
        <w:t xml:space="preserve"> </w:t>
      </w:r>
      <w:r w:rsidRPr="00D8466F">
        <w:rPr>
          <w:sz w:val="28"/>
          <w:szCs w:val="28"/>
          <w:shd w:val="clear" w:color="auto" w:fill="FFFFFF"/>
          <w:lang w:val="uk-UA"/>
        </w:rPr>
        <w:t>р=0,021</w:t>
      </w:r>
      <w:r w:rsidRPr="00D8466F">
        <w:rPr>
          <w:sz w:val="28"/>
          <w:szCs w:val="28"/>
          <w:lang w:val="uk-UA"/>
        </w:rPr>
        <w:t>), за наявності СГТ осіб з низьким ризиком виявлено не було незалежно від вікової групи. Кількість хворих з помірним ризиком розвитку гіпотиреозу у групі 2 та 3 між віковими підгрупами практично не відрізнялася (р&gt;0,05). Високий ризик гіпотиреозу спостерігався в віковій групі 44-60 років більшою мірою, ніж серед осіб вікової категорії 61-75 років, як при наявності СГТ, так і при відсутності порушення функції ЩЗ, сягаючи достовірних відмінностей у групі 2 (р=0,002), що суперечить існуючим даним, щодо збільшення гіпотиреозу, зокрема субклінічного, з віком [59,121].</w:t>
      </w:r>
    </w:p>
    <w:p w:rsidR="00E3259F" w:rsidRPr="00D8466F" w:rsidRDefault="00E3259F" w:rsidP="00D8466F">
      <w:pPr>
        <w:spacing w:line="360" w:lineRule="auto"/>
        <w:ind w:firstLine="709"/>
        <w:jc w:val="both"/>
        <w:rPr>
          <w:sz w:val="28"/>
          <w:szCs w:val="28"/>
          <w:lang w:val="uk-UA"/>
        </w:rPr>
      </w:pPr>
      <w:r w:rsidRPr="00D8466F">
        <w:rPr>
          <w:sz w:val="28"/>
          <w:szCs w:val="28"/>
          <w:lang w:val="uk-UA"/>
        </w:rPr>
        <w:t>Аналіз скарг досліждувальних хворих проводився на підставі опитування та даних анкетування. У ході дослідження встановлено, що обстежені хворі без порушення функції ЩЗ (</w:t>
      </w:r>
      <w:r w:rsidRPr="00D8466F">
        <w:rPr>
          <w:sz w:val="28"/>
          <w:szCs w:val="28"/>
          <w:lang w:val="en-US"/>
        </w:rPr>
        <w:t>n</w:t>
      </w:r>
      <w:r w:rsidRPr="00D8466F">
        <w:rPr>
          <w:sz w:val="28"/>
          <w:szCs w:val="28"/>
          <w:lang w:val="uk-UA"/>
        </w:rPr>
        <w:t xml:space="preserve">=262) найчастіше скаржилися на головний біль, а саме 188 пацієнтів (71,76±2,78%, з них </w:t>
      </w:r>
      <w:r w:rsidRPr="00D8466F">
        <w:rPr>
          <w:sz w:val="28"/>
          <w:szCs w:val="28"/>
          <w:lang w:val="en-US"/>
        </w:rPr>
        <w:t>n</w:t>
      </w:r>
      <w:r w:rsidRPr="00D8466F">
        <w:rPr>
          <w:sz w:val="28"/>
          <w:szCs w:val="28"/>
          <w:vertAlign w:val="subscript"/>
          <w:lang w:val="uk-UA"/>
        </w:rPr>
        <w:t>1-ої групи</w:t>
      </w:r>
      <w:r w:rsidRPr="00D8466F">
        <w:rPr>
          <w:sz w:val="28"/>
          <w:szCs w:val="28"/>
          <w:lang w:val="uk-UA"/>
        </w:rPr>
        <w:t>=76</w:t>
      </w:r>
      <w:r w:rsidR="00D8466F">
        <w:rPr>
          <w:sz w:val="28"/>
          <w:szCs w:val="28"/>
          <w:lang w:val="uk-UA"/>
        </w:rPr>
        <w:t xml:space="preserve"> </w:t>
      </w:r>
      <w:r w:rsidRPr="00D8466F">
        <w:rPr>
          <w:sz w:val="28"/>
          <w:szCs w:val="28"/>
          <w:lang w:val="uk-UA"/>
        </w:rPr>
        <w:t>(71,7±</w:t>
      </w:r>
      <w:r w:rsidRPr="00D8466F">
        <w:rPr>
          <w:bCs/>
          <w:sz w:val="28"/>
          <w:szCs w:val="28"/>
          <w:shd w:val="clear" w:color="auto" w:fill="FAFAFA"/>
          <w:lang w:val="uk-UA" w:eastAsia="en-US"/>
        </w:rPr>
        <w:t>4,37</w:t>
      </w:r>
      <w:r w:rsidRPr="00D8466F">
        <w:rPr>
          <w:sz w:val="28"/>
          <w:szCs w:val="28"/>
          <w:lang w:val="uk-UA"/>
        </w:rPr>
        <w:t xml:space="preserve">%),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=112</w:t>
      </w:r>
      <w:r w:rsidR="00D8466F">
        <w:rPr>
          <w:sz w:val="28"/>
          <w:szCs w:val="28"/>
          <w:lang w:val="uk-UA"/>
        </w:rPr>
        <w:t xml:space="preserve"> </w:t>
      </w:r>
      <w:r w:rsidRPr="00D8466F">
        <w:rPr>
          <w:sz w:val="28"/>
          <w:szCs w:val="28"/>
          <w:lang w:val="uk-UA"/>
        </w:rPr>
        <w:t xml:space="preserve">(71,79±3,60%)), на біль у ділянці серця – 183(69,85±2,83%, </w:t>
      </w:r>
      <w:r w:rsidR="00D8466F">
        <w:rPr>
          <w:sz w:val="28"/>
          <w:szCs w:val="28"/>
          <w:lang w:val="uk-UA"/>
        </w:rPr>
        <w:t xml:space="preserve">з них </w:t>
      </w:r>
      <w:r w:rsidRPr="00D8466F">
        <w:rPr>
          <w:sz w:val="28"/>
          <w:szCs w:val="28"/>
          <w:lang w:val="en-US"/>
        </w:rPr>
        <w:t>n</w:t>
      </w:r>
      <w:r w:rsidRPr="00D8466F">
        <w:rPr>
          <w:sz w:val="28"/>
          <w:szCs w:val="28"/>
          <w:vertAlign w:val="subscript"/>
          <w:lang w:val="uk-UA"/>
        </w:rPr>
        <w:t xml:space="preserve">1-ої групи </w:t>
      </w:r>
      <w:r w:rsidRPr="00D8466F">
        <w:rPr>
          <w:sz w:val="28"/>
          <w:szCs w:val="28"/>
          <w:lang w:val="uk-UA"/>
        </w:rPr>
        <w:t>=76</w:t>
      </w:r>
      <w:r w:rsidR="00D8466F">
        <w:rPr>
          <w:sz w:val="28"/>
          <w:szCs w:val="28"/>
          <w:lang w:val="uk-UA"/>
        </w:rPr>
        <w:t xml:space="preserve"> </w:t>
      </w:r>
      <w:r w:rsidRPr="00D8466F">
        <w:rPr>
          <w:sz w:val="28"/>
          <w:szCs w:val="28"/>
          <w:lang w:val="uk-UA"/>
        </w:rPr>
        <w:t>(71,7±</w:t>
      </w:r>
      <w:r w:rsidRPr="00D8466F">
        <w:rPr>
          <w:bCs/>
          <w:sz w:val="28"/>
          <w:szCs w:val="28"/>
          <w:shd w:val="clear" w:color="auto" w:fill="FAFAFA"/>
          <w:lang w:val="uk-UA" w:eastAsia="en-US"/>
        </w:rPr>
        <w:t>4,37</w:t>
      </w:r>
      <w:r w:rsidRPr="00D8466F">
        <w:rPr>
          <w:sz w:val="28"/>
          <w:szCs w:val="28"/>
          <w:lang w:val="uk-UA"/>
        </w:rPr>
        <w:t xml:space="preserve">%),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 107</w:t>
      </w:r>
      <w:r w:rsidR="00D8466F">
        <w:rPr>
          <w:sz w:val="28"/>
          <w:szCs w:val="28"/>
          <w:lang w:val="uk-UA"/>
        </w:rPr>
        <w:t xml:space="preserve"> </w:t>
      </w:r>
      <w:r w:rsidRPr="00D8466F">
        <w:rPr>
          <w:sz w:val="28"/>
          <w:szCs w:val="28"/>
          <w:lang w:val="uk-UA"/>
        </w:rPr>
        <w:t>(68,59±3,72%)), запаморочення  – 96 (36,64</w:t>
      </w:r>
      <w:r w:rsidRPr="00D8466F">
        <w:rPr>
          <w:bCs/>
          <w:sz w:val="28"/>
          <w:szCs w:val="28"/>
          <w:shd w:val="clear" w:color="auto" w:fill="FAFAFA"/>
          <w:lang w:val="uk-UA" w:eastAsia="en-US"/>
        </w:rPr>
        <w:t>±2,98</w:t>
      </w:r>
      <w:r w:rsidRPr="00D8466F">
        <w:rPr>
          <w:sz w:val="28"/>
          <w:szCs w:val="28"/>
          <w:lang w:val="uk-UA"/>
        </w:rPr>
        <w:t>%)</w:t>
      </w:r>
      <w:r w:rsidR="00D8466F">
        <w:rPr>
          <w:sz w:val="28"/>
          <w:szCs w:val="28"/>
          <w:lang w:val="uk-UA"/>
        </w:rPr>
        <w:t xml:space="preserve">, з них </w:t>
      </w:r>
      <w:r w:rsidRPr="00D8466F">
        <w:rPr>
          <w:sz w:val="28"/>
          <w:szCs w:val="28"/>
          <w:lang w:val="en-US"/>
        </w:rPr>
        <w:t>n</w:t>
      </w:r>
      <w:r w:rsidRPr="00D8466F">
        <w:rPr>
          <w:sz w:val="28"/>
          <w:szCs w:val="28"/>
          <w:vertAlign w:val="subscript"/>
          <w:lang w:val="uk-UA"/>
        </w:rPr>
        <w:t>1-ої групи</w:t>
      </w:r>
      <w:r w:rsidRPr="00D8466F">
        <w:rPr>
          <w:sz w:val="28"/>
          <w:szCs w:val="28"/>
          <w:lang w:val="uk-UA"/>
        </w:rPr>
        <w:t>=36</w:t>
      </w:r>
      <w:r w:rsidR="00D8466F">
        <w:rPr>
          <w:sz w:val="28"/>
          <w:szCs w:val="28"/>
          <w:lang w:val="uk-UA"/>
        </w:rPr>
        <w:t xml:space="preserve"> </w:t>
      </w:r>
      <w:r w:rsidRPr="00D8466F">
        <w:rPr>
          <w:sz w:val="28"/>
          <w:szCs w:val="28"/>
          <w:lang w:val="uk-UA"/>
        </w:rPr>
        <w:t>(33,96</w:t>
      </w:r>
      <w:r w:rsidRPr="00D8466F">
        <w:rPr>
          <w:bCs/>
          <w:sz w:val="28"/>
          <w:szCs w:val="28"/>
          <w:shd w:val="clear" w:color="auto" w:fill="FAFAFA"/>
          <w:lang w:val="uk-UA" w:eastAsia="en-US"/>
        </w:rPr>
        <w:t>±</w:t>
      </w:r>
      <w:r w:rsidRPr="00D8466F">
        <w:rPr>
          <w:sz w:val="28"/>
          <w:szCs w:val="28"/>
          <w:lang w:val="uk-UA"/>
        </w:rPr>
        <w:t xml:space="preserve">4,60%),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=63</w:t>
      </w:r>
      <w:r w:rsidR="00D8466F">
        <w:rPr>
          <w:sz w:val="28"/>
          <w:szCs w:val="28"/>
          <w:lang w:val="uk-UA"/>
        </w:rPr>
        <w:t xml:space="preserve"> </w:t>
      </w:r>
      <w:r w:rsidRPr="00D8466F">
        <w:rPr>
          <w:sz w:val="28"/>
          <w:szCs w:val="28"/>
          <w:lang w:val="uk-UA"/>
        </w:rPr>
        <w:t>(40,38</w:t>
      </w:r>
      <w:r w:rsidRPr="00D8466F">
        <w:rPr>
          <w:bCs/>
          <w:sz w:val="28"/>
          <w:szCs w:val="28"/>
          <w:shd w:val="clear" w:color="auto" w:fill="FAFAFA"/>
          <w:lang w:val="uk-UA" w:eastAsia="en-US"/>
        </w:rPr>
        <w:t>±3,93</w:t>
      </w:r>
      <w:r w:rsidRPr="00D8466F">
        <w:rPr>
          <w:sz w:val="28"/>
          <w:szCs w:val="28"/>
          <w:lang w:val="uk-UA"/>
        </w:rPr>
        <w:t>%)), задишку – 208</w:t>
      </w:r>
      <w:r w:rsidR="00D8466F">
        <w:rPr>
          <w:sz w:val="28"/>
          <w:szCs w:val="28"/>
          <w:lang w:val="uk-UA"/>
        </w:rPr>
        <w:t xml:space="preserve"> </w:t>
      </w:r>
      <w:r w:rsidRPr="00D8466F">
        <w:rPr>
          <w:sz w:val="28"/>
          <w:szCs w:val="28"/>
          <w:lang w:val="uk-UA"/>
        </w:rPr>
        <w:t>(79,39</w:t>
      </w:r>
      <w:r w:rsidRPr="00D8466F">
        <w:rPr>
          <w:bCs/>
          <w:sz w:val="28"/>
          <w:szCs w:val="28"/>
          <w:shd w:val="clear" w:color="auto" w:fill="FAFAFA"/>
          <w:lang w:val="uk-UA" w:eastAsia="en-US"/>
        </w:rPr>
        <w:t>±2,50</w:t>
      </w:r>
      <w:r w:rsidRPr="00D8466F">
        <w:rPr>
          <w:sz w:val="28"/>
          <w:szCs w:val="28"/>
          <w:lang w:val="uk-UA"/>
        </w:rPr>
        <w:t xml:space="preserve">%, </w:t>
      </w:r>
      <w:r w:rsidR="00D8466F">
        <w:rPr>
          <w:sz w:val="28"/>
          <w:szCs w:val="28"/>
          <w:lang w:val="uk-UA"/>
        </w:rPr>
        <w:t xml:space="preserve">з них </w:t>
      </w:r>
      <w:r w:rsidRPr="00D8466F">
        <w:rPr>
          <w:sz w:val="28"/>
          <w:szCs w:val="28"/>
          <w:lang w:val="en-US"/>
        </w:rPr>
        <w:t>n</w:t>
      </w:r>
      <w:r w:rsidRPr="00D8466F">
        <w:rPr>
          <w:sz w:val="28"/>
          <w:szCs w:val="28"/>
          <w:vertAlign w:val="subscript"/>
          <w:lang w:val="uk-UA"/>
        </w:rPr>
        <w:t>1-ої групи</w:t>
      </w:r>
      <w:r w:rsidRPr="00D8466F">
        <w:rPr>
          <w:sz w:val="28"/>
          <w:szCs w:val="28"/>
          <w:lang w:val="uk-UA"/>
        </w:rPr>
        <w:t>=86</w:t>
      </w:r>
      <w:r w:rsidR="00D8466F">
        <w:rPr>
          <w:sz w:val="28"/>
          <w:szCs w:val="28"/>
          <w:lang w:val="uk-UA"/>
        </w:rPr>
        <w:t xml:space="preserve"> </w:t>
      </w:r>
      <w:r w:rsidRPr="00D8466F">
        <w:rPr>
          <w:sz w:val="28"/>
          <w:szCs w:val="28"/>
          <w:lang w:val="uk-UA"/>
        </w:rPr>
        <w:t>(81,13</w:t>
      </w:r>
      <w:r w:rsidRPr="00D8466F">
        <w:rPr>
          <w:bCs/>
          <w:sz w:val="28"/>
          <w:szCs w:val="28"/>
          <w:shd w:val="clear" w:color="auto" w:fill="FAFAFA"/>
          <w:lang w:val="uk-UA" w:eastAsia="en-US"/>
        </w:rPr>
        <w:t>±3,80</w:t>
      </w:r>
      <w:r w:rsidRPr="00D8466F">
        <w:rPr>
          <w:sz w:val="28"/>
          <w:szCs w:val="28"/>
          <w:lang w:val="uk-UA"/>
        </w:rPr>
        <w:t xml:space="preserve">%),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=122(78,21±3,31%)), проблеми зі сном  – 169(64,5±2,96%</w:t>
      </w:r>
      <w:r w:rsidR="00D8466F">
        <w:rPr>
          <w:sz w:val="28"/>
          <w:szCs w:val="28"/>
          <w:lang w:val="uk-UA"/>
        </w:rPr>
        <w:t>, з них</w:t>
      </w:r>
      <w:r w:rsidRPr="00D8466F">
        <w:rPr>
          <w:sz w:val="28"/>
          <w:szCs w:val="28"/>
          <w:lang w:val="uk-UA"/>
        </w:rPr>
        <w:t xml:space="preserve"> </w:t>
      </w:r>
      <w:r w:rsidRPr="00D8466F">
        <w:rPr>
          <w:sz w:val="28"/>
          <w:szCs w:val="28"/>
          <w:lang w:val="en-US"/>
        </w:rPr>
        <w:t>n</w:t>
      </w:r>
      <w:r w:rsidRPr="00D8466F">
        <w:rPr>
          <w:sz w:val="28"/>
          <w:szCs w:val="28"/>
          <w:vertAlign w:val="subscript"/>
          <w:lang w:val="uk-UA"/>
        </w:rPr>
        <w:t>1-ої групи</w:t>
      </w:r>
      <w:r w:rsidRPr="00D8466F">
        <w:rPr>
          <w:sz w:val="28"/>
          <w:szCs w:val="28"/>
          <w:lang w:val="uk-UA"/>
        </w:rPr>
        <w:t>=93</w:t>
      </w:r>
      <w:r w:rsidR="00D8466F">
        <w:rPr>
          <w:sz w:val="28"/>
          <w:szCs w:val="28"/>
          <w:lang w:val="uk-UA"/>
        </w:rPr>
        <w:t xml:space="preserve"> </w:t>
      </w:r>
      <w:r w:rsidRPr="00D8466F">
        <w:rPr>
          <w:sz w:val="28"/>
          <w:szCs w:val="28"/>
          <w:lang w:val="uk-UA"/>
        </w:rPr>
        <w:t xml:space="preserve">(87,74±3,19%),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=114</w:t>
      </w:r>
      <w:r w:rsidR="00D8466F">
        <w:rPr>
          <w:sz w:val="28"/>
          <w:szCs w:val="28"/>
          <w:lang w:val="uk-UA"/>
        </w:rPr>
        <w:t xml:space="preserve"> </w:t>
      </w:r>
      <w:r w:rsidRPr="00D8466F">
        <w:rPr>
          <w:sz w:val="28"/>
          <w:szCs w:val="28"/>
          <w:lang w:val="uk-UA"/>
        </w:rPr>
        <w:t>(73,08</w:t>
      </w:r>
      <w:r w:rsidRPr="00D8466F">
        <w:rPr>
          <w:bCs/>
          <w:sz w:val="28"/>
          <w:szCs w:val="28"/>
          <w:shd w:val="clear" w:color="auto" w:fill="FAFAFA"/>
          <w:lang w:val="uk-UA" w:eastAsia="en-US"/>
        </w:rPr>
        <w:t>±3,55</w:t>
      </w:r>
      <w:r w:rsidRPr="00D8466F">
        <w:rPr>
          <w:sz w:val="28"/>
          <w:szCs w:val="28"/>
          <w:lang w:val="uk-UA"/>
        </w:rPr>
        <w:t>%</w:t>
      </w:r>
      <w:r w:rsidR="00D8466F">
        <w:rPr>
          <w:sz w:val="28"/>
          <w:szCs w:val="28"/>
          <w:lang w:val="uk-UA"/>
        </w:rPr>
        <w:t>))</w:t>
      </w:r>
      <w:r w:rsidRPr="00D8466F">
        <w:rPr>
          <w:sz w:val="28"/>
          <w:szCs w:val="28"/>
          <w:lang w:val="uk-UA"/>
        </w:rPr>
        <w:t>, зниження пам`яті  – 193 (73,66±2,72%)</w:t>
      </w:r>
      <w:r w:rsidR="00D8466F">
        <w:rPr>
          <w:sz w:val="28"/>
          <w:szCs w:val="28"/>
          <w:lang w:val="uk-UA"/>
        </w:rPr>
        <w:t>, з них</w:t>
      </w:r>
      <w:r w:rsidRPr="00D8466F">
        <w:rPr>
          <w:sz w:val="28"/>
          <w:szCs w:val="28"/>
          <w:lang w:val="uk-UA"/>
        </w:rPr>
        <w:t xml:space="preserve"> </w:t>
      </w:r>
      <w:r w:rsidRPr="00D8466F">
        <w:rPr>
          <w:sz w:val="28"/>
          <w:szCs w:val="28"/>
          <w:lang w:val="en-US"/>
        </w:rPr>
        <w:t>n</w:t>
      </w:r>
      <w:r w:rsidRPr="00D8466F">
        <w:rPr>
          <w:sz w:val="28"/>
          <w:szCs w:val="28"/>
          <w:vertAlign w:val="subscript"/>
          <w:lang w:val="uk-UA"/>
        </w:rPr>
        <w:t>1-ої групи</w:t>
      </w:r>
      <w:r w:rsidRPr="00D8466F">
        <w:rPr>
          <w:sz w:val="28"/>
          <w:szCs w:val="28"/>
          <w:lang w:val="uk-UA"/>
        </w:rPr>
        <w:t>=76</w:t>
      </w:r>
      <w:r w:rsidR="00D8466F">
        <w:rPr>
          <w:sz w:val="28"/>
          <w:szCs w:val="28"/>
          <w:lang w:val="uk-UA"/>
        </w:rPr>
        <w:t xml:space="preserve"> </w:t>
      </w:r>
      <w:r w:rsidRPr="00D8466F">
        <w:rPr>
          <w:sz w:val="28"/>
          <w:szCs w:val="28"/>
          <w:lang w:val="uk-UA"/>
        </w:rPr>
        <w:t xml:space="preserve">(71,7±4,37%),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=117(75</w:t>
      </w:r>
      <w:r w:rsidRPr="00D8466F">
        <w:rPr>
          <w:bCs/>
          <w:sz w:val="28"/>
          <w:szCs w:val="28"/>
          <w:shd w:val="clear" w:color="auto" w:fill="FAFAFA"/>
          <w:lang w:val="uk-UA" w:eastAsia="en-US"/>
        </w:rPr>
        <w:t>±3,47</w:t>
      </w:r>
      <w:r w:rsidRPr="00D8466F">
        <w:rPr>
          <w:sz w:val="28"/>
          <w:szCs w:val="28"/>
          <w:lang w:val="uk-UA"/>
        </w:rPr>
        <w:t>%)), зниження концентрації уваги – 164(62,6±2,99%)</w:t>
      </w:r>
      <w:r w:rsidR="00D8466F">
        <w:rPr>
          <w:sz w:val="28"/>
          <w:szCs w:val="28"/>
          <w:lang w:val="uk-UA"/>
        </w:rPr>
        <w:t xml:space="preserve">, з них </w:t>
      </w:r>
      <w:r w:rsidRPr="00D8466F">
        <w:rPr>
          <w:sz w:val="28"/>
          <w:szCs w:val="28"/>
          <w:lang w:val="en-US"/>
        </w:rPr>
        <w:t>n</w:t>
      </w:r>
      <w:r w:rsidRPr="00D8466F">
        <w:rPr>
          <w:sz w:val="28"/>
          <w:szCs w:val="28"/>
          <w:vertAlign w:val="subscript"/>
          <w:lang w:val="uk-UA"/>
        </w:rPr>
        <w:t>1-ої групи</w:t>
      </w:r>
      <w:r w:rsidRPr="00D8466F">
        <w:rPr>
          <w:sz w:val="28"/>
          <w:szCs w:val="28"/>
          <w:lang w:val="uk-UA"/>
        </w:rPr>
        <w:t xml:space="preserve">=66(62,26±4,71%) </w:t>
      </w:r>
      <w:r w:rsidRPr="00D8466F">
        <w:rPr>
          <w:sz w:val="28"/>
          <w:szCs w:val="28"/>
          <w:lang w:val="en-US"/>
        </w:rPr>
        <w:t>n</w:t>
      </w:r>
      <w:r w:rsidRPr="00D8466F">
        <w:rPr>
          <w:sz w:val="28"/>
          <w:szCs w:val="28"/>
          <w:vertAlign w:val="subscript"/>
          <w:lang w:val="uk-UA"/>
        </w:rPr>
        <w:t>2-ої групи</w:t>
      </w:r>
      <w:r w:rsidRPr="00D8466F">
        <w:rPr>
          <w:sz w:val="28"/>
          <w:szCs w:val="28"/>
          <w:lang w:val="uk-UA"/>
        </w:rPr>
        <w:t xml:space="preserve"> =98(62,82±3,87)). </w:t>
      </w:r>
    </w:p>
    <w:p w:rsidR="00E3259F" w:rsidRPr="00D8466F" w:rsidRDefault="00E3259F" w:rsidP="00D8466F">
      <w:pPr>
        <w:spacing w:line="360" w:lineRule="auto"/>
        <w:ind w:firstLine="709"/>
        <w:jc w:val="both"/>
        <w:rPr>
          <w:sz w:val="28"/>
          <w:szCs w:val="28"/>
          <w:lang w:val="uk-UA"/>
        </w:rPr>
      </w:pPr>
      <w:r w:rsidRPr="00D8466F">
        <w:rPr>
          <w:sz w:val="28"/>
          <w:szCs w:val="28"/>
          <w:lang w:val="uk-UA"/>
        </w:rPr>
        <w:t>Хворі з ГХ, ЦД 2 типу та СГТ порівняно з хворими на поєднаний перебіг ГХ та ЦД 2 типу значно частіше скаржилися на задишку (88,17±3,35% проти 78,21±3,31%, р=0,049, відповідно), проблеми зі сном (91,40±2,91% проти 48,72±4,00%, р&lt;0,001, відповідно), відчуття поколювання в тілі (63,44±4,99% проти 50%±4,00%, р=0,040, відповідно), також частіше надавали скарги на зниження концентрації уваги (73,11±4,60% проти 62,82%±3,87, р&gt;0,05  , відповідно), біль у суглобах (86,02±3,59% проти 81,41%±3,11%, р&gt;0,05, відповідно), підвищена плаксивість (50,53±5,18% проти 43,59%±3,97%, р&gt;0,05, відповідно), але достовірних відмінностей між групами знайдено не було.</w:t>
      </w:r>
    </w:p>
    <w:p w:rsidR="00E3259F" w:rsidRPr="008B751B" w:rsidRDefault="00E3259F" w:rsidP="008B751B">
      <w:pPr>
        <w:spacing w:line="360" w:lineRule="auto"/>
        <w:ind w:firstLine="709"/>
        <w:jc w:val="both"/>
        <w:rPr>
          <w:sz w:val="28"/>
          <w:szCs w:val="28"/>
          <w:lang w:val="uk-UA"/>
        </w:rPr>
      </w:pPr>
      <w:r w:rsidRPr="008B751B">
        <w:rPr>
          <w:sz w:val="28"/>
          <w:szCs w:val="28"/>
          <w:lang w:val="uk-UA"/>
        </w:rPr>
        <w:t>Проведення гендерного аналізу найбільш частих симптомів виявило достовірні відмінності серед хворих групи 1, так на головний біль скаржились  77,78</w:t>
      </w:r>
      <w:r w:rsidRPr="008B751B">
        <w:rPr>
          <w:bCs/>
          <w:sz w:val="28"/>
          <w:szCs w:val="28"/>
          <w:shd w:val="clear" w:color="auto" w:fill="FAFAFA"/>
          <w:lang w:val="uk-UA" w:eastAsia="en-US"/>
        </w:rPr>
        <w:t>±4,90</w:t>
      </w:r>
      <w:r w:rsidRPr="008B751B">
        <w:rPr>
          <w:sz w:val="28"/>
          <w:szCs w:val="28"/>
          <w:lang w:val="uk-UA"/>
        </w:rPr>
        <w:t>% жінок та 47,06±8,56% чоловіків (р=0,002), на біль у ділянці серця - 78,08</w:t>
      </w:r>
      <w:r w:rsidRPr="008B751B">
        <w:rPr>
          <w:bCs/>
          <w:sz w:val="28"/>
          <w:szCs w:val="28"/>
          <w:shd w:val="clear" w:color="auto" w:fill="FAFAFA"/>
          <w:lang w:val="uk-UA" w:eastAsia="en-US"/>
        </w:rPr>
        <w:t>±4,78</w:t>
      </w:r>
      <w:r w:rsidRPr="008B751B">
        <w:rPr>
          <w:sz w:val="28"/>
          <w:szCs w:val="28"/>
          <w:lang w:val="uk-UA"/>
        </w:rPr>
        <w:t>% жінок та 47,06±8,56% чоловіків (р&lt;0,001), запаморочення – 29,17±5,36%  жінок та 73,53±7,57% чоловіків ( р&lt;0,001), задишку – 77,78±4,90% жінок та 94,12±4,03% чоловіків (р=0,037), проблеми зі сном мали 91,67±3,26% жінок та 50,0±8,57% чоловіків (р&lt;0,001), зниження пам`яті  – 75,0±5,10% жінок та 44,12±8,51% чоловіків (р=0,002), зниження концентрації уваги – 66,67±5,55% жінок та 17,24</w:t>
      </w:r>
      <w:r w:rsidRPr="008B751B">
        <w:rPr>
          <w:bCs/>
          <w:sz w:val="28"/>
          <w:szCs w:val="28"/>
          <w:shd w:val="clear" w:color="auto" w:fill="FAFAFA"/>
          <w:lang w:val="uk-UA" w:eastAsia="en-US"/>
        </w:rPr>
        <w:t>±7,81</w:t>
      </w:r>
      <w:r w:rsidRPr="008B751B">
        <w:rPr>
          <w:sz w:val="28"/>
          <w:szCs w:val="28"/>
          <w:lang w:val="uk-UA"/>
        </w:rPr>
        <w:t>% чоловіків (р&lt;0,001). В групах пацієнтів з коморбідною патологією достовірні гендерні відмінності найбільш частих скарг спостерігались рідше, ніж при ізольованій ГХ. Так, серед пацієнтів групи 2 на головний біль скаржились 64,86±5,55% жінок та 80,49±4,38% чоловіків (р=0,029), на біль у ділянці серця  - 52(70,27±5,31%) жінок та 67,07±5,19%  чоловіків (р&gt;0,05), на запаморочення –47,3±5,80% жінок та 32,93±5,19% чоловіків (р&gt;0,05), задишку – 89,19±3,61% жінок та 67,07±5,19% чоловіків (р&lt;0,001), проблеми зі сном 70,27±5,31% жінок та 73,17±4,89% чоловіків (р&gt;0,05), на зниження пам`яті – 75,68±4,99% жінок та  71,95±4,96% чоловіків (р&gt;0,05), зниження концентрації уваги – 58,11±5,73% жінок та 67,07±5,19 % чоловіків (р&gt;0,05). Серед хворих  групи 3 на головний біль скаржились 64,2±5,33% жінок та 8,33±7,98% чоловіків (р&lt;0,001), на біль у ділянці серця 70,37±5,07% жінок та 33,33±13,61% чоловіків (р=0,012), на запаморочення – 46,91±5,54% жінок та 66,67±13,61% чоловіків (р&gt;0,05), задишку –88,89±3,49% жінки та 58,33±14,23% чоловіків (р=0,006), проблеми зі сном мали 70,37±5,07% жінок та 66,67±13,61% чоловіків (р&gt;0,05),  на зниження пам`яті  – 76,54±4,71% жінок та 50,0±14,43% чоловіків (р&gt;0,05), зниження концентрації уваги – 59,26±5,46% жінок та 66,67±13,61% чоловіків (р&gt;0,05).</w:t>
      </w:r>
    </w:p>
    <w:p w:rsidR="00E3259F" w:rsidRPr="008B751B" w:rsidRDefault="00E3259F" w:rsidP="00E3259F">
      <w:pPr>
        <w:spacing w:line="360" w:lineRule="auto"/>
        <w:ind w:firstLine="708"/>
        <w:jc w:val="both"/>
        <w:rPr>
          <w:sz w:val="28"/>
          <w:szCs w:val="28"/>
          <w:lang w:val="uk-UA"/>
        </w:rPr>
      </w:pPr>
      <w:r w:rsidRPr="008B751B">
        <w:rPr>
          <w:sz w:val="28"/>
          <w:szCs w:val="28"/>
          <w:lang w:val="uk-UA"/>
        </w:rPr>
        <w:t>Аналіз скарг, що зустрічаються найчастіше за даними опитування, з урахуванням вікової підгрупи пацієнтів продемонстрував, що серед осіб вікової категорії від 44 до 60 років на головний біль скаржилися  55,32±7,25% пацієнтів  групи 1, усі 100,0% пацієнтів групи 2, 63,89±8,00% пацієнтів  групи 3 (р</w:t>
      </w:r>
      <w:r w:rsidRPr="008B751B">
        <w:rPr>
          <w:sz w:val="28"/>
          <w:szCs w:val="28"/>
          <w:vertAlign w:val="subscript"/>
          <w:lang w:val="uk-UA"/>
        </w:rPr>
        <w:t>1-2</w:t>
      </w:r>
      <w:r w:rsidRPr="008B751B">
        <w:rPr>
          <w:sz w:val="28"/>
          <w:szCs w:val="28"/>
          <w:lang w:val="uk-UA"/>
        </w:rPr>
        <w:t>&lt;0,001,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&lt;0,001); на біль у ділянці серця – </w:t>
      </w:r>
      <w:r w:rsidRPr="008B751B">
        <w:rPr>
          <w:bCs/>
          <w:sz w:val="28"/>
          <w:szCs w:val="28"/>
          <w:shd w:val="clear" w:color="auto" w:fill="FAFAFA"/>
          <w:lang w:val="uk-UA"/>
        </w:rPr>
        <w:t>44,68±7,25</w:t>
      </w:r>
      <w:r w:rsidRPr="008B751B">
        <w:rPr>
          <w:sz w:val="28"/>
          <w:szCs w:val="28"/>
          <w:lang w:val="uk-UA"/>
        </w:rPr>
        <w:t xml:space="preserve">% пацієнта  групи 1, </w:t>
      </w:r>
      <w:r w:rsidRPr="008B751B">
        <w:rPr>
          <w:bCs/>
          <w:sz w:val="28"/>
          <w:szCs w:val="28"/>
          <w:shd w:val="clear" w:color="auto" w:fill="FAFAFA"/>
          <w:lang w:val="uk-UA"/>
        </w:rPr>
        <w:t>50,00±5,98</w:t>
      </w:r>
      <w:r w:rsidRPr="008B751B">
        <w:rPr>
          <w:sz w:val="28"/>
          <w:szCs w:val="28"/>
          <w:lang w:val="uk-UA"/>
        </w:rPr>
        <w:t xml:space="preserve">% – групи 2  та </w:t>
      </w:r>
      <w:r w:rsidRPr="008B751B">
        <w:rPr>
          <w:bCs/>
          <w:sz w:val="28"/>
          <w:szCs w:val="28"/>
          <w:shd w:val="clear" w:color="auto" w:fill="FAFAFA"/>
          <w:lang w:val="uk-UA"/>
        </w:rPr>
        <w:t>55,56</w:t>
      </w:r>
      <w:r w:rsidRPr="008B751B">
        <w:rPr>
          <w:sz w:val="28"/>
          <w:szCs w:val="28"/>
          <w:lang w:val="uk-UA"/>
        </w:rPr>
        <w:t>±8,28%  -  групи 3 (р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на запаморочення  – 46,81±7,28% пацієнтів  групи 1, </w:t>
      </w:r>
      <w:r w:rsidRPr="008B751B">
        <w:rPr>
          <w:bCs/>
          <w:sz w:val="28"/>
          <w:szCs w:val="28"/>
          <w:shd w:val="clear" w:color="auto" w:fill="FAFAFA"/>
          <w:lang w:val="uk-UA"/>
        </w:rPr>
        <w:t>52,86±5,97</w:t>
      </w:r>
      <w:r w:rsidRPr="008B751B">
        <w:rPr>
          <w:sz w:val="28"/>
          <w:szCs w:val="28"/>
          <w:lang w:val="uk-UA"/>
        </w:rPr>
        <w:t>% – групи 2 та 41,67±8,22% пацієнтів  групи 3 (р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на задишку – </w:t>
      </w:r>
      <w:r w:rsidRPr="008B751B">
        <w:rPr>
          <w:bCs/>
          <w:sz w:val="28"/>
          <w:szCs w:val="28"/>
          <w:shd w:val="clear" w:color="auto" w:fill="FAFAFA"/>
          <w:lang w:val="uk-UA"/>
        </w:rPr>
        <w:t>78,72±5,97</w:t>
      </w:r>
      <w:r w:rsidRPr="008B751B">
        <w:rPr>
          <w:sz w:val="28"/>
          <w:szCs w:val="28"/>
          <w:lang w:val="uk-UA"/>
        </w:rPr>
        <w:t xml:space="preserve">% хворих  групи 1, </w:t>
      </w:r>
      <w:r w:rsidRPr="008B751B">
        <w:rPr>
          <w:bCs/>
          <w:sz w:val="28"/>
          <w:szCs w:val="28"/>
          <w:shd w:val="clear" w:color="auto" w:fill="FAFAFA"/>
          <w:lang w:val="uk-UA"/>
        </w:rPr>
        <w:t>62,86±5,77</w:t>
      </w:r>
      <w:r w:rsidRPr="008B751B">
        <w:rPr>
          <w:sz w:val="28"/>
          <w:szCs w:val="28"/>
          <w:lang w:val="uk-UA"/>
        </w:rPr>
        <w:t>% – групи 2, 88,89±5,24 % – групи 3(р</w:t>
      </w:r>
      <w:r w:rsidRPr="008B751B">
        <w:rPr>
          <w:sz w:val="28"/>
          <w:szCs w:val="28"/>
          <w:vertAlign w:val="subscript"/>
          <w:lang w:val="uk-UA"/>
        </w:rPr>
        <w:t>1-2</w:t>
      </w:r>
      <w:r w:rsidRPr="008B751B">
        <w:rPr>
          <w:sz w:val="28"/>
          <w:szCs w:val="28"/>
          <w:lang w:val="uk-UA"/>
        </w:rPr>
        <w:t>&gt;0,05,р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=0,005); проблеми зі сном мали </w:t>
      </w:r>
      <w:r w:rsidRPr="008B751B">
        <w:rPr>
          <w:bCs/>
          <w:sz w:val="28"/>
          <w:szCs w:val="28"/>
          <w:shd w:val="clear" w:color="auto" w:fill="FAFAFA"/>
          <w:lang w:val="uk-UA"/>
        </w:rPr>
        <w:t>65,96±6,91</w:t>
      </w:r>
      <w:r w:rsidRPr="008B751B">
        <w:rPr>
          <w:sz w:val="28"/>
          <w:szCs w:val="28"/>
          <w:lang w:val="uk-UA"/>
        </w:rPr>
        <w:t xml:space="preserve">% пацієнтів  групи 1, </w:t>
      </w:r>
      <w:r w:rsidRPr="008B751B">
        <w:rPr>
          <w:bCs/>
          <w:sz w:val="28"/>
          <w:szCs w:val="28"/>
          <w:shd w:val="clear" w:color="auto" w:fill="FAFAFA"/>
          <w:lang w:val="uk-UA"/>
        </w:rPr>
        <w:t>87,14±4,00</w:t>
      </w:r>
      <w:r w:rsidRPr="008B751B">
        <w:rPr>
          <w:sz w:val="28"/>
          <w:szCs w:val="28"/>
          <w:lang w:val="uk-UA"/>
        </w:rPr>
        <w:t>% –групи 2 та 83,33±6,21% – групи 3 (р</w:t>
      </w:r>
      <w:r w:rsidRPr="008B751B">
        <w:rPr>
          <w:sz w:val="28"/>
          <w:szCs w:val="28"/>
          <w:vertAlign w:val="subscript"/>
          <w:lang w:val="uk-UA"/>
        </w:rPr>
        <w:t>1-2</w:t>
      </w:r>
      <w:r w:rsidRPr="008B751B">
        <w:rPr>
          <w:sz w:val="28"/>
          <w:szCs w:val="28"/>
          <w:lang w:val="uk-UA"/>
        </w:rPr>
        <w:t>=0,007,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зниження пам`яті відмічали </w:t>
      </w:r>
      <w:r w:rsidRPr="008B751B">
        <w:rPr>
          <w:bCs/>
          <w:sz w:val="28"/>
          <w:szCs w:val="28"/>
          <w:shd w:val="clear" w:color="auto" w:fill="FAFAFA"/>
          <w:lang w:val="uk-UA"/>
        </w:rPr>
        <w:t>68,09±6,80</w:t>
      </w:r>
      <w:r w:rsidRPr="008B751B">
        <w:rPr>
          <w:sz w:val="28"/>
          <w:szCs w:val="28"/>
          <w:lang w:val="uk-UA"/>
        </w:rPr>
        <w:t xml:space="preserve">% пацієнтів  групи 1, </w:t>
      </w:r>
      <w:r w:rsidRPr="008B751B">
        <w:rPr>
          <w:bCs/>
          <w:sz w:val="28"/>
          <w:szCs w:val="28"/>
          <w:shd w:val="clear" w:color="auto" w:fill="FAFAFA"/>
          <w:lang w:val="uk-UA"/>
        </w:rPr>
        <w:t>85,71±4,18</w:t>
      </w:r>
      <w:r w:rsidRPr="008B751B">
        <w:rPr>
          <w:sz w:val="28"/>
          <w:szCs w:val="28"/>
          <w:lang w:val="uk-UA"/>
        </w:rPr>
        <w:t>% пацієнтів групи 2 та 72,22±7,46% групи 3 (р</w:t>
      </w:r>
      <w:r w:rsidRPr="008B751B">
        <w:rPr>
          <w:sz w:val="28"/>
          <w:szCs w:val="28"/>
          <w:vertAlign w:val="subscript"/>
          <w:lang w:val="uk-UA"/>
        </w:rPr>
        <w:t>1-2</w:t>
      </w:r>
      <w:r w:rsidRPr="008B751B">
        <w:rPr>
          <w:sz w:val="28"/>
          <w:szCs w:val="28"/>
          <w:lang w:val="uk-UA"/>
        </w:rPr>
        <w:t>=0,023,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зниження концентрації уваги спостерігали </w:t>
      </w:r>
      <w:r w:rsidRPr="008B751B">
        <w:rPr>
          <w:bCs/>
          <w:sz w:val="28"/>
          <w:szCs w:val="28"/>
          <w:shd w:val="clear" w:color="auto" w:fill="FAFAFA"/>
          <w:lang w:val="uk-UA"/>
        </w:rPr>
        <w:t>55,32±7,25</w:t>
      </w:r>
      <w:r w:rsidRPr="008B751B">
        <w:rPr>
          <w:sz w:val="28"/>
          <w:szCs w:val="28"/>
          <w:lang w:val="uk-UA"/>
        </w:rPr>
        <w:t xml:space="preserve">% пацієнтів 1-ї групи, </w:t>
      </w:r>
      <w:r w:rsidRPr="008B751B">
        <w:rPr>
          <w:bCs/>
          <w:sz w:val="28"/>
          <w:szCs w:val="28"/>
          <w:shd w:val="clear" w:color="auto" w:fill="FAFAFA"/>
          <w:lang w:val="uk-UA"/>
        </w:rPr>
        <w:t>65,71±5,67</w:t>
      </w:r>
      <w:r w:rsidRPr="008B751B">
        <w:rPr>
          <w:sz w:val="28"/>
          <w:szCs w:val="28"/>
          <w:lang w:val="uk-UA"/>
        </w:rPr>
        <w:t>% – 2-ї групи та 66,67±7,86% – 3-ї групи (р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w:t>
      </w:r>
    </w:p>
    <w:p w:rsidR="00E3259F" w:rsidRPr="008B751B" w:rsidRDefault="00E3259F" w:rsidP="00E3259F">
      <w:pPr>
        <w:widowControl w:val="0"/>
        <w:tabs>
          <w:tab w:val="left" w:pos="1020"/>
        </w:tabs>
        <w:suppressAutoHyphens/>
        <w:spacing w:line="360" w:lineRule="auto"/>
        <w:ind w:firstLine="563"/>
        <w:jc w:val="both"/>
        <w:rPr>
          <w:sz w:val="28"/>
          <w:szCs w:val="28"/>
          <w:lang w:val="uk-UA"/>
        </w:rPr>
      </w:pPr>
      <w:r w:rsidRPr="008B751B">
        <w:rPr>
          <w:sz w:val="28"/>
          <w:szCs w:val="28"/>
          <w:lang w:val="uk-UA"/>
        </w:rPr>
        <w:t xml:space="preserve">Серед осіб у віковому діапазоні 61-75 років на головний біль скаржились </w:t>
      </w:r>
      <w:r w:rsidRPr="008B751B">
        <w:rPr>
          <w:bCs/>
          <w:sz w:val="28"/>
          <w:szCs w:val="28"/>
          <w:shd w:val="clear" w:color="auto" w:fill="FAFAFA"/>
          <w:lang w:val="uk-UA"/>
        </w:rPr>
        <w:t>71,19±</w:t>
      </w:r>
      <w:r w:rsidRPr="008B751B">
        <w:rPr>
          <w:sz w:val="28"/>
          <w:szCs w:val="28"/>
          <w:lang w:val="uk-UA"/>
        </w:rPr>
        <w:t xml:space="preserve">5,90% пацієнтів 1-ї групи, </w:t>
      </w:r>
      <w:r w:rsidRPr="008B751B">
        <w:rPr>
          <w:bCs/>
          <w:sz w:val="28"/>
          <w:szCs w:val="28"/>
          <w:shd w:val="clear" w:color="auto" w:fill="FAFAFA"/>
          <w:lang w:val="uk-UA"/>
        </w:rPr>
        <w:t>62,79±5,21% -</w:t>
      </w:r>
      <w:r w:rsidRPr="008B751B">
        <w:rPr>
          <w:sz w:val="28"/>
          <w:szCs w:val="28"/>
          <w:lang w:val="uk-UA"/>
        </w:rPr>
        <w:t xml:space="preserve"> 2-ї групи  та </w:t>
      </w:r>
      <w:r w:rsidRPr="008B751B">
        <w:rPr>
          <w:bCs/>
          <w:sz w:val="28"/>
          <w:szCs w:val="28"/>
          <w:shd w:val="clear" w:color="auto" w:fill="FAFAFA"/>
          <w:lang w:val="uk-UA"/>
        </w:rPr>
        <w:t>54,39</w:t>
      </w:r>
      <w:r w:rsidRPr="008B751B">
        <w:rPr>
          <w:sz w:val="28"/>
          <w:szCs w:val="28"/>
          <w:lang w:val="uk-UA"/>
        </w:rPr>
        <w:t>±6,60</w:t>
      </w:r>
      <w:r w:rsidRPr="008B751B">
        <w:rPr>
          <w:bCs/>
          <w:sz w:val="28"/>
          <w:szCs w:val="28"/>
          <w:shd w:val="clear" w:color="auto" w:fill="FAFAFA"/>
          <w:lang w:val="uk-UA"/>
        </w:rPr>
        <w:t>% -</w:t>
      </w:r>
      <w:r w:rsidRPr="008B751B">
        <w:rPr>
          <w:sz w:val="28"/>
          <w:szCs w:val="28"/>
          <w:lang w:val="uk-UA"/>
        </w:rPr>
        <w:t xml:space="preserve"> 3-ї групи (р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&gt;0,05);  на біль у ділянці серця 8</w:t>
      </w:r>
      <w:r w:rsidRPr="008B751B">
        <w:rPr>
          <w:bCs/>
          <w:sz w:val="28"/>
          <w:szCs w:val="28"/>
          <w:shd w:val="clear" w:color="auto" w:fill="FAFAFA"/>
          <w:lang w:val="uk-UA"/>
        </w:rPr>
        <w:t>6,44</w:t>
      </w:r>
      <w:r w:rsidRPr="008B751B">
        <w:rPr>
          <w:sz w:val="28"/>
          <w:szCs w:val="28"/>
          <w:lang w:val="uk-UA"/>
        </w:rPr>
        <w:t>±4,46% пацієнтів 1-ї групи, 75,58±4,63% – 2-ї групи, 64,91±6,32% – 3-ї групи                      (р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=0,007, р</w:t>
      </w:r>
      <w:r w:rsidRPr="008B751B">
        <w:rPr>
          <w:sz w:val="28"/>
          <w:szCs w:val="28"/>
          <w:vertAlign w:val="subscript"/>
          <w:lang w:val="uk-UA"/>
        </w:rPr>
        <w:t>2-3</w:t>
      </w:r>
      <w:r w:rsidRPr="008B751B">
        <w:rPr>
          <w:sz w:val="28"/>
          <w:szCs w:val="28"/>
          <w:lang w:val="uk-UA"/>
        </w:rPr>
        <w:t xml:space="preserve">&gt;0,05); на запаморочення  – </w:t>
      </w:r>
      <w:r w:rsidRPr="008B751B">
        <w:rPr>
          <w:bCs/>
          <w:sz w:val="28"/>
          <w:szCs w:val="28"/>
          <w:shd w:val="clear" w:color="auto" w:fill="FAFAFA"/>
          <w:lang w:val="uk-UA"/>
        </w:rPr>
        <w:t>23,73±5,54</w:t>
      </w:r>
      <w:r w:rsidRPr="008B751B">
        <w:rPr>
          <w:sz w:val="28"/>
          <w:szCs w:val="28"/>
          <w:lang w:val="uk-UA"/>
        </w:rPr>
        <w:t xml:space="preserve">% пацієнтів  групи 1, </w:t>
      </w:r>
      <w:r w:rsidRPr="008B751B">
        <w:rPr>
          <w:bCs/>
          <w:sz w:val="28"/>
          <w:szCs w:val="28"/>
          <w:shd w:val="clear" w:color="auto" w:fill="FAFAFA"/>
          <w:lang w:val="uk-UA"/>
        </w:rPr>
        <w:t>41,86±5,32% – групи 2 та 35,09</w:t>
      </w:r>
      <w:r w:rsidRPr="008B751B">
        <w:rPr>
          <w:sz w:val="28"/>
          <w:szCs w:val="28"/>
          <w:lang w:val="uk-UA"/>
        </w:rPr>
        <w:t>±6,32</w:t>
      </w:r>
      <w:r w:rsidRPr="008B751B">
        <w:rPr>
          <w:bCs/>
          <w:sz w:val="28"/>
          <w:szCs w:val="28"/>
          <w:shd w:val="clear" w:color="auto" w:fill="FAFAFA"/>
          <w:lang w:val="uk-UA"/>
        </w:rPr>
        <w:t>% - групи 3</w:t>
      </w:r>
      <w:r w:rsidRPr="008B751B">
        <w:rPr>
          <w:sz w:val="28"/>
          <w:szCs w:val="28"/>
          <w:lang w:val="uk-UA"/>
        </w:rPr>
        <w:t xml:space="preserve"> (р</w:t>
      </w:r>
      <w:r w:rsidRPr="008B751B">
        <w:rPr>
          <w:sz w:val="28"/>
          <w:szCs w:val="28"/>
          <w:vertAlign w:val="subscript"/>
          <w:lang w:val="uk-UA"/>
        </w:rPr>
        <w:t>1-2</w:t>
      </w:r>
      <w:r w:rsidRPr="008B751B">
        <w:rPr>
          <w:sz w:val="28"/>
          <w:szCs w:val="28"/>
          <w:lang w:val="uk-UA"/>
        </w:rPr>
        <w:t>=0,025,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на задишку – </w:t>
      </w:r>
      <w:r w:rsidRPr="008B751B">
        <w:rPr>
          <w:bCs/>
          <w:sz w:val="28"/>
          <w:szCs w:val="28"/>
          <w:shd w:val="clear" w:color="auto" w:fill="FAFAFA"/>
          <w:lang w:val="uk-UA"/>
        </w:rPr>
        <w:t>76,27±5,54</w:t>
      </w:r>
      <w:r w:rsidRPr="008B751B">
        <w:rPr>
          <w:sz w:val="28"/>
          <w:szCs w:val="28"/>
          <w:lang w:val="uk-UA"/>
        </w:rPr>
        <w:t xml:space="preserve">% пацієнтів групи 1,  </w:t>
      </w:r>
      <w:r w:rsidRPr="008B751B">
        <w:rPr>
          <w:bCs/>
          <w:sz w:val="28"/>
          <w:szCs w:val="28"/>
          <w:shd w:val="clear" w:color="auto" w:fill="FAFAFA"/>
          <w:lang w:val="uk-UA"/>
        </w:rPr>
        <w:t>83,72±3,98%  -   групи  2 та 89,47</w:t>
      </w:r>
      <w:r w:rsidRPr="008B751B">
        <w:rPr>
          <w:sz w:val="28"/>
          <w:szCs w:val="28"/>
          <w:lang w:val="uk-UA"/>
        </w:rPr>
        <w:t>±4,06</w:t>
      </w:r>
      <w:r w:rsidRPr="008B751B">
        <w:rPr>
          <w:bCs/>
          <w:sz w:val="28"/>
          <w:szCs w:val="28"/>
          <w:shd w:val="clear" w:color="auto" w:fill="FAFAFA"/>
          <w:lang w:val="uk-UA"/>
        </w:rPr>
        <w:t>% – групи 3 (</w:t>
      </w:r>
      <w:r w:rsidRPr="008B751B">
        <w:rPr>
          <w:sz w:val="28"/>
          <w:szCs w:val="28"/>
          <w:lang w:val="uk-UA"/>
        </w:rPr>
        <w:t>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 xml:space="preserve">&gt;0,05), на проблеми зі сном  – </w:t>
      </w:r>
      <w:r w:rsidRPr="008B751B">
        <w:rPr>
          <w:bCs/>
          <w:sz w:val="28"/>
          <w:szCs w:val="28"/>
          <w:shd w:val="clear" w:color="auto" w:fill="FAFAFA"/>
          <w:lang w:val="uk-UA"/>
        </w:rPr>
        <w:t>89,83±3,93</w:t>
      </w:r>
      <w:r w:rsidRPr="008B751B">
        <w:rPr>
          <w:sz w:val="28"/>
          <w:szCs w:val="28"/>
          <w:lang w:val="uk-UA"/>
        </w:rPr>
        <w:t xml:space="preserve">% пацієнтів групи 1, </w:t>
      </w:r>
      <w:r w:rsidRPr="008B751B">
        <w:rPr>
          <w:bCs/>
          <w:sz w:val="28"/>
          <w:szCs w:val="28"/>
          <w:shd w:val="clear" w:color="auto" w:fill="FAFAFA"/>
          <w:lang w:val="uk-UA"/>
        </w:rPr>
        <w:t>70,93±4,90% - групи 2, 92,98</w:t>
      </w:r>
      <w:r w:rsidRPr="008B751B">
        <w:rPr>
          <w:sz w:val="28"/>
          <w:szCs w:val="28"/>
          <w:lang w:val="uk-UA"/>
        </w:rPr>
        <w:t>±3,38</w:t>
      </w:r>
      <w:r w:rsidRPr="008B751B">
        <w:rPr>
          <w:bCs/>
          <w:sz w:val="28"/>
          <w:szCs w:val="28"/>
          <w:shd w:val="clear" w:color="auto" w:fill="FAFAFA"/>
          <w:lang w:val="uk-UA"/>
        </w:rPr>
        <w:t>%  -  групи 3</w:t>
      </w:r>
      <w:r w:rsidRPr="008B751B">
        <w:rPr>
          <w:sz w:val="28"/>
          <w:szCs w:val="28"/>
          <w:lang w:val="uk-UA"/>
        </w:rPr>
        <w:t xml:space="preserve"> (р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&gt;0,05)</w:t>
      </w:r>
      <w:r w:rsidRPr="008B751B">
        <w:rPr>
          <w:bCs/>
          <w:sz w:val="28"/>
          <w:szCs w:val="28"/>
          <w:shd w:val="clear" w:color="auto" w:fill="FAFAFA"/>
          <w:lang w:val="uk-UA"/>
        </w:rPr>
        <w:t>; на</w:t>
      </w:r>
      <w:r w:rsidRPr="008B751B">
        <w:rPr>
          <w:sz w:val="28"/>
          <w:szCs w:val="28"/>
          <w:lang w:val="uk-UA"/>
        </w:rPr>
        <w:t xml:space="preserve"> зниження пам`яті  – </w:t>
      </w:r>
      <w:r w:rsidRPr="008B751B">
        <w:rPr>
          <w:bCs/>
          <w:sz w:val="28"/>
          <w:szCs w:val="28"/>
          <w:shd w:val="clear" w:color="auto" w:fill="FAFAFA"/>
          <w:lang w:val="uk-UA"/>
        </w:rPr>
        <w:t>76,27±5,54% пацієнтів  групи 1, 70,93±4,90% –групи 2, 70,17</w:t>
      </w:r>
      <w:r w:rsidRPr="008B751B">
        <w:rPr>
          <w:sz w:val="28"/>
          <w:szCs w:val="28"/>
          <w:lang w:val="uk-UA"/>
        </w:rPr>
        <w:t>±6,06</w:t>
      </w:r>
      <w:r w:rsidRPr="008B751B">
        <w:rPr>
          <w:bCs/>
          <w:sz w:val="28"/>
          <w:szCs w:val="28"/>
          <w:shd w:val="clear" w:color="auto" w:fill="FAFAFA"/>
          <w:lang w:val="uk-UA"/>
        </w:rPr>
        <w:t>% – групи 3 (</w:t>
      </w:r>
      <w:r w:rsidRPr="008B751B">
        <w:rPr>
          <w:sz w:val="28"/>
          <w:szCs w:val="28"/>
          <w:lang w:val="uk-UA"/>
        </w:rPr>
        <w:t>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&gt;0,05,р</w:t>
      </w:r>
      <w:r w:rsidRPr="008B751B">
        <w:rPr>
          <w:sz w:val="28"/>
          <w:szCs w:val="28"/>
          <w:vertAlign w:val="subscript"/>
          <w:lang w:val="uk-UA"/>
        </w:rPr>
        <w:t>2-3</w:t>
      </w:r>
      <w:r w:rsidRPr="008B751B">
        <w:rPr>
          <w:sz w:val="28"/>
          <w:szCs w:val="28"/>
          <w:lang w:val="uk-UA"/>
        </w:rPr>
        <w:t>&gt;0,05)</w:t>
      </w:r>
      <w:r w:rsidRPr="008B751B">
        <w:rPr>
          <w:bCs/>
          <w:sz w:val="28"/>
          <w:szCs w:val="28"/>
          <w:shd w:val="clear" w:color="auto" w:fill="FAFAFA"/>
          <w:lang w:val="uk-UA"/>
        </w:rPr>
        <w:t>;</w:t>
      </w:r>
      <w:r w:rsidRPr="008B751B">
        <w:rPr>
          <w:sz w:val="28"/>
          <w:szCs w:val="28"/>
          <w:lang w:val="uk-UA"/>
        </w:rPr>
        <w:t xml:space="preserve">  зниження концентрації уваги відмічали  </w:t>
      </w:r>
      <w:r w:rsidRPr="008B751B">
        <w:rPr>
          <w:bCs/>
          <w:sz w:val="28"/>
          <w:szCs w:val="28"/>
          <w:shd w:val="clear" w:color="auto" w:fill="FAFAFA"/>
          <w:lang w:val="uk-UA"/>
        </w:rPr>
        <w:t>67,8±6,08% пацієнтів у першій групі, 62,79±5,21% – у другій групі, 75,44</w:t>
      </w:r>
      <w:r w:rsidRPr="008B751B">
        <w:rPr>
          <w:sz w:val="28"/>
          <w:szCs w:val="28"/>
          <w:lang w:val="uk-UA"/>
        </w:rPr>
        <w:t>±5,70</w:t>
      </w:r>
      <w:r w:rsidRPr="008B751B">
        <w:rPr>
          <w:bCs/>
          <w:sz w:val="28"/>
          <w:szCs w:val="28"/>
          <w:shd w:val="clear" w:color="auto" w:fill="FAFAFA"/>
          <w:lang w:val="uk-UA"/>
        </w:rPr>
        <w:t>%  – у третій групі</w:t>
      </w:r>
      <w:r w:rsidR="008B751B">
        <w:rPr>
          <w:bCs/>
          <w:sz w:val="28"/>
          <w:szCs w:val="28"/>
          <w:shd w:val="clear" w:color="auto" w:fill="FAFAFA"/>
          <w:lang w:val="uk-UA"/>
        </w:rPr>
        <w:t xml:space="preserve"> </w:t>
      </w:r>
      <w:r w:rsidRPr="008B751B">
        <w:rPr>
          <w:bCs/>
          <w:sz w:val="28"/>
          <w:szCs w:val="28"/>
          <w:shd w:val="clear" w:color="auto" w:fill="FAFAFA"/>
          <w:lang w:val="uk-UA"/>
        </w:rPr>
        <w:t>(</w:t>
      </w:r>
      <w:r w:rsidRPr="008B751B">
        <w:rPr>
          <w:sz w:val="28"/>
          <w:szCs w:val="28"/>
          <w:lang w:val="uk-UA"/>
        </w:rPr>
        <w:t>р</w:t>
      </w:r>
      <w:r w:rsidRPr="008B751B">
        <w:rPr>
          <w:sz w:val="28"/>
          <w:szCs w:val="28"/>
          <w:vertAlign w:val="subscript"/>
          <w:lang w:val="uk-UA"/>
        </w:rPr>
        <w:t>1-2</w:t>
      </w:r>
      <w:r w:rsidRPr="008B751B">
        <w:rPr>
          <w:sz w:val="28"/>
          <w:szCs w:val="28"/>
          <w:lang w:val="uk-UA"/>
        </w:rPr>
        <w:t>&gt;0,05, р</w:t>
      </w:r>
      <w:r w:rsidRPr="008B751B">
        <w:rPr>
          <w:sz w:val="28"/>
          <w:szCs w:val="28"/>
          <w:vertAlign w:val="subscript"/>
          <w:lang w:val="uk-UA"/>
        </w:rPr>
        <w:t>1-3</w:t>
      </w:r>
      <w:r w:rsidRPr="008B751B">
        <w:rPr>
          <w:sz w:val="28"/>
          <w:szCs w:val="28"/>
          <w:lang w:val="uk-UA"/>
        </w:rPr>
        <w:t>&gt;0,05, р</w:t>
      </w:r>
      <w:r w:rsidRPr="008B751B">
        <w:rPr>
          <w:sz w:val="28"/>
          <w:szCs w:val="28"/>
          <w:vertAlign w:val="subscript"/>
          <w:lang w:val="uk-UA"/>
        </w:rPr>
        <w:t>2-3</w:t>
      </w:r>
      <w:r w:rsidRPr="008B751B">
        <w:rPr>
          <w:sz w:val="28"/>
          <w:szCs w:val="28"/>
          <w:lang w:val="uk-UA"/>
        </w:rPr>
        <w:t>&gt;0,05</w:t>
      </w:r>
      <w:r w:rsidRPr="008B751B">
        <w:rPr>
          <w:bCs/>
          <w:sz w:val="28"/>
          <w:szCs w:val="28"/>
          <w:shd w:val="clear" w:color="auto" w:fill="FAFAFA"/>
          <w:lang w:val="uk-UA"/>
        </w:rPr>
        <w:t>)</w:t>
      </w:r>
      <w:r w:rsidRPr="008B751B">
        <w:rPr>
          <w:sz w:val="28"/>
          <w:szCs w:val="28"/>
          <w:lang w:val="uk-UA"/>
        </w:rPr>
        <w:t>.</w:t>
      </w:r>
    </w:p>
    <w:p w:rsidR="00E3259F" w:rsidRPr="008B751B" w:rsidRDefault="00E3259F" w:rsidP="008B751B">
      <w:pPr>
        <w:widowControl w:val="0"/>
        <w:tabs>
          <w:tab w:val="left" w:pos="1020"/>
        </w:tabs>
        <w:suppressAutoHyphens/>
        <w:spacing w:line="360" w:lineRule="auto"/>
        <w:ind w:firstLine="709"/>
        <w:jc w:val="both"/>
        <w:rPr>
          <w:rFonts w:eastAsia="Calibri"/>
          <w:sz w:val="28"/>
          <w:szCs w:val="28"/>
        </w:rPr>
      </w:pPr>
      <w:r w:rsidRPr="008B751B">
        <w:rPr>
          <w:rFonts w:eastAsia="Arial Unicode MS"/>
          <w:kern w:val="2"/>
          <w:sz w:val="28"/>
          <w:szCs w:val="28"/>
          <w:lang w:eastAsia="en-US"/>
        </w:rPr>
        <w:t xml:space="preserve">Характеристики </w:t>
      </w:r>
      <w:r w:rsidRPr="008B751B">
        <w:rPr>
          <w:rFonts w:eastAsia="Arial Unicode MS"/>
          <w:kern w:val="2"/>
          <w:sz w:val="28"/>
          <w:szCs w:val="28"/>
          <w:lang w:val="uk-UA" w:eastAsia="en-US"/>
        </w:rPr>
        <w:t xml:space="preserve">антропометричних даних та тиреоїдного обміну </w:t>
      </w:r>
      <w:r w:rsidRPr="008B751B">
        <w:rPr>
          <w:rFonts w:eastAsia="Arial Unicode MS"/>
          <w:kern w:val="2"/>
          <w:sz w:val="28"/>
          <w:szCs w:val="28"/>
          <w:lang w:eastAsia="en-US"/>
        </w:rPr>
        <w:t xml:space="preserve">пацієнтів </w:t>
      </w:r>
      <w:r w:rsidRPr="008B751B">
        <w:rPr>
          <w:rFonts w:eastAsia="Arial Unicode MS"/>
          <w:kern w:val="2"/>
          <w:sz w:val="28"/>
          <w:szCs w:val="28"/>
          <w:lang w:val="uk-UA" w:eastAsia="en-US"/>
        </w:rPr>
        <w:t>досліджуваних груп та</w:t>
      </w:r>
      <w:r w:rsidRPr="008B751B">
        <w:rPr>
          <w:rFonts w:eastAsia="Arial Unicode MS"/>
          <w:kern w:val="2"/>
          <w:sz w:val="28"/>
          <w:szCs w:val="28"/>
          <w:lang w:eastAsia="en-US"/>
        </w:rPr>
        <w:t xml:space="preserve"> групи контролю п</w:t>
      </w:r>
      <w:r w:rsidRPr="008B751B">
        <w:rPr>
          <w:rFonts w:eastAsia="Arial Unicode MS"/>
          <w:kern w:val="2"/>
          <w:sz w:val="28"/>
          <w:szCs w:val="28"/>
          <w:lang w:val="uk-UA" w:eastAsia="en-US"/>
        </w:rPr>
        <w:t>одано</w:t>
      </w:r>
      <w:r w:rsidRPr="008B751B">
        <w:rPr>
          <w:rFonts w:eastAsia="Arial Unicode MS"/>
          <w:kern w:val="2"/>
          <w:sz w:val="28"/>
          <w:szCs w:val="28"/>
          <w:lang w:eastAsia="en-US"/>
        </w:rPr>
        <w:t xml:space="preserve"> у </w:t>
      </w:r>
      <w:r w:rsidRPr="008B751B">
        <w:rPr>
          <w:rFonts w:eastAsia="Arial Unicode MS"/>
          <w:kern w:val="2"/>
          <w:sz w:val="28"/>
          <w:szCs w:val="28"/>
          <w:lang w:val="uk-UA" w:eastAsia="en-US"/>
        </w:rPr>
        <w:t>Та</w:t>
      </w:r>
      <w:r w:rsidRPr="008B751B">
        <w:rPr>
          <w:rFonts w:eastAsia="Arial Unicode MS"/>
          <w:kern w:val="2"/>
          <w:sz w:val="28"/>
          <w:szCs w:val="28"/>
          <w:lang w:eastAsia="en-US"/>
        </w:rPr>
        <w:t>блиці 2.</w:t>
      </w:r>
      <w:r w:rsidRPr="008B751B">
        <w:rPr>
          <w:rFonts w:eastAsia="Arial Unicode MS"/>
          <w:kern w:val="2"/>
          <w:sz w:val="28"/>
          <w:szCs w:val="28"/>
          <w:lang w:val="uk-UA" w:eastAsia="en-US"/>
        </w:rPr>
        <w:t>4. За дизайном дослідження середній вік м</w:t>
      </w:r>
      <w:r w:rsidRPr="008B751B">
        <w:rPr>
          <w:rFonts w:eastAsia="Arial Unicode MS"/>
          <w:kern w:val="2"/>
          <w:sz w:val="28"/>
          <w:szCs w:val="28"/>
          <w:lang w:eastAsia="en-US"/>
        </w:rPr>
        <w:t>іж</w:t>
      </w:r>
      <w:r w:rsidRPr="008B751B">
        <w:rPr>
          <w:rFonts w:eastAsia="Arial Unicode MS"/>
          <w:kern w:val="2"/>
          <w:sz w:val="28"/>
          <w:szCs w:val="28"/>
          <w:lang w:val="uk-UA" w:eastAsia="en-US"/>
        </w:rPr>
        <w:t xml:space="preserve"> досліджуваними групами та групою контролю вірогідно не відрізнявся.</w:t>
      </w:r>
    </w:p>
    <w:p w:rsidR="00E3259F" w:rsidRPr="008B751B" w:rsidRDefault="00E3259F" w:rsidP="008B751B">
      <w:pPr>
        <w:spacing w:line="360" w:lineRule="auto"/>
        <w:jc w:val="right"/>
        <w:rPr>
          <w:rFonts w:eastAsia="Arial Unicode MS"/>
          <w:iCs/>
          <w:color w:val="000000"/>
          <w:kern w:val="2"/>
          <w:sz w:val="28"/>
          <w:szCs w:val="28"/>
          <w:lang w:eastAsia="en-US"/>
        </w:rPr>
      </w:pPr>
      <w:r w:rsidRPr="008B751B">
        <w:rPr>
          <w:rFonts w:eastAsia="Calibri"/>
          <w:sz w:val="28"/>
          <w:szCs w:val="28"/>
        </w:rPr>
        <w:t xml:space="preserve"> </w:t>
      </w:r>
      <w:r w:rsidRPr="008B751B">
        <w:rPr>
          <w:rFonts w:eastAsia="Arial Unicode MS"/>
          <w:iCs/>
          <w:color w:val="000000"/>
          <w:kern w:val="2"/>
          <w:sz w:val="28"/>
          <w:szCs w:val="28"/>
          <w:lang w:eastAsia="en-US"/>
        </w:rPr>
        <w:t>Таблиця 2.</w:t>
      </w:r>
      <w:r w:rsidRPr="008B751B">
        <w:rPr>
          <w:rFonts w:eastAsia="Arial Unicode MS"/>
          <w:iCs/>
          <w:color w:val="000000"/>
          <w:kern w:val="2"/>
          <w:sz w:val="28"/>
          <w:szCs w:val="28"/>
          <w:lang w:val="uk-UA" w:eastAsia="en-US"/>
        </w:rPr>
        <w:t>4</w:t>
      </w:r>
    </w:p>
    <w:p w:rsidR="00E3259F" w:rsidRPr="008B751B" w:rsidRDefault="00E3259F" w:rsidP="008B751B">
      <w:pPr>
        <w:widowControl w:val="0"/>
        <w:tabs>
          <w:tab w:val="left" w:pos="1020"/>
        </w:tabs>
        <w:suppressAutoHyphens/>
        <w:spacing w:line="360" w:lineRule="auto"/>
        <w:jc w:val="center"/>
        <w:rPr>
          <w:rFonts w:eastAsia="Arial Unicode MS"/>
          <w:bCs/>
          <w:color w:val="000000"/>
          <w:kern w:val="2"/>
          <w:sz w:val="28"/>
          <w:szCs w:val="28"/>
          <w:lang w:eastAsia="en-US"/>
        </w:rPr>
      </w:pPr>
      <w:r w:rsidRPr="008B751B">
        <w:rPr>
          <w:rFonts w:eastAsia="Arial Unicode MS"/>
          <w:bCs/>
          <w:color w:val="000000"/>
          <w:kern w:val="2"/>
          <w:sz w:val="28"/>
          <w:szCs w:val="28"/>
          <w:lang w:val="uk-UA" w:eastAsia="en-US"/>
        </w:rPr>
        <w:t xml:space="preserve">Показники </w:t>
      </w:r>
      <w:r w:rsidRPr="008B751B">
        <w:rPr>
          <w:rFonts w:eastAsia="Arial Unicode MS"/>
          <w:kern w:val="2"/>
          <w:sz w:val="28"/>
          <w:szCs w:val="28"/>
          <w:lang w:val="uk-UA" w:eastAsia="en-US"/>
        </w:rPr>
        <w:t xml:space="preserve">антропометричних даних та тиреоїдного обміну, </w:t>
      </w:r>
      <w:r w:rsidRPr="008B751B">
        <w:rPr>
          <w:rFonts w:eastAsia="Arial Unicode MS"/>
          <w:bCs/>
          <w:color w:val="000000"/>
          <w:kern w:val="2"/>
          <w:sz w:val="28"/>
          <w:szCs w:val="28"/>
          <w:lang w:eastAsia="en-US"/>
        </w:rPr>
        <w:t>(</w:t>
      </w:r>
      <w:r w:rsidRPr="008B751B">
        <w:rPr>
          <w:rFonts w:eastAsia="Arial Unicode MS"/>
          <w:bCs/>
          <w:color w:val="000000"/>
          <w:kern w:val="2"/>
          <w:sz w:val="28"/>
          <w:szCs w:val="28"/>
          <w:lang w:val="en-US" w:eastAsia="en-US"/>
        </w:rPr>
        <w:t>M</w:t>
      </w:r>
      <w:r w:rsidRPr="008B751B">
        <w:rPr>
          <w:rFonts w:eastAsia="Arial Unicode MS"/>
          <w:bCs/>
          <w:color w:val="000000"/>
          <w:kern w:val="2"/>
          <w:sz w:val="28"/>
          <w:szCs w:val="28"/>
          <w:lang w:eastAsia="en-US"/>
        </w:rPr>
        <w:t>±</w:t>
      </w:r>
      <w:r w:rsidRPr="008B751B">
        <w:rPr>
          <w:rFonts w:eastAsia="Arial Unicode MS"/>
          <w:bCs/>
          <w:color w:val="000000"/>
          <w:kern w:val="2"/>
          <w:sz w:val="28"/>
          <w:szCs w:val="28"/>
          <w:lang w:val="en-US" w:eastAsia="en-US"/>
        </w:rPr>
        <w:t>m</w:t>
      </w:r>
      <w:r w:rsidRPr="008B751B">
        <w:rPr>
          <w:rFonts w:eastAsia="Arial Unicode MS"/>
          <w:bCs/>
          <w:color w:val="000000"/>
          <w:kern w:val="2"/>
          <w:sz w:val="28"/>
          <w:szCs w:val="28"/>
          <w:lang w:eastAsia="en-US"/>
        </w:rPr>
        <w:t>)</w:t>
      </w:r>
    </w:p>
    <w:tbl>
      <w:tblPr>
        <w:tblW w:w="4971" w:type="pct"/>
        <w:tblCellMar>
          <w:top w:w="55" w:type="dxa"/>
          <w:left w:w="55" w:type="dxa"/>
          <w:bottom w:w="55" w:type="dxa"/>
          <w:right w:w="55" w:type="dxa"/>
        </w:tblCellMar>
        <w:tblLook w:val="04A0" w:firstRow="1" w:lastRow="0" w:firstColumn="1" w:lastColumn="0" w:noHBand="0" w:noVBand="1"/>
      </w:tblPr>
      <w:tblGrid>
        <w:gridCol w:w="1389"/>
        <w:gridCol w:w="1524"/>
        <w:gridCol w:w="1664"/>
        <w:gridCol w:w="1664"/>
        <w:gridCol w:w="1664"/>
        <w:gridCol w:w="1504"/>
      </w:tblGrid>
      <w:tr w:rsidR="00E3259F" w:rsidRPr="00063C1A" w:rsidTr="00063C1A">
        <w:trPr>
          <w:trHeight w:val="1328"/>
        </w:trPr>
        <w:tc>
          <w:tcPr>
            <w:tcW w:w="748" w:type="pct"/>
            <w:tcBorders>
              <w:top w:val="single" w:sz="2" w:space="0" w:color="000000"/>
              <w:left w:val="single" w:sz="2" w:space="0" w:color="000000"/>
              <w:bottom w:val="single" w:sz="2" w:space="0" w:color="000000"/>
              <w:right w:val="nil"/>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eastAsia="en-US"/>
              </w:rPr>
              <w:t>Показник</w:t>
            </w:r>
          </w:p>
        </w:tc>
        <w:tc>
          <w:tcPr>
            <w:tcW w:w="810" w:type="pct"/>
            <w:tcBorders>
              <w:top w:val="single" w:sz="2" w:space="0" w:color="000000"/>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eastAsia="en-US"/>
              </w:rPr>
              <w:t>група контроля</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w:t>
            </w:r>
            <w:r w:rsidRPr="00063C1A">
              <w:rPr>
                <w:rFonts w:eastAsia="Arial Unicode MS"/>
                <w:kern w:val="2"/>
                <w:sz w:val="28"/>
                <w:szCs w:val="28"/>
                <w:lang w:eastAsia="en-US"/>
              </w:rPr>
              <w:t>n=</w:t>
            </w:r>
            <w:r w:rsidRPr="00063C1A">
              <w:rPr>
                <w:rFonts w:eastAsia="Arial Unicode MS"/>
                <w:kern w:val="2"/>
                <w:sz w:val="28"/>
                <w:szCs w:val="28"/>
                <w:lang w:val="uk-UA" w:eastAsia="en-US"/>
              </w:rPr>
              <w:t>3</w:t>
            </w:r>
            <w:r w:rsidRPr="00063C1A">
              <w:rPr>
                <w:rFonts w:eastAsia="Arial Unicode MS"/>
                <w:kern w:val="2"/>
                <w:sz w:val="28"/>
                <w:szCs w:val="28"/>
                <w:lang w:eastAsia="en-US"/>
              </w:rPr>
              <w:t>0</w:t>
            </w:r>
            <w:r w:rsidRPr="00063C1A">
              <w:rPr>
                <w:rFonts w:eastAsia="Arial Unicode MS"/>
                <w:kern w:val="2"/>
                <w:sz w:val="28"/>
                <w:szCs w:val="28"/>
                <w:lang w:val="uk-UA" w:eastAsia="en-US"/>
              </w:rPr>
              <w:t>)</w:t>
            </w:r>
          </w:p>
        </w:tc>
        <w:tc>
          <w:tcPr>
            <w:tcW w:w="884" w:type="pct"/>
            <w:tcBorders>
              <w:top w:val="single" w:sz="2" w:space="0" w:color="000000"/>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група</w:t>
            </w:r>
            <w:r w:rsidRPr="00063C1A">
              <w:rPr>
                <w:rFonts w:eastAsia="Arial Unicode MS"/>
                <w:kern w:val="2"/>
                <w:sz w:val="28"/>
                <w:szCs w:val="28"/>
                <w:lang w:val="en-US" w:eastAsia="en-US"/>
              </w:rPr>
              <w:t xml:space="preserve"> 1</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w:t>
            </w:r>
            <w:r w:rsidRPr="00063C1A">
              <w:rPr>
                <w:rFonts w:eastAsia="Arial Unicode MS"/>
                <w:kern w:val="2"/>
                <w:sz w:val="28"/>
                <w:szCs w:val="28"/>
                <w:lang w:eastAsia="en-US"/>
              </w:rPr>
              <w:t>n=</w:t>
            </w:r>
            <w:r w:rsidRPr="00063C1A">
              <w:rPr>
                <w:rFonts w:eastAsia="Arial Unicode MS"/>
                <w:kern w:val="2"/>
                <w:sz w:val="28"/>
                <w:szCs w:val="28"/>
                <w:lang w:val="uk-UA" w:eastAsia="en-US"/>
              </w:rPr>
              <w:t>106)</w:t>
            </w:r>
          </w:p>
        </w:tc>
        <w:tc>
          <w:tcPr>
            <w:tcW w:w="884" w:type="pct"/>
            <w:tcBorders>
              <w:top w:val="single" w:sz="2" w:space="0" w:color="000000"/>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група</w:t>
            </w:r>
            <w:r w:rsidRPr="00063C1A">
              <w:rPr>
                <w:rFonts w:eastAsia="Arial Unicode MS"/>
                <w:kern w:val="2"/>
                <w:sz w:val="28"/>
                <w:szCs w:val="28"/>
                <w:lang w:val="en-US" w:eastAsia="en-US"/>
              </w:rPr>
              <w:t xml:space="preserve"> </w:t>
            </w:r>
            <w:r w:rsidRPr="00063C1A">
              <w:rPr>
                <w:rFonts w:eastAsia="Arial Unicode MS"/>
                <w:kern w:val="2"/>
                <w:sz w:val="28"/>
                <w:szCs w:val="28"/>
                <w:lang w:val="uk-UA" w:eastAsia="en-US"/>
              </w:rPr>
              <w:t>2</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w:t>
            </w:r>
            <w:r w:rsidRPr="00063C1A">
              <w:rPr>
                <w:rFonts w:eastAsia="Arial Unicode MS"/>
                <w:kern w:val="2"/>
                <w:sz w:val="28"/>
                <w:szCs w:val="28"/>
                <w:lang w:eastAsia="en-US"/>
              </w:rPr>
              <w:t>n=</w:t>
            </w:r>
            <w:r w:rsidRPr="00063C1A">
              <w:rPr>
                <w:rFonts w:eastAsia="Arial Unicode MS"/>
                <w:kern w:val="2"/>
                <w:sz w:val="28"/>
                <w:szCs w:val="28"/>
                <w:lang w:val="uk-UA" w:eastAsia="en-US"/>
              </w:rPr>
              <w:t>156)</w:t>
            </w:r>
          </w:p>
        </w:tc>
        <w:tc>
          <w:tcPr>
            <w:tcW w:w="884" w:type="pct"/>
            <w:tcBorders>
              <w:top w:val="single" w:sz="2" w:space="0" w:color="000000"/>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група</w:t>
            </w:r>
            <w:r w:rsidRPr="00063C1A">
              <w:rPr>
                <w:rFonts w:eastAsia="Arial Unicode MS"/>
                <w:kern w:val="2"/>
                <w:sz w:val="28"/>
                <w:szCs w:val="28"/>
                <w:lang w:val="en-US" w:eastAsia="en-US"/>
              </w:rPr>
              <w:t xml:space="preserve"> </w:t>
            </w:r>
            <w:r w:rsidRPr="00063C1A">
              <w:rPr>
                <w:rFonts w:eastAsia="Arial Unicode MS"/>
                <w:kern w:val="2"/>
                <w:sz w:val="28"/>
                <w:szCs w:val="28"/>
                <w:lang w:val="uk-UA" w:eastAsia="en-US"/>
              </w:rPr>
              <w:t>3</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w:t>
            </w:r>
            <w:r w:rsidRPr="00063C1A">
              <w:rPr>
                <w:rFonts w:eastAsia="Arial Unicode MS"/>
                <w:kern w:val="2"/>
                <w:sz w:val="28"/>
                <w:szCs w:val="28"/>
                <w:lang w:eastAsia="en-US"/>
              </w:rPr>
              <w:t>n=</w:t>
            </w:r>
            <w:r w:rsidRPr="00063C1A">
              <w:rPr>
                <w:rFonts w:eastAsia="Arial Unicode MS"/>
                <w:kern w:val="2"/>
                <w:sz w:val="28"/>
                <w:szCs w:val="28"/>
                <w:lang w:val="uk-UA" w:eastAsia="en-US"/>
              </w:rPr>
              <w:t>93)</w:t>
            </w:r>
          </w:p>
        </w:tc>
        <w:tc>
          <w:tcPr>
            <w:tcW w:w="789" w:type="pct"/>
            <w:tcBorders>
              <w:top w:val="single" w:sz="2" w:space="0" w:color="000000"/>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 xml:space="preserve">Значимість, </w:t>
            </w:r>
            <w:r w:rsidRPr="00063C1A">
              <w:rPr>
                <w:rFonts w:eastAsia="Arial Unicode MS"/>
                <w:kern w:val="2"/>
                <w:sz w:val="28"/>
                <w:szCs w:val="28"/>
                <w:lang w:eastAsia="en-US"/>
              </w:rPr>
              <w:t>Р</w:t>
            </w:r>
          </w:p>
        </w:tc>
      </w:tr>
      <w:tr w:rsidR="00E3259F" w:rsidRPr="00063C1A" w:rsidTr="00063C1A">
        <w:trPr>
          <w:trHeight w:val="1340"/>
        </w:trPr>
        <w:tc>
          <w:tcPr>
            <w:tcW w:w="748" w:type="pct"/>
            <w:tcBorders>
              <w:top w:val="nil"/>
              <w:left w:val="single" w:sz="2" w:space="0" w:color="000000"/>
              <w:bottom w:val="single" w:sz="2" w:space="0" w:color="000000"/>
              <w:right w:val="nil"/>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eastAsia="en-US"/>
              </w:rPr>
              <w:t>Вік, роки</w:t>
            </w:r>
          </w:p>
        </w:tc>
        <w:tc>
          <w:tcPr>
            <w:tcW w:w="810" w:type="pct"/>
            <w:tcBorders>
              <w:top w:val="nil"/>
              <w:left w:val="single" w:sz="2" w:space="0" w:color="000000"/>
              <w:bottom w:val="single" w:sz="2" w:space="0" w:color="000000"/>
              <w:right w:val="single" w:sz="2" w:space="0" w:color="000000"/>
            </w:tcBorders>
          </w:tcPr>
          <w:p w:rsidR="00E3259F" w:rsidRPr="00063C1A" w:rsidRDefault="00E3259F" w:rsidP="00063C1A">
            <w:pPr>
              <w:widowControl w:val="0"/>
              <w:suppressAutoHyphens/>
              <w:snapToGrid w:val="0"/>
              <w:spacing w:line="360" w:lineRule="auto"/>
              <w:jc w:val="center"/>
              <w:rPr>
                <w:color w:val="000000"/>
                <w:sz w:val="28"/>
                <w:szCs w:val="28"/>
                <w:lang w:val="uk-UA" w:eastAsia="en-US"/>
              </w:rPr>
            </w:pPr>
            <w:r w:rsidRPr="00063C1A">
              <w:rPr>
                <w:color w:val="000000"/>
                <w:sz w:val="28"/>
                <w:szCs w:val="28"/>
                <w:lang w:eastAsia="en-US"/>
              </w:rPr>
              <w:t>58,</w:t>
            </w:r>
            <w:r w:rsidRPr="00063C1A">
              <w:rPr>
                <w:color w:val="000000"/>
                <w:sz w:val="28"/>
                <w:szCs w:val="28"/>
                <w:lang w:val="uk-UA" w:eastAsia="en-US"/>
              </w:rPr>
              <w:t>40</w:t>
            </w:r>
            <w:r w:rsidRPr="00063C1A">
              <w:rPr>
                <w:color w:val="000000"/>
                <w:sz w:val="28"/>
                <w:szCs w:val="28"/>
                <w:lang w:eastAsia="en-US"/>
              </w:rPr>
              <w:t>±1,</w:t>
            </w:r>
            <w:r w:rsidRPr="00063C1A">
              <w:rPr>
                <w:color w:val="000000"/>
                <w:sz w:val="28"/>
                <w:szCs w:val="28"/>
                <w:lang w:val="uk-UA" w:eastAsia="en-US"/>
              </w:rPr>
              <w:t>80</w:t>
            </w:r>
          </w:p>
          <w:p w:rsidR="00E3259F" w:rsidRPr="00063C1A" w:rsidRDefault="00E3259F" w:rsidP="00063C1A">
            <w:pPr>
              <w:widowControl w:val="0"/>
              <w:suppressAutoHyphens/>
              <w:snapToGrid w:val="0"/>
              <w:spacing w:line="360" w:lineRule="auto"/>
              <w:jc w:val="center"/>
              <w:rPr>
                <w:color w:val="000000"/>
                <w:sz w:val="28"/>
                <w:szCs w:val="28"/>
                <w:lang w:val="uk-UA" w:eastAsia="en-US"/>
              </w:rPr>
            </w:pP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60,29±</w:t>
            </w:r>
            <w:r w:rsidRPr="00063C1A">
              <w:rPr>
                <w:sz w:val="28"/>
                <w:szCs w:val="28"/>
                <w:lang w:val="uk-UA" w:eastAsia="en-US"/>
              </w:rPr>
              <w:t>0</w:t>
            </w:r>
            <w:r w:rsidRPr="00063C1A">
              <w:rPr>
                <w:sz w:val="28"/>
                <w:szCs w:val="28"/>
                <w:lang w:eastAsia="en-US"/>
              </w:rPr>
              <w:t>,7</w:t>
            </w:r>
            <w:r w:rsidRPr="00063C1A">
              <w:rPr>
                <w:sz w:val="28"/>
                <w:szCs w:val="28"/>
                <w:lang w:val="uk-UA" w:eastAsia="en-US"/>
              </w:rPr>
              <w:t>9*</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62,</w:t>
            </w:r>
            <w:r w:rsidRPr="00063C1A">
              <w:rPr>
                <w:sz w:val="28"/>
                <w:szCs w:val="28"/>
                <w:lang w:val="uk-UA" w:eastAsia="en-US"/>
              </w:rPr>
              <w:t>11</w:t>
            </w:r>
            <w:r w:rsidRPr="00063C1A">
              <w:rPr>
                <w:sz w:val="28"/>
                <w:szCs w:val="28"/>
                <w:lang w:eastAsia="en-US"/>
              </w:rPr>
              <w:t>±</w:t>
            </w:r>
            <w:r w:rsidRPr="00063C1A">
              <w:rPr>
                <w:sz w:val="28"/>
                <w:szCs w:val="28"/>
                <w:lang w:val="uk-UA" w:eastAsia="en-US"/>
              </w:rPr>
              <w:t>0</w:t>
            </w:r>
            <w:r w:rsidRPr="00063C1A">
              <w:rPr>
                <w:sz w:val="28"/>
                <w:szCs w:val="28"/>
                <w:lang w:eastAsia="en-US"/>
              </w:rPr>
              <w:t>,64*</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sz w:val="28"/>
                <w:szCs w:val="28"/>
                <w:lang w:eastAsia="en-US"/>
              </w:rPr>
              <w:t>6</w:t>
            </w:r>
            <w:r w:rsidRPr="00063C1A">
              <w:rPr>
                <w:sz w:val="28"/>
                <w:szCs w:val="28"/>
                <w:lang w:val="uk-UA" w:eastAsia="en-US"/>
              </w:rPr>
              <w:t>1</w:t>
            </w:r>
            <w:r w:rsidRPr="00063C1A">
              <w:rPr>
                <w:sz w:val="28"/>
                <w:szCs w:val="28"/>
                <w:lang w:eastAsia="en-US"/>
              </w:rPr>
              <w:t>,</w:t>
            </w:r>
            <w:r w:rsidRPr="00063C1A">
              <w:rPr>
                <w:sz w:val="28"/>
                <w:szCs w:val="28"/>
                <w:lang w:val="uk-UA" w:eastAsia="en-US"/>
              </w:rPr>
              <w:t>71</w:t>
            </w:r>
            <w:r w:rsidRPr="00063C1A">
              <w:rPr>
                <w:sz w:val="28"/>
                <w:szCs w:val="28"/>
                <w:lang w:eastAsia="en-US"/>
              </w:rPr>
              <w:t>±</w:t>
            </w:r>
            <w:r w:rsidRPr="00063C1A">
              <w:rPr>
                <w:sz w:val="28"/>
                <w:szCs w:val="28"/>
                <w:lang w:val="uk-UA" w:eastAsia="en-US"/>
              </w:rPr>
              <w:t>0</w:t>
            </w:r>
            <w:r w:rsidRPr="00063C1A">
              <w:rPr>
                <w:sz w:val="28"/>
                <w:szCs w:val="28"/>
                <w:lang w:eastAsia="en-US"/>
              </w:rPr>
              <w:t>,</w:t>
            </w:r>
            <w:r w:rsidRPr="00063C1A">
              <w:rPr>
                <w:sz w:val="28"/>
                <w:szCs w:val="28"/>
                <w:lang w:val="uk-UA" w:eastAsia="en-US"/>
              </w:rPr>
              <w:t>87*</w:t>
            </w:r>
          </w:p>
        </w:tc>
        <w:tc>
          <w:tcPr>
            <w:tcW w:w="789"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1-2</w:t>
            </w:r>
            <w:r w:rsidRPr="00063C1A">
              <w:rPr>
                <w:color w:val="000000"/>
                <w:sz w:val="28"/>
                <w:szCs w:val="28"/>
                <w:lang w:val="uk-UA" w:eastAsia="en-US"/>
              </w:rPr>
              <w:t>&gt;0,05</w:t>
            </w:r>
          </w:p>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color w:val="000000"/>
                <w:sz w:val="28"/>
                <w:szCs w:val="28"/>
                <w:lang w:val="uk-UA" w:eastAsia="en-US"/>
              </w:rPr>
              <w:t>&gt;0,05</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vertAlign w:val="superscript"/>
                <w:lang w:val="uk-UA" w:eastAsia="en-US"/>
              </w:rPr>
            </w:pPr>
            <w:r w:rsidRPr="00063C1A">
              <w:rPr>
                <w:sz w:val="28"/>
                <w:szCs w:val="28"/>
                <w:lang w:val="uk-UA" w:eastAsia="en-US"/>
              </w:rPr>
              <w:t>р</w:t>
            </w:r>
            <w:r w:rsidRPr="00063C1A">
              <w:rPr>
                <w:sz w:val="28"/>
                <w:szCs w:val="28"/>
                <w:vertAlign w:val="subscript"/>
                <w:lang w:val="uk-UA" w:eastAsia="en-US"/>
              </w:rPr>
              <w:t>2-3</w:t>
            </w:r>
            <w:r w:rsidRPr="00063C1A">
              <w:rPr>
                <w:color w:val="000000"/>
                <w:sz w:val="28"/>
                <w:szCs w:val="28"/>
                <w:lang w:val="uk-UA" w:eastAsia="en-US"/>
              </w:rPr>
              <w:t>&gt;0,05</w:t>
            </w:r>
          </w:p>
        </w:tc>
      </w:tr>
      <w:tr w:rsidR="00E3259F" w:rsidRPr="00063C1A" w:rsidTr="00063C1A">
        <w:trPr>
          <w:trHeight w:val="438"/>
        </w:trPr>
        <w:tc>
          <w:tcPr>
            <w:tcW w:w="748" w:type="pct"/>
            <w:tcBorders>
              <w:top w:val="nil"/>
              <w:left w:val="single" w:sz="2" w:space="0" w:color="000000"/>
              <w:bottom w:val="single" w:sz="2" w:space="0" w:color="000000"/>
              <w:right w:val="nil"/>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МТ,кг</w:t>
            </w:r>
          </w:p>
        </w:tc>
        <w:tc>
          <w:tcPr>
            <w:tcW w:w="810" w:type="pct"/>
            <w:tcBorders>
              <w:top w:val="nil"/>
              <w:left w:val="single" w:sz="2" w:space="0" w:color="000000"/>
              <w:bottom w:val="single" w:sz="2" w:space="0" w:color="000000"/>
              <w:right w:val="single" w:sz="2" w:space="0" w:color="000000"/>
            </w:tcBorders>
          </w:tcPr>
          <w:p w:rsidR="00E3259F" w:rsidRPr="00063C1A" w:rsidRDefault="00E3259F" w:rsidP="00063C1A">
            <w:pPr>
              <w:spacing w:line="360" w:lineRule="auto"/>
              <w:jc w:val="center"/>
              <w:rPr>
                <w:color w:val="000000"/>
                <w:sz w:val="28"/>
                <w:szCs w:val="28"/>
                <w:lang w:val="uk-UA" w:eastAsia="en-US"/>
              </w:rPr>
            </w:pPr>
            <w:r w:rsidRPr="00063C1A">
              <w:rPr>
                <w:color w:val="000000"/>
                <w:sz w:val="28"/>
                <w:szCs w:val="28"/>
                <w:lang w:eastAsia="en-US"/>
              </w:rPr>
              <w:t>75,2±</w:t>
            </w:r>
            <w:r w:rsidRPr="00063C1A">
              <w:rPr>
                <w:color w:val="000000"/>
                <w:sz w:val="28"/>
                <w:szCs w:val="28"/>
                <w:lang w:val="uk-UA" w:eastAsia="en-US"/>
              </w:rPr>
              <w:t>1,34</w:t>
            </w:r>
          </w:p>
          <w:p w:rsidR="00E3259F" w:rsidRPr="00063C1A" w:rsidRDefault="00E3259F" w:rsidP="00063C1A">
            <w:pPr>
              <w:spacing w:line="360" w:lineRule="auto"/>
              <w:jc w:val="center"/>
              <w:rPr>
                <w:color w:val="000000"/>
                <w:sz w:val="28"/>
                <w:szCs w:val="28"/>
                <w:lang w:val="uk-UA" w:eastAsia="en-US"/>
              </w:rPr>
            </w:pPr>
          </w:p>
          <w:p w:rsidR="00E3259F" w:rsidRPr="00063C1A" w:rsidRDefault="00E3259F" w:rsidP="00063C1A">
            <w:pPr>
              <w:widowControl w:val="0"/>
              <w:suppressAutoHyphens/>
              <w:snapToGrid w:val="0"/>
              <w:spacing w:line="360" w:lineRule="auto"/>
              <w:jc w:val="center"/>
              <w:rPr>
                <w:sz w:val="28"/>
                <w:szCs w:val="28"/>
                <w:lang w:val="uk-UA" w:eastAsia="en-US"/>
              </w:rPr>
            </w:pP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sz w:val="28"/>
                <w:szCs w:val="28"/>
                <w:lang w:eastAsia="en-US"/>
              </w:rPr>
              <w:t>84,08±</w:t>
            </w:r>
            <w:r w:rsidRPr="00063C1A">
              <w:rPr>
                <w:sz w:val="28"/>
                <w:szCs w:val="28"/>
                <w:lang w:val="uk-UA" w:eastAsia="en-US"/>
              </w:rPr>
              <w:t>0</w:t>
            </w:r>
            <w:r w:rsidRPr="00063C1A">
              <w:rPr>
                <w:sz w:val="28"/>
                <w:szCs w:val="28"/>
                <w:lang w:eastAsia="en-US"/>
              </w:rPr>
              <w:t>,8</w:t>
            </w:r>
            <w:r w:rsidRPr="00063C1A">
              <w:rPr>
                <w:sz w:val="28"/>
                <w:szCs w:val="28"/>
                <w:lang w:val="uk-UA" w:eastAsia="en-US"/>
              </w:rPr>
              <w:t>5*</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eastAsia="en-US"/>
              </w:rPr>
            </w:pPr>
            <w:r w:rsidRPr="00063C1A">
              <w:rPr>
                <w:sz w:val="28"/>
                <w:szCs w:val="28"/>
                <w:lang w:eastAsia="en-US"/>
              </w:rPr>
              <w:t>88,18±</w:t>
            </w:r>
            <w:r w:rsidRPr="00063C1A">
              <w:rPr>
                <w:sz w:val="28"/>
                <w:szCs w:val="28"/>
                <w:lang w:val="uk-UA" w:eastAsia="en-US"/>
              </w:rPr>
              <w:t>0</w:t>
            </w:r>
            <w:r w:rsidRPr="00063C1A">
              <w:rPr>
                <w:sz w:val="28"/>
                <w:szCs w:val="28"/>
                <w:lang w:eastAsia="en-US"/>
              </w:rPr>
              <w:t>,89*</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eastAsia="en-US"/>
              </w:rPr>
            </w:pPr>
            <w:r w:rsidRPr="00063C1A">
              <w:rPr>
                <w:sz w:val="28"/>
                <w:szCs w:val="28"/>
                <w:lang w:eastAsia="en-US"/>
              </w:rPr>
              <w:t>81,35±1,1</w:t>
            </w:r>
            <w:r w:rsidRPr="00063C1A">
              <w:rPr>
                <w:sz w:val="28"/>
                <w:szCs w:val="28"/>
                <w:lang w:val="uk-UA" w:eastAsia="en-US"/>
              </w:rPr>
              <w:t>1*</w:t>
            </w:r>
          </w:p>
        </w:tc>
        <w:tc>
          <w:tcPr>
            <w:tcW w:w="789"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1-2</w:t>
            </w:r>
            <w:r w:rsidRPr="00063C1A">
              <w:rPr>
                <w:sz w:val="28"/>
                <w:szCs w:val="28"/>
                <w:lang w:val="uk-UA" w:eastAsia="en-US"/>
              </w:rPr>
              <w:t>&lt;0</w:t>
            </w:r>
            <w:r w:rsidRPr="00063C1A">
              <w:rPr>
                <w:sz w:val="28"/>
                <w:szCs w:val="28"/>
                <w:lang w:eastAsia="en-US"/>
              </w:rPr>
              <w:t>,001</w:t>
            </w:r>
          </w:p>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sz w:val="28"/>
                <w:szCs w:val="28"/>
                <w:lang w:val="uk-UA" w:eastAsia="en-US"/>
              </w:rPr>
              <w:t>=0</w:t>
            </w:r>
            <w:r w:rsidRPr="00063C1A">
              <w:rPr>
                <w:sz w:val="28"/>
                <w:szCs w:val="28"/>
                <w:lang w:eastAsia="en-US"/>
              </w:rPr>
              <w:t>,049</w:t>
            </w:r>
          </w:p>
          <w:p w:rsidR="00063C1A"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2-3</w:t>
            </w:r>
            <w:r w:rsidRPr="00063C1A">
              <w:rPr>
                <w:rFonts w:eastAsia="Arial Unicode MS"/>
                <w:kern w:val="2"/>
                <w:sz w:val="28"/>
                <w:szCs w:val="28"/>
                <w:lang w:val="uk-UA" w:eastAsia="en-US"/>
              </w:rPr>
              <w:t>&lt;0</w:t>
            </w:r>
            <w:r w:rsidRPr="00063C1A">
              <w:rPr>
                <w:sz w:val="28"/>
                <w:szCs w:val="28"/>
                <w:lang w:eastAsia="en-US"/>
              </w:rPr>
              <w:t>,00</w:t>
            </w:r>
            <w:r w:rsidRPr="00063C1A">
              <w:rPr>
                <w:sz w:val="28"/>
                <w:szCs w:val="28"/>
                <w:lang w:val="uk-UA" w:eastAsia="en-US"/>
              </w:rPr>
              <w:t>1</w:t>
            </w:r>
          </w:p>
        </w:tc>
      </w:tr>
      <w:tr w:rsidR="00E3259F" w:rsidRPr="00063C1A" w:rsidTr="00063C1A">
        <w:trPr>
          <w:trHeight w:val="1329"/>
        </w:trPr>
        <w:tc>
          <w:tcPr>
            <w:tcW w:w="748" w:type="pct"/>
            <w:tcBorders>
              <w:top w:val="nil"/>
              <w:left w:val="single" w:sz="2" w:space="0" w:color="000000"/>
              <w:bottom w:val="single" w:sz="2" w:space="0" w:color="000000"/>
              <w:right w:val="nil"/>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vertAlign w:val="superscript"/>
                <w:lang w:val="uk-UA" w:eastAsia="en-US"/>
              </w:rPr>
            </w:pPr>
            <w:r w:rsidRPr="00063C1A">
              <w:rPr>
                <w:rFonts w:eastAsia="Arial Unicode MS"/>
                <w:kern w:val="2"/>
                <w:sz w:val="28"/>
                <w:szCs w:val="28"/>
                <w:lang w:eastAsia="en-US"/>
              </w:rPr>
              <w:t>ІМТ, кг/м</w:t>
            </w:r>
            <w:r w:rsidRPr="00063C1A">
              <w:rPr>
                <w:rFonts w:eastAsia="Arial Unicode MS"/>
                <w:kern w:val="2"/>
                <w:sz w:val="28"/>
                <w:szCs w:val="28"/>
                <w:vertAlign w:val="superscript"/>
                <w:lang w:eastAsia="en-US"/>
              </w:rPr>
              <w:t>2</w:t>
            </w:r>
          </w:p>
        </w:tc>
        <w:tc>
          <w:tcPr>
            <w:tcW w:w="810" w:type="pct"/>
            <w:tcBorders>
              <w:top w:val="nil"/>
              <w:left w:val="single" w:sz="2" w:space="0" w:color="000000"/>
              <w:bottom w:val="single" w:sz="2" w:space="0" w:color="000000"/>
              <w:right w:val="single" w:sz="2" w:space="0" w:color="000000"/>
            </w:tcBorders>
          </w:tcPr>
          <w:p w:rsidR="00E3259F" w:rsidRPr="00063C1A" w:rsidRDefault="00E3259F" w:rsidP="00063C1A">
            <w:pPr>
              <w:spacing w:line="360" w:lineRule="auto"/>
              <w:jc w:val="center"/>
              <w:rPr>
                <w:color w:val="000000"/>
                <w:sz w:val="28"/>
                <w:szCs w:val="28"/>
                <w:lang w:val="uk-UA" w:eastAsia="en-US"/>
              </w:rPr>
            </w:pPr>
            <w:r w:rsidRPr="00063C1A">
              <w:rPr>
                <w:color w:val="000000"/>
                <w:sz w:val="28"/>
                <w:szCs w:val="28"/>
                <w:lang w:eastAsia="en-US"/>
              </w:rPr>
              <w:t>26,8</w:t>
            </w:r>
            <w:r w:rsidRPr="00063C1A">
              <w:rPr>
                <w:color w:val="000000"/>
                <w:sz w:val="28"/>
                <w:szCs w:val="28"/>
                <w:lang w:val="uk-UA" w:eastAsia="en-US"/>
              </w:rPr>
              <w:t>5±0,36</w:t>
            </w:r>
          </w:p>
          <w:p w:rsidR="00E3259F" w:rsidRPr="00063C1A" w:rsidRDefault="00E3259F" w:rsidP="00063C1A">
            <w:pPr>
              <w:spacing w:line="360" w:lineRule="auto"/>
              <w:jc w:val="center"/>
              <w:rPr>
                <w:color w:val="000000"/>
                <w:sz w:val="28"/>
                <w:szCs w:val="28"/>
                <w:lang w:eastAsia="en-US"/>
              </w:rPr>
            </w:pP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29,05±</w:t>
            </w:r>
            <w:r w:rsidRPr="00063C1A">
              <w:rPr>
                <w:sz w:val="28"/>
                <w:szCs w:val="28"/>
                <w:lang w:val="uk-UA" w:eastAsia="en-US"/>
              </w:rPr>
              <w:t>0</w:t>
            </w:r>
            <w:r w:rsidRPr="00063C1A">
              <w:rPr>
                <w:sz w:val="28"/>
                <w:szCs w:val="28"/>
                <w:lang w:eastAsia="en-US"/>
              </w:rPr>
              <w:t>,92*</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30,5</w:t>
            </w:r>
            <w:r w:rsidRPr="00063C1A">
              <w:rPr>
                <w:sz w:val="28"/>
                <w:szCs w:val="28"/>
                <w:lang w:val="uk-UA" w:eastAsia="en-US"/>
              </w:rPr>
              <w:t>3</w:t>
            </w:r>
            <w:r w:rsidRPr="00063C1A">
              <w:rPr>
                <w:sz w:val="28"/>
                <w:szCs w:val="28"/>
                <w:lang w:eastAsia="en-US"/>
              </w:rPr>
              <w:t>±</w:t>
            </w:r>
            <w:r w:rsidRPr="00063C1A">
              <w:rPr>
                <w:sz w:val="28"/>
                <w:szCs w:val="28"/>
                <w:lang w:val="uk-UA" w:eastAsia="en-US"/>
              </w:rPr>
              <w:t>0</w:t>
            </w:r>
            <w:r w:rsidRPr="00063C1A">
              <w:rPr>
                <w:sz w:val="28"/>
                <w:szCs w:val="28"/>
                <w:lang w:eastAsia="en-US"/>
              </w:rPr>
              <w:t>,6</w:t>
            </w:r>
            <w:r w:rsidRPr="00063C1A">
              <w:rPr>
                <w:sz w:val="28"/>
                <w:szCs w:val="28"/>
                <w:lang w:val="uk-UA" w:eastAsia="en-US"/>
              </w:rPr>
              <w:t>3*</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28,5</w:t>
            </w:r>
            <w:r w:rsidRPr="00063C1A">
              <w:rPr>
                <w:sz w:val="28"/>
                <w:szCs w:val="28"/>
                <w:lang w:val="uk-UA" w:eastAsia="en-US"/>
              </w:rPr>
              <w:t>6</w:t>
            </w:r>
            <w:r w:rsidRPr="00063C1A">
              <w:rPr>
                <w:sz w:val="28"/>
                <w:szCs w:val="28"/>
                <w:lang w:eastAsia="en-US"/>
              </w:rPr>
              <w:t>±</w:t>
            </w:r>
            <w:r w:rsidRPr="00063C1A">
              <w:rPr>
                <w:sz w:val="28"/>
                <w:szCs w:val="28"/>
                <w:lang w:val="uk-UA" w:eastAsia="en-US"/>
              </w:rPr>
              <w:t>0</w:t>
            </w:r>
            <w:r w:rsidRPr="00063C1A">
              <w:rPr>
                <w:sz w:val="28"/>
                <w:szCs w:val="28"/>
                <w:lang w:eastAsia="en-US"/>
              </w:rPr>
              <w:t>,38*</w:t>
            </w:r>
          </w:p>
        </w:tc>
        <w:tc>
          <w:tcPr>
            <w:tcW w:w="789"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1-2</w:t>
            </w:r>
            <w:r w:rsidRPr="00063C1A">
              <w:rPr>
                <w:rFonts w:eastAsia="Arial Unicode MS"/>
                <w:kern w:val="2"/>
                <w:sz w:val="28"/>
                <w:szCs w:val="28"/>
                <w:lang w:val="uk-UA" w:eastAsia="en-US"/>
              </w:rPr>
              <w:t>=0</w:t>
            </w:r>
            <w:r w:rsidRPr="00063C1A">
              <w:rPr>
                <w:sz w:val="28"/>
                <w:szCs w:val="28"/>
                <w:lang w:eastAsia="en-US"/>
              </w:rPr>
              <w:t>,031</w:t>
            </w:r>
          </w:p>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color w:val="000000"/>
                <w:sz w:val="28"/>
                <w:szCs w:val="28"/>
                <w:lang w:val="uk-UA" w:eastAsia="en-US"/>
              </w:rPr>
              <w:t>&gt;0,05</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vertAlign w:val="superscript"/>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2-3</w:t>
            </w:r>
            <w:r w:rsidRPr="00063C1A">
              <w:rPr>
                <w:rFonts w:eastAsia="Arial Unicode MS"/>
                <w:kern w:val="2"/>
                <w:sz w:val="28"/>
                <w:szCs w:val="28"/>
                <w:lang w:val="uk-UA" w:eastAsia="en-US"/>
              </w:rPr>
              <w:t>=0</w:t>
            </w:r>
            <w:r w:rsidRPr="00063C1A">
              <w:rPr>
                <w:sz w:val="28"/>
                <w:szCs w:val="28"/>
                <w:lang w:eastAsia="en-US"/>
              </w:rPr>
              <w:t>,00</w:t>
            </w:r>
            <w:r w:rsidRPr="00063C1A">
              <w:rPr>
                <w:sz w:val="28"/>
                <w:szCs w:val="28"/>
                <w:lang w:val="uk-UA" w:eastAsia="en-US"/>
              </w:rPr>
              <w:t>1</w:t>
            </w:r>
          </w:p>
        </w:tc>
      </w:tr>
      <w:tr w:rsidR="00E3259F" w:rsidRPr="00063C1A" w:rsidTr="00063C1A">
        <w:tc>
          <w:tcPr>
            <w:tcW w:w="748" w:type="pct"/>
            <w:tcBorders>
              <w:top w:val="nil"/>
              <w:left w:val="single" w:sz="2" w:space="0" w:color="000000"/>
              <w:bottom w:val="single" w:sz="2" w:space="0" w:color="000000"/>
              <w:right w:val="nil"/>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С</w:t>
            </w:r>
            <w:r w:rsidRPr="00063C1A">
              <w:rPr>
                <w:rFonts w:eastAsia="Arial Unicode MS"/>
                <w:kern w:val="2"/>
                <w:sz w:val="28"/>
                <w:szCs w:val="28"/>
                <w:lang w:eastAsia="en-US"/>
              </w:rPr>
              <w:t>АТ, мм</w:t>
            </w:r>
            <w:r w:rsidRPr="00063C1A">
              <w:rPr>
                <w:rFonts w:eastAsia="Arial Unicode MS"/>
                <w:kern w:val="2"/>
                <w:sz w:val="28"/>
                <w:szCs w:val="28"/>
                <w:lang w:val="uk-UA" w:eastAsia="en-US"/>
              </w:rPr>
              <w:t xml:space="preserve">. </w:t>
            </w:r>
            <w:r w:rsidRPr="00063C1A">
              <w:rPr>
                <w:rFonts w:eastAsia="Arial Unicode MS"/>
                <w:kern w:val="2"/>
                <w:sz w:val="28"/>
                <w:szCs w:val="28"/>
                <w:lang w:eastAsia="en-US"/>
              </w:rPr>
              <w:t>Рт</w:t>
            </w:r>
            <w:r w:rsidRPr="00063C1A">
              <w:rPr>
                <w:rFonts w:eastAsia="Arial Unicode MS"/>
                <w:kern w:val="2"/>
                <w:sz w:val="28"/>
                <w:szCs w:val="28"/>
                <w:lang w:val="uk-UA" w:eastAsia="en-US"/>
              </w:rPr>
              <w:t>.</w:t>
            </w:r>
            <w:r w:rsidRPr="00063C1A">
              <w:rPr>
                <w:rFonts w:eastAsia="Arial Unicode MS"/>
                <w:kern w:val="2"/>
                <w:sz w:val="28"/>
                <w:szCs w:val="28"/>
                <w:lang w:eastAsia="en-US"/>
              </w:rPr>
              <w:t xml:space="preserve"> ст.</w:t>
            </w:r>
          </w:p>
        </w:tc>
        <w:tc>
          <w:tcPr>
            <w:tcW w:w="810" w:type="pct"/>
            <w:tcBorders>
              <w:top w:val="nil"/>
              <w:left w:val="single" w:sz="2" w:space="0" w:color="000000"/>
              <w:bottom w:val="single" w:sz="2" w:space="0" w:color="000000"/>
              <w:right w:val="single" w:sz="2" w:space="0" w:color="000000"/>
            </w:tcBorders>
          </w:tcPr>
          <w:p w:rsidR="00E3259F" w:rsidRPr="00063C1A" w:rsidRDefault="00E3259F" w:rsidP="00063C1A">
            <w:pPr>
              <w:spacing w:line="360" w:lineRule="auto"/>
              <w:jc w:val="center"/>
              <w:rPr>
                <w:color w:val="000000"/>
                <w:sz w:val="28"/>
                <w:szCs w:val="28"/>
                <w:lang w:val="uk-UA" w:eastAsia="en-US"/>
              </w:rPr>
            </w:pPr>
            <w:r w:rsidRPr="00063C1A">
              <w:rPr>
                <w:color w:val="000000"/>
                <w:sz w:val="28"/>
                <w:szCs w:val="28"/>
                <w:lang w:eastAsia="en-US"/>
              </w:rPr>
              <w:t>127,23±</w:t>
            </w:r>
            <w:r w:rsidRPr="00063C1A">
              <w:rPr>
                <w:color w:val="000000"/>
                <w:sz w:val="28"/>
                <w:szCs w:val="28"/>
                <w:lang w:val="uk-UA" w:eastAsia="en-US"/>
              </w:rPr>
              <w:t>1,24</w:t>
            </w:r>
          </w:p>
          <w:p w:rsidR="00E3259F" w:rsidRPr="00063C1A" w:rsidRDefault="00E3259F" w:rsidP="00063C1A">
            <w:pPr>
              <w:spacing w:line="360" w:lineRule="auto"/>
              <w:jc w:val="center"/>
              <w:rPr>
                <w:color w:val="000000"/>
                <w:sz w:val="28"/>
                <w:szCs w:val="28"/>
                <w:lang w:val="uk-UA" w:eastAsia="en-US"/>
              </w:rPr>
            </w:pP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138,83±1,40*</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146,</w:t>
            </w:r>
            <w:r w:rsidRPr="00063C1A">
              <w:rPr>
                <w:sz w:val="28"/>
                <w:szCs w:val="28"/>
                <w:lang w:val="uk-UA" w:eastAsia="en-US"/>
              </w:rPr>
              <w:t>03</w:t>
            </w:r>
            <w:r w:rsidRPr="00063C1A">
              <w:rPr>
                <w:sz w:val="28"/>
                <w:szCs w:val="28"/>
                <w:lang w:eastAsia="en-US"/>
              </w:rPr>
              <w:t>±</w:t>
            </w:r>
            <w:r w:rsidRPr="00063C1A">
              <w:rPr>
                <w:sz w:val="28"/>
                <w:szCs w:val="28"/>
                <w:lang w:val="uk-UA" w:eastAsia="en-US"/>
              </w:rPr>
              <w:t>0</w:t>
            </w:r>
            <w:r w:rsidRPr="00063C1A">
              <w:rPr>
                <w:sz w:val="28"/>
                <w:szCs w:val="28"/>
                <w:lang w:eastAsia="en-US"/>
              </w:rPr>
              <w:t>,9</w:t>
            </w:r>
            <w:r w:rsidRPr="00063C1A">
              <w:rPr>
                <w:sz w:val="28"/>
                <w:szCs w:val="28"/>
                <w:lang w:val="uk-UA" w:eastAsia="en-US"/>
              </w:rPr>
              <w:t>2*</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142,</w:t>
            </w:r>
            <w:r w:rsidRPr="00063C1A">
              <w:rPr>
                <w:sz w:val="28"/>
                <w:szCs w:val="28"/>
                <w:lang w:val="uk-UA" w:eastAsia="en-US"/>
              </w:rPr>
              <w:t>39</w:t>
            </w:r>
            <w:r w:rsidRPr="00063C1A">
              <w:rPr>
                <w:sz w:val="28"/>
                <w:szCs w:val="28"/>
                <w:lang w:eastAsia="en-US"/>
              </w:rPr>
              <w:t>±1,2</w:t>
            </w:r>
            <w:r w:rsidRPr="00063C1A">
              <w:rPr>
                <w:sz w:val="28"/>
                <w:szCs w:val="28"/>
                <w:lang w:val="uk-UA" w:eastAsia="en-US"/>
              </w:rPr>
              <w:t>8*</w:t>
            </w:r>
          </w:p>
        </w:tc>
        <w:tc>
          <w:tcPr>
            <w:tcW w:w="789"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1-2</w:t>
            </w:r>
            <w:r w:rsidRPr="00063C1A">
              <w:rPr>
                <w:rFonts w:eastAsia="Arial Unicode MS"/>
                <w:kern w:val="2"/>
                <w:sz w:val="28"/>
                <w:szCs w:val="28"/>
                <w:lang w:val="uk-UA" w:eastAsia="en-US"/>
              </w:rPr>
              <w:t>=0</w:t>
            </w:r>
            <w:r w:rsidRPr="00063C1A">
              <w:rPr>
                <w:sz w:val="28"/>
                <w:szCs w:val="28"/>
                <w:lang w:eastAsia="en-US"/>
              </w:rPr>
              <w:t>,00</w:t>
            </w:r>
            <w:r w:rsidRPr="00063C1A">
              <w:rPr>
                <w:sz w:val="28"/>
                <w:szCs w:val="28"/>
                <w:lang w:val="uk-UA" w:eastAsia="en-US"/>
              </w:rPr>
              <w:t>1</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color w:val="000000"/>
                <w:sz w:val="28"/>
                <w:szCs w:val="28"/>
                <w:lang w:val="uk-UA" w:eastAsia="en-US"/>
              </w:rPr>
              <w:t>&gt;0,05</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2-3</w:t>
            </w:r>
            <w:r w:rsidRPr="00063C1A">
              <w:rPr>
                <w:rFonts w:eastAsia="Arial Unicode MS"/>
                <w:kern w:val="2"/>
                <w:sz w:val="28"/>
                <w:szCs w:val="28"/>
                <w:lang w:val="uk-UA" w:eastAsia="en-US"/>
              </w:rPr>
              <w:t>=0</w:t>
            </w:r>
            <w:r w:rsidRPr="00063C1A">
              <w:rPr>
                <w:sz w:val="28"/>
                <w:szCs w:val="28"/>
                <w:lang w:eastAsia="en-US"/>
              </w:rPr>
              <w:t>,019</w:t>
            </w:r>
          </w:p>
        </w:tc>
      </w:tr>
      <w:tr w:rsidR="00E3259F" w:rsidRPr="00063C1A" w:rsidTr="00063C1A">
        <w:tc>
          <w:tcPr>
            <w:tcW w:w="748" w:type="pct"/>
            <w:tcBorders>
              <w:top w:val="nil"/>
              <w:left w:val="single" w:sz="2" w:space="0" w:color="000000"/>
              <w:bottom w:val="single" w:sz="2" w:space="0" w:color="000000"/>
              <w:right w:val="nil"/>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Д</w:t>
            </w:r>
            <w:r w:rsidRPr="00063C1A">
              <w:rPr>
                <w:rFonts w:eastAsia="Arial Unicode MS"/>
                <w:kern w:val="2"/>
                <w:sz w:val="28"/>
                <w:szCs w:val="28"/>
                <w:lang w:eastAsia="en-US"/>
              </w:rPr>
              <w:t>АТ, мм</w:t>
            </w:r>
            <w:r w:rsidRPr="00063C1A">
              <w:rPr>
                <w:rFonts w:eastAsia="Arial Unicode MS"/>
                <w:kern w:val="2"/>
                <w:sz w:val="28"/>
                <w:szCs w:val="28"/>
                <w:lang w:val="uk-UA" w:eastAsia="en-US"/>
              </w:rPr>
              <w:t>.</w:t>
            </w:r>
            <w:r w:rsidRPr="00063C1A">
              <w:rPr>
                <w:rFonts w:eastAsia="Arial Unicode MS"/>
                <w:kern w:val="2"/>
                <w:sz w:val="28"/>
                <w:szCs w:val="28"/>
                <w:lang w:eastAsia="en-US"/>
              </w:rPr>
              <w:t xml:space="preserve"> рт</w:t>
            </w:r>
            <w:r w:rsidRPr="00063C1A">
              <w:rPr>
                <w:rFonts w:eastAsia="Arial Unicode MS"/>
                <w:kern w:val="2"/>
                <w:sz w:val="28"/>
                <w:szCs w:val="28"/>
                <w:lang w:val="uk-UA" w:eastAsia="en-US"/>
              </w:rPr>
              <w:t>.</w:t>
            </w:r>
            <w:r w:rsidRPr="00063C1A">
              <w:rPr>
                <w:rFonts w:eastAsia="Arial Unicode MS"/>
                <w:kern w:val="2"/>
                <w:sz w:val="28"/>
                <w:szCs w:val="28"/>
                <w:lang w:eastAsia="en-US"/>
              </w:rPr>
              <w:t xml:space="preserve"> ст.</w:t>
            </w:r>
          </w:p>
        </w:tc>
        <w:tc>
          <w:tcPr>
            <w:tcW w:w="810" w:type="pct"/>
            <w:tcBorders>
              <w:top w:val="nil"/>
              <w:left w:val="single" w:sz="2" w:space="0" w:color="000000"/>
              <w:bottom w:val="single" w:sz="2" w:space="0" w:color="000000"/>
              <w:right w:val="single" w:sz="2" w:space="0" w:color="000000"/>
            </w:tcBorders>
          </w:tcPr>
          <w:p w:rsidR="00E3259F" w:rsidRPr="00063C1A" w:rsidRDefault="00E3259F" w:rsidP="00063C1A">
            <w:pPr>
              <w:spacing w:line="360" w:lineRule="auto"/>
              <w:jc w:val="center"/>
              <w:rPr>
                <w:color w:val="000000"/>
                <w:sz w:val="28"/>
                <w:szCs w:val="28"/>
                <w:lang w:val="uk-UA" w:eastAsia="en-US"/>
              </w:rPr>
            </w:pPr>
            <w:r w:rsidRPr="00063C1A">
              <w:rPr>
                <w:color w:val="000000"/>
                <w:sz w:val="28"/>
                <w:szCs w:val="28"/>
                <w:lang w:eastAsia="en-US"/>
              </w:rPr>
              <w:t>78,6</w:t>
            </w:r>
            <w:r w:rsidRPr="00063C1A">
              <w:rPr>
                <w:color w:val="000000"/>
                <w:sz w:val="28"/>
                <w:szCs w:val="28"/>
                <w:lang w:val="uk-UA" w:eastAsia="en-US"/>
              </w:rPr>
              <w:t>7±0,97</w:t>
            </w:r>
          </w:p>
          <w:p w:rsidR="00E3259F" w:rsidRPr="00063C1A" w:rsidRDefault="00E3259F" w:rsidP="00063C1A">
            <w:pPr>
              <w:spacing w:line="360" w:lineRule="auto"/>
              <w:jc w:val="center"/>
              <w:rPr>
                <w:color w:val="000000"/>
                <w:sz w:val="28"/>
                <w:szCs w:val="28"/>
                <w:lang w:eastAsia="en-US"/>
              </w:rPr>
            </w:pP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86,58±</w:t>
            </w:r>
            <w:r w:rsidRPr="00063C1A">
              <w:rPr>
                <w:sz w:val="28"/>
                <w:szCs w:val="28"/>
                <w:lang w:val="uk-UA" w:eastAsia="en-US"/>
              </w:rPr>
              <w:t>0</w:t>
            </w:r>
            <w:r w:rsidRPr="00063C1A">
              <w:rPr>
                <w:sz w:val="28"/>
                <w:szCs w:val="28"/>
                <w:lang w:eastAsia="en-US"/>
              </w:rPr>
              <w:t>,9</w:t>
            </w:r>
            <w:r w:rsidRPr="00063C1A">
              <w:rPr>
                <w:sz w:val="28"/>
                <w:szCs w:val="28"/>
                <w:lang w:val="uk-UA" w:eastAsia="en-US"/>
              </w:rPr>
              <w:t>1*</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89,58±</w:t>
            </w:r>
            <w:r w:rsidRPr="00063C1A">
              <w:rPr>
                <w:sz w:val="28"/>
                <w:szCs w:val="28"/>
                <w:lang w:val="uk-UA" w:eastAsia="en-US"/>
              </w:rPr>
              <w:t>0</w:t>
            </w:r>
            <w:r w:rsidRPr="00063C1A">
              <w:rPr>
                <w:sz w:val="28"/>
                <w:szCs w:val="28"/>
                <w:lang w:eastAsia="en-US"/>
              </w:rPr>
              <w:t>,7</w:t>
            </w:r>
            <w:r w:rsidRPr="00063C1A">
              <w:rPr>
                <w:sz w:val="28"/>
                <w:szCs w:val="28"/>
                <w:lang w:val="uk-UA" w:eastAsia="en-US"/>
              </w:rPr>
              <w:t>1*</w:t>
            </w:r>
          </w:p>
        </w:tc>
        <w:tc>
          <w:tcPr>
            <w:tcW w:w="884"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87,12±</w:t>
            </w:r>
            <w:r w:rsidRPr="00063C1A">
              <w:rPr>
                <w:sz w:val="28"/>
                <w:szCs w:val="28"/>
                <w:lang w:val="uk-UA" w:eastAsia="en-US"/>
              </w:rPr>
              <w:t>0</w:t>
            </w:r>
            <w:r w:rsidRPr="00063C1A">
              <w:rPr>
                <w:sz w:val="28"/>
                <w:szCs w:val="28"/>
                <w:lang w:eastAsia="en-US"/>
              </w:rPr>
              <w:t>,88*</w:t>
            </w:r>
          </w:p>
        </w:tc>
        <w:tc>
          <w:tcPr>
            <w:tcW w:w="789" w:type="pct"/>
            <w:tcBorders>
              <w:top w:val="nil"/>
              <w:left w:val="single" w:sz="2" w:space="0" w:color="000000"/>
              <w:bottom w:val="single" w:sz="2" w:space="0" w:color="000000"/>
              <w:right w:val="single" w:sz="2" w:space="0" w:color="000000"/>
            </w:tcBorders>
            <w:hideMark/>
          </w:tcPr>
          <w:p w:rsidR="00E3259F" w:rsidRPr="00063C1A" w:rsidRDefault="00E3259F" w:rsidP="00063C1A">
            <w:pPr>
              <w:widowControl w:val="0"/>
              <w:suppressLineNumbers/>
              <w:suppressAutoHyphens/>
              <w:snapToGrid w:val="0"/>
              <w:spacing w:line="360" w:lineRule="auto"/>
              <w:jc w:val="center"/>
              <w:rPr>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1-2</w:t>
            </w:r>
            <w:r w:rsidRPr="00063C1A">
              <w:rPr>
                <w:rFonts w:eastAsia="Arial Unicode MS"/>
                <w:kern w:val="2"/>
                <w:sz w:val="28"/>
                <w:szCs w:val="28"/>
                <w:lang w:val="uk-UA" w:eastAsia="en-US"/>
              </w:rPr>
              <w:t>=0</w:t>
            </w:r>
            <w:r w:rsidRPr="00063C1A">
              <w:rPr>
                <w:sz w:val="28"/>
                <w:szCs w:val="28"/>
                <w:lang w:eastAsia="en-US"/>
              </w:rPr>
              <w:t>,010</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color w:val="000000"/>
                <w:sz w:val="28"/>
                <w:szCs w:val="28"/>
                <w:lang w:val="uk-UA" w:eastAsia="en-US"/>
              </w:rPr>
              <w:t>&gt;0,05</w:t>
            </w:r>
          </w:p>
          <w:p w:rsidR="00E3259F" w:rsidRPr="00063C1A" w:rsidRDefault="00E3259F" w:rsidP="00063C1A">
            <w:pPr>
              <w:widowControl w:val="0"/>
              <w:suppressLineNumbers/>
              <w:suppressAutoHyphens/>
              <w:snapToGrid w:val="0"/>
              <w:spacing w:line="360" w:lineRule="auto"/>
              <w:jc w:val="center"/>
              <w:rPr>
                <w:rFonts w:eastAsia="Arial Unicode MS"/>
                <w:kern w:val="2"/>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2-3</w:t>
            </w:r>
            <w:r w:rsidRPr="00063C1A">
              <w:rPr>
                <w:rFonts w:eastAsia="Arial Unicode MS"/>
                <w:kern w:val="2"/>
                <w:sz w:val="28"/>
                <w:szCs w:val="28"/>
                <w:lang w:val="uk-UA" w:eastAsia="en-US"/>
              </w:rPr>
              <w:t>=0</w:t>
            </w:r>
            <w:r w:rsidRPr="00063C1A">
              <w:rPr>
                <w:sz w:val="28"/>
                <w:szCs w:val="28"/>
                <w:lang w:eastAsia="en-US"/>
              </w:rPr>
              <w:t>,032</w:t>
            </w:r>
          </w:p>
        </w:tc>
      </w:tr>
    </w:tbl>
    <w:p w:rsidR="00E3259F" w:rsidRPr="008B751B" w:rsidRDefault="00E3259F" w:rsidP="008B751B">
      <w:pPr>
        <w:spacing w:line="360" w:lineRule="auto"/>
        <w:rPr>
          <w:sz w:val="28"/>
          <w:szCs w:val="28"/>
          <w:lang w:val="uk-UA"/>
        </w:rPr>
      </w:pPr>
    </w:p>
    <w:p w:rsidR="00E3259F" w:rsidRPr="008B751B" w:rsidRDefault="00E3259F" w:rsidP="008B751B">
      <w:pPr>
        <w:spacing w:line="360" w:lineRule="auto"/>
        <w:rPr>
          <w:sz w:val="28"/>
          <w:szCs w:val="28"/>
          <w:lang w:val="uk-UA"/>
        </w:rPr>
      </w:pPr>
    </w:p>
    <w:p w:rsidR="00E3259F" w:rsidRPr="008B751B" w:rsidRDefault="00E3259F" w:rsidP="008B751B">
      <w:pPr>
        <w:spacing w:line="360" w:lineRule="auto"/>
        <w:jc w:val="right"/>
        <w:rPr>
          <w:sz w:val="28"/>
          <w:szCs w:val="28"/>
        </w:rPr>
      </w:pPr>
      <w:r w:rsidRPr="008B751B">
        <w:rPr>
          <w:i/>
          <w:spacing w:val="-2"/>
          <w:sz w:val="28"/>
          <w:szCs w:val="28"/>
        </w:rPr>
        <w:t xml:space="preserve">Продовження табл. </w:t>
      </w:r>
      <w:r w:rsidRPr="008B751B">
        <w:rPr>
          <w:i/>
          <w:spacing w:val="-2"/>
          <w:sz w:val="28"/>
          <w:szCs w:val="28"/>
          <w:lang w:val="uk-UA"/>
        </w:rPr>
        <w:t>2</w:t>
      </w:r>
      <w:r w:rsidRPr="008B751B">
        <w:rPr>
          <w:i/>
          <w:spacing w:val="-2"/>
          <w:sz w:val="28"/>
          <w:szCs w:val="28"/>
        </w:rPr>
        <w:t>.</w:t>
      </w:r>
      <w:r w:rsidRPr="008B751B">
        <w:rPr>
          <w:i/>
          <w:spacing w:val="-2"/>
          <w:sz w:val="28"/>
          <w:szCs w:val="28"/>
          <w:lang w:val="uk-UA"/>
        </w:rPr>
        <w:t>4</w:t>
      </w:r>
    </w:p>
    <w:tbl>
      <w:tblPr>
        <w:tblW w:w="49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5" w:type="dxa"/>
          <w:left w:w="55" w:type="dxa"/>
          <w:bottom w:w="55" w:type="dxa"/>
          <w:right w:w="55" w:type="dxa"/>
        </w:tblCellMar>
        <w:tblLook w:val="04A0" w:firstRow="1" w:lastRow="0" w:firstColumn="1" w:lastColumn="0" w:noHBand="0" w:noVBand="1"/>
      </w:tblPr>
      <w:tblGrid>
        <w:gridCol w:w="1408"/>
        <w:gridCol w:w="1524"/>
        <w:gridCol w:w="1664"/>
        <w:gridCol w:w="1664"/>
        <w:gridCol w:w="1664"/>
        <w:gridCol w:w="1485"/>
      </w:tblGrid>
      <w:tr w:rsidR="00063C1A" w:rsidRPr="00063C1A" w:rsidTr="00063C1A">
        <w:trPr>
          <w:trHeight w:val="1318"/>
        </w:trPr>
        <w:tc>
          <w:tcPr>
            <w:tcW w:w="748"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rPr>
                <w:rFonts w:eastAsia="Arial Unicode MS"/>
                <w:kern w:val="2"/>
                <w:sz w:val="28"/>
                <w:szCs w:val="28"/>
                <w:lang w:val="uk-UA" w:eastAsia="en-US"/>
              </w:rPr>
            </w:pPr>
            <w:r w:rsidRPr="00063C1A">
              <w:rPr>
                <w:rFonts w:eastAsia="Arial Unicode MS"/>
                <w:kern w:val="2"/>
                <w:sz w:val="28"/>
                <w:szCs w:val="28"/>
                <w:lang w:val="uk-UA" w:eastAsia="en-US"/>
              </w:rPr>
              <w:t>ПАТ,мм. рт. ст.</w:t>
            </w:r>
          </w:p>
        </w:tc>
        <w:tc>
          <w:tcPr>
            <w:tcW w:w="810" w:type="pct"/>
            <w:tcBorders>
              <w:top w:val="single" w:sz="4" w:space="0" w:color="auto"/>
              <w:left w:val="single" w:sz="4" w:space="0" w:color="auto"/>
              <w:bottom w:val="single" w:sz="4" w:space="0" w:color="auto"/>
              <w:right w:val="single" w:sz="4" w:space="0" w:color="auto"/>
            </w:tcBorders>
            <w:vAlign w:val="center"/>
          </w:tcPr>
          <w:p w:rsidR="00E3259F" w:rsidRPr="00063C1A" w:rsidRDefault="00E3259F" w:rsidP="008B751B">
            <w:pPr>
              <w:spacing w:line="360" w:lineRule="auto"/>
              <w:jc w:val="center"/>
              <w:rPr>
                <w:sz w:val="28"/>
                <w:szCs w:val="28"/>
                <w:lang w:val="uk-UA" w:eastAsia="en-US"/>
              </w:rPr>
            </w:pPr>
            <w:r w:rsidRPr="00063C1A">
              <w:rPr>
                <w:sz w:val="28"/>
                <w:szCs w:val="28"/>
                <w:lang w:eastAsia="en-US"/>
              </w:rPr>
              <w:t>48,5</w:t>
            </w:r>
            <w:r w:rsidRPr="00063C1A">
              <w:rPr>
                <w:sz w:val="28"/>
                <w:szCs w:val="28"/>
                <w:lang w:val="uk-UA" w:eastAsia="en-US"/>
              </w:rPr>
              <w:t>7±1,34</w:t>
            </w:r>
          </w:p>
          <w:p w:rsidR="00E3259F" w:rsidRPr="00063C1A" w:rsidRDefault="00E3259F" w:rsidP="008B751B">
            <w:pPr>
              <w:spacing w:line="360" w:lineRule="auto"/>
              <w:jc w:val="center"/>
              <w:rPr>
                <w:sz w:val="28"/>
                <w:szCs w:val="28"/>
                <w:lang w:eastAsia="en-US"/>
              </w:rPr>
            </w:pPr>
          </w:p>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val="uk-UA" w:eastAsia="en-US"/>
              </w:rPr>
            </w:pP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52,25±</w:t>
            </w:r>
            <w:r w:rsidRPr="00063C1A">
              <w:rPr>
                <w:sz w:val="28"/>
                <w:szCs w:val="28"/>
                <w:lang w:val="uk-UA" w:eastAsia="en-US"/>
              </w:rPr>
              <w:t>0</w:t>
            </w:r>
            <w:r w:rsidRPr="00063C1A">
              <w:rPr>
                <w:sz w:val="28"/>
                <w:szCs w:val="28"/>
                <w:lang w:eastAsia="en-US"/>
              </w:rPr>
              <w:t>,8</w:t>
            </w:r>
            <w:r w:rsidRPr="00063C1A">
              <w:rPr>
                <w:sz w:val="28"/>
                <w:szCs w:val="28"/>
                <w:lang w:val="uk-UA" w:eastAsia="en-US"/>
              </w:rPr>
              <w:t>3*</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56,88±</w:t>
            </w:r>
            <w:r w:rsidRPr="00063C1A">
              <w:rPr>
                <w:sz w:val="28"/>
                <w:szCs w:val="28"/>
                <w:lang w:val="uk-UA" w:eastAsia="en-US"/>
              </w:rPr>
              <w:t>0</w:t>
            </w:r>
            <w:r w:rsidRPr="00063C1A">
              <w:rPr>
                <w:sz w:val="28"/>
                <w:szCs w:val="28"/>
                <w:lang w:eastAsia="en-US"/>
              </w:rPr>
              <w:t>,82*</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55,40±</w:t>
            </w:r>
            <w:r w:rsidRPr="00063C1A">
              <w:rPr>
                <w:sz w:val="28"/>
                <w:szCs w:val="28"/>
                <w:lang w:val="uk-UA" w:eastAsia="en-US"/>
              </w:rPr>
              <w:t>0</w:t>
            </w:r>
            <w:r w:rsidRPr="00063C1A">
              <w:rPr>
                <w:sz w:val="28"/>
                <w:szCs w:val="28"/>
                <w:lang w:eastAsia="en-US"/>
              </w:rPr>
              <w:t>,97*</w:t>
            </w:r>
          </w:p>
        </w:tc>
        <w:tc>
          <w:tcPr>
            <w:tcW w:w="789"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1-2</w:t>
            </w:r>
            <w:r w:rsidRPr="00063C1A">
              <w:rPr>
                <w:sz w:val="28"/>
                <w:szCs w:val="28"/>
                <w:lang w:val="uk-UA" w:eastAsia="en-US"/>
              </w:rPr>
              <w:t>&lt;0</w:t>
            </w:r>
            <w:r w:rsidRPr="00063C1A">
              <w:rPr>
                <w:sz w:val="28"/>
                <w:szCs w:val="28"/>
                <w:lang w:eastAsia="en-US"/>
              </w:rPr>
              <w:t>,00</w:t>
            </w:r>
            <w:r w:rsidRPr="00063C1A">
              <w:rPr>
                <w:sz w:val="28"/>
                <w:szCs w:val="28"/>
                <w:lang w:val="uk-UA" w:eastAsia="en-US"/>
              </w:rPr>
              <w:t>1</w:t>
            </w:r>
          </w:p>
          <w:p w:rsidR="00E3259F" w:rsidRPr="00063C1A" w:rsidRDefault="00E3259F" w:rsidP="008B751B">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sz w:val="28"/>
                <w:szCs w:val="28"/>
                <w:lang w:val="uk-UA" w:eastAsia="en-US"/>
              </w:rPr>
              <w:t>=0</w:t>
            </w:r>
            <w:r w:rsidRPr="00063C1A">
              <w:rPr>
                <w:sz w:val="28"/>
                <w:szCs w:val="28"/>
                <w:lang w:eastAsia="en-US"/>
              </w:rPr>
              <w:t>,014</w:t>
            </w:r>
          </w:p>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val="uk-UA" w:eastAsia="en-US"/>
              </w:rPr>
            </w:pPr>
            <w:r w:rsidRPr="00063C1A">
              <w:rPr>
                <w:sz w:val="28"/>
                <w:szCs w:val="28"/>
                <w:lang w:val="uk-UA" w:eastAsia="en-US"/>
              </w:rPr>
              <w:t>р</w:t>
            </w:r>
            <w:r w:rsidRPr="00063C1A">
              <w:rPr>
                <w:sz w:val="28"/>
                <w:szCs w:val="28"/>
                <w:vertAlign w:val="subscript"/>
                <w:lang w:val="uk-UA" w:eastAsia="en-US"/>
              </w:rPr>
              <w:t>2-3</w:t>
            </w:r>
            <w:r w:rsidRPr="00063C1A">
              <w:rPr>
                <w:sz w:val="28"/>
                <w:szCs w:val="28"/>
                <w:lang w:val="uk-UA" w:eastAsia="en-US"/>
              </w:rPr>
              <w:t>&gt;0,05</w:t>
            </w:r>
          </w:p>
        </w:tc>
      </w:tr>
      <w:tr w:rsidR="00063C1A" w:rsidRPr="00063C1A" w:rsidTr="00E3259F">
        <w:tc>
          <w:tcPr>
            <w:tcW w:w="748"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rPr>
                <w:rFonts w:eastAsia="Arial Unicode MS"/>
                <w:kern w:val="2"/>
                <w:sz w:val="28"/>
                <w:szCs w:val="28"/>
                <w:lang w:val="uk-UA" w:eastAsia="en-US"/>
              </w:rPr>
            </w:pPr>
            <w:r w:rsidRPr="00063C1A">
              <w:rPr>
                <w:rFonts w:eastAsia="Arial Unicode MS"/>
                <w:kern w:val="2"/>
                <w:sz w:val="28"/>
                <w:szCs w:val="28"/>
                <w:lang w:eastAsia="en-US"/>
              </w:rPr>
              <w:t>ТТГ, мкМОд/мл</w:t>
            </w:r>
          </w:p>
        </w:tc>
        <w:tc>
          <w:tcPr>
            <w:tcW w:w="810"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tabs>
                <w:tab w:val="left" w:pos="1030"/>
              </w:tabs>
              <w:suppressAutoHyphens/>
              <w:snapToGrid w:val="0"/>
              <w:spacing w:line="360" w:lineRule="auto"/>
              <w:jc w:val="center"/>
              <w:rPr>
                <w:rFonts w:eastAsia="Arial Unicode MS"/>
                <w:kern w:val="2"/>
                <w:sz w:val="28"/>
                <w:szCs w:val="28"/>
                <w:lang w:val="uk-UA" w:eastAsia="en-US"/>
              </w:rPr>
            </w:pPr>
            <w:r w:rsidRPr="00063C1A">
              <w:rPr>
                <w:rStyle w:val="shorttext"/>
                <w:sz w:val="28"/>
                <w:szCs w:val="28"/>
                <w:lang w:eastAsia="en-US"/>
              </w:rPr>
              <w:t>2,10 ± 1,11</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2,74±</w:t>
            </w:r>
            <w:r w:rsidRPr="00063C1A">
              <w:rPr>
                <w:sz w:val="28"/>
                <w:szCs w:val="28"/>
                <w:lang w:val="uk-UA" w:eastAsia="en-US"/>
              </w:rPr>
              <w:t>0</w:t>
            </w:r>
            <w:r w:rsidRPr="00063C1A">
              <w:rPr>
                <w:sz w:val="28"/>
                <w:szCs w:val="28"/>
                <w:lang w:eastAsia="en-US"/>
              </w:rPr>
              <w:t>,10</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2,4</w:t>
            </w:r>
            <w:r w:rsidRPr="00063C1A">
              <w:rPr>
                <w:sz w:val="28"/>
                <w:szCs w:val="28"/>
                <w:lang w:val="uk-UA" w:eastAsia="en-US"/>
              </w:rPr>
              <w:t>6</w:t>
            </w:r>
            <w:r w:rsidRPr="00063C1A">
              <w:rPr>
                <w:sz w:val="28"/>
                <w:szCs w:val="28"/>
                <w:lang w:eastAsia="en-US"/>
              </w:rPr>
              <w:t>±</w:t>
            </w:r>
            <w:r w:rsidRPr="00063C1A">
              <w:rPr>
                <w:sz w:val="28"/>
                <w:szCs w:val="28"/>
                <w:lang w:val="uk-UA" w:eastAsia="en-US"/>
              </w:rPr>
              <w:t>0</w:t>
            </w:r>
            <w:r w:rsidRPr="00063C1A">
              <w:rPr>
                <w:sz w:val="28"/>
                <w:szCs w:val="28"/>
                <w:lang w:eastAsia="en-US"/>
              </w:rPr>
              <w:t>,09</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6,03±</w:t>
            </w:r>
            <w:r w:rsidRPr="00063C1A">
              <w:rPr>
                <w:sz w:val="28"/>
                <w:szCs w:val="28"/>
                <w:lang w:val="uk-UA" w:eastAsia="en-US"/>
              </w:rPr>
              <w:t>0</w:t>
            </w:r>
            <w:r w:rsidRPr="00063C1A">
              <w:rPr>
                <w:sz w:val="28"/>
                <w:szCs w:val="28"/>
                <w:lang w:eastAsia="en-US"/>
              </w:rPr>
              <w:t>,16*</w:t>
            </w:r>
          </w:p>
        </w:tc>
        <w:tc>
          <w:tcPr>
            <w:tcW w:w="789"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jc w:val="center"/>
              <w:rPr>
                <w:rFonts w:eastAsia="Arial Unicode MS"/>
                <w:bCs/>
                <w:kern w:val="2"/>
                <w:sz w:val="28"/>
                <w:szCs w:val="28"/>
                <w:lang w:val="uk-UA" w:eastAsia="en-US"/>
              </w:rPr>
            </w:pPr>
            <w:r w:rsidRPr="00063C1A">
              <w:rPr>
                <w:rFonts w:eastAsia="Arial Unicode MS"/>
                <w:bCs/>
                <w:kern w:val="2"/>
                <w:sz w:val="28"/>
                <w:szCs w:val="28"/>
                <w:lang w:val="uk-UA" w:eastAsia="en-US"/>
              </w:rPr>
              <w:t>р</w:t>
            </w:r>
            <w:r w:rsidRPr="00063C1A">
              <w:rPr>
                <w:rFonts w:eastAsia="Arial Unicode MS"/>
                <w:bCs/>
                <w:kern w:val="2"/>
                <w:sz w:val="28"/>
                <w:szCs w:val="28"/>
                <w:vertAlign w:val="subscript"/>
                <w:lang w:val="uk-UA" w:eastAsia="en-US"/>
              </w:rPr>
              <w:t>1-2</w:t>
            </w:r>
            <w:r w:rsidRPr="00063C1A">
              <w:rPr>
                <w:rFonts w:eastAsia="Arial Unicode MS"/>
                <w:bCs/>
                <w:kern w:val="2"/>
                <w:sz w:val="28"/>
                <w:szCs w:val="28"/>
                <w:lang w:val="uk-UA" w:eastAsia="en-US"/>
              </w:rPr>
              <w:t>=0</w:t>
            </w:r>
            <w:r w:rsidRPr="00063C1A">
              <w:rPr>
                <w:sz w:val="28"/>
                <w:szCs w:val="28"/>
                <w:lang w:eastAsia="en-US"/>
              </w:rPr>
              <w:t>,047</w:t>
            </w:r>
          </w:p>
          <w:p w:rsidR="00E3259F" w:rsidRPr="00063C1A" w:rsidRDefault="00E3259F" w:rsidP="008B751B">
            <w:pPr>
              <w:widowControl w:val="0"/>
              <w:suppressLineNumbers/>
              <w:suppressAutoHyphens/>
              <w:snapToGrid w:val="0"/>
              <w:spacing w:line="360" w:lineRule="auto"/>
              <w:jc w:val="center"/>
              <w:rPr>
                <w:rFonts w:eastAsia="Arial Unicode MS"/>
                <w:bCs/>
                <w:kern w:val="2"/>
                <w:sz w:val="28"/>
                <w:szCs w:val="28"/>
                <w:lang w:val="uk-UA" w:eastAsia="en-US"/>
              </w:rPr>
            </w:pPr>
            <w:r w:rsidRPr="00063C1A">
              <w:rPr>
                <w:rFonts w:eastAsia="Arial Unicode MS"/>
                <w:bCs/>
                <w:kern w:val="2"/>
                <w:sz w:val="28"/>
                <w:szCs w:val="28"/>
                <w:lang w:val="uk-UA" w:eastAsia="en-US"/>
              </w:rPr>
              <w:t>р</w:t>
            </w:r>
            <w:r w:rsidRPr="00063C1A">
              <w:rPr>
                <w:rFonts w:eastAsia="Arial Unicode MS"/>
                <w:bCs/>
                <w:kern w:val="2"/>
                <w:sz w:val="28"/>
                <w:szCs w:val="28"/>
                <w:vertAlign w:val="subscript"/>
                <w:lang w:val="uk-UA" w:eastAsia="en-US"/>
              </w:rPr>
              <w:t>1-3</w:t>
            </w:r>
            <w:r w:rsidRPr="00063C1A">
              <w:rPr>
                <w:rFonts w:eastAsia="Arial Unicode MS"/>
                <w:bCs/>
                <w:kern w:val="2"/>
                <w:sz w:val="28"/>
                <w:szCs w:val="28"/>
                <w:lang w:val="uk-UA" w:eastAsia="en-US"/>
              </w:rPr>
              <w:t>=0</w:t>
            </w:r>
            <w:r w:rsidRPr="00063C1A">
              <w:rPr>
                <w:sz w:val="28"/>
                <w:szCs w:val="28"/>
                <w:lang w:eastAsia="en-US"/>
              </w:rPr>
              <w:t>,00</w:t>
            </w:r>
            <w:r w:rsidRPr="00063C1A">
              <w:rPr>
                <w:sz w:val="28"/>
                <w:szCs w:val="28"/>
                <w:lang w:val="uk-UA" w:eastAsia="en-US"/>
              </w:rPr>
              <w:t>1</w:t>
            </w:r>
          </w:p>
          <w:p w:rsidR="00E3259F" w:rsidRPr="00063C1A" w:rsidRDefault="00E3259F" w:rsidP="008B751B">
            <w:pPr>
              <w:widowControl w:val="0"/>
              <w:suppressLineNumbers/>
              <w:suppressAutoHyphens/>
              <w:snapToGrid w:val="0"/>
              <w:spacing w:line="360" w:lineRule="auto"/>
              <w:jc w:val="center"/>
              <w:rPr>
                <w:rFonts w:eastAsia="Arial Unicode MS"/>
                <w:bCs/>
                <w:kern w:val="2"/>
                <w:sz w:val="28"/>
                <w:szCs w:val="28"/>
                <w:vertAlign w:val="superscript"/>
                <w:lang w:val="uk-UA" w:eastAsia="en-US"/>
              </w:rPr>
            </w:pPr>
            <w:r w:rsidRPr="00063C1A">
              <w:rPr>
                <w:rFonts w:eastAsia="Arial Unicode MS"/>
                <w:bCs/>
                <w:kern w:val="2"/>
                <w:sz w:val="28"/>
                <w:szCs w:val="28"/>
                <w:lang w:val="uk-UA" w:eastAsia="en-US"/>
              </w:rPr>
              <w:t>р</w:t>
            </w:r>
            <w:r w:rsidRPr="00063C1A">
              <w:rPr>
                <w:rFonts w:eastAsia="Arial Unicode MS"/>
                <w:bCs/>
                <w:kern w:val="2"/>
                <w:sz w:val="28"/>
                <w:szCs w:val="28"/>
                <w:vertAlign w:val="subscript"/>
                <w:lang w:val="uk-UA" w:eastAsia="en-US"/>
              </w:rPr>
              <w:t>2-3</w:t>
            </w:r>
            <w:r w:rsidRPr="00063C1A">
              <w:rPr>
                <w:rFonts w:eastAsia="Arial Unicode MS"/>
                <w:bCs/>
                <w:kern w:val="2"/>
                <w:sz w:val="28"/>
                <w:szCs w:val="28"/>
                <w:lang w:val="uk-UA" w:eastAsia="en-US"/>
              </w:rPr>
              <w:t>=0</w:t>
            </w:r>
            <w:r w:rsidRPr="00063C1A">
              <w:rPr>
                <w:sz w:val="28"/>
                <w:szCs w:val="28"/>
                <w:lang w:eastAsia="en-US"/>
              </w:rPr>
              <w:t>,00</w:t>
            </w:r>
            <w:r w:rsidRPr="00063C1A">
              <w:rPr>
                <w:sz w:val="28"/>
                <w:szCs w:val="28"/>
                <w:lang w:val="uk-UA" w:eastAsia="en-US"/>
              </w:rPr>
              <w:t>1</w:t>
            </w:r>
          </w:p>
        </w:tc>
      </w:tr>
      <w:tr w:rsidR="00063C1A" w:rsidRPr="00063C1A" w:rsidTr="00E3259F">
        <w:tc>
          <w:tcPr>
            <w:tcW w:w="748"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rPr>
                <w:rFonts w:eastAsia="Arial Unicode MS"/>
                <w:kern w:val="2"/>
                <w:sz w:val="28"/>
                <w:szCs w:val="28"/>
                <w:lang w:val="uk-UA" w:eastAsia="en-US"/>
              </w:rPr>
            </w:pPr>
            <w:r w:rsidRPr="00063C1A">
              <w:rPr>
                <w:rFonts w:eastAsia="Arial Unicode MS"/>
                <w:kern w:val="2"/>
                <w:sz w:val="28"/>
                <w:szCs w:val="28"/>
                <w:lang w:eastAsia="en-US"/>
              </w:rPr>
              <w:t>T</w:t>
            </w:r>
            <w:r w:rsidRPr="00063C1A">
              <w:rPr>
                <w:rFonts w:eastAsia="Arial Unicode MS"/>
                <w:kern w:val="2"/>
                <w:sz w:val="28"/>
                <w:szCs w:val="28"/>
                <w:vertAlign w:val="subscript"/>
                <w:lang w:eastAsia="en-US"/>
              </w:rPr>
              <w:t>4</w:t>
            </w:r>
            <w:r w:rsidRPr="00063C1A">
              <w:rPr>
                <w:rFonts w:eastAsia="Arial Unicode MS"/>
                <w:kern w:val="2"/>
                <w:sz w:val="28"/>
                <w:szCs w:val="28"/>
                <w:lang w:eastAsia="en-US"/>
              </w:rPr>
              <w:t xml:space="preserve"> вільн, пмоль/л</w:t>
            </w:r>
          </w:p>
        </w:tc>
        <w:tc>
          <w:tcPr>
            <w:tcW w:w="810" w:type="pct"/>
            <w:tcBorders>
              <w:top w:val="single" w:sz="4" w:space="0" w:color="auto"/>
              <w:left w:val="single" w:sz="4" w:space="0" w:color="auto"/>
              <w:bottom w:val="single" w:sz="4" w:space="0" w:color="auto"/>
              <w:right w:val="single" w:sz="4" w:space="0" w:color="auto"/>
            </w:tcBorders>
          </w:tcPr>
          <w:p w:rsidR="00E3259F" w:rsidRPr="00063C1A" w:rsidRDefault="00E3259F" w:rsidP="008B751B">
            <w:pPr>
              <w:widowControl w:val="0"/>
              <w:suppressLineNumbers/>
              <w:suppressAutoHyphens/>
              <w:snapToGrid w:val="0"/>
              <w:spacing w:line="360" w:lineRule="auto"/>
              <w:jc w:val="center"/>
              <w:rPr>
                <w:sz w:val="28"/>
                <w:szCs w:val="28"/>
                <w:lang w:val="uk-UA" w:eastAsia="en-US"/>
              </w:rPr>
            </w:pPr>
            <w:r w:rsidRPr="00063C1A">
              <w:rPr>
                <w:sz w:val="28"/>
                <w:szCs w:val="28"/>
                <w:lang w:eastAsia="en-US"/>
              </w:rPr>
              <w:t>12</w:t>
            </w:r>
            <w:r w:rsidRPr="00063C1A">
              <w:rPr>
                <w:sz w:val="28"/>
                <w:szCs w:val="28"/>
                <w:lang w:val="uk-UA" w:eastAsia="en-US"/>
              </w:rPr>
              <w:t>,</w:t>
            </w:r>
            <w:r w:rsidRPr="00063C1A">
              <w:rPr>
                <w:sz w:val="28"/>
                <w:szCs w:val="28"/>
                <w:lang w:eastAsia="en-US"/>
              </w:rPr>
              <w:t>20±</w:t>
            </w:r>
            <w:r w:rsidRPr="00063C1A">
              <w:rPr>
                <w:sz w:val="28"/>
                <w:szCs w:val="28"/>
                <w:lang w:val="uk-UA" w:eastAsia="en-US"/>
              </w:rPr>
              <w:t>2</w:t>
            </w:r>
            <w:r w:rsidRPr="00063C1A">
              <w:rPr>
                <w:sz w:val="28"/>
                <w:szCs w:val="28"/>
                <w:lang w:eastAsia="en-US"/>
              </w:rPr>
              <w:t>,</w:t>
            </w:r>
            <w:r w:rsidRPr="00063C1A">
              <w:rPr>
                <w:sz w:val="28"/>
                <w:szCs w:val="28"/>
                <w:lang w:val="uk-UA" w:eastAsia="en-US"/>
              </w:rPr>
              <w:t>4</w:t>
            </w:r>
            <w:r w:rsidRPr="00063C1A">
              <w:rPr>
                <w:sz w:val="28"/>
                <w:szCs w:val="28"/>
                <w:lang w:eastAsia="en-US"/>
              </w:rPr>
              <w:t>6</w:t>
            </w:r>
          </w:p>
          <w:p w:rsidR="00E3259F" w:rsidRPr="00063C1A" w:rsidRDefault="00E3259F" w:rsidP="008B751B">
            <w:pPr>
              <w:widowControl w:val="0"/>
              <w:suppressLineNumbers/>
              <w:suppressAutoHyphens/>
              <w:snapToGrid w:val="0"/>
              <w:spacing w:line="360" w:lineRule="auto"/>
              <w:jc w:val="center"/>
              <w:rPr>
                <w:sz w:val="28"/>
                <w:szCs w:val="28"/>
                <w:lang w:val="uk-UA" w:eastAsia="en-US"/>
              </w:rPr>
            </w:pP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17,3</w:t>
            </w:r>
            <w:r w:rsidRPr="00063C1A">
              <w:rPr>
                <w:sz w:val="28"/>
                <w:szCs w:val="28"/>
                <w:lang w:val="uk-UA" w:eastAsia="en-US"/>
              </w:rPr>
              <w:t>2</w:t>
            </w:r>
            <w:r w:rsidRPr="00063C1A">
              <w:rPr>
                <w:sz w:val="28"/>
                <w:szCs w:val="28"/>
                <w:lang w:eastAsia="en-US"/>
              </w:rPr>
              <w:t>±1,42</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14,3</w:t>
            </w:r>
            <w:r w:rsidRPr="00063C1A">
              <w:rPr>
                <w:sz w:val="28"/>
                <w:szCs w:val="28"/>
                <w:lang w:val="uk-UA" w:eastAsia="en-US"/>
              </w:rPr>
              <w:t>7</w:t>
            </w:r>
            <w:r w:rsidRPr="00063C1A">
              <w:rPr>
                <w:sz w:val="28"/>
                <w:szCs w:val="28"/>
                <w:lang w:eastAsia="en-US"/>
              </w:rPr>
              <w:t>±</w:t>
            </w:r>
            <w:r w:rsidRPr="00063C1A">
              <w:rPr>
                <w:sz w:val="28"/>
                <w:szCs w:val="28"/>
                <w:lang w:val="uk-UA" w:eastAsia="en-US"/>
              </w:rPr>
              <w:t>0</w:t>
            </w:r>
            <w:r w:rsidRPr="00063C1A">
              <w:rPr>
                <w:sz w:val="28"/>
                <w:szCs w:val="28"/>
                <w:lang w:eastAsia="en-US"/>
              </w:rPr>
              <w:t>,20</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14,32±</w:t>
            </w:r>
            <w:r w:rsidRPr="00063C1A">
              <w:rPr>
                <w:sz w:val="28"/>
                <w:szCs w:val="28"/>
                <w:lang w:val="uk-UA" w:eastAsia="en-US"/>
              </w:rPr>
              <w:t>0</w:t>
            </w:r>
            <w:r w:rsidRPr="00063C1A">
              <w:rPr>
                <w:sz w:val="28"/>
                <w:szCs w:val="28"/>
                <w:lang w:eastAsia="en-US"/>
              </w:rPr>
              <w:t>,2</w:t>
            </w:r>
            <w:r w:rsidRPr="00063C1A">
              <w:rPr>
                <w:sz w:val="28"/>
                <w:szCs w:val="28"/>
                <w:lang w:val="uk-UA" w:eastAsia="en-US"/>
              </w:rPr>
              <w:t>9</w:t>
            </w:r>
          </w:p>
        </w:tc>
        <w:tc>
          <w:tcPr>
            <w:tcW w:w="789"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jc w:val="center"/>
              <w:rPr>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1-2</w:t>
            </w:r>
            <w:r w:rsidRPr="00063C1A">
              <w:rPr>
                <w:rFonts w:eastAsia="Arial Unicode MS"/>
                <w:kern w:val="2"/>
                <w:sz w:val="28"/>
                <w:szCs w:val="28"/>
                <w:lang w:val="uk-UA" w:eastAsia="en-US"/>
              </w:rPr>
              <w:t>=0</w:t>
            </w:r>
            <w:r w:rsidRPr="00063C1A">
              <w:rPr>
                <w:sz w:val="28"/>
                <w:szCs w:val="28"/>
                <w:lang w:eastAsia="en-US"/>
              </w:rPr>
              <w:t>,042</w:t>
            </w:r>
          </w:p>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sz w:val="28"/>
                <w:szCs w:val="28"/>
                <w:lang w:val="uk-UA" w:eastAsia="en-US"/>
              </w:rPr>
              <w:t>=0</w:t>
            </w:r>
            <w:r w:rsidRPr="00063C1A">
              <w:rPr>
                <w:sz w:val="28"/>
                <w:szCs w:val="28"/>
                <w:lang w:eastAsia="en-US"/>
              </w:rPr>
              <w:t>,041</w:t>
            </w:r>
          </w:p>
          <w:p w:rsidR="00E3259F" w:rsidRPr="00063C1A" w:rsidRDefault="00E3259F" w:rsidP="008B751B">
            <w:pPr>
              <w:widowControl w:val="0"/>
              <w:suppressLineNumbers/>
              <w:suppressAutoHyphens/>
              <w:snapToGrid w:val="0"/>
              <w:spacing w:line="360" w:lineRule="auto"/>
              <w:rPr>
                <w:rFonts w:eastAsia="Arial Unicode MS"/>
                <w:kern w:val="2"/>
                <w:sz w:val="28"/>
                <w:szCs w:val="28"/>
                <w:lang w:val="uk-UA" w:eastAsia="en-US"/>
              </w:rPr>
            </w:pPr>
            <w:r w:rsidRPr="00063C1A">
              <w:rPr>
                <w:rFonts w:eastAsia="Arial Unicode MS"/>
                <w:kern w:val="2"/>
                <w:sz w:val="28"/>
                <w:szCs w:val="28"/>
                <w:lang w:val="uk-UA" w:eastAsia="en-US"/>
              </w:rPr>
              <w:t>р</w:t>
            </w:r>
            <w:r w:rsidRPr="00063C1A">
              <w:rPr>
                <w:rFonts w:eastAsia="Arial Unicode MS"/>
                <w:kern w:val="2"/>
                <w:sz w:val="28"/>
                <w:szCs w:val="28"/>
                <w:vertAlign w:val="subscript"/>
                <w:lang w:val="uk-UA" w:eastAsia="en-US"/>
              </w:rPr>
              <w:t>2-3</w:t>
            </w:r>
            <w:r w:rsidRPr="00063C1A">
              <w:rPr>
                <w:sz w:val="28"/>
                <w:szCs w:val="28"/>
                <w:lang w:val="uk-UA" w:eastAsia="en-US"/>
              </w:rPr>
              <w:t>&gt;0,05</w:t>
            </w:r>
          </w:p>
        </w:tc>
      </w:tr>
      <w:tr w:rsidR="00063C1A" w:rsidRPr="00063C1A" w:rsidTr="00E3259F">
        <w:tc>
          <w:tcPr>
            <w:tcW w:w="748"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rPr>
                <w:rFonts w:eastAsia="Arial Unicode MS"/>
                <w:kern w:val="2"/>
                <w:sz w:val="28"/>
                <w:szCs w:val="28"/>
                <w:lang w:val="uk-UA" w:eastAsia="en-US"/>
              </w:rPr>
            </w:pPr>
            <w:r w:rsidRPr="00063C1A">
              <w:rPr>
                <w:rFonts w:eastAsia="Arial Unicode MS"/>
                <w:kern w:val="2"/>
                <w:sz w:val="28"/>
                <w:szCs w:val="28"/>
                <w:lang w:eastAsia="en-US"/>
              </w:rPr>
              <w:t>T</w:t>
            </w:r>
            <w:r w:rsidRPr="00063C1A">
              <w:rPr>
                <w:rFonts w:eastAsia="Arial Unicode MS"/>
                <w:kern w:val="2"/>
                <w:sz w:val="28"/>
                <w:szCs w:val="28"/>
                <w:vertAlign w:val="subscript"/>
                <w:lang w:eastAsia="en-US"/>
              </w:rPr>
              <w:t>3</w:t>
            </w:r>
            <w:r w:rsidRPr="00063C1A">
              <w:rPr>
                <w:rFonts w:eastAsia="Arial Unicode MS"/>
                <w:kern w:val="2"/>
                <w:sz w:val="28"/>
                <w:szCs w:val="28"/>
                <w:lang w:eastAsia="en-US"/>
              </w:rPr>
              <w:t xml:space="preserve"> вільн, пг/мл</w:t>
            </w:r>
          </w:p>
        </w:tc>
        <w:tc>
          <w:tcPr>
            <w:tcW w:w="810" w:type="pct"/>
            <w:tcBorders>
              <w:top w:val="single" w:sz="4" w:space="0" w:color="auto"/>
              <w:left w:val="single" w:sz="4" w:space="0" w:color="auto"/>
              <w:bottom w:val="single" w:sz="4" w:space="0" w:color="auto"/>
              <w:right w:val="single" w:sz="4" w:space="0" w:color="auto"/>
            </w:tcBorders>
          </w:tcPr>
          <w:p w:rsidR="00E3259F" w:rsidRPr="00063C1A" w:rsidRDefault="00E3259F" w:rsidP="008B751B">
            <w:pPr>
              <w:widowControl w:val="0"/>
              <w:suppressLineNumbers/>
              <w:suppressAutoHyphens/>
              <w:snapToGrid w:val="0"/>
              <w:spacing w:line="360" w:lineRule="auto"/>
              <w:jc w:val="center"/>
              <w:rPr>
                <w:sz w:val="28"/>
                <w:szCs w:val="28"/>
                <w:lang w:val="uk-UA" w:eastAsia="en-US"/>
              </w:rPr>
            </w:pPr>
            <w:r w:rsidRPr="00063C1A">
              <w:rPr>
                <w:sz w:val="28"/>
                <w:szCs w:val="28"/>
                <w:lang w:eastAsia="en-US"/>
              </w:rPr>
              <w:t>4,2</w:t>
            </w:r>
            <w:r w:rsidRPr="00063C1A">
              <w:rPr>
                <w:sz w:val="28"/>
                <w:szCs w:val="28"/>
                <w:lang w:val="uk-UA" w:eastAsia="en-US"/>
              </w:rPr>
              <w:t>2±</w:t>
            </w:r>
            <w:r w:rsidRPr="00063C1A">
              <w:rPr>
                <w:sz w:val="28"/>
                <w:szCs w:val="28"/>
                <w:lang w:eastAsia="en-US"/>
              </w:rPr>
              <w:t>0,9</w:t>
            </w:r>
            <w:r w:rsidRPr="00063C1A">
              <w:rPr>
                <w:sz w:val="28"/>
                <w:szCs w:val="28"/>
                <w:lang w:val="uk-UA" w:eastAsia="en-US"/>
              </w:rPr>
              <w:t>5</w:t>
            </w:r>
          </w:p>
          <w:p w:rsidR="00E3259F" w:rsidRPr="00063C1A" w:rsidRDefault="00E3259F" w:rsidP="008B751B">
            <w:pPr>
              <w:widowControl w:val="0"/>
              <w:suppressLineNumbers/>
              <w:suppressAutoHyphens/>
              <w:snapToGrid w:val="0"/>
              <w:spacing w:line="360" w:lineRule="auto"/>
              <w:jc w:val="center"/>
              <w:rPr>
                <w:sz w:val="28"/>
                <w:szCs w:val="28"/>
                <w:lang w:val="uk-UA" w:eastAsia="en-US"/>
              </w:rPr>
            </w:pP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6,1</w:t>
            </w:r>
            <w:r w:rsidRPr="00063C1A">
              <w:rPr>
                <w:sz w:val="28"/>
                <w:szCs w:val="28"/>
                <w:lang w:val="uk-UA" w:eastAsia="en-US"/>
              </w:rPr>
              <w:t>2</w:t>
            </w:r>
            <w:r w:rsidRPr="00063C1A">
              <w:rPr>
                <w:sz w:val="28"/>
                <w:szCs w:val="28"/>
                <w:lang w:eastAsia="en-US"/>
              </w:rPr>
              <w:t>±</w:t>
            </w:r>
            <w:r w:rsidRPr="00063C1A">
              <w:rPr>
                <w:sz w:val="28"/>
                <w:szCs w:val="28"/>
                <w:lang w:val="uk-UA" w:eastAsia="en-US"/>
              </w:rPr>
              <w:t>0</w:t>
            </w:r>
            <w:r w:rsidRPr="00063C1A">
              <w:rPr>
                <w:sz w:val="28"/>
                <w:szCs w:val="28"/>
                <w:lang w:eastAsia="en-US"/>
              </w:rPr>
              <w:t>,2</w:t>
            </w:r>
            <w:r w:rsidRPr="00063C1A">
              <w:rPr>
                <w:sz w:val="28"/>
                <w:szCs w:val="28"/>
                <w:lang w:val="uk-UA" w:eastAsia="en-US"/>
              </w:rPr>
              <w:t>1</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5,7</w:t>
            </w:r>
            <w:r w:rsidRPr="00063C1A">
              <w:rPr>
                <w:sz w:val="28"/>
                <w:szCs w:val="28"/>
                <w:lang w:val="uk-UA" w:eastAsia="en-US"/>
              </w:rPr>
              <w:t>8</w:t>
            </w:r>
            <w:r w:rsidRPr="00063C1A">
              <w:rPr>
                <w:sz w:val="28"/>
                <w:szCs w:val="28"/>
                <w:lang w:eastAsia="en-US"/>
              </w:rPr>
              <w:t>±</w:t>
            </w:r>
            <w:r w:rsidRPr="00063C1A">
              <w:rPr>
                <w:sz w:val="28"/>
                <w:szCs w:val="28"/>
                <w:lang w:val="uk-UA" w:eastAsia="en-US"/>
              </w:rPr>
              <w:t>0</w:t>
            </w:r>
            <w:r w:rsidRPr="00063C1A">
              <w:rPr>
                <w:sz w:val="28"/>
                <w:szCs w:val="28"/>
                <w:lang w:eastAsia="en-US"/>
              </w:rPr>
              <w:t>,1</w:t>
            </w:r>
            <w:r w:rsidRPr="00063C1A">
              <w:rPr>
                <w:sz w:val="28"/>
                <w:szCs w:val="28"/>
                <w:lang w:val="uk-UA" w:eastAsia="en-US"/>
              </w:rPr>
              <w:t>9</w:t>
            </w:r>
          </w:p>
        </w:tc>
        <w:tc>
          <w:tcPr>
            <w:tcW w:w="884" w:type="pct"/>
            <w:tcBorders>
              <w:top w:val="single" w:sz="4" w:space="0" w:color="auto"/>
              <w:left w:val="single" w:sz="4" w:space="0" w:color="auto"/>
              <w:bottom w:val="single" w:sz="4" w:space="0" w:color="auto"/>
              <w:right w:val="single" w:sz="4" w:space="0" w:color="auto"/>
            </w:tcBorders>
            <w:hideMark/>
          </w:tcPr>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lang w:eastAsia="en-US"/>
              </w:rPr>
            </w:pPr>
            <w:r w:rsidRPr="00063C1A">
              <w:rPr>
                <w:sz w:val="28"/>
                <w:szCs w:val="28"/>
                <w:lang w:eastAsia="en-US"/>
              </w:rPr>
              <w:t>5,02±</w:t>
            </w:r>
            <w:r w:rsidRPr="00063C1A">
              <w:rPr>
                <w:sz w:val="28"/>
                <w:szCs w:val="28"/>
                <w:lang w:val="uk-UA" w:eastAsia="en-US"/>
              </w:rPr>
              <w:t>0</w:t>
            </w:r>
            <w:r w:rsidRPr="00063C1A">
              <w:rPr>
                <w:sz w:val="28"/>
                <w:szCs w:val="28"/>
                <w:lang w:eastAsia="en-US"/>
              </w:rPr>
              <w:t>,16</w:t>
            </w:r>
          </w:p>
        </w:tc>
        <w:tc>
          <w:tcPr>
            <w:tcW w:w="789" w:type="pct"/>
            <w:tcBorders>
              <w:top w:val="single" w:sz="4" w:space="0" w:color="auto"/>
              <w:left w:val="single" w:sz="4" w:space="0" w:color="auto"/>
              <w:bottom w:val="single" w:sz="4" w:space="0" w:color="auto"/>
              <w:right w:val="single" w:sz="4" w:space="0" w:color="auto"/>
            </w:tcBorders>
            <w:vAlign w:val="center"/>
            <w:hideMark/>
          </w:tcPr>
          <w:p w:rsidR="00E3259F" w:rsidRPr="00063C1A" w:rsidRDefault="00E3259F" w:rsidP="008B751B">
            <w:pPr>
              <w:widowControl w:val="0"/>
              <w:suppressLineNumbers/>
              <w:suppressAutoHyphens/>
              <w:snapToGrid w:val="0"/>
              <w:spacing w:line="360" w:lineRule="auto"/>
              <w:rPr>
                <w:sz w:val="28"/>
                <w:szCs w:val="28"/>
                <w:lang w:val="uk-UA" w:eastAsia="en-US"/>
              </w:rPr>
            </w:pPr>
            <w:r w:rsidRPr="00063C1A">
              <w:rPr>
                <w:sz w:val="28"/>
                <w:szCs w:val="28"/>
                <w:lang w:val="uk-UA" w:eastAsia="en-US"/>
              </w:rPr>
              <w:t>р</w:t>
            </w:r>
            <w:r w:rsidRPr="00063C1A">
              <w:rPr>
                <w:sz w:val="28"/>
                <w:szCs w:val="28"/>
                <w:vertAlign w:val="subscript"/>
                <w:lang w:val="uk-UA" w:eastAsia="en-US"/>
              </w:rPr>
              <w:t>1-2</w:t>
            </w:r>
            <w:r w:rsidRPr="00063C1A">
              <w:rPr>
                <w:sz w:val="28"/>
                <w:szCs w:val="28"/>
                <w:lang w:val="uk-UA" w:eastAsia="en-US"/>
              </w:rPr>
              <w:t>&gt;0,05</w:t>
            </w:r>
          </w:p>
          <w:p w:rsidR="00E3259F" w:rsidRPr="00063C1A" w:rsidRDefault="00E3259F" w:rsidP="008B751B">
            <w:pPr>
              <w:widowControl w:val="0"/>
              <w:suppressLineNumbers/>
              <w:suppressAutoHyphens/>
              <w:snapToGrid w:val="0"/>
              <w:spacing w:line="360" w:lineRule="auto"/>
              <w:jc w:val="center"/>
              <w:rPr>
                <w:sz w:val="28"/>
                <w:szCs w:val="28"/>
                <w:lang w:val="uk-UA" w:eastAsia="en-US"/>
              </w:rPr>
            </w:pPr>
            <w:r w:rsidRPr="00063C1A">
              <w:rPr>
                <w:sz w:val="28"/>
                <w:szCs w:val="28"/>
                <w:lang w:val="uk-UA" w:eastAsia="en-US"/>
              </w:rPr>
              <w:t>р</w:t>
            </w:r>
            <w:r w:rsidRPr="00063C1A">
              <w:rPr>
                <w:sz w:val="28"/>
                <w:szCs w:val="28"/>
                <w:vertAlign w:val="subscript"/>
                <w:lang w:val="uk-UA" w:eastAsia="en-US"/>
              </w:rPr>
              <w:t>1-3</w:t>
            </w:r>
            <w:r w:rsidRPr="00063C1A">
              <w:rPr>
                <w:sz w:val="28"/>
                <w:szCs w:val="28"/>
                <w:lang w:val="uk-UA" w:eastAsia="en-US"/>
              </w:rPr>
              <w:t>=0</w:t>
            </w:r>
            <w:r w:rsidRPr="00063C1A">
              <w:rPr>
                <w:sz w:val="28"/>
                <w:szCs w:val="28"/>
                <w:lang w:eastAsia="en-US"/>
              </w:rPr>
              <w:t>,00</w:t>
            </w:r>
            <w:r w:rsidRPr="00063C1A">
              <w:rPr>
                <w:sz w:val="28"/>
                <w:szCs w:val="28"/>
                <w:lang w:val="uk-UA" w:eastAsia="en-US"/>
              </w:rPr>
              <w:t>1</w:t>
            </w:r>
          </w:p>
          <w:p w:rsidR="00E3259F" w:rsidRPr="00063C1A" w:rsidRDefault="00E3259F" w:rsidP="008B751B">
            <w:pPr>
              <w:widowControl w:val="0"/>
              <w:suppressLineNumbers/>
              <w:suppressAutoHyphens/>
              <w:snapToGrid w:val="0"/>
              <w:spacing w:line="360" w:lineRule="auto"/>
              <w:jc w:val="center"/>
              <w:rPr>
                <w:rFonts w:eastAsia="Arial Unicode MS"/>
                <w:kern w:val="2"/>
                <w:sz w:val="28"/>
                <w:szCs w:val="28"/>
                <w:vertAlign w:val="superscript"/>
                <w:lang w:val="uk-UA" w:eastAsia="en-US"/>
              </w:rPr>
            </w:pPr>
            <w:r w:rsidRPr="00063C1A">
              <w:rPr>
                <w:sz w:val="28"/>
                <w:szCs w:val="28"/>
                <w:lang w:val="uk-UA" w:eastAsia="en-US"/>
              </w:rPr>
              <w:t>р</w:t>
            </w:r>
            <w:r w:rsidRPr="00063C1A">
              <w:rPr>
                <w:sz w:val="28"/>
                <w:szCs w:val="28"/>
                <w:vertAlign w:val="subscript"/>
                <w:lang w:val="uk-UA" w:eastAsia="en-US"/>
              </w:rPr>
              <w:t>2-3</w:t>
            </w:r>
            <w:r w:rsidRPr="00063C1A">
              <w:rPr>
                <w:sz w:val="28"/>
                <w:szCs w:val="28"/>
                <w:lang w:val="uk-UA" w:eastAsia="en-US"/>
              </w:rPr>
              <w:t>=0</w:t>
            </w:r>
            <w:r w:rsidRPr="00063C1A">
              <w:rPr>
                <w:sz w:val="28"/>
                <w:szCs w:val="28"/>
                <w:lang w:eastAsia="en-US"/>
              </w:rPr>
              <w:t>,003</w:t>
            </w:r>
          </w:p>
        </w:tc>
      </w:tr>
    </w:tbl>
    <w:p w:rsidR="00E3259F" w:rsidRPr="00063C1A" w:rsidRDefault="00E3259F" w:rsidP="008B751B">
      <w:pPr>
        <w:spacing w:line="360" w:lineRule="auto"/>
        <w:jc w:val="both"/>
        <w:rPr>
          <w:sz w:val="28"/>
          <w:szCs w:val="28"/>
          <w:lang w:val="uk-UA" w:eastAsia="en-US"/>
        </w:rPr>
      </w:pPr>
      <w:r w:rsidRPr="00063C1A">
        <w:rPr>
          <w:sz w:val="28"/>
          <w:szCs w:val="28"/>
          <w:lang w:val="uk-UA"/>
        </w:rPr>
        <w:t>Примітка: * - р&lt;0,05 – рівень значущості відмінностей порівняно з контрольною групою, р</w:t>
      </w:r>
      <w:r w:rsidRPr="00063C1A">
        <w:rPr>
          <w:sz w:val="28"/>
          <w:szCs w:val="28"/>
          <w:vertAlign w:val="subscript"/>
          <w:lang w:val="uk-UA"/>
        </w:rPr>
        <w:t>1-2 -</w:t>
      </w:r>
      <w:r w:rsidRPr="00063C1A">
        <w:rPr>
          <w:sz w:val="28"/>
          <w:szCs w:val="28"/>
          <w:lang w:val="uk-UA"/>
        </w:rPr>
        <w:t xml:space="preserve">  рівень значущості відмінностей при порівнянні  групи 1 та 2, р</w:t>
      </w:r>
      <w:r w:rsidRPr="00063C1A">
        <w:rPr>
          <w:sz w:val="28"/>
          <w:szCs w:val="28"/>
          <w:vertAlign w:val="subscript"/>
          <w:lang w:val="uk-UA"/>
        </w:rPr>
        <w:t xml:space="preserve">1-3 - </w:t>
      </w:r>
      <w:r w:rsidRPr="00063C1A">
        <w:rPr>
          <w:sz w:val="28"/>
          <w:szCs w:val="28"/>
          <w:lang w:val="uk-UA"/>
        </w:rPr>
        <w:t>рівень значущості відмінностей при порівнянні  групи 1 та 3, р</w:t>
      </w:r>
      <w:r w:rsidRPr="00063C1A">
        <w:rPr>
          <w:sz w:val="28"/>
          <w:szCs w:val="28"/>
          <w:vertAlign w:val="subscript"/>
          <w:lang w:val="uk-UA"/>
        </w:rPr>
        <w:t>2-3</w:t>
      </w:r>
      <w:r w:rsidRPr="00063C1A">
        <w:rPr>
          <w:sz w:val="28"/>
          <w:szCs w:val="28"/>
          <w:lang w:val="uk-UA"/>
        </w:rPr>
        <w:t xml:space="preserve"> - рівень значущості відмінностей при порівнянні  групи групи 2 та 3</w:t>
      </w:r>
    </w:p>
    <w:p w:rsidR="00E3259F" w:rsidRDefault="00E3259F" w:rsidP="00E3259F">
      <w:pPr>
        <w:spacing w:line="360" w:lineRule="auto"/>
        <w:ind w:firstLine="709"/>
        <w:jc w:val="both"/>
        <w:rPr>
          <w:rFonts w:eastAsia="Calibri"/>
          <w:sz w:val="28"/>
          <w:szCs w:val="28"/>
          <w:lang w:val="uk-UA"/>
        </w:rPr>
      </w:pPr>
    </w:p>
    <w:p w:rsidR="00E3259F" w:rsidRPr="00063C1A" w:rsidRDefault="00E3259F" w:rsidP="00063C1A">
      <w:pPr>
        <w:widowControl w:val="0"/>
        <w:suppressLineNumbers/>
        <w:suppressAutoHyphens/>
        <w:snapToGrid w:val="0"/>
        <w:spacing w:line="360" w:lineRule="auto"/>
        <w:ind w:firstLine="709"/>
        <w:jc w:val="both"/>
        <w:rPr>
          <w:rFonts w:eastAsia="Calibri"/>
          <w:sz w:val="28"/>
          <w:szCs w:val="28"/>
          <w:lang w:val="uk-UA"/>
        </w:rPr>
      </w:pPr>
      <w:r w:rsidRPr="00063C1A">
        <w:rPr>
          <w:rFonts w:eastAsia="Calibri"/>
          <w:sz w:val="28"/>
          <w:szCs w:val="28"/>
          <w:lang w:val="uk-UA"/>
        </w:rPr>
        <w:t>Наявність коморбідної патології супроводжувалася статистично значущими відмінностями за МТ та ІМТ порівняно з пацієнтами з ізольованою ГХ. Так, при поєднаному перебігу ГХ та ЦД 2 типу МТ та ІМТ були  достовірно вищими, ніж при ізольованій ГХ (</w:t>
      </w:r>
      <w:r w:rsidRPr="00063C1A">
        <w:rPr>
          <w:sz w:val="28"/>
          <w:szCs w:val="28"/>
          <w:lang w:val="uk-UA"/>
        </w:rPr>
        <w:t xml:space="preserve">МТ: 88,18±0,89 кг проти 84,08±0,85 кг, р&lt;0,001; ІМТ: 30,53±0,63 проти 29,05±0,92, </w:t>
      </w:r>
      <w:r w:rsidRPr="00063C1A">
        <w:rPr>
          <w:rFonts w:eastAsia="Arial Unicode MS"/>
          <w:kern w:val="2"/>
          <w:sz w:val="28"/>
          <w:szCs w:val="28"/>
          <w:lang w:val="uk-UA"/>
        </w:rPr>
        <w:t>р=0</w:t>
      </w:r>
      <w:r w:rsidRPr="00063C1A">
        <w:rPr>
          <w:sz w:val="28"/>
          <w:szCs w:val="28"/>
          <w:lang w:val="uk-UA"/>
        </w:rPr>
        <w:t>,031)</w:t>
      </w:r>
      <w:r w:rsidRPr="00063C1A">
        <w:rPr>
          <w:rFonts w:eastAsia="Calibri"/>
          <w:sz w:val="28"/>
          <w:szCs w:val="28"/>
          <w:lang w:val="uk-UA"/>
        </w:rPr>
        <w:t>, а за наявності СГТ - МТ була достовірно нижчою, ніж у разі ізольованій ГХ (</w:t>
      </w:r>
      <w:r w:rsidRPr="00063C1A">
        <w:rPr>
          <w:sz w:val="28"/>
          <w:szCs w:val="28"/>
          <w:lang w:val="uk-UA"/>
        </w:rPr>
        <w:t xml:space="preserve">МТ: 81,35±1,11 кг проти 84,08±0,85 кг, р&lt;0,001), проте  ІМТ достовірно не відрізнявся (28,56±0,38 проти 29,05±0,92, </w:t>
      </w:r>
      <w:r w:rsidRPr="00063C1A">
        <w:rPr>
          <w:rFonts w:eastAsia="Arial Unicode MS"/>
          <w:kern w:val="2"/>
          <w:sz w:val="28"/>
          <w:szCs w:val="28"/>
          <w:lang w:val="uk-UA"/>
        </w:rPr>
        <w:t>р&gt;0</w:t>
      </w:r>
      <w:r w:rsidRPr="00063C1A">
        <w:rPr>
          <w:sz w:val="28"/>
          <w:szCs w:val="28"/>
          <w:lang w:val="uk-UA"/>
        </w:rPr>
        <w:t>,05)</w:t>
      </w:r>
      <w:r w:rsidRPr="00063C1A">
        <w:rPr>
          <w:rFonts w:eastAsia="Calibri"/>
          <w:sz w:val="28"/>
          <w:szCs w:val="28"/>
          <w:lang w:val="uk-UA"/>
        </w:rPr>
        <w:t>. Порівняно з групою контролю всі групи пацієнтів мали достовірно вищі МТ (р&lt;0,001) та ІМТ (р&lt;0,001).</w:t>
      </w:r>
    </w:p>
    <w:p w:rsidR="00E3259F" w:rsidRPr="00063C1A" w:rsidRDefault="00E3259F" w:rsidP="00063C1A">
      <w:pPr>
        <w:pStyle w:val="13"/>
        <w:shd w:val="clear" w:color="auto" w:fill="FFFFFF"/>
        <w:spacing w:before="0" w:beforeAutospacing="0" w:after="0" w:afterAutospacing="0" w:line="360" w:lineRule="auto"/>
        <w:ind w:firstLine="709"/>
        <w:jc w:val="both"/>
        <w:rPr>
          <w:sz w:val="28"/>
          <w:szCs w:val="28"/>
        </w:rPr>
      </w:pPr>
      <w:r w:rsidRPr="00063C1A">
        <w:rPr>
          <w:sz w:val="28"/>
          <w:szCs w:val="28"/>
        </w:rPr>
        <w:t xml:space="preserve">Для характеристики </w:t>
      </w:r>
      <w:r w:rsidRPr="00063C1A">
        <w:rPr>
          <w:sz w:val="28"/>
          <w:szCs w:val="28"/>
          <w:lang w:val="uk-UA"/>
        </w:rPr>
        <w:t xml:space="preserve">типу маси тіла </w:t>
      </w:r>
      <w:r w:rsidRPr="00063C1A">
        <w:rPr>
          <w:sz w:val="28"/>
          <w:szCs w:val="28"/>
        </w:rPr>
        <w:t xml:space="preserve">визначався </w:t>
      </w:r>
      <w:r w:rsidRPr="00063C1A">
        <w:rPr>
          <w:sz w:val="28"/>
          <w:szCs w:val="28"/>
          <w:lang w:val="uk-UA"/>
        </w:rPr>
        <w:t>ІМТ</w:t>
      </w:r>
      <w:r w:rsidRPr="00063C1A">
        <w:rPr>
          <w:sz w:val="28"/>
          <w:szCs w:val="28"/>
        </w:rPr>
        <w:t xml:space="preserve">. </w:t>
      </w:r>
      <w:r w:rsidRPr="00063C1A">
        <w:rPr>
          <w:sz w:val="28"/>
          <w:szCs w:val="28"/>
          <w:lang w:val="uk-UA"/>
        </w:rPr>
        <w:t>На цей</w:t>
      </w:r>
      <w:r w:rsidRPr="00063C1A">
        <w:rPr>
          <w:sz w:val="28"/>
          <w:szCs w:val="28"/>
        </w:rPr>
        <w:t xml:space="preserve"> час використовується класифікація, </w:t>
      </w:r>
      <w:r w:rsidRPr="00063C1A">
        <w:rPr>
          <w:sz w:val="28"/>
          <w:szCs w:val="28"/>
          <w:lang w:val="uk-UA"/>
        </w:rPr>
        <w:t>р</w:t>
      </w:r>
      <w:r w:rsidRPr="00063C1A">
        <w:rPr>
          <w:sz w:val="28"/>
          <w:szCs w:val="28"/>
        </w:rPr>
        <w:t>озроблена Національним інститутом здоров'я (National Health Institute - NIH) США, і схвалена Всесвітньою організацією охорони здоров'я (Табл. 2</w:t>
      </w:r>
      <w:r w:rsidRPr="00063C1A">
        <w:rPr>
          <w:sz w:val="28"/>
          <w:szCs w:val="28"/>
          <w:lang w:val="uk-UA"/>
        </w:rPr>
        <w:t>.5</w:t>
      </w:r>
      <w:r w:rsidRPr="00063C1A">
        <w:rPr>
          <w:sz w:val="28"/>
          <w:szCs w:val="28"/>
        </w:rPr>
        <w:t>) [</w:t>
      </w:r>
      <w:r w:rsidRPr="00063C1A">
        <w:rPr>
          <w:sz w:val="28"/>
          <w:szCs w:val="28"/>
          <w:lang w:val="uk-UA"/>
        </w:rPr>
        <w:t>186</w:t>
      </w:r>
      <w:r w:rsidRPr="00063C1A">
        <w:rPr>
          <w:sz w:val="28"/>
          <w:szCs w:val="28"/>
        </w:rPr>
        <w:t>].</w:t>
      </w:r>
    </w:p>
    <w:p w:rsidR="00E3259F" w:rsidRDefault="00E3259F" w:rsidP="00E3259F">
      <w:pPr>
        <w:spacing w:line="360" w:lineRule="auto"/>
        <w:ind w:firstLine="709"/>
        <w:jc w:val="right"/>
        <w:rPr>
          <w:sz w:val="28"/>
          <w:szCs w:val="28"/>
        </w:rPr>
      </w:pPr>
      <w:r>
        <w:rPr>
          <w:sz w:val="28"/>
          <w:szCs w:val="28"/>
        </w:rPr>
        <w:t>Таблиця 2</w:t>
      </w:r>
      <w:r>
        <w:rPr>
          <w:sz w:val="28"/>
          <w:szCs w:val="28"/>
          <w:lang w:val="uk-UA"/>
        </w:rPr>
        <w:t>.5</w:t>
      </w:r>
    </w:p>
    <w:p w:rsidR="00E3259F" w:rsidRDefault="00E3259F" w:rsidP="00E3259F">
      <w:pPr>
        <w:spacing w:line="360" w:lineRule="auto"/>
        <w:ind w:firstLine="709"/>
        <w:jc w:val="center"/>
        <w:rPr>
          <w:sz w:val="28"/>
          <w:szCs w:val="28"/>
        </w:rPr>
      </w:pPr>
      <w:r>
        <w:rPr>
          <w:sz w:val="28"/>
          <w:szCs w:val="28"/>
        </w:rPr>
        <w:t xml:space="preserve">Класифікація </w:t>
      </w:r>
      <w:r>
        <w:rPr>
          <w:sz w:val="28"/>
          <w:szCs w:val="28"/>
          <w:lang w:val="uk-UA"/>
        </w:rPr>
        <w:t xml:space="preserve">типу маси тіла </w:t>
      </w:r>
      <w:r>
        <w:rPr>
          <w:sz w:val="28"/>
          <w:szCs w:val="28"/>
        </w:rPr>
        <w:t>за ІМТ (ВООЗ, 1997 року)</w:t>
      </w:r>
    </w:p>
    <w:tbl>
      <w:tblPr>
        <w:tblW w:w="494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786"/>
        <w:gridCol w:w="4679"/>
      </w:tblGrid>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Тип маси тіла</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vertAlign w:val="superscript"/>
                <w:lang w:eastAsia="en-US"/>
              </w:rPr>
            </w:pPr>
            <w:r>
              <w:rPr>
                <w:sz w:val="28"/>
                <w:szCs w:val="28"/>
                <w:lang w:eastAsia="en-US"/>
              </w:rPr>
              <w:t>ІМТ кг/м</w:t>
            </w:r>
            <w:r>
              <w:rPr>
                <w:sz w:val="28"/>
                <w:szCs w:val="28"/>
                <w:vertAlign w:val="superscript"/>
                <w:lang w:eastAsia="en-US"/>
              </w:rPr>
              <w:t>2</w:t>
            </w:r>
          </w:p>
        </w:tc>
      </w:tr>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Дефіцит маси тіла</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менше 18</w:t>
            </w:r>
          </w:p>
        </w:tc>
      </w:tr>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Нормальна маса тіла</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18,5-24,9</w:t>
            </w:r>
          </w:p>
        </w:tc>
      </w:tr>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Підвищена маса тіла</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25-29,9</w:t>
            </w:r>
          </w:p>
        </w:tc>
      </w:tr>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 xml:space="preserve">Ожиріння </w:t>
            </w:r>
            <w:r>
              <w:rPr>
                <w:sz w:val="28"/>
                <w:szCs w:val="28"/>
                <w:lang w:val="en-US" w:eastAsia="en-US"/>
              </w:rPr>
              <w:t>I</w:t>
            </w:r>
            <w:r>
              <w:rPr>
                <w:sz w:val="28"/>
                <w:szCs w:val="28"/>
                <w:lang w:eastAsia="en-US"/>
              </w:rPr>
              <w:t xml:space="preserve"> ступеня</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30-34,9</w:t>
            </w:r>
          </w:p>
        </w:tc>
      </w:tr>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 xml:space="preserve">Ожиріння </w:t>
            </w:r>
            <w:r>
              <w:rPr>
                <w:sz w:val="28"/>
                <w:szCs w:val="28"/>
                <w:lang w:val="en-US" w:eastAsia="en-US"/>
              </w:rPr>
              <w:t>II</w:t>
            </w:r>
            <w:r>
              <w:rPr>
                <w:sz w:val="28"/>
                <w:szCs w:val="28"/>
                <w:lang w:eastAsia="en-US"/>
              </w:rPr>
              <w:t xml:space="preserve"> ступеня</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35-39,9</w:t>
            </w:r>
          </w:p>
        </w:tc>
      </w:tr>
      <w:tr w:rsidR="00E3259F" w:rsidTr="00E3259F">
        <w:tc>
          <w:tcPr>
            <w:tcW w:w="2528"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val="en-US" w:eastAsia="en-US"/>
              </w:rPr>
            </w:pPr>
            <w:r>
              <w:rPr>
                <w:sz w:val="28"/>
                <w:szCs w:val="28"/>
                <w:lang w:eastAsia="en-US"/>
              </w:rPr>
              <w:t xml:space="preserve">Ожиріння </w:t>
            </w:r>
            <w:r>
              <w:rPr>
                <w:sz w:val="28"/>
                <w:szCs w:val="28"/>
                <w:lang w:val="en-US" w:eastAsia="en-US"/>
              </w:rPr>
              <w:t>III</w:t>
            </w:r>
            <w:r>
              <w:rPr>
                <w:sz w:val="28"/>
                <w:szCs w:val="28"/>
                <w:lang w:eastAsia="en-US"/>
              </w:rPr>
              <w:t xml:space="preserve"> ступеня</w:t>
            </w:r>
          </w:p>
        </w:tc>
        <w:tc>
          <w:tcPr>
            <w:tcW w:w="2472" w:type="pct"/>
            <w:tcBorders>
              <w:top w:val="single" w:sz="4" w:space="0" w:color="000000"/>
              <w:left w:val="single" w:sz="4" w:space="0" w:color="000000"/>
              <w:bottom w:val="single" w:sz="4" w:space="0" w:color="000000"/>
              <w:right w:val="single" w:sz="4" w:space="0" w:color="000000"/>
            </w:tcBorders>
            <w:hideMark/>
          </w:tcPr>
          <w:p w:rsidR="00E3259F" w:rsidRDefault="00E3259F">
            <w:pPr>
              <w:spacing w:line="360" w:lineRule="auto"/>
              <w:jc w:val="center"/>
              <w:rPr>
                <w:sz w:val="28"/>
                <w:szCs w:val="28"/>
                <w:lang w:eastAsia="en-US"/>
              </w:rPr>
            </w:pPr>
            <w:r>
              <w:rPr>
                <w:sz w:val="28"/>
                <w:szCs w:val="28"/>
                <w:lang w:eastAsia="en-US"/>
              </w:rPr>
              <w:t>Більше 40</w:t>
            </w:r>
          </w:p>
        </w:tc>
      </w:tr>
    </w:tbl>
    <w:p w:rsidR="00E3259F" w:rsidRDefault="00E3259F" w:rsidP="00E3259F">
      <w:pPr>
        <w:spacing w:line="360" w:lineRule="auto"/>
        <w:ind w:firstLine="709"/>
        <w:jc w:val="both"/>
        <w:rPr>
          <w:rFonts w:eastAsia="Calibri"/>
          <w:sz w:val="28"/>
          <w:szCs w:val="28"/>
          <w:lang w:val="uk-UA"/>
        </w:rPr>
      </w:pPr>
    </w:p>
    <w:p w:rsidR="00E3259F" w:rsidRDefault="00E3259F" w:rsidP="00E3259F">
      <w:pPr>
        <w:spacing w:line="360" w:lineRule="auto"/>
        <w:rPr>
          <w:sz w:val="28"/>
          <w:szCs w:val="28"/>
          <w:lang w:val="uk-UA"/>
        </w:rPr>
      </w:pPr>
      <w:r>
        <w:rPr>
          <w:sz w:val="28"/>
          <w:szCs w:val="28"/>
          <w:lang w:val="uk-UA"/>
        </w:rPr>
        <w:t>За типом МТ всі групи розподілялись наступним чином (Таблиця 2.6):</w:t>
      </w:r>
    </w:p>
    <w:p w:rsidR="00E3259F" w:rsidRDefault="00E3259F" w:rsidP="00E3259F">
      <w:pPr>
        <w:spacing w:line="360" w:lineRule="auto"/>
        <w:jc w:val="right"/>
        <w:rPr>
          <w:sz w:val="28"/>
          <w:szCs w:val="28"/>
          <w:lang w:val="uk-UA"/>
        </w:rPr>
      </w:pPr>
      <w:r>
        <w:rPr>
          <w:sz w:val="28"/>
          <w:szCs w:val="28"/>
          <w:lang w:val="uk-UA"/>
        </w:rPr>
        <w:t>Таблиця 2.6</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26"/>
        <w:gridCol w:w="1572"/>
        <w:gridCol w:w="1572"/>
        <w:gridCol w:w="1644"/>
        <w:gridCol w:w="1658"/>
        <w:gridCol w:w="1198"/>
      </w:tblGrid>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eastAsia="en-US"/>
              </w:rPr>
            </w:pPr>
            <w:r w:rsidRPr="00063C1A">
              <w:rPr>
                <w:sz w:val="26"/>
                <w:szCs w:val="26"/>
                <w:lang w:eastAsia="en-US"/>
              </w:rPr>
              <w:t>Тип маси тіла</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Група контролю</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sz w:val="26"/>
                <w:szCs w:val="26"/>
                <w:lang w:val="en-US" w:eastAsia="en-US"/>
              </w:rPr>
              <w:t>n=</w:t>
            </w:r>
            <w:r w:rsidRPr="00063C1A">
              <w:rPr>
                <w:sz w:val="26"/>
                <w:szCs w:val="26"/>
                <w:lang w:val="uk-UA" w:eastAsia="en-US"/>
              </w:rPr>
              <w:t>30</w:t>
            </w:r>
            <w:r w:rsidRPr="00063C1A">
              <w:rPr>
                <w:sz w:val="26"/>
                <w:szCs w:val="26"/>
                <w:lang w:val="en-US"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1 група</w:t>
            </w:r>
          </w:p>
          <w:p w:rsidR="00E3259F" w:rsidRPr="00063C1A" w:rsidRDefault="00E3259F">
            <w:pPr>
              <w:spacing w:line="276" w:lineRule="auto"/>
              <w:jc w:val="center"/>
              <w:rPr>
                <w:sz w:val="26"/>
                <w:szCs w:val="26"/>
                <w:lang w:val="en-US" w:eastAsia="en-US"/>
              </w:rPr>
            </w:pPr>
            <w:r w:rsidRPr="00063C1A">
              <w:rPr>
                <w:sz w:val="26"/>
                <w:szCs w:val="26"/>
                <w:lang w:val="uk-UA" w:eastAsia="en-US"/>
              </w:rPr>
              <w:t>(</w:t>
            </w:r>
            <w:r w:rsidRPr="00063C1A">
              <w:rPr>
                <w:sz w:val="26"/>
                <w:szCs w:val="26"/>
                <w:lang w:val="en-US" w:eastAsia="en-US"/>
              </w:rPr>
              <w:t>n=106)</w:t>
            </w:r>
          </w:p>
        </w:tc>
        <w:tc>
          <w:tcPr>
            <w:tcW w:w="859"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2 група</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sz w:val="26"/>
                <w:szCs w:val="26"/>
                <w:lang w:val="en-US" w:eastAsia="en-US"/>
              </w:rPr>
              <w:t>n=1</w:t>
            </w:r>
            <w:r w:rsidRPr="00063C1A">
              <w:rPr>
                <w:sz w:val="26"/>
                <w:szCs w:val="26"/>
                <w:lang w:val="uk-UA" w:eastAsia="en-US"/>
              </w:rPr>
              <w:t>5</w:t>
            </w:r>
            <w:r w:rsidRPr="00063C1A">
              <w:rPr>
                <w:sz w:val="26"/>
                <w:szCs w:val="26"/>
                <w:lang w:val="en-US" w:eastAsia="en-US"/>
              </w:rPr>
              <w:t>6)</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3 група</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sz w:val="26"/>
                <w:szCs w:val="26"/>
                <w:lang w:val="en-US" w:eastAsia="en-US"/>
              </w:rPr>
              <w:t>n=</w:t>
            </w:r>
            <w:r w:rsidRPr="00063C1A">
              <w:rPr>
                <w:sz w:val="26"/>
                <w:szCs w:val="26"/>
                <w:lang w:val="uk-UA" w:eastAsia="en-US"/>
              </w:rPr>
              <w:t>93</w:t>
            </w:r>
            <w:r w:rsidRPr="00063C1A">
              <w:rPr>
                <w:sz w:val="26"/>
                <w:szCs w:val="26"/>
                <w:lang w:val="en-US" w:eastAsia="en-US"/>
              </w:rPr>
              <w:t>)</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vertAlign w:val="superscript"/>
                <w:lang w:eastAsia="en-US"/>
              </w:rPr>
            </w:pPr>
            <w:r w:rsidRPr="00063C1A">
              <w:rPr>
                <w:sz w:val="26"/>
                <w:szCs w:val="26"/>
                <w:lang w:eastAsia="en-US"/>
              </w:rPr>
              <w:t>ІМТ кг/м</w:t>
            </w:r>
            <w:r w:rsidRPr="00063C1A">
              <w:rPr>
                <w:sz w:val="26"/>
                <w:szCs w:val="26"/>
                <w:vertAlign w:val="superscript"/>
                <w:lang w:eastAsia="en-US"/>
              </w:rPr>
              <w:t>2</w:t>
            </w:r>
          </w:p>
        </w:tc>
      </w:tr>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rsidP="00063C1A">
            <w:pPr>
              <w:spacing w:line="276" w:lineRule="auto"/>
              <w:rPr>
                <w:sz w:val="26"/>
                <w:szCs w:val="26"/>
                <w:lang w:eastAsia="en-US"/>
              </w:rPr>
            </w:pPr>
            <w:r w:rsidRPr="00063C1A">
              <w:rPr>
                <w:sz w:val="26"/>
                <w:szCs w:val="26"/>
                <w:lang w:eastAsia="en-US"/>
              </w:rPr>
              <w:t>Дефіцит маси тіла</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859"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eastAsia="en-US"/>
              </w:rPr>
            </w:pPr>
            <w:r w:rsidRPr="00063C1A">
              <w:rPr>
                <w:sz w:val="26"/>
                <w:szCs w:val="26"/>
                <w:lang w:eastAsia="en-US"/>
              </w:rPr>
              <w:t>менше 18</w:t>
            </w:r>
          </w:p>
        </w:tc>
      </w:tr>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rsidP="00063C1A">
            <w:pPr>
              <w:spacing w:line="276" w:lineRule="auto"/>
              <w:rPr>
                <w:sz w:val="26"/>
                <w:szCs w:val="26"/>
                <w:lang w:val="uk-UA" w:eastAsia="en-US"/>
              </w:rPr>
            </w:pPr>
            <w:r w:rsidRPr="00063C1A">
              <w:rPr>
                <w:sz w:val="26"/>
                <w:szCs w:val="26"/>
                <w:lang w:eastAsia="en-US"/>
              </w:rPr>
              <w:t>Нормальна маса тіла</w:t>
            </w:r>
            <w:r w:rsidRPr="00063C1A">
              <w:rPr>
                <w:sz w:val="26"/>
                <w:szCs w:val="26"/>
                <w:lang w:val="uk-UA" w:eastAsia="en-US"/>
              </w:rPr>
              <w:t xml:space="preserve">, </w:t>
            </w:r>
            <w:r w:rsidRPr="00063C1A">
              <w:rPr>
                <w:sz w:val="26"/>
                <w:szCs w:val="26"/>
                <w:lang w:val="en-US" w:eastAsia="en-US"/>
              </w:rPr>
              <w:t>n</w:t>
            </w:r>
            <w:r w:rsidR="00063C1A" w:rsidRPr="00063C1A">
              <w:rPr>
                <w:sz w:val="26"/>
                <w:szCs w:val="26"/>
                <w:lang w:val="uk-UA" w:eastAsia="en-US"/>
              </w:rPr>
              <w:t xml:space="preserve"> </w:t>
            </w:r>
            <w:r w:rsidRPr="00063C1A">
              <w:rPr>
                <w:sz w:val="26"/>
                <w:szCs w:val="26"/>
                <w:lang w:val="en-US"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12</w:t>
            </w:r>
          </w:p>
          <w:p w:rsidR="00E3259F" w:rsidRPr="00063C1A" w:rsidRDefault="00E3259F">
            <w:pPr>
              <w:spacing w:line="276" w:lineRule="auto"/>
              <w:jc w:val="center"/>
              <w:rPr>
                <w:sz w:val="26"/>
                <w:szCs w:val="26"/>
                <w:lang w:val="uk-UA" w:eastAsia="en-US"/>
              </w:rPr>
            </w:pPr>
            <w:r w:rsidRPr="00063C1A">
              <w:rPr>
                <w:sz w:val="26"/>
                <w:szCs w:val="26"/>
                <w:lang w:val="uk-UA" w:eastAsia="en-US"/>
              </w:rPr>
              <w:t>(40,0</w:t>
            </w:r>
            <w:r w:rsidRPr="00063C1A">
              <w:rPr>
                <w:bCs/>
                <w:sz w:val="26"/>
                <w:szCs w:val="26"/>
                <w:shd w:val="clear" w:color="auto" w:fill="FAFAFA"/>
                <w:lang w:eastAsia="en-US"/>
              </w:rPr>
              <w:t>±8,94</w:t>
            </w:r>
            <w:r w:rsidRPr="00063C1A">
              <w:rPr>
                <w:bCs/>
                <w:sz w:val="26"/>
                <w:szCs w:val="26"/>
                <w:shd w:val="clear" w:color="auto" w:fill="FAFAFA"/>
                <w:lang w:val="uk-UA"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6 *</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rFonts w:eastAsia="Calibri"/>
                <w:sz w:val="26"/>
                <w:szCs w:val="26"/>
                <w:lang w:val="uk-UA" w:eastAsia="en-US"/>
              </w:rPr>
              <w:t>5,66</w:t>
            </w:r>
            <w:r w:rsidRPr="00063C1A">
              <w:rPr>
                <w:sz w:val="26"/>
                <w:szCs w:val="26"/>
                <w:lang w:val="uk-UA" w:eastAsia="en-US"/>
              </w:rPr>
              <w:t>±2,24)</w:t>
            </w:r>
          </w:p>
        </w:tc>
        <w:tc>
          <w:tcPr>
            <w:tcW w:w="859"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4 *</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rFonts w:eastAsia="Calibri"/>
                <w:sz w:val="26"/>
                <w:szCs w:val="26"/>
                <w:lang w:val="uk-UA" w:eastAsia="en-US"/>
              </w:rPr>
              <w:t>2,56</w:t>
            </w:r>
            <w:r w:rsidRPr="00063C1A">
              <w:rPr>
                <w:sz w:val="26"/>
                <w:szCs w:val="26"/>
                <w:lang w:val="uk-UA" w:eastAsia="en-US"/>
              </w:rPr>
              <w:t>±1,26)</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11*</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rFonts w:eastAsia="Calibri"/>
                <w:sz w:val="26"/>
                <w:szCs w:val="26"/>
                <w:lang w:val="uk-UA" w:eastAsia="en-US"/>
              </w:rPr>
              <w:t>11,83</w:t>
            </w:r>
            <w:r w:rsidRPr="00063C1A">
              <w:rPr>
                <w:sz w:val="26"/>
                <w:szCs w:val="26"/>
                <w:lang w:val="uk-UA" w:eastAsia="en-US"/>
              </w:rPr>
              <w:t>±3,35)</w:t>
            </w:r>
          </w:p>
          <w:p w:rsidR="00E3259F" w:rsidRPr="00063C1A" w:rsidRDefault="00E3259F">
            <w:pPr>
              <w:spacing w:line="276" w:lineRule="auto"/>
              <w:jc w:val="center"/>
              <w:rPr>
                <w:sz w:val="26"/>
                <w:szCs w:val="26"/>
                <w:lang w:val="uk-UA" w:eastAsia="en-US"/>
              </w:rPr>
            </w:pPr>
            <w:r w:rsidRPr="00063C1A">
              <w:rPr>
                <w:sz w:val="26"/>
                <w:szCs w:val="26"/>
                <w:lang w:val="uk-UA" w:eastAsia="en-US"/>
              </w:rPr>
              <w:t>р=0,003</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rPr>
                <w:sz w:val="26"/>
                <w:szCs w:val="26"/>
                <w:lang w:eastAsia="en-US"/>
              </w:rPr>
            </w:pPr>
            <w:r w:rsidRPr="00063C1A">
              <w:rPr>
                <w:sz w:val="26"/>
                <w:szCs w:val="26"/>
                <w:lang w:eastAsia="en-US"/>
              </w:rPr>
              <w:t>18,5-24,9</w:t>
            </w:r>
          </w:p>
        </w:tc>
      </w:tr>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rsidP="00063C1A">
            <w:pPr>
              <w:spacing w:line="276" w:lineRule="auto"/>
              <w:rPr>
                <w:sz w:val="26"/>
                <w:szCs w:val="26"/>
                <w:lang w:eastAsia="en-US"/>
              </w:rPr>
            </w:pPr>
            <w:r w:rsidRPr="00063C1A">
              <w:rPr>
                <w:sz w:val="26"/>
                <w:szCs w:val="26"/>
                <w:lang w:eastAsia="en-US"/>
              </w:rPr>
              <w:t>Підвищена маса тіла</w:t>
            </w:r>
            <w:r w:rsidRPr="00063C1A">
              <w:rPr>
                <w:sz w:val="26"/>
                <w:szCs w:val="26"/>
                <w:lang w:val="uk-UA" w:eastAsia="en-US"/>
              </w:rPr>
              <w:t>,</w:t>
            </w:r>
            <w:r w:rsidRPr="00063C1A">
              <w:rPr>
                <w:sz w:val="26"/>
                <w:szCs w:val="26"/>
                <w:lang w:val="en-US" w:eastAsia="en-US"/>
              </w:rPr>
              <w:t xml:space="preserve"> n</w:t>
            </w:r>
            <w:r w:rsidR="00063C1A" w:rsidRPr="00063C1A">
              <w:rPr>
                <w:sz w:val="26"/>
                <w:szCs w:val="26"/>
                <w:lang w:val="uk-UA" w:eastAsia="en-US"/>
              </w:rPr>
              <w:t xml:space="preserve"> </w:t>
            </w:r>
            <w:r w:rsidRPr="00063C1A">
              <w:rPr>
                <w:sz w:val="26"/>
                <w:szCs w:val="26"/>
                <w:lang w:val="en-US"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17</w:t>
            </w:r>
          </w:p>
          <w:p w:rsidR="00E3259F" w:rsidRPr="00063C1A" w:rsidRDefault="00E3259F">
            <w:pPr>
              <w:spacing w:line="276" w:lineRule="auto"/>
              <w:jc w:val="center"/>
              <w:rPr>
                <w:sz w:val="26"/>
                <w:szCs w:val="26"/>
                <w:lang w:val="uk-UA" w:eastAsia="en-US"/>
              </w:rPr>
            </w:pPr>
            <w:r w:rsidRPr="00063C1A">
              <w:rPr>
                <w:sz w:val="26"/>
                <w:szCs w:val="26"/>
                <w:lang w:val="uk-UA" w:eastAsia="en-US"/>
              </w:rPr>
              <w:t>(56,67</w:t>
            </w:r>
            <w:r w:rsidRPr="00063C1A">
              <w:rPr>
                <w:bCs/>
                <w:sz w:val="26"/>
                <w:szCs w:val="26"/>
                <w:shd w:val="clear" w:color="auto" w:fill="FAFAFA"/>
                <w:lang w:eastAsia="en-US"/>
              </w:rPr>
              <w:t>±9,05</w:t>
            </w:r>
            <w:r w:rsidRPr="00063C1A">
              <w:rPr>
                <w:bCs/>
                <w:sz w:val="26"/>
                <w:szCs w:val="26"/>
                <w:shd w:val="clear" w:color="auto" w:fill="FAFAFA"/>
                <w:lang w:val="uk-UA"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64</w:t>
            </w:r>
          </w:p>
          <w:p w:rsidR="00E3259F" w:rsidRPr="00063C1A" w:rsidRDefault="00E3259F">
            <w:pPr>
              <w:spacing w:line="276" w:lineRule="auto"/>
              <w:jc w:val="center"/>
              <w:rPr>
                <w:sz w:val="26"/>
                <w:szCs w:val="26"/>
                <w:lang w:val="uk-UA" w:eastAsia="en-US"/>
              </w:rPr>
            </w:pPr>
            <w:r w:rsidRPr="00063C1A">
              <w:rPr>
                <w:sz w:val="26"/>
                <w:szCs w:val="26"/>
                <w:lang w:val="uk-UA" w:eastAsia="en-US"/>
              </w:rPr>
              <w:t>(60,38</w:t>
            </w:r>
            <w:r w:rsidRPr="00063C1A">
              <w:rPr>
                <w:bCs/>
                <w:sz w:val="26"/>
                <w:szCs w:val="26"/>
                <w:shd w:val="clear" w:color="auto" w:fill="FAFAFA"/>
                <w:lang w:eastAsia="en-US"/>
              </w:rPr>
              <w:t>±4,75</w:t>
            </w:r>
            <w:r w:rsidRPr="00063C1A">
              <w:rPr>
                <w:sz w:val="26"/>
                <w:szCs w:val="26"/>
                <w:lang w:val="uk-UA" w:eastAsia="en-US"/>
              </w:rPr>
              <w:t>)</w:t>
            </w:r>
          </w:p>
        </w:tc>
        <w:tc>
          <w:tcPr>
            <w:tcW w:w="859"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78</w:t>
            </w:r>
          </w:p>
          <w:p w:rsidR="00E3259F" w:rsidRPr="00063C1A" w:rsidRDefault="00E3259F">
            <w:pPr>
              <w:spacing w:line="276" w:lineRule="auto"/>
              <w:jc w:val="center"/>
              <w:rPr>
                <w:sz w:val="26"/>
                <w:szCs w:val="26"/>
                <w:lang w:val="uk-UA" w:eastAsia="en-US"/>
              </w:rPr>
            </w:pPr>
            <w:r w:rsidRPr="00063C1A">
              <w:rPr>
                <w:sz w:val="26"/>
                <w:szCs w:val="26"/>
                <w:lang w:val="uk-UA" w:eastAsia="en-US"/>
              </w:rPr>
              <w:t>(50,0</w:t>
            </w:r>
            <w:r w:rsidRPr="00063C1A">
              <w:rPr>
                <w:bCs/>
                <w:sz w:val="26"/>
                <w:szCs w:val="26"/>
                <w:shd w:val="clear" w:color="auto" w:fill="FAFAFA"/>
                <w:lang w:eastAsia="en-US"/>
              </w:rPr>
              <w:t>±4,00</w:t>
            </w:r>
            <w:r w:rsidRPr="00063C1A">
              <w:rPr>
                <w:sz w:val="26"/>
                <w:szCs w:val="26"/>
                <w:lang w:val="uk-UA" w:eastAsia="en-US"/>
              </w:rPr>
              <w:t>)</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57</w:t>
            </w:r>
          </w:p>
          <w:p w:rsidR="00E3259F" w:rsidRPr="00063C1A" w:rsidRDefault="00E3259F">
            <w:pPr>
              <w:spacing w:line="276" w:lineRule="auto"/>
              <w:jc w:val="center"/>
              <w:rPr>
                <w:sz w:val="26"/>
                <w:szCs w:val="26"/>
                <w:lang w:val="uk-UA" w:eastAsia="en-US"/>
              </w:rPr>
            </w:pPr>
            <w:r w:rsidRPr="00063C1A">
              <w:rPr>
                <w:sz w:val="26"/>
                <w:szCs w:val="26"/>
                <w:lang w:val="uk-UA" w:eastAsia="en-US"/>
              </w:rPr>
              <w:t>(</w:t>
            </w:r>
            <w:r w:rsidRPr="00063C1A">
              <w:rPr>
                <w:sz w:val="26"/>
                <w:szCs w:val="26"/>
                <w:lang w:eastAsia="en-US"/>
              </w:rPr>
              <w:t>61,29</w:t>
            </w:r>
            <w:r w:rsidRPr="00063C1A">
              <w:rPr>
                <w:bCs/>
                <w:sz w:val="26"/>
                <w:szCs w:val="26"/>
                <w:shd w:val="clear" w:color="auto" w:fill="FAFAFA"/>
                <w:lang w:eastAsia="en-US"/>
              </w:rPr>
              <w:t>±5,05</w:t>
            </w:r>
            <w:r w:rsidRPr="00063C1A">
              <w:rPr>
                <w:sz w:val="26"/>
                <w:szCs w:val="26"/>
                <w:lang w:val="uk-UA" w:eastAsia="en-US"/>
              </w:rPr>
              <w:t>)</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eastAsia="en-US"/>
              </w:rPr>
            </w:pPr>
            <w:r w:rsidRPr="00063C1A">
              <w:rPr>
                <w:sz w:val="26"/>
                <w:szCs w:val="26"/>
                <w:lang w:eastAsia="en-US"/>
              </w:rPr>
              <w:t>25-29,9</w:t>
            </w:r>
          </w:p>
        </w:tc>
      </w:tr>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rsidP="00063C1A">
            <w:pPr>
              <w:spacing w:line="276" w:lineRule="auto"/>
              <w:rPr>
                <w:sz w:val="26"/>
                <w:szCs w:val="26"/>
                <w:lang w:val="uk-UA" w:eastAsia="en-US"/>
              </w:rPr>
            </w:pPr>
            <w:r w:rsidRPr="00063C1A">
              <w:rPr>
                <w:sz w:val="26"/>
                <w:szCs w:val="26"/>
                <w:lang w:eastAsia="en-US"/>
              </w:rPr>
              <w:t xml:space="preserve">Ожиріння </w:t>
            </w:r>
            <w:r w:rsidRPr="00063C1A">
              <w:rPr>
                <w:sz w:val="26"/>
                <w:szCs w:val="26"/>
                <w:lang w:val="en-US" w:eastAsia="en-US"/>
              </w:rPr>
              <w:t>I</w:t>
            </w:r>
            <w:r w:rsidRPr="00063C1A">
              <w:rPr>
                <w:sz w:val="26"/>
                <w:szCs w:val="26"/>
                <w:lang w:eastAsia="en-US"/>
              </w:rPr>
              <w:t xml:space="preserve"> ступеня</w:t>
            </w:r>
            <w:r w:rsidRPr="00063C1A">
              <w:rPr>
                <w:sz w:val="26"/>
                <w:szCs w:val="26"/>
                <w:lang w:val="uk-UA" w:eastAsia="en-US"/>
              </w:rPr>
              <w:t>,</w:t>
            </w:r>
            <w:r w:rsidRPr="00063C1A">
              <w:rPr>
                <w:sz w:val="26"/>
                <w:szCs w:val="26"/>
                <w:lang w:val="en-US" w:eastAsia="en-US"/>
              </w:rPr>
              <w:t xml:space="preserve"> n</w:t>
            </w:r>
            <w:r w:rsidR="00063C1A" w:rsidRPr="00063C1A">
              <w:rPr>
                <w:sz w:val="26"/>
                <w:szCs w:val="26"/>
                <w:lang w:val="uk-UA" w:eastAsia="en-US"/>
              </w:rPr>
              <w:t xml:space="preserve"> </w:t>
            </w:r>
            <w:r w:rsidRPr="00063C1A">
              <w:rPr>
                <w:sz w:val="26"/>
                <w:szCs w:val="26"/>
                <w:lang w:val="en-US"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1</w:t>
            </w:r>
          </w:p>
          <w:p w:rsidR="00E3259F" w:rsidRPr="00063C1A" w:rsidRDefault="00E3259F">
            <w:pPr>
              <w:spacing w:line="276" w:lineRule="auto"/>
              <w:jc w:val="center"/>
              <w:rPr>
                <w:sz w:val="26"/>
                <w:szCs w:val="26"/>
                <w:lang w:val="uk-UA" w:eastAsia="en-US"/>
              </w:rPr>
            </w:pPr>
            <w:r w:rsidRPr="00063C1A">
              <w:rPr>
                <w:sz w:val="26"/>
                <w:szCs w:val="26"/>
                <w:lang w:val="uk-UA" w:eastAsia="en-US"/>
              </w:rPr>
              <w:t>(3,3</w:t>
            </w:r>
            <w:r w:rsidRPr="00063C1A">
              <w:rPr>
                <w:bCs/>
                <w:sz w:val="26"/>
                <w:szCs w:val="26"/>
                <w:shd w:val="clear" w:color="auto" w:fill="FAFAFA"/>
                <w:lang w:eastAsia="en-US"/>
              </w:rPr>
              <w:t>±3,28</w:t>
            </w:r>
            <w:r w:rsidRPr="00063C1A">
              <w:rPr>
                <w:sz w:val="26"/>
                <w:szCs w:val="26"/>
                <w:lang w:val="uk-UA"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29*</w:t>
            </w:r>
          </w:p>
          <w:p w:rsidR="00E3259F" w:rsidRPr="00063C1A" w:rsidRDefault="00E3259F">
            <w:pPr>
              <w:spacing w:line="276" w:lineRule="auto"/>
              <w:jc w:val="center"/>
              <w:rPr>
                <w:sz w:val="26"/>
                <w:szCs w:val="26"/>
                <w:lang w:val="uk-UA" w:eastAsia="en-US"/>
              </w:rPr>
            </w:pPr>
            <w:r w:rsidRPr="00063C1A">
              <w:rPr>
                <w:sz w:val="26"/>
                <w:szCs w:val="26"/>
                <w:lang w:val="uk-UA" w:eastAsia="en-US"/>
              </w:rPr>
              <w:t>(27,36</w:t>
            </w:r>
            <w:r w:rsidRPr="00063C1A">
              <w:rPr>
                <w:bCs/>
                <w:sz w:val="26"/>
                <w:szCs w:val="26"/>
                <w:shd w:val="clear" w:color="auto" w:fill="FAFAFA"/>
                <w:lang w:eastAsia="en-US"/>
              </w:rPr>
              <w:t>±4,33</w:t>
            </w:r>
            <w:r w:rsidRPr="00063C1A">
              <w:rPr>
                <w:sz w:val="26"/>
                <w:szCs w:val="26"/>
                <w:lang w:val="uk-UA" w:eastAsia="en-US"/>
              </w:rPr>
              <w:t>)</w:t>
            </w:r>
          </w:p>
        </w:tc>
        <w:tc>
          <w:tcPr>
            <w:tcW w:w="859"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54*</w:t>
            </w:r>
          </w:p>
          <w:p w:rsidR="00E3259F" w:rsidRPr="00063C1A" w:rsidRDefault="00E3259F">
            <w:pPr>
              <w:spacing w:line="276" w:lineRule="auto"/>
              <w:jc w:val="center"/>
              <w:rPr>
                <w:sz w:val="26"/>
                <w:szCs w:val="26"/>
                <w:lang w:val="uk-UA" w:eastAsia="en-US"/>
              </w:rPr>
            </w:pPr>
            <w:r w:rsidRPr="00063C1A">
              <w:rPr>
                <w:sz w:val="26"/>
                <w:szCs w:val="26"/>
                <w:lang w:val="uk-UA" w:eastAsia="en-US"/>
              </w:rPr>
              <w:t>(34,62</w:t>
            </w:r>
            <w:r w:rsidRPr="00063C1A">
              <w:rPr>
                <w:bCs/>
                <w:sz w:val="26"/>
                <w:szCs w:val="26"/>
                <w:shd w:val="clear" w:color="auto" w:fill="FAFAFA"/>
                <w:lang w:eastAsia="en-US"/>
              </w:rPr>
              <w:t>±3,81</w:t>
            </w:r>
            <w:r w:rsidRPr="00063C1A">
              <w:rPr>
                <w:bCs/>
                <w:sz w:val="26"/>
                <w:szCs w:val="26"/>
                <w:shd w:val="clear" w:color="auto" w:fill="FAFAFA"/>
                <w:lang w:val="uk-UA" w:eastAsia="en-US"/>
              </w:rPr>
              <w:t>)</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20*</w:t>
            </w:r>
          </w:p>
          <w:p w:rsidR="00E3259F" w:rsidRPr="00063C1A" w:rsidRDefault="00E3259F">
            <w:pPr>
              <w:spacing w:line="276" w:lineRule="auto"/>
              <w:jc w:val="center"/>
              <w:rPr>
                <w:sz w:val="26"/>
                <w:szCs w:val="26"/>
                <w:lang w:val="uk-UA" w:eastAsia="en-US"/>
              </w:rPr>
            </w:pPr>
            <w:r w:rsidRPr="00063C1A">
              <w:rPr>
                <w:sz w:val="26"/>
                <w:szCs w:val="26"/>
                <w:lang w:val="uk-UA" w:eastAsia="en-US"/>
              </w:rPr>
              <w:t>(21,28</w:t>
            </w:r>
            <w:r w:rsidRPr="00063C1A">
              <w:rPr>
                <w:bCs/>
                <w:sz w:val="26"/>
                <w:szCs w:val="26"/>
                <w:shd w:val="clear" w:color="auto" w:fill="FAFAFA"/>
                <w:lang w:eastAsia="en-US"/>
              </w:rPr>
              <w:t>±4,26</w:t>
            </w:r>
            <w:r w:rsidRPr="00063C1A">
              <w:rPr>
                <w:sz w:val="26"/>
                <w:szCs w:val="26"/>
                <w:lang w:val="uk-UA" w:eastAsia="en-US"/>
              </w:rPr>
              <w:t>)</w:t>
            </w:r>
          </w:p>
          <w:p w:rsidR="00E3259F" w:rsidRPr="00063C1A" w:rsidRDefault="00E3259F">
            <w:pPr>
              <w:spacing w:line="276" w:lineRule="auto"/>
              <w:jc w:val="center"/>
              <w:rPr>
                <w:sz w:val="26"/>
                <w:szCs w:val="26"/>
                <w:lang w:val="uk-UA" w:eastAsia="en-US"/>
              </w:rPr>
            </w:pPr>
            <w:r w:rsidRPr="00063C1A">
              <w:rPr>
                <w:sz w:val="26"/>
                <w:szCs w:val="26"/>
                <w:lang w:val="uk-UA" w:eastAsia="en-US"/>
              </w:rPr>
              <w:t>р=0,029</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eastAsia="en-US"/>
              </w:rPr>
            </w:pPr>
            <w:r w:rsidRPr="00063C1A">
              <w:rPr>
                <w:sz w:val="26"/>
                <w:szCs w:val="26"/>
                <w:lang w:eastAsia="en-US"/>
              </w:rPr>
              <w:t>30-34,9</w:t>
            </w:r>
          </w:p>
        </w:tc>
      </w:tr>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rsidP="00063C1A">
            <w:pPr>
              <w:spacing w:line="276" w:lineRule="auto"/>
              <w:rPr>
                <w:sz w:val="26"/>
                <w:szCs w:val="26"/>
                <w:lang w:val="uk-UA" w:eastAsia="en-US"/>
              </w:rPr>
            </w:pPr>
            <w:r w:rsidRPr="00063C1A">
              <w:rPr>
                <w:sz w:val="26"/>
                <w:szCs w:val="26"/>
                <w:lang w:eastAsia="en-US"/>
              </w:rPr>
              <w:t xml:space="preserve">Ожиріння </w:t>
            </w:r>
            <w:r w:rsidRPr="00063C1A">
              <w:rPr>
                <w:sz w:val="26"/>
                <w:szCs w:val="26"/>
                <w:lang w:val="en-US" w:eastAsia="en-US"/>
              </w:rPr>
              <w:t>II</w:t>
            </w:r>
            <w:r w:rsidRPr="00063C1A">
              <w:rPr>
                <w:sz w:val="26"/>
                <w:szCs w:val="26"/>
                <w:lang w:eastAsia="en-US"/>
              </w:rPr>
              <w:t xml:space="preserve"> ступеня</w:t>
            </w:r>
            <w:r w:rsidRPr="00063C1A">
              <w:rPr>
                <w:sz w:val="26"/>
                <w:szCs w:val="26"/>
                <w:lang w:val="uk-UA" w:eastAsia="en-US"/>
              </w:rPr>
              <w:t>,</w:t>
            </w:r>
            <w:r w:rsidR="00063C1A" w:rsidRPr="00063C1A">
              <w:rPr>
                <w:sz w:val="26"/>
                <w:szCs w:val="26"/>
                <w:lang w:val="uk-UA" w:eastAsia="en-US"/>
              </w:rPr>
              <w:t xml:space="preserve"> </w:t>
            </w:r>
            <w:r w:rsidRPr="00063C1A">
              <w:rPr>
                <w:sz w:val="26"/>
                <w:szCs w:val="26"/>
                <w:lang w:val="en-US" w:eastAsia="en-US"/>
              </w:rPr>
              <w:t>n</w:t>
            </w:r>
            <w:r w:rsidR="00063C1A" w:rsidRPr="00063C1A">
              <w:rPr>
                <w:sz w:val="26"/>
                <w:szCs w:val="26"/>
                <w:lang w:val="uk-UA" w:eastAsia="en-US"/>
              </w:rPr>
              <w:t xml:space="preserve"> </w:t>
            </w:r>
            <w:r w:rsidRPr="00063C1A">
              <w:rPr>
                <w:sz w:val="26"/>
                <w:szCs w:val="26"/>
                <w:lang w:val="en-US"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5 (4,72</w:t>
            </w:r>
            <w:r w:rsidRPr="00063C1A">
              <w:rPr>
                <w:bCs/>
                <w:sz w:val="26"/>
                <w:szCs w:val="26"/>
                <w:shd w:val="clear" w:color="auto" w:fill="FAFAFA"/>
                <w:lang w:eastAsia="en-US"/>
              </w:rPr>
              <w:t>±2,0</w:t>
            </w:r>
            <w:r w:rsidRPr="00063C1A">
              <w:rPr>
                <w:sz w:val="26"/>
                <w:szCs w:val="26"/>
                <w:lang w:val="uk-UA" w:eastAsia="en-US"/>
              </w:rPr>
              <w:t>%)</w:t>
            </w:r>
          </w:p>
        </w:tc>
        <w:tc>
          <w:tcPr>
            <w:tcW w:w="859"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18</w:t>
            </w:r>
          </w:p>
          <w:p w:rsidR="00E3259F" w:rsidRPr="00063C1A" w:rsidRDefault="00E3259F">
            <w:pPr>
              <w:spacing w:line="276" w:lineRule="auto"/>
              <w:jc w:val="center"/>
              <w:rPr>
                <w:sz w:val="26"/>
                <w:szCs w:val="26"/>
                <w:lang w:val="uk-UA" w:eastAsia="en-US"/>
              </w:rPr>
            </w:pPr>
            <w:r w:rsidRPr="00063C1A">
              <w:rPr>
                <w:sz w:val="26"/>
                <w:szCs w:val="26"/>
                <w:lang w:val="uk-UA" w:eastAsia="en-US"/>
              </w:rPr>
              <w:t>(11,54</w:t>
            </w:r>
            <w:r w:rsidRPr="00063C1A">
              <w:rPr>
                <w:bCs/>
                <w:sz w:val="26"/>
                <w:szCs w:val="26"/>
                <w:shd w:val="clear" w:color="auto" w:fill="FAFAFA"/>
                <w:lang w:eastAsia="en-US"/>
              </w:rPr>
              <w:t>±2,56</w:t>
            </w:r>
            <w:r w:rsidRPr="00063C1A">
              <w:rPr>
                <w:sz w:val="26"/>
                <w:szCs w:val="26"/>
                <w:lang w:val="uk-UA" w:eastAsia="en-US"/>
              </w:rPr>
              <w:t>)</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5</w:t>
            </w:r>
          </w:p>
          <w:p w:rsidR="00E3259F" w:rsidRPr="00063C1A" w:rsidRDefault="00E3259F">
            <w:pPr>
              <w:spacing w:line="276" w:lineRule="auto"/>
              <w:jc w:val="center"/>
              <w:rPr>
                <w:sz w:val="26"/>
                <w:szCs w:val="26"/>
                <w:lang w:val="uk-UA" w:eastAsia="en-US"/>
              </w:rPr>
            </w:pPr>
            <w:r w:rsidRPr="00063C1A">
              <w:rPr>
                <w:sz w:val="26"/>
                <w:szCs w:val="26"/>
                <w:lang w:val="uk-UA" w:eastAsia="en-US"/>
              </w:rPr>
              <w:t>(5,32</w:t>
            </w:r>
            <w:r w:rsidRPr="00063C1A">
              <w:rPr>
                <w:bCs/>
                <w:sz w:val="26"/>
                <w:szCs w:val="26"/>
                <w:shd w:val="clear" w:color="auto" w:fill="FAFAFA"/>
                <w:lang w:eastAsia="en-US"/>
              </w:rPr>
              <w:t>±2,34</w:t>
            </w:r>
            <w:r w:rsidRPr="00063C1A">
              <w:rPr>
                <w:sz w:val="26"/>
                <w:szCs w:val="26"/>
                <w:lang w:val="uk-UA" w:eastAsia="en-US"/>
              </w:rPr>
              <w:t>)</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eastAsia="en-US"/>
              </w:rPr>
            </w:pPr>
            <w:r w:rsidRPr="00063C1A">
              <w:rPr>
                <w:sz w:val="26"/>
                <w:szCs w:val="26"/>
                <w:lang w:eastAsia="en-US"/>
              </w:rPr>
              <w:t>35-39,9</w:t>
            </w:r>
          </w:p>
        </w:tc>
      </w:tr>
      <w:tr w:rsidR="00063C1A" w:rsidRPr="00063C1A" w:rsidTr="00063C1A">
        <w:tc>
          <w:tcPr>
            <w:tcW w:w="100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rsidP="00063C1A">
            <w:pPr>
              <w:spacing w:line="276" w:lineRule="auto"/>
              <w:rPr>
                <w:sz w:val="26"/>
                <w:szCs w:val="26"/>
                <w:lang w:val="uk-UA" w:eastAsia="en-US"/>
              </w:rPr>
            </w:pPr>
            <w:r w:rsidRPr="00063C1A">
              <w:rPr>
                <w:sz w:val="26"/>
                <w:szCs w:val="26"/>
                <w:lang w:eastAsia="en-US"/>
              </w:rPr>
              <w:t xml:space="preserve">Ожиріння </w:t>
            </w:r>
            <w:r w:rsidRPr="00063C1A">
              <w:rPr>
                <w:sz w:val="26"/>
                <w:szCs w:val="26"/>
                <w:lang w:val="en-US" w:eastAsia="en-US"/>
              </w:rPr>
              <w:t>III</w:t>
            </w:r>
            <w:r w:rsidRPr="00063C1A">
              <w:rPr>
                <w:sz w:val="26"/>
                <w:szCs w:val="26"/>
                <w:lang w:eastAsia="en-US"/>
              </w:rPr>
              <w:t xml:space="preserve"> ступеня</w:t>
            </w:r>
            <w:r w:rsidRPr="00063C1A">
              <w:rPr>
                <w:sz w:val="26"/>
                <w:szCs w:val="26"/>
                <w:lang w:val="uk-UA" w:eastAsia="en-US"/>
              </w:rPr>
              <w:t>,</w:t>
            </w:r>
            <w:r w:rsidRPr="00063C1A">
              <w:rPr>
                <w:sz w:val="26"/>
                <w:szCs w:val="26"/>
                <w:lang w:val="en-US" w:eastAsia="en-US"/>
              </w:rPr>
              <w:t xml:space="preserve"> n</w:t>
            </w:r>
            <w:r w:rsidR="00063C1A" w:rsidRPr="00063C1A">
              <w:rPr>
                <w:sz w:val="26"/>
                <w:szCs w:val="26"/>
                <w:lang w:val="uk-UA" w:eastAsia="en-US"/>
              </w:rPr>
              <w:t xml:space="preserve"> </w:t>
            </w:r>
            <w:r w:rsidRPr="00063C1A">
              <w:rPr>
                <w:sz w:val="26"/>
                <w:szCs w:val="26"/>
                <w:lang w:val="en-US" w:eastAsia="en-US"/>
              </w:rPr>
              <w:t>(%)</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821"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 xml:space="preserve">2 </w:t>
            </w:r>
          </w:p>
          <w:p w:rsidR="00E3259F" w:rsidRPr="00063C1A" w:rsidRDefault="00E3259F">
            <w:pPr>
              <w:spacing w:line="276" w:lineRule="auto"/>
              <w:jc w:val="center"/>
              <w:rPr>
                <w:sz w:val="26"/>
                <w:szCs w:val="26"/>
                <w:lang w:val="uk-UA" w:eastAsia="en-US"/>
              </w:rPr>
            </w:pPr>
            <w:r w:rsidRPr="00063C1A">
              <w:rPr>
                <w:sz w:val="26"/>
                <w:szCs w:val="26"/>
                <w:lang w:val="uk-UA" w:eastAsia="en-US"/>
              </w:rPr>
              <w:t>(1,89</w:t>
            </w:r>
            <w:r w:rsidRPr="00063C1A">
              <w:rPr>
                <w:bCs/>
                <w:sz w:val="26"/>
                <w:szCs w:val="26"/>
                <w:shd w:val="clear" w:color="auto" w:fill="FAFAFA"/>
                <w:lang w:eastAsia="en-US"/>
              </w:rPr>
              <w:t>±1,32</w:t>
            </w:r>
            <w:r w:rsidRPr="00063C1A">
              <w:rPr>
                <w:sz w:val="26"/>
                <w:szCs w:val="26"/>
                <w:lang w:val="uk-UA" w:eastAsia="en-US"/>
              </w:rPr>
              <w:t>)</w:t>
            </w:r>
          </w:p>
        </w:tc>
        <w:tc>
          <w:tcPr>
            <w:tcW w:w="859" w:type="pct"/>
            <w:tcBorders>
              <w:top w:val="single" w:sz="4" w:space="0" w:color="000000"/>
              <w:left w:val="single" w:sz="4" w:space="0" w:color="000000"/>
              <w:bottom w:val="single" w:sz="4" w:space="0" w:color="000000"/>
              <w:right w:val="single" w:sz="4" w:space="0" w:color="000000"/>
            </w:tcBorders>
          </w:tcPr>
          <w:p w:rsidR="00E3259F" w:rsidRPr="00063C1A" w:rsidRDefault="00E3259F">
            <w:pPr>
              <w:spacing w:line="276" w:lineRule="auto"/>
              <w:jc w:val="center"/>
              <w:rPr>
                <w:sz w:val="26"/>
                <w:szCs w:val="26"/>
                <w:lang w:val="uk-UA" w:eastAsia="en-US"/>
              </w:rPr>
            </w:pPr>
            <w:r w:rsidRPr="00063C1A">
              <w:rPr>
                <w:sz w:val="26"/>
                <w:szCs w:val="26"/>
                <w:lang w:val="uk-UA" w:eastAsia="en-US"/>
              </w:rPr>
              <w:t>2</w:t>
            </w:r>
          </w:p>
          <w:p w:rsidR="00E3259F" w:rsidRPr="00063C1A" w:rsidRDefault="00E3259F" w:rsidP="00063C1A">
            <w:pPr>
              <w:spacing w:line="276" w:lineRule="auto"/>
              <w:jc w:val="center"/>
              <w:rPr>
                <w:sz w:val="26"/>
                <w:szCs w:val="26"/>
                <w:lang w:val="uk-UA" w:eastAsia="en-US"/>
              </w:rPr>
            </w:pPr>
            <w:r w:rsidRPr="00063C1A">
              <w:rPr>
                <w:sz w:val="26"/>
                <w:szCs w:val="26"/>
                <w:lang w:val="uk-UA" w:eastAsia="en-US"/>
              </w:rPr>
              <w:t>(1,28</w:t>
            </w:r>
            <w:r w:rsidRPr="00063C1A">
              <w:rPr>
                <w:bCs/>
                <w:sz w:val="26"/>
                <w:szCs w:val="26"/>
                <w:shd w:val="clear" w:color="auto" w:fill="FAFAFA"/>
                <w:lang w:eastAsia="en-US"/>
              </w:rPr>
              <w:t>±0,90</w:t>
            </w:r>
            <w:r w:rsidRPr="00063C1A">
              <w:rPr>
                <w:sz w:val="26"/>
                <w:szCs w:val="26"/>
                <w:lang w:val="uk-UA" w:eastAsia="en-US"/>
              </w:rPr>
              <w:t>)</w:t>
            </w:r>
          </w:p>
        </w:tc>
        <w:tc>
          <w:tcPr>
            <w:tcW w:w="86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val="uk-UA" w:eastAsia="en-US"/>
              </w:rPr>
            </w:pPr>
            <w:r w:rsidRPr="00063C1A">
              <w:rPr>
                <w:sz w:val="26"/>
                <w:szCs w:val="26"/>
                <w:lang w:val="uk-UA" w:eastAsia="en-US"/>
              </w:rPr>
              <w:t>0</w:t>
            </w:r>
          </w:p>
        </w:tc>
        <w:tc>
          <w:tcPr>
            <w:tcW w:w="626" w:type="pct"/>
            <w:tcBorders>
              <w:top w:val="single" w:sz="4" w:space="0" w:color="000000"/>
              <w:left w:val="single" w:sz="4" w:space="0" w:color="000000"/>
              <w:bottom w:val="single" w:sz="4" w:space="0" w:color="000000"/>
              <w:right w:val="single" w:sz="4" w:space="0" w:color="000000"/>
            </w:tcBorders>
            <w:hideMark/>
          </w:tcPr>
          <w:p w:rsidR="00E3259F" w:rsidRPr="00063C1A" w:rsidRDefault="00E3259F">
            <w:pPr>
              <w:spacing w:line="276" w:lineRule="auto"/>
              <w:jc w:val="center"/>
              <w:rPr>
                <w:sz w:val="26"/>
                <w:szCs w:val="26"/>
                <w:lang w:eastAsia="en-US"/>
              </w:rPr>
            </w:pPr>
            <w:r w:rsidRPr="00063C1A">
              <w:rPr>
                <w:sz w:val="26"/>
                <w:szCs w:val="26"/>
                <w:lang w:eastAsia="en-US"/>
              </w:rPr>
              <w:t>Більше 40</w:t>
            </w:r>
          </w:p>
        </w:tc>
      </w:tr>
    </w:tbl>
    <w:p w:rsidR="00E3259F" w:rsidRPr="00063C1A" w:rsidRDefault="00E3259F" w:rsidP="00E3259F">
      <w:pPr>
        <w:spacing w:line="360" w:lineRule="auto"/>
        <w:ind w:firstLine="709"/>
        <w:jc w:val="both"/>
        <w:rPr>
          <w:rFonts w:asciiTheme="minorHAnsi" w:hAnsiTheme="minorHAnsi" w:cstheme="minorBidi"/>
          <w:sz w:val="28"/>
          <w:szCs w:val="28"/>
          <w:lang w:val="uk-UA" w:eastAsia="en-US"/>
        </w:rPr>
      </w:pPr>
      <w:r w:rsidRPr="00063C1A">
        <w:rPr>
          <w:sz w:val="28"/>
          <w:szCs w:val="28"/>
          <w:lang w:val="uk-UA"/>
        </w:rPr>
        <w:t>Примітка: * - р&lt;0,05</w:t>
      </w:r>
      <w:r w:rsidRPr="00063C1A">
        <w:rPr>
          <w:sz w:val="28"/>
          <w:szCs w:val="28"/>
        </w:rPr>
        <w:t xml:space="preserve"> – </w:t>
      </w:r>
      <w:r w:rsidRPr="00063C1A">
        <w:rPr>
          <w:sz w:val="28"/>
          <w:szCs w:val="28"/>
          <w:lang w:val="uk-UA"/>
        </w:rPr>
        <w:t>рівень значущості відмінностей у порівнянні з контрольною групою, р</w:t>
      </w:r>
      <w:r w:rsidRPr="00063C1A">
        <w:rPr>
          <w:sz w:val="28"/>
          <w:szCs w:val="28"/>
          <w:vertAlign w:val="subscript"/>
          <w:lang w:val="uk-UA"/>
        </w:rPr>
        <w:t>1-2 -</w:t>
      </w:r>
      <w:r w:rsidRPr="00063C1A">
        <w:rPr>
          <w:sz w:val="28"/>
          <w:szCs w:val="28"/>
          <w:lang w:val="uk-UA"/>
        </w:rPr>
        <w:t xml:space="preserve">  рівень значущості відмінностей при порівнянні  групи 1 та 2, р</w:t>
      </w:r>
      <w:r w:rsidRPr="00063C1A">
        <w:rPr>
          <w:sz w:val="28"/>
          <w:szCs w:val="28"/>
          <w:vertAlign w:val="subscript"/>
          <w:lang w:val="uk-UA"/>
        </w:rPr>
        <w:t xml:space="preserve">1-3 - </w:t>
      </w:r>
      <w:r w:rsidRPr="00063C1A">
        <w:rPr>
          <w:sz w:val="28"/>
          <w:szCs w:val="28"/>
          <w:lang w:val="uk-UA"/>
        </w:rPr>
        <w:t>рівень значущості відмінностей при порівнянні  групи 1 та 3, р</w:t>
      </w:r>
      <w:r w:rsidRPr="00063C1A">
        <w:rPr>
          <w:sz w:val="28"/>
          <w:szCs w:val="28"/>
          <w:vertAlign w:val="subscript"/>
          <w:lang w:val="uk-UA"/>
        </w:rPr>
        <w:t>2-3</w:t>
      </w:r>
      <w:r w:rsidRPr="00063C1A">
        <w:rPr>
          <w:sz w:val="28"/>
          <w:szCs w:val="28"/>
          <w:lang w:val="uk-UA"/>
        </w:rPr>
        <w:t xml:space="preserve"> - рівень значущості відмінностей при порівнянні  групи групи 2 та 3</w:t>
      </w:r>
    </w:p>
    <w:p w:rsidR="00E3259F" w:rsidRDefault="00E3259F" w:rsidP="00E3259F">
      <w:pPr>
        <w:widowControl w:val="0"/>
        <w:spacing w:line="360" w:lineRule="auto"/>
        <w:ind w:firstLine="709"/>
        <w:jc w:val="both"/>
        <w:rPr>
          <w:rFonts w:eastAsia="Calibri"/>
          <w:sz w:val="28"/>
          <w:szCs w:val="28"/>
          <w:lang w:val="uk-UA"/>
        </w:rPr>
      </w:pPr>
    </w:p>
    <w:p w:rsidR="00E3259F" w:rsidRPr="00063C1A" w:rsidRDefault="00E3259F" w:rsidP="00063C1A">
      <w:pPr>
        <w:widowControl w:val="0"/>
        <w:spacing w:line="360" w:lineRule="auto"/>
        <w:ind w:firstLine="709"/>
        <w:jc w:val="both"/>
        <w:rPr>
          <w:sz w:val="28"/>
          <w:szCs w:val="28"/>
          <w:lang w:val="uk-UA"/>
        </w:rPr>
      </w:pPr>
      <w:r w:rsidRPr="00063C1A">
        <w:rPr>
          <w:rFonts w:eastAsia="Calibri"/>
          <w:sz w:val="28"/>
          <w:szCs w:val="28"/>
          <w:lang w:val="uk-UA"/>
        </w:rPr>
        <w:t xml:space="preserve">Переважна більшість пацієнтів, незалежно від групи, мала надмірну МТ або ожиріння І ступеня. Незважаючи на те, що існують дані щодо позитивної асоціації між ІМТ та рівнями ТТГ у зв’язку з посиленою експресією ТТГ-рецепторів  на адипоцитах, що призводить до збільшення рівнів ТТГ у тучних осіб та кумуляції жиру </w:t>
      </w:r>
      <w:r w:rsidRPr="00063C1A">
        <w:rPr>
          <w:sz w:val="28"/>
          <w:szCs w:val="28"/>
          <w:lang w:val="uk-UA"/>
        </w:rPr>
        <w:t>[367],</w:t>
      </w:r>
      <w:r w:rsidRPr="00063C1A">
        <w:rPr>
          <w:rFonts w:eastAsia="Calibri"/>
          <w:sz w:val="28"/>
          <w:szCs w:val="28"/>
          <w:lang w:val="uk-UA"/>
        </w:rPr>
        <w:t xml:space="preserve"> у нашій роботі найбільша кількість осіб з нормальною масою тіла -11,83</w:t>
      </w:r>
      <w:r w:rsidRPr="00063C1A">
        <w:rPr>
          <w:sz w:val="28"/>
          <w:szCs w:val="28"/>
          <w:lang w:val="uk-UA"/>
        </w:rPr>
        <w:t>±3,35</w:t>
      </w:r>
      <w:r w:rsidRPr="00063C1A">
        <w:rPr>
          <w:rFonts w:eastAsia="Calibri"/>
          <w:sz w:val="28"/>
          <w:szCs w:val="28"/>
          <w:lang w:val="uk-UA"/>
        </w:rPr>
        <w:t>% спостерігалась у групі 3, в групі 2 кількість осіб з нормальною МТ була достовірно менше, ніж у групі 3 (2,56</w:t>
      </w:r>
      <w:r w:rsidRPr="00063C1A">
        <w:rPr>
          <w:sz w:val="28"/>
          <w:szCs w:val="28"/>
          <w:lang w:val="uk-UA"/>
        </w:rPr>
        <w:t>±1,26</w:t>
      </w:r>
      <w:r w:rsidRPr="00063C1A">
        <w:rPr>
          <w:rFonts w:eastAsia="Calibri"/>
          <w:sz w:val="28"/>
          <w:szCs w:val="28"/>
          <w:lang w:val="uk-UA"/>
        </w:rPr>
        <w:t>%  проти11,83</w:t>
      </w:r>
      <w:r w:rsidRPr="00063C1A">
        <w:rPr>
          <w:sz w:val="28"/>
          <w:szCs w:val="28"/>
          <w:lang w:val="uk-UA"/>
        </w:rPr>
        <w:t>±3,35</w:t>
      </w:r>
      <w:r w:rsidRPr="00063C1A">
        <w:rPr>
          <w:rFonts w:eastAsia="Calibri"/>
          <w:sz w:val="28"/>
          <w:szCs w:val="28"/>
          <w:lang w:val="uk-UA"/>
        </w:rPr>
        <w:t xml:space="preserve">, </w:t>
      </w:r>
      <w:r w:rsidRPr="00063C1A">
        <w:rPr>
          <w:sz w:val="28"/>
          <w:szCs w:val="28"/>
          <w:lang w:val="uk-UA" w:eastAsia="en-US"/>
        </w:rPr>
        <w:t>р=0,003)</w:t>
      </w:r>
      <w:r w:rsidRPr="00063C1A">
        <w:rPr>
          <w:rFonts w:eastAsia="Calibri"/>
          <w:sz w:val="28"/>
          <w:szCs w:val="28"/>
          <w:lang w:val="uk-UA"/>
        </w:rPr>
        <w:t>, але достовірної різниці з групою 1 (5,66</w:t>
      </w:r>
      <w:r w:rsidRPr="00063C1A">
        <w:rPr>
          <w:sz w:val="28"/>
          <w:szCs w:val="28"/>
          <w:lang w:val="uk-UA"/>
        </w:rPr>
        <w:t>±2,24</w:t>
      </w:r>
      <w:r w:rsidRPr="00063C1A">
        <w:rPr>
          <w:rFonts w:eastAsia="Calibri"/>
          <w:sz w:val="28"/>
          <w:szCs w:val="28"/>
          <w:lang w:val="uk-UA"/>
        </w:rPr>
        <w:t xml:space="preserve">%) виявлено не було (р&gt;0,05)  (табл. 2.6). Отримані дані співпадають з думкою дослідників, які не виявили негативного впливу СГТ на МТ, зокрема в похилому віці </w:t>
      </w:r>
      <w:r w:rsidRPr="00063C1A">
        <w:rPr>
          <w:sz w:val="28"/>
          <w:szCs w:val="28"/>
          <w:lang w:val="uk-UA"/>
        </w:rPr>
        <w:t>[</w:t>
      </w:r>
      <w:r w:rsidRPr="00063C1A">
        <w:rPr>
          <w:sz w:val="28"/>
          <w:szCs w:val="28"/>
        </w:rPr>
        <w:t>2</w:t>
      </w:r>
      <w:r w:rsidRPr="00063C1A">
        <w:rPr>
          <w:sz w:val="28"/>
          <w:szCs w:val="28"/>
          <w:lang w:val="uk-UA"/>
        </w:rPr>
        <w:t>15</w:t>
      </w:r>
      <w:r w:rsidRPr="00063C1A">
        <w:rPr>
          <w:sz w:val="28"/>
          <w:szCs w:val="28"/>
        </w:rPr>
        <w:t>]</w:t>
      </w:r>
      <w:r w:rsidRPr="00063C1A">
        <w:rPr>
          <w:sz w:val="28"/>
          <w:szCs w:val="28"/>
          <w:lang w:val="uk-UA"/>
        </w:rPr>
        <w:t>.</w:t>
      </w:r>
    </w:p>
    <w:p w:rsidR="00E3259F" w:rsidRPr="00063C1A" w:rsidRDefault="00E3259F" w:rsidP="00063C1A">
      <w:pPr>
        <w:spacing w:line="360" w:lineRule="auto"/>
        <w:ind w:firstLine="709"/>
        <w:jc w:val="both"/>
        <w:rPr>
          <w:sz w:val="28"/>
          <w:szCs w:val="28"/>
          <w:lang w:val="uk-UA"/>
        </w:rPr>
      </w:pPr>
      <w:r w:rsidRPr="00063C1A">
        <w:rPr>
          <w:rFonts w:eastAsia="Calibri"/>
          <w:sz w:val="28"/>
          <w:szCs w:val="28"/>
          <w:lang w:val="uk-UA"/>
        </w:rPr>
        <w:t>Незважаючи на довготривалу постійну антигіпертензивну терапію АТ, в усіх досліджуваних групах був вищий ніж у групі контролю. Наявність ЦД 2 типу супроводжувалася достовірно вищими рівнями САТ, ДАТ і ПАТ ніж при ізольованій ГХ.</w:t>
      </w:r>
      <w:r w:rsidRPr="00063C1A">
        <w:rPr>
          <w:sz w:val="28"/>
          <w:szCs w:val="28"/>
          <w:lang w:val="uk-UA"/>
        </w:rPr>
        <w:t xml:space="preserve"> Існує величезна доказова база, яка показує, що ЦД і ГХ мають спільні патофізіологічні механізми, що призводить до негативного синергічного впливу при коморбідному перебігу. Цікавим виявився факт, що всупереч існуючим уявленням про наявність підвищеного АТ при СГТ [320] у групі поєднаного перебігу ГХ, ЦД 2 типу та СГТ спостерігалися достовірно більш низькі рівні САТ(</w:t>
      </w:r>
      <w:r w:rsidRPr="00063C1A">
        <w:rPr>
          <w:rFonts w:eastAsia="Arial Unicode MS"/>
          <w:kern w:val="2"/>
          <w:sz w:val="28"/>
          <w:szCs w:val="28"/>
          <w:lang w:val="uk-UA"/>
        </w:rPr>
        <w:t>р=0</w:t>
      </w:r>
      <w:r w:rsidRPr="00063C1A">
        <w:rPr>
          <w:sz w:val="28"/>
          <w:szCs w:val="28"/>
          <w:lang w:val="uk-UA"/>
        </w:rPr>
        <w:t>,019) і ДАТ (</w:t>
      </w:r>
      <w:r w:rsidRPr="00063C1A">
        <w:rPr>
          <w:rFonts w:eastAsia="Arial Unicode MS"/>
          <w:kern w:val="2"/>
          <w:sz w:val="28"/>
          <w:szCs w:val="28"/>
          <w:lang w:val="uk-UA"/>
        </w:rPr>
        <w:t>р=0</w:t>
      </w:r>
      <w:r w:rsidRPr="00063C1A">
        <w:rPr>
          <w:sz w:val="28"/>
          <w:szCs w:val="28"/>
          <w:lang w:val="uk-UA"/>
        </w:rPr>
        <w:t>,032) ніж при поєднаному перебігу ГХ та ЦД 2 типу. В</w:t>
      </w:r>
      <w:r w:rsidRPr="00063C1A">
        <w:rPr>
          <w:rStyle w:val="tlid-translation"/>
          <w:rFonts w:eastAsiaTheme="majorEastAsia"/>
          <w:sz w:val="28"/>
          <w:szCs w:val="28"/>
          <w:lang w:val="uk-UA"/>
        </w:rPr>
        <w:t xml:space="preserve"> осіб з ізольованою ГХ рівень ПАТ був достовірно нищім, ніж </w:t>
      </w:r>
      <w:r w:rsidRPr="00063C1A">
        <w:rPr>
          <w:sz w:val="28"/>
          <w:szCs w:val="28"/>
          <w:lang w:val="uk-UA"/>
        </w:rPr>
        <w:t>у</w:t>
      </w:r>
      <w:r w:rsidRPr="00063C1A">
        <w:rPr>
          <w:rStyle w:val="tlid-translation"/>
          <w:rFonts w:eastAsiaTheme="majorEastAsia"/>
          <w:sz w:val="28"/>
          <w:szCs w:val="28"/>
          <w:lang w:val="uk-UA"/>
        </w:rPr>
        <w:t xml:space="preserve"> пацієнтів з коморбідною патологією незалежно від функціонального стану ЩЖ ( р=0,001 при порівнянні з  групою 2, р=0,014 - з групою 3). </w:t>
      </w:r>
      <w:r w:rsidRPr="00063C1A">
        <w:rPr>
          <w:sz w:val="28"/>
          <w:szCs w:val="28"/>
          <w:lang w:val="uk-UA"/>
        </w:rPr>
        <w:t xml:space="preserve">Наявність СГТ призводила до </w:t>
      </w:r>
      <w:r w:rsidRPr="00063C1A">
        <w:rPr>
          <w:rFonts w:eastAsia="Arial Unicode MS"/>
          <w:kern w:val="2"/>
          <w:sz w:val="28"/>
          <w:szCs w:val="28"/>
          <w:lang w:val="uk-UA" w:eastAsia="en-US"/>
        </w:rPr>
        <w:t>статистично значущих відмінностей за рівнями ТТГ між групою 3 та іншими групами в дослідженні.</w:t>
      </w:r>
    </w:p>
    <w:p w:rsidR="00E3259F" w:rsidRDefault="00E3259F" w:rsidP="00063C1A">
      <w:pPr>
        <w:widowControl w:val="0"/>
        <w:tabs>
          <w:tab w:val="left" w:pos="1020"/>
        </w:tabs>
        <w:suppressAutoHyphens/>
        <w:spacing w:line="360" w:lineRule="auto"/>
        <w:ind w:firstLine="709"/>
        <w:jc w:val="both"/>
        <w:rPr>
          <w:rFonts w:eastAsia="Arial Unicode MS"/>
          <w:color w:val="000000"/>
          <w:kern w:val="2"/>
          <w:sz w:val="28"/>
          <w:szCs w:val="28"/>
          <w:lang w:val="uk-UA" w:eastAsia="en-US"/>
        </w:rPr>
      </w:pPr>
      <w:r>
        <w:rPr>
          <w:rFonts w:eastAsia="Arial Unicode MS"/>
          <w:kern w:val="2"/>
          <w:sz w:val="28"/>
          <w:szCs w:val="28"/>
          <w:lang w:val="uk-UA" w:eastAsia="en-US"/>
        </w:rPr>
        <w:t>Відповідно до поставлених завдань, на даному етапі дослідження, окрім загальної клінічної оцінки та аналізу наявності та ступеня вираженості традиційних факторів серцево-судинного ризику, вимірювали фактори, пов'язані з дисфункцією ендотелію, оксидативним стресом, хронічним судинним запаленням та маркери судинного старіння</w:t>
      </w:r>
      <w:r>
        <w:rPr>
          <w:rFonts w:eastAsia="Arial Unicode MS"/>
          <w:color w:val="000000"/>
          <w:kern w:val="2"/>
          <w:sz w:val="28"/>
          <w:szCs w:val="28"/>
          <w:lang w:val="uk-UA" w:eastAsia="en-US"/>
        </w:rPr>
        <w:t xml:space="preserve">. </w:t>
      </w:r>
    </w:p>
    <w:p w:rsidR="00E3259F" w:rsidRDefault="00E3259F" w:rsidP="00063C1A">
      <w:pPr>
        <w:pStyle w:val="1"/>
        <w:spacing w:before="0" w:beforeAutospacing="0" w:after="0" w:afterAutospacing="0" w:line="360" w:lineRule="auto"/>
        <w:ind w:firstLine="709"/>
        <w:jc w:val="both"/>
        <w:rPr>
          <w:sz w:val="28"/>
          <w:szCs w:val="28"/>
        </w:rPr>
      </w:pPr>
      <w:r w:rsidRPr="00793AD7">
        <w:rPr>
          <w:rStyle w:val="longtext10"/>
          <w:rFonts w:eastAsiaTheme="majorEastAsia"/>
          <w:b w:val="0"/>
          <w:sz w:val="28"/>
          <w:szCs w:val="28"/>
          <w:lang w:val="uk-UA"/>
        </w:rPr>
        <w:t>На третьому етапі згідно існуючих клінічних рекомендацій і протоколів</w:t>
      </w:r>
      <w:r w:rsidRPr="00793AD7">
        <w:rPr>
          <w:rFonts w:eastAsia="Calibri"/>
          <w:b w:val="0"/>
          <w:sz w:val="28"/>
          <w:szCs w:val="28"/>
          <w:lang w:val="uk-UA"/>
        </w:rPr>
        <w:t xml:space="preserve"> пацієнтам з коморбідним  перебігом ГХ та ЦД 2 типу було призначено аторвастатин 20 мг або розувастатин 10мг </w:t>
      </w:r>
      <w:r w:rsidRPr="00793AD7">
        <w:rPr>
          <w:b w:val="0"/>
          <w:sz w:val="28"/>
          <w:szCs w:val="28"/>
          <w:lang w:val="uk-UA"/>
        </w:rPr>
        <w:t xml:space="preserve">[88,177]. </w:t>
      </w:r>
      <w:r w:rsidRPr="00793AD7">
        <w:rPr>
          <w:rFonts w:eastAsia="Calibri"/>
          <w:b w:val="0"/>
          <w:sz w:val="28"/>
          <w:szCs w:val="28"/>
          <w:lang w:val="uk-UA"/>
        </w:rPr>
        <w:t>Пацієнти з ГХ, ЦД 2 типу та СГТ</w:t>
      </w:r>
      <w:r w:rsidRPr="00793AD7">
        <w:rPr>
          <w:rStyle w:val="longtext10"/>
          <w:rFonts w:eastAsiaTheme="majorEastAsia"/>
          <w:b w:val="0"/>
          <w:sz w:val="28"/>
          <w:szCs w:val="28"/>
          <w:lang w:val="uk-UA"/>
        </w:rPr>
        <w:t xml:space="preserve"> додатково отримували левотироксин в індивідуально </w:t>
      </w:r>
      <w:r w:rsidRPr="00793AD7">
        <w:rPr>
          <w:rStyle w:val="tlid-translation"/>
          <w:b w:val="0"/>
          <w:sz w:val="28"/>
          <w:szCs w:val="28"/>
          <w:lang w:val="uk-UA"/>
        </w:rPr>
        <w:t>підібраних дозах від 12,5 до 75 мкг/добу з поступовим титруванням дози (крок т</w:t>
      </w:r>
      <w:r w:rsidRPr="00793AD7">
        <w:rPr>
          <w:rStyle w:val="tlid-translation"/>
          <w:b w:val="0"/>
          <w:color w:val="FF0000"/>
          <w:sz w:val="28"/>
          <w:szCs w:val="28"/>
          <w:lang w:val="uk-UA"/>
        </w:rPr>
        <w:t>и</w:t>
      </w:r>
      <w:r w:rsidRPr="00793AD7">
        <w:rPr>
          <w:rStyle w:val="tlid-translation"/>
          <w:b w:val="0"/>
          <w:sz w:val="28"/>
          <w:szCs w:val="28"/>
          <w:lang w:val="uk-UA"/>
        </w:rPr>
        <w:t>трування 4 тиждні) до досягнення еутиреозу (</w:t>
      </w:r>
      <w:r w:rsidRPr="00793AD7">
        <w:rPr>
          <w:rFonts w:eastAsia="Calibri"/>
          <w:b w:val="0"/>
          <w:bCs w:val="0"/>
          <w:sz w:val="28"/>
          <w:szCs w:val="28"/>
          <w:lang w:val="uk-UA"/>
        </w:rPr>
        <w:t>значень ТТГ в діапазоні  0,4-4,0 мкМОд/мл</w:t>
      </w:r>
      <w:r w:rsidRPr="00793AD7">
        <w:rPr>
          <w:rFonts w:eastAsia="Calibri"/>
          <w:bCs w:val="0"/>
          <w:sz w:val="28"/>
          <w:szCs w:val="28"/>
          <w:lang w:val="uk-UA"/>
        </w:rPr>
        <w:t xml:space="preserve">). </w:t>
      </w:r>
      <w:r w:rsidRPr="00793AD7">
        <w:rPr>
          <w:rFonts w:eastAsia="Calibri"/>
          <w:b w:val="0"/>
          <w:bCs w:val="0"/>
          <w:sz w:val="28"/>
          <w:szCs w:val="28"/>
          <w:lang w:val="uk-UA"/>
        </w:rPr>
        <w:t>В</w:t>
      </w:r>
      <w:r w:rsidRPr="00793AD7">
        <w:rPr>
          <w:rFonts w:eastAsia="Calibri"/>
          <w:bCs w:val="0"/>
          <w:sz w:val="28"/>
          <w:szCs w:val="28"/>
          <w:lang w:val="uk-UA"/>
        </w:rPr>
        <w:t xml:space="preserve"> </w:t>
      </w:r>
      <w:r w:rsidRPr="00793AD7">
        <w:rPr>
          <w:rStyle w:val="tlid-translation"/>
          <w:b w:val="0"/>
          <w:sz w:val="28"/>
          <w:szCs w:val="28"/>
          <w:lang w:val="uk-UA"/>
        </w:rPr>
        <w:t>рандомізованих клінічних дослідженнях було показано, що добова доза 25 - 50 мкг з подальшим коригуванням дози є ефективною для нормалізації підвищеного рівня ТТГ у сироватці крові у пацієнтів із СГТ</w:t>
      </w:r>
      <w:r w:rsidRPr="00793AD7">
        <w:rPr>
          <w:rFonts w:eastAsia="Calibri"/>
          <w:b w:val="0"/>
          <w:bCs w:val="0"/>
          <w:sz w:val="28"/>
          <w:szCs w:val="28"/>
          <w:lang w:val="uk-UA"/>
        </w:rPr>
        <w:t xml:space="preserve"> </w:t>
      </w:r>
      <w:r w:rsidRPr="00793AD7">
        <w:rPr>
          <w:b w:val="0"/>
          <w:bCs w:val="0"/>
          <w:sz w:val="28"/>
          <w:szCs w:val="28"/>
          <w:lang w:val="uk-UA"/>
        </w:rPr>
        <w:t>[</w:t>
      </w:r>
      <w:r w:rsidRPr="00793AD7">
        <w:rPr>
          <w:b w:val="0"/>
          <w:sz w:val="28"/>
          <w:szCs w:val="28"/>
          <w:lang w:val="uk-UA"/>
        </w:rPr>
        <w:t>367].</w:t>
      </w:r>
      <w:r w:rsidRPr="00793AD7">
        <w:rPr>
          <w:sz w:val="28"/>
          <w:szCs w:val="28"/>
          <w:lang w:val="uk-UA"/>
        </w:rPr>
        <w:t xml:space="preserve"> </w:t>
      </w:r>
      <w:r w:rsidRPr="00793AD7">
        <w:rPr>
          <w:rFonts w:eastAsia="Arial Unicode MS"/>
          <w:b w:val="0"/>
          <w:kern w:val="2"/>
          <w:sz w:val="28"/>
          <w:szCs w:val="28"/>
          <w:lang w:val="uk-UA" w:eastAsia="en-US"/>
        </w:rPr>
        <w:t>Тривалість спостереження становила 12 місяців, наприкінці якого було здійснене клініко-лабораторне</w:t>
      </w:r>
      <w:r>
        <w:rPr>
          <w:rFonts w:eastAsia="Arial Unicode MS"/>
          <w:b w:val="0"/>
          <w:kern w:val="2"/>
          <w:sz w:val="28"/>
          <w:szCs w:val="28"/>
          <w:lang w:val="uk-UA" w:eastAsia="en-US"/>
        </w:rPr>
        <w:t xml:space="preserve"> та інструментальне обстеження. </w:t>
      </w:r>
    </w:p>
    <w:p w:rsidR="00E3259F" w:rsidRDefault="00E3259F" w:rsidP="00E3259F"/>
    <w:p w:rsidR="00E3259F" w:rsidRDefault="00E3259F" w:rsidP="00E3259F">
      <w:pPr>
        <w:spacing w:after="200" w:line="276" w:lineRule="auto"/>
        <w:rPr>
          <w:sz w:val="28"/>
          <w:szCs w:val="28"/>
          <w:lang w:val="uk-UA"/>
        </w:rPr>
      </w:pPr>
      <w:r>
        <w:rPr>
          <w:sz w:val="28"/>
          <w:szCs w:val="28"/>
          <w:lang w:val="uk-UA"/>
        </w:rPr>
        <w:t>2.2 Методи дослідження</w:t>
      </w:r>
    </w:p>
    <w:p w:rsidR="00E3259F" w:rsidRDefault="00E3259F" w:rsidP="00E3259F">
      <w:pPr>
        <w:rPr>
          <w:b/>
          <w:sz w:val="28"/>
          <w:szCs w:val="28"/>
          <w:lang w:val="uk-UA"/>
        </w:rPr>
      </w:pPr>
    </w:p>
    <w:p w:rsidR="00E3259F" w:rsidRPr="00063C1A" w:rsidRDefault="00E3259F" w:rsidP="00063C1A">
      <w:pPr>
        <w:autoSpaceDE w:val="0"/>
        <w:autoSpaceDN w:val="0"/>
        <w:adjustRightInd w:val="0"/>
        <w:spacing w:line="360" w:lineRule="auto"/>
        <w:ind w:firstLine="709"/>
        <w:jc w:val="both"/>
        <w:rPr>
          <w:rFonts w:eastAsia="Calibri"/>
          <w:sz w:val="28"/>
          <w:szCs w:val="28"/>
          <w:lang w:val="uk-UA"/>
        </w:rPr>
      </w:pPr>
      <w:r w:rsidRPr="00063C1A">
        <w:rPr>
          <w:rFonts w:eastAsia="Calibri"/>
          <w:sz w:val="28"/>
          <w:szCs w:val="28"/>
          <w:lang w:val="uk-UA"/>
        </w:rPr>
        <w:t xml:space="preserve">Усім пацієнтам, залученим до дослідження, з метою верифікації діагнозу, визначення ступеня важкості захворювання, виявлення антропометричних, метаболічних змін та  процесів «судинного» старіння, проведене комплексне клініко-біохімічне, імуноферментне, інструментальне та генетичне дослідження, що було виконано </w:t>
      </w:r>
      <w:r w:rsidRPr="00063C1A">
        <w:rPr>
          <w:rFonts w:eastAsia="Calibri"/>
          <w:bCs/>
          <w:sz w:val="28"/>
          <w:szCs w:val="28"/>
          <w:lang w:val="uk-UA"/>
        </w:rPr>
        <w:t xml:space="preserve">на базі клініко-діагностичної лабораторії та </w:t>
      </w:r>
      <w:r w:rsidRPr="00063C1A">
        <w:rPr>
          <w:rFonts w:eastAsia="Calibri"/>
          <w:sz w:val="28"/>
          <w:szCs w:val="28"/>
          <w:lang w:val="uk-UA"/>
        </w:rPr>
        <w:t>лабораторії імуно-біохімічних і молекулярно-генетичних досліджень ДУ «Національний інститут терапії імені Л.Т.Малої НАМН України»</w:t>
      </w:r>
      <w:r w:rsidRPr="00063C1A">
        <w:rPr>
          <w:sz w:val="28"/>
          <w:szCs w:val="28"/>
          <w:lang w:val="uk-UA"/>
        </w:rPr>
        <w:t xml:space="preserve"> </w:t>
      </w:r>
      <w:r w:rsidRPr="00063C1A">
        <w:rPr>
          <w:rFonts w:eastAsia="Calibri"/>
          <w:sz w:val="28"/>
          <w:szCs w:val="28"/>
          <w:lang w:val="uk-UA"/>
        </w:rPr>
        <w:t xml:space="preserve">в рамках існуючого договору про співпрацю (№1 від 26 грудня 2017 року та №244 від 17 грудня 2018р). </w:t>
      </w:r>
      <w:r w:rsidRPr="00063C1A">
        <w:rPr>
          <w:sz w:val="28"/>
          <w:szCs w:val="28"/>
          <w:lang w:val="uk-UA"/>
        </w:rPr>
        <w:t>Клініко-лабораторне обстеження пацієнтів проводилося згідно існуючих правил (</w:t>
      </w:r>
      <w:r w:rsidRPr="00063C1A">
        <w:rPr>
          <w:rStyle w:val="longtext10"/>
          <w:sz w:val="28"/>
          <w:szCs w:val="28"/>
          <w:lang w:val="uk-UA"/>
        </w:rPr>
        <w:t xml:space="preserve">Наказ </w:t>
      </w:r>
      <w:r w:rsidRPr="00063C1A">
        <w:rPr>
          <w:sz w:val="28"/>
          <w:szCs w:val="28"/>
          <w:lang w:val="en-US"/>
        </w:rPr>
        <w:t>N</w:t>
      </w:r>
      <w:r w:rsidRPr="00063C1A">
        <w:rPr>
          <w:sz w:val="28"/>
          <w:szCs w:val="28"/>
          <w:lang w:val="uk-UA"/>
        </w:rPr>
        <w:t xml:space="preserve">356 </w:t>
      </w:r>
      <w:r w:rsidRPr="00063C1A">
        <w:rPr>
          <w:rStyle w:val="longtext10"/>
          <w:sz w:val="28"/>
          <w:szCs w:val="28"/>
          <w:lang w:val="uk-UA"/>
        </w:rPr>
        <w:t xml:space="preserve">МОЗ України від 22.05.2009 «Про затвердження протоколів надання медичної допомоги пацієнтам з ендокринними захворюваннями», </w:t>
      </w:r>
      <w:r w:rsidRPr="00063C1A">
        <w:rPr>
          <w:bCs/>
          <w:sz w:val="28"/>
          <w:szCs w:val="28"/>
          <w:lang w:val="uk-UA"/>
        </w:rPr>
        <w:t xml:space="preserve"> Наказ №</w:t>
      </w:r>
      <w:r w:rsidRPr="00063C1A">
        <w:rPr>
          <w:bCs/>
          <w:sz w:val="28"/>
          <w:szCs w:val="28"/>
        </w:rPr>
        <w:t> </w:t>
      </w:r>
      <w:r w:rsidRPr="00063C1A">
        <w:rPr>
          <w:bCs/>
          <w:sz w:val="28"/>
          <w:szCs w:val="28"/>
          <w:lang w:val="uk-UA"/>
        </w:rPr>
        <w:t>384 МОЗ України від 24.05.2012</w:t>
      </w:r>
      <w:r w:rsidRPr="00063C1A">
        <w:rPr>
          <w:bCs/>
          <w:sz w:val="28"/>
          <w:szCs w:val="28"/>
        </w:rPr>
        <w:t> </w:t>
      </w:r>
      <w:r w:rsidRPr="00063C1A">
        <w:rPr>
          <w:bCs/>
          <w:sz w:val="28"/>
          <w:szCs w:val="28"/>
          <w:lang w:val="uk-UA"/>
        </w:rPr>
        <w:t>р. «Про</w:t>
      </w:r>
      <w:r w:rsidRPr="00063C1A">
        <w:rPr>
          <w:bCs/>
          <w:sz w:val="28"/>
          <w:szCs w:val="28"/>
        </w:rPr>
        <w:t> </w:t>
      </w:r>
      <w:r w:rsidRPr="00063C1A">
        <w:rPr>
          <w:bCs/>
          <w:sz w:val="28"/>
          <w:szCs w:val="28"/>
          <w:lang w:val="uk-UA"/>
        </w:rPr>
        <w:t>затвердження та впровадження медико-технологічних документів зі</w:t>
      </w:r>
      <w:r w:rsidRPr="00063C1A">
        <w:rPr>
          <w:bCs/>
          <w:sz w:val="28"/>
          <w:szCs w:val="28"/>
        </w:rPr>
        <w:t> </w:t>
      </w:r>
      <w:r w:rsidRPr="00063C1A">
        <w:rPr>
          <w:bCs/>
          <w:sz w:val="28"/>
          <w:szCs w:val="28"/>
          <w:lang w:val="uk-UA"/>
        </w:rPr>
        <w:t>стандартизації медичної допомоги при</w:t>
      </w:r>
      <w:r w:rsidRPr="00063C1A">
        <w:rPr>
          <w:bCs/>
          <w:sz w:val="28"/>
          <w:szCs w:val="28"/>
        </w:rPr>
        <w:t> </w:t>
      </w:r>
      <w:r w:rsidRPr="00063C1A">
        <w:rPr>
          <w:bCs/>
          <w:sz w:val="28"/>
          <w:szCs w:val="28"/>
          <w:lang w:val="uk-UA"/>
        </w:rPr>
        <w:t>артеріальній гіпертензії», Наказ МОЗ України</w:t>
      </w:r>
      <w:r w:rsidRPr="00063C1A">
        <w:rPr>
          <w:sz w:val="28"/>
          <w:szCs w:val="28"/>
          <w:lang w:val="uk-UA"/>
        </w:rPr>
        <w:t xml:space="preserve"> </w:t>
      </w:r>
      <w:r w:rsidRPr="00063C1A">
        <w:rPr>
          <w:sz w:val="28"/>
          <w:szCs w:val="28"/>
        </w:rPr>
        <w:t>N</w:t>
      </w:r>
      <w:r w:rsidRPr="00063C1A">
        <w:rPr>
          <w:sz w:val="28"/>
          <w:szCs w:val="28"/>
          <w:lang w:val="uk-UA"/>
        </w:rPr>
        <w:t xml:space="preserve"> 1118 від 21.12.2012</w:t>
      </w:r>
      <w:r w:rsidRPr="00063C1A">
        <w:rPr>
          <w:bCs/>
          <w:sz w:val="28"/>
          <w:szCs w:val="28"/>
          <w:lang w:val="uk-UA"/>
        </w:rPr>
        <w:t xml:space="preserve"> «Про затвердження та впровадження медико-технологічних документів зі стандартизації медичної допомоги при цукровому діабеті 2 типу»</w:t>
      </w:r>
      <w:r w:rsidRPr="00063C1A">
        <w:rPr>
          <w:sz w:val="28"/>
          <w:szCs w:val="28"/>
          <w:lang w:val="uk-UA"/>
        </w:rPr>
        <w:t>, Наказ № 564 МОЗ України від 13.06.2016 «Уніфікований клінічний протокол первинної, вторинної (спеціалізованої) та третинної (високоспеціалізованої) медичної допомоги профілактика серцево-судинних захворювань»</w:t>
      </w:r>
      <w:r w:rsidRPr="00063C1A">
        <w:rPr>
          <w:bCs/>
          <w:sz w:val="28"/>
          <w:szCs w:val="28"/>
          <w:lang w:val="uk-UA"/>
        </w:rPr>
        <w:t>) [96,114-116].</w:t>
      </w:r>
    </w:p>
    <w:p w:rsidR="00E3259F" w:rsidRPr="00063C1A" w:rsidRDefault="00E3259F" w:rsidP="00063C1A">
      <w:pPr>
        <w:spacing w:line="360" w:lineRule="auto"/>
        <w:ind w:firstLine="709"/>
        <w:jc w:val="both"/>
        <w:rPr>
          <w:sz w:val="28"/>
          <w:szCs w:val="28"/>
          <w:lang w:val="uk-UA"/>
        </w:rPr>
      </w:pPr>
      <w:r w:rsidRPr="00063C1A">
        <w:rPr>
          <w:sz w:val="28"/>
          <w:szCs w:val="28"/>
          <w:lang w:val="uk-UA"/>
        </w:rPr>
        <w:t xml:space="preserve">У відповідності до поставленої мети та завдань при залученні до дослідження використовувалися такі критерії включення: наявність ГХ ізольовано або  в сполученні зі ЦД 2 типу, або в сполученні зі ЦД 2 типу та СГТ. </w:t>
      </w:r>
    </w:p>
    <w:p w:rsidR="00E3259F" w:rsidRPr="00063C1A" w:rsidRDefault="00E3259F" w:rsidP="00063C1A">
      <w:pPr>
        <w:spacing w:line="360" w:lineRule="auto"/>
        <w:ind w:firstLine="709"/>
        <w:jc w:val="both"/>
        <w:rPr>
          <w:rStyle w:val="longtext10"/>
          <w:sz w:val="28"/>
          <w:szCs w:val="28"/>
        </w:rPr>
      </w:pPr>
      <w:r w:rsidRPr="00063C1A">
        <w:rPr>
          <w:rStyle w:val="longtext10"/>
          <w:sz w:val="28"/>
          <w:szCs w:val="28"/>
          <w:lang w:val="uk-UA"/>
        </w:rPr>
        <w:t xml:space="preserve">До дослідження не включали пацієнтів із симптоматичною АГ, ЦД  1 типу, вторинноінсулінозалежним ЦД 2 типу та іншими ендокринологічними порушеннями, клінічними ознаками ІХС (зокрема наявність </w:t>
      </w:r>
      <w:r w:rsidRPr="00063C1A">
        <w:rPr>
          <w:rFonts w:eastAsia="Calibri"/>
          <w:sz w:val="28"/>
          <w:szCs w:val="28"/>
          <w:lang w:val="uk-UA"/>
        </w:rPr>
        <w:t>коронарної реваскуляризації</w:t>
      </w:r>
      <w:r w:rsidRPr="00063C1A">
        <w:rPr>
          <w:rStyle w:val="longtext10"/>
          <w:sz w:val="28"/>
          <w:szCs w:val="28"/>
          <w:lang w:val="uk-UA"/>
        </w:rPr>
        <w:t xml:space="preserve"> в анамнезі),</w:t>
      </w:r>
      <w:r w:rsidRPr="00063C1A">
        <w:rPr>
          <w:rFonts w:eastAsia="Calibri"/>
          <w:sz w:val="28"/>
          <w:szCs w:val="28"/>
          <w:lang w:val="uk-UA"/>
        </w:rPr>
        <w:t xml:space="preserve"> хронічною серцевою недостатністю вище ІІ ф.к. за </w:t>
      </w:r>
      <w:r w:rsidRPr="00063C1A">
        <w:rPr>
          <w:rFonts w:eastAsia="Calibri"/>
          <w:sz w:val="28"/>
          <w:szCs w:val="28"/>
        </w:rPr>
        <w:t>NYHA</w:t>
      </w:r>
      <w:r w:rsidRPr="00063C1A">
        <w:rPr>
          <w:rFonts w:eastAsia="Calibri"/>
          <w:sz w:val="28"/>
          <w:szCs w:val="28"/>
          <w:lang w:val="uk-UA"/>
        </w:rPr>
        <w:t>,</w:t>
      </w:r>
      <w:r w:rsidRPr="00063C1A">
        <w:rPr>
          <w:rStyle w:val="longtext10"/>
          <w:sz w:val="28"/>
          <w:szCs w:val="28"/>
          <w:lang w:val="uk-UA"/>
        </w:rPr>
        <w:t xml:space="preserve"> важкими супутніми хронічними </w:t>
      </w:r>
      <w:r w:rsidRPr="00063C1A">
        <w:rPr>
          <w:sz w:val="28"/>
          <w:szCs w:val="28"/>
          <w:lang w:val="uk-UA"/>
        </w:rPr>
        <w:t xml:space="preserve">соматичними </w:t>
      </w:r>
      <w:r w:rsidRPr="00063C1A">
        <w:rPr>
          <w:rStyle w:val="longtext10"/>
          <w:sz w:val="28"/>
          <w:szCs w:val="28"/>
          <w:lang w:val="uk-UA"/>
        </w:rPr>
        <w:t>захворюваннями, наявності в анамнезі ускладнень з боку серцево-судинної системи таких як інфаркт міокарда, гостре порушення мозкового кровообігу,</w:t>
      </w:r>
      <w:r w:rsidRPr="00063C1A">
        <w:rPr>
          <w:sz w:val="28"/>
          <w:szCs w:val="28"/>
          <w:lang w:val="uk-UA"/>
        </w:rPr>
        <w:t xml:space="preserve"> тромбоемболії гілок легеневої артерії, наявність клінічно значущих аритмій, хронічної хвороби нирок з рівнем креатиніну &gt; 200 мкмоль/л,</w:t>
      </w:r>
      <w:r w:rsidRPr="00063C1A">
        <w:rPr>
          <w:rFonts w:eastAsia="Calibri"/>
          <w:sz w:val="28"/>
          <w:szCs w:val="28"/>
          <w:lang w:val="uk-UA"/>
        </w:rPr>
        <w:t xml:space="preserve"> декомпенсованими захворюваннями печінки з порушенням її функції, ревматичними захворюваннями,</w:t>
      </w:r>
      <w:r w:rsidRPr="00063C1A">
        <w:rPr>
          <w:sz w:val="28"/>
          <w:szCs w:val="28"/>
          <w:lang w:val="uk-UA"/>
        </w:rPr>
        <w:t xml:space="preserve"> психічними захворюваннями, зловживанням алкоголю, після трансплантації будь-якого органу, супутніми онкологічніми захворюваннями, або наявністю в анамнезі злоякісного захворювання будь-якої локалізації та стадії в межах попередніх 5 років до відбору, </w:t>
      </w:r>
      <w:r w:rsidRPr="00063C1A">
        <w:rPr>
          <w:rStyle w:val="longtext10"/>
          <w:sz w:val="28"/>
          <w:szCs w:val="28"/>
          <w:lang w:val="uk-UA"/>
        </w:rPr>
        <w:t>ускладненнями перебігу ЦД 2 типу. Критеріями виключення пацієнтів з дослідження також були прийом препаратів йоду, глюкокортикоїдів, аміодарону, препаратів літію, прийом препаратів, що містять естрогени, вагітність. Пацієнти з раніше встановленим діагнозом маніфестного гіпотиреозу або СГТ, які отримують замісну терапію, та пацієнти після хірургічного лікування ЩЗ також не залучалися до дослідження.</w:t>
      </w:r>
      <w:r w:rsidRPr="00063C1A">
        <w:rPr>
          <w:sz w:val="28"/>
          <w:szCs w:val="28"/>
          <w:lang w:val="uk-UA"/>
        </w:rPr>
        <w:t xml:space="preserve"> Наявність в анамнезі протягом останнього місяця  загострення хронічних соматичних захворювань, гострих інфекцій або оперативних втручань було підставою для відстроченого включення в дослідження не менш ніж на 2 місяці.</w:t>
      </w:r>
    </w:p>
    <w:p w:rsidR="00E3259F" w:rsidRPr="00063C1A" w:rsidRDefault="00E3259F" w:rsidP="00063C1A">
      <w:pPr>
        <w:pStyle w:val="a4"/>
        <w:shd w:val="clear" w:color="auto" w:fill="FFFFFF"/>
        <w:autoSpaceDE w:val="0"/>
        <w:autoSpaceDN w:val="0"/>
        <w:adjustRightInd w:val="0"/>
        <w:spacing w:line="360" w:lineRule="auto"/>
        <w:ind w:left="0" w:firstLine="709"/>
        <w:jc w:val="both"/>
        <w:textAlignment w:val="top"/>
        <w:rPr>
          <w:rFonts w:ascii="Calibri" w:eastAsia="Calibri" w:hAnsi="Calibri" w:cs="Tahoma"/>
          <w:sz w:val="22"/>
          <w:szCs w:val="22"/>
          <w:lang w:val="uk-UA" w:eastAsia="en-US"/>
        </w:rPr>
      </w:pPr>
      <w:r w:rsidRPr="00063C1A">
        <w:rPr>
          <w:rFonts w:eastAsia="Calibri"/>
          <w:sz w:val="28"/>
          <w:szCs w:val="28"/>
          <w:lang w:val="uk-UA" w:eastAsia="en-US"/>
        </w:rPr>
        <w:t xml:space="preserve">Для оцінки біологічного віку використовували метод В.П.Войтенка та співавт. як найбільш доступний та інтегральний. Він полягає в розрахунку фактичного значення БВ для кожного обстеженого та нормування його індивідуальних значень шляхом зіставлення з розрахунковою належною величиною, яка відповідна популяційному стандарту – належному біологічному віку (НБВ) </w:t>
      </w:r>
      <w:r w:rsidRPr="00063C1A">
        <w:rPr>
          <w:sz w:val="28"/>
          <w:szCs w:val="28"/>
          <w:lang w:val="uk-UA" w:eastAsia="en-US"/>
        </w:rPr>
        <w:t>[35,45,128].</w:t>
      </w:r>
      <w:r w:rsidRPr="00063C1A">
        <w:rPr>
          <w:rFonts w:ascii="Tahoma" w:hAnsi="Tahoma" w:cs="Tahoma"/>
          <w:sz w:val="28"/>
          <w:szCs w:val="28"/>
          <w:lang w:val="uk-UA" w:eastAsia="en-US"/>
        </w:rPr>
        <w:t xml:space="preserve"> </w:t>
      </w:r>
      <w:r w:rsidRPr="00063C1A">
        <w:rPr>
          <w:rFonts w:eastAsia="Calibri"/>
          <w:sz w:val="28"/>
          <w:szCs w:val="28"/>
          <w:lang w:val="uk-UA" w:eastAsia="en-US"/>
        </w:rPr>
        <w:t xml:space="preserve"> Для розрахунку БВ використовували такі показники: САТ(мм рт. ст.), ПАТ (мм рт. ст.), час статичного балансування на лівій нозі (СБ) у секундах, час затримки дихання на вдиху (ЗДВ) в секундах, МТ(кг) і суб'єктивна оцінка стану здоров'я (СОЗ, ум. од.) - кількість несприятливих відповідей за анкетою. Визначення індексу СОЗ проводилося за анкетою, яка складалася з 29 питань ( табл.2.7). </w:t>
      </w:r>
    </w:p>
    <w:p w:rsidR="00E3259F" w:rsidRDefault="00E3259F" w:rsidP="00E3259F">
      <w:pPr>
        <w:suppressAutoHyphens/>
        <w:spacing w:line="360" w:lineRule="auto"/>
        <w:jc w:val="right"/>
        <w:rPr>
          <w:rFonts w:eastAsiaTheme="minorHAnsi"/>
          <w:sz w:val="28"/>
          <w:szCs w:val="28"/>
          <w:lang w:val="uk-UA"/>
        </w:rPr>
      </w:pPr>
      <w:r>
        <w:rPr>
          <w:sz w:val="28"/>
          <w:szCs w:val="28"/>
        </w:rPr>
        <w:t>Таблиця 2.</w:t>
      </w:r>
      <w:r>
        <w:rPr>
          <w:sz w:val="28"/>
          <w:szCs w:val="28"/>
          <w:lang w:val="uk-UA"/>
        </w:rPr>
        <w:t>7</w:t>
      </w:r>
    </w:p>
    <w:tbl>
      <w:tblPr>
        <w:tblW w:w="0" w:type="auto"/>
        <w:tblLook w:val="04A0" w:firstRow="1" w:lastRow="0" w:firstColumn="1" w:lastColumn="0" w:noHBand="0" w:noVBand="1"/>
      </w:tblPr>
      <w:tblGrid>
        <w:gridCol w:w="9570"/>
      </w:tblGrid>
      <w:tr w:rsidR="00E3259F" w:rsidRPr="00063C1A" w:rsidTr="00E3259F">
        <w:tc>
          <w:tcPr>
            <w:tcW w:w="9570" w:type="dxa"/>
            <w:tcBorders>
              <w:top w:val="single" w:sz="4" w:space="0" w:color="auto"/>
              <w:left w:val="single" w:sz="4" w:space="0" w:color="auto"/>
              <w:bottom w:val="single" w:sz="4" w:space="0" w:color="auto"/>
              <w:right w:val="single" w:sz="4" w:space="0" w:color="auto"/>
            </w:tcBorders>
            <w:hideMark/>
          </w:tcPr>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турбує вас головний біль?</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можна сказати, що ви легко прокидаєтеся від будь-якого шуму?</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турбуює вас біль у ділянці серця?</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вважаєте ви, що в останні роки у вас погіршився слух?</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вважаєте ви, що в останні роки у вас погіршився зір?</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намагаєтеся ви пити тільки киплячу воду?</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поступаються вам місцем у громадському транспорті?</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Чи турбуює вас біль у суглобах?</w:t>
            </w:r>
          </w:p>
          <w:p w:rsidR="00E3259F" w:rsidRPr="00063C1A"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 Чи впливає на ваше самопочуття зміна погоди?</w:t>
            </w:r>
          </w:p>
          <w:p w:rsidR="00EA400D" w:rsidRDefault="00E3259F" w:rsidP="00063C1A">
            <w:pPr>
              <w:pStyle w:val="a4"/>
              <w:numPr>
                <w:ilvl w:val="0"/>
                <w:numId w:val="12"/>
              </w:numPr>
              <w:suppressAutoHyphens/>
              <w:spacing w:line="360" w:lineRule="auto"/>
              <w:ind w:left="0" w:firstLine="0"/>
              <w:rPr>
                <w:rFonts w:eastAsiaTheme="minorHAnsi"/>
                <w:sz w:val="28"/>
                <w:szCs w:val="28"/>
                <w:lang w:val="uk-UA" w:eastAsia="en-US"/>
              </w:rPr>
            </w:pPr>
            <w:r w:rsidRPr="00063C1A">
              <w:rPr>
                <w:rFonts w:eastAsiaTheme="minorHAnsi"/>
                <w:sz w:val="28"/>
                <w:szCs w:val="28"/>
                <w:lang w:val="uk-UA" w:eastAsia="en-US"/>
              </w:rPr>
              <w:t xml:space="preserve"> Чи бувають у вас такі періоди, коли через хвилювання ви втрачаєте </w:t>
            </w:r>
          </w:p>
          <w:p w:rsidR="00E3259F" w:rsidRPr="00063C1A" w:rsidRDefault="00EA400D" w:rsidP="00EA400D">
            <w:pPr>
              <w:pStyle w:val="a4"/>
              <w:suppressAutoHyphens/>
              <w:spacing w:line="360" w:lineRule="auto"/>
              <w:ind w:left="0"/>
              <w:rPr>
                <w:rFonts w:eastAsiaTheme="minorHAnsi"/>
                <w:sz w:val="28"/>
                <w:szCs w:val="28"/>
                <w:lang w:val="uk-UA" w:eastAsia="en-US"/>
              </w:rPr>
            </w:pPr>
            <w:r>
              <w:rPr>
                <w:rFonts w:eastAsiaTheme="minorHAnsi"/>
                <w:sz w:val="28"/>
                <w:szCs w:val="28"/>
                <w:lang w:val="uk-UA" w:eastAsia="en-US"/>
              </w:rPr>
              <w:t xml:space="preserve">            </w:t>
            </w:r>
            <w:r w:rsidR="00E3259F" w:rsidRPr="00063C1A">
              <w:rPr>
                <w:rFonts w:eastAsiaTheme="minorHAnsi"/>
                <w:sz w:val="28"/>
                <w:szCs w:val="28"/>
                <w:lang w:val="uk-UA" w:eastAsia="en-US"/>
              </w:rPr>
              <w:t>сон?</w:t>
            </w:r>
          </w:p>
        </w:tc>
      </w:tr>
    </w:tbl>
    <w:p w:rsidR="00E3259F" w:rsidRDefault="00E3259F" w:rsidP="00E3259F">
      <w:pPr>
        <w:rPr>
          <w:lang w:val="uk-UA"/>
        </w:rPr>
      </w:pPr>
    </w:p>
    <w:p w:rsidR="00E3259F" w:rsidRDefault="00E3259F" w:rsidP="00E3259F">
      <w:pPr>
        <w:jc w:val="right"/>
        <w:rPr>
          <w:sz w:val="2"/>
          <w:szCs w:val="2"/>
        </w:rPr>
      </w:pPr>
      <w:r>
        <w:rPr>
          <w:i/>
          <w:spacing w:val="-2"/>
          <w:sz w:val="28"/>
          <w:szCs w:val="28"/>
        </w:rPr>
        <w:t xml:space="preserve">Продовження табл. </w:t>
      </w:r>
      <w:r>
        <w:rPr>
          <w:i/>
          <w:spacing w:val="-2"/>
          <w:sz w:val="28"/>
          <w:szCs w:val="28"/>
          <w:lang w:val="uk-UA"/>
        </w:rPr>
        <w:t>2</w:t>
      </w:r>
      <w:r>
        <w:rPr>
          <w:i/>
          <w:spacing w:val="-2"/>
          <w:sz w:val="28"/>
          <w:szCs w:val="28"/>
        </w:rPr>
        <w:t>.</w:t>
      </w:r>
      <w:r>
        <w:rPr>
          <w:i/>
          <w:spacing w:val="-2"/>
          <w:sz w:val="28"/>
          <w:szCs w:val="28"/>
          <w:lang w:val="uk-UA"/>
        </w:rPr>
        <w:t>7</w:t>
      </w:r>
    </w:p>
    <w:p w:rsidR="00E3259F" w:rsidRDefault="00E3259F" w:rsidP="00E3259F">
      <w:pPr>
        <w:rPr>
          <w:lang w:val="uk-UA"/>
        </w:rPr>
      </w:pPr>
    </w:p>
    <w:tbl>
      <w:tblPr>
        <w:tblW w:w="0" w:type="auto"/>
        <w:tblLook w:val="04A0" w:firstRow="1" w:lastRow="0" w:firstColumn="1" w:lastColumn="0" w:noHBand="0" w:noVBand="1"/>
      </w:tblPr>
      <w:tblGrid>
        <w:gridCol w:w="9570"/>
      </w:tblGrid>
      <w:tr w:rsidR="00E3259F" w:rsidTr="00E3259F">
        <w:tc>
          <w:tcPr>
            <w:tcW w:w="9570" w:type="dxa"/>
            <w:tcBorders>
              <w:top w:val="single" w:sz="4" w:space="0" w:color="auto"/>
              <w:left w:val="single" w:sz="4" w:space="0" w:color="auto"/>
              <w:bottom w:val="single" w:sz="4" w:space="0" w:color="auto"/>
              <w:right w:val="single" w:sz="4" w:space="0" w:color="auto"/>
            </w:tcBorders>
            <w:hideMark/>
          </w:tcPr>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Чи турбують вас закрепи?</w:t>
            </w:r>
          </w:p>
          <w:p w:rsidR="00E3259F" w:rsidRPr="00793AD7"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w:t>
            </w:r>
            <w:r w:rsidRPr="00793AD7">
              <w:rPr>
                <w:rFonts w:eastAsiaTheme="minorHAnsi"/>
                <w:sz w:val="28"/>
                <w:szCs w:val="28"/>
                <w:lang w:val="uk-UA" w:eastAsia="en-US"/>
              </w:rPr>
              <w:t>Чи турбуює вас біль у ділянці печінки?</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Чи бувають у вас запаморочення?</w:t>
            </w:r>
          </w:p>
          <w:p w:rsid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вважаєте ви, що зосередитися зараз вам стало важче, ніж у </w:t>
            </w:r>
          </w:p>
          <w:p w:rsidR="00E3259F" w:rsidRPr="00EA400D" w:rsidRDefault="00EA400D" w:rsidP="00EA400D">
            <w:pPr>
              <w:pStyle w:val="a4"/>
              <w:suppressAutoHyphens/>
              <w:spacing w:line="360" w:lineRule="auto"/>
              <w:ind w:left="0"/>
              <w:rPr>
                <w:rFonts w:eastAsiaTheme="minorHAnsi"/>
                <w:sz w:val="28"/>
                <w:szCs w:val="28"/>
                <w:lang w:val="uk-UA" w:eastAsia="en-US"/>
              </w:rPr>
            </w:pPr>
            <w:r>
              <w:rPr>
                <w:rFonts w:eastAsiaTheme="minorHAnsi"/>
                <w:sz w:val="28"/>
                <w:szCs w:val="28"/>
                <w:lang w:val="uk-UA" w:eastAsia="en-US"/>
              </w:rPr>
              <w:t xml:space="preserve">            </w:t>
            </w:r>
            <w:r w:rsidR="00E3259F" w:rsidRPr="00EA400D">
              <w:rPr>
                <w:rFonts w:eastAsiaTheme="minorHAnsi"/>
                <w:sz w:val="28"/>
                <w:szCs w:val="28"/>
                <w:lang w:val="uk-UA" w:eastAsia="en-US"/>
              </w:rPr>
              <w:t>минулому?</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Чи турбує вас ослаблення пам'яті, забудькуватість?</w:t>
            </w:r>
          </w:p>
          <w:p w:rsid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відчуваєте ви в різних частинах тіла печіння, поколювання, </w:t>
            </w:r>
            <w:r w:rsidR="00EA400D">
              <w:rPr>
                <w:rFonts w:eastAsiaTheme="minorHAnsi"/>
                <w:sz w:val="28"/>
                <w:szCs w:val="28"/>
                <w:lang w:val="uk-UA" w:eastAsia="en-US"/>
              </w:rPr>
              <w:t xml:space="preserve"> </w:t>
            </w:r>
          </w:p>
          <w:p w:rsidR="00E3259F" w:rsidRPr="00EA400D" w:rsidRDefault="00EA400D" w:rsidP="00EA400D">
            <w:pPr>
              <w:pStyle w:val="a4"/>
              <w:suppressAutoHyphens/>
              <w:spacing w:line="360" w:lineRule="auto"/>
              <w:ind w:left="0"/>
              <w:rPr>
                <w:rFonts w:eastAsiaTheme="minorHAnsi"/>
                <w:sz w:val="28"/>
                <w:szCs w:val="28"/>
                <w:lang w:val="uk-UA" w:eastAsia="en-US"/>
              </w:rPr>
            </w:pPr>
            <w:r>
              <w:rPr>
                <w:rFonts w:eastAsiaTheme="minorHAnsi"/>
                <w:sz w:val="28"/>
                <w:szCs w:val="28"/>
                <w:lang w:val="uk-UA" w:eastAsia="en-US"/>
              </w:rPr>
              <w:t xml:space="preserve">            </w:t>
            </w:r>
            <w:r w:rsidR="00E3259F" w:rsidRPr="00EA400D">
              <w:rPr>
                <w:rFonts w:eastAsiaTheme="minorHAnsi"/>
                <w:sz w:val="28"/>
                <w:szCs w:val="28"/>
                <w:lang w:val="uk-UA" w:eastAsia="en-US"/>
              </w:rPr>
              <w:t>"повзання мурашок ''?</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турбують вас шум або дзвін у вухах?</w:t>
            </w:r>
          </w:p>
          <w:p w:rsid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тримайєте ви для себе в домашній аптечці одне з таких ліків: </w:t>
            </w:r>
          </w:p>
          <w:p w:rsidR="00E3259F" w:rsidRPr="00EA400D" w:rsidRDefault="00EA400D" w:rsidP="00EA400D">
            <w:pPr>
              <w:pStyle w:val="a4"/>
              <w:suppressAutoHyphens/>
              <w:spacing w:line="360" w:lineRule="auto"/>
              <w:ind w:left="0"/>
              <w:rPr>
                <w:rFonts w:eastAsiaTheme="minorHAnsi"/>
                <w:sz w:val="28"/>
                <w:szCs w:val="28"/>
                <w:lang w:val="uk-UA" w:eastAsia="en-US"/>
              </w:rPr>
            </w:pPr>
            <w:r>
              <w:rPr>
                <w:rFonts w:eastAsiaTheme="minorHAnsi"/>
                <w:sz w:val="28"/>
                <w:szCs w:val="28"/>
                <w:lang w:val="uk-UA" w:eastAsia="en-US"/>
              </w:rPr>
              <w:t xml:space="preserve">            </w:t>
            </w:r>
            <w:r w:rsidR="00E3259F" w:rsidRPr="00EA400D">
              <w:rPr>
                <w:rFonts w:eastAsiaTheme="minorHAnsi"/>
                <w:sz w:val="28"/>
                <w:szCs w:val="28"/>
                <w:lang w:val="uk-UA" w:eastAsia="en-US"/>
              </w:rPr>
              <w:t>валідол, нітрогліцерин, серцеві краплі?</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бувають у вас набряки на ногах?</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доводиться вам відмовлятися від деяких страв?</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Чи буває у вас задишка при швидкій ходьбі?</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Чи турбуює  вас біль у ділянці попереку?</w:t>
            </w:r>
          </w:p>
          <w:p w:rsid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доводиться вам вживати з лікувальною метою будь-яку мінеральну</w:t>
            </w:r>
          </w:p>
          <w:p w:rsidR="00E3259F" w:rsidRPr="00EA400D" w:rsidRDefault="00EA400D" w:rsidP="00EA400D">
            <w:pPr>
              <w:pStyle w:val="a4"/>
              <w:suppressAutoHyphens/>
              <w:spacing w:line="360" w:lineRule="auto"/>
              <w:ind w:left="0"/>
              <w:rPr>
                <w:rFonts w:eastAsiaTheme="minorHAnsi"/>
                <w:sz w:val="28"/>
                <w:szCs w:val="28"/>
                <w:lang w:val="uk-UA" w:eastAsia="en-US"/>
              </w:rPr>
            </w:pPr>
            <w:r>
              <w:rPr>
                <w:rFonts w:eastAsiaTheme="minorHAnsi"/>
                <w:sz w:val="28"/>
                <w:szCs w:val="28"/>
                <w:lang w:val="uk-UA" w:eastAsia="en-US"/>
              </w:rPr>
              <w:t xml:space="preserve">          </w:t>
            </w:r>
            <w:r w:rsidR="00E3259F" w:rsidRPr="00EA400D">
              <w:rPr>
                <w:rFonts w:eastAsiaTheme="minorHAnsi"/>
                <w:sz w:val="28"/>
                <w:szCs w:val="28"/>
                <w:lang w:val="uk-UA" w:eastAsia="en-US"/>
              </w:rPr>
              <w:t xml:space="preserve"> воду?</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турбує вас неприємний смак у роті?</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можна сказати, що ви стали легко плакати?</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буваєте ви на пляжі?</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вважаєте ви, що зараз ви також працездатні, як і раніше?</w:t>
            </w:r>
          </w:p>
          <w:p w:rsid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Чи бувають у вас такі періоди, коли ви відчуваєте себе радісно</w:t>
            </w:r>
          </w:p>
          <w:p w:rsidR="00E3259F" w:rsidRPr="00EA400D" w:rsidRDefault="00EA400D" w:rsidP="00EA400D">
            <w:pPr>
              <w:pStyle w:val="a4"/>
              <w:suppressAutoHyphens/>
              <w:spacing w:line="360" w:lineRule="auto"/>
              <w:ind w:left="0"/>
              <w:rPr>
                <w:rFonts w:eastAsiaTheme="minorHAnsi"/>
                <w:sz w:val="28"/>
                <w:szCs w:val="28"/>
                <w:lang w:val="uk-UA" w:eastAsia="en-US"/>
              </w:rPr>
            </w:pPr>
            <w:r>
              <w:rPr>
                <w:rFonts w:eastAsiaTheme="minorHAnsi"/>
                <w:sz w:val="28"/>
                <w:szCs w:val="28"/>
                <w:lang w:val="uk-UA" w:eastAsia="en-US"/>
              </w:rPr>
              <w:t xml:space="preserve">           </w:t>
            </w:r>
            <w:r w:rsidR="00E3259F" w:rsidRPr="00EA400D">
              <w:rPr>
                <w:rFonts w:eastAsiaTheme="minorHAnsi"/>
                <w:sz w:val="28"/>
                <w:szCs w:val="28"/>
                <w:lang w:val="uk-UA" w:eastAsia="en-US"/>
              </w:rPr>
              <w:t xml:space="preserve"> збудженим, щасливим?</w:t>
            </w:r>
          </w:p>
          <w:p w:rsidR="00E3259F" w:rsidRPr="00EA400D" w:rsidRDefault="00E3259F" w:rsidP="00EA400D">
            <w:pPr>
              <w:pStyle w:val="a4"/>
              <w:numPr>
                <w:ilvl w:val="0"/>
                <w:numId w:val="12"/>
              </w:numPr>
              <w:suppressAutoHyphens/>
              <w:spacing w:line="360" w:lineRule="auto"/>
              <w:ind w:left="0" w:firstLine="0"/>
              <w:rPr>
                <w:rFonts w:eastAsiaTheme="minorHAnsi"/>
                <w:sz w:val="28"/>
                <w:szCs w:val="28"/>
                <w:lang w:val="uk-UA" w:eastAsia="en-US"/>
              </w:rPr>
            </w:pPr>
            <w:r w:rsidRPr="00EA400D">
              <w:rPr>
                <w:rFonts w:eastAsiaTheme="minorHAnsi"/>
                <w:sz w:val="28"/>
                <w:szCs w:val="28"/>
                <w:lang w:val="uk-UA" w:eastAsia="en-US"/>
              </w:rPr>
              <w:t xml:space="preserve"> Як ви оцінюєте стан свого здоров'я?</w:t>
            </w:r>
          </w:p>
        </w:tc>
      </w:tr>
    </w:tbl>
    <w:p w:rsidR="00E3259F" w:rsidRDefault="00E3259F" w:rsidP="00E3259F">
      <w:pPr>
        <w:suppressAutoHyphens/>
        <w:spacing w:line="360" w:lineRule="auto"/>
        <w:jc w:val="right"/>
        <w:rPr>
          <w:sz w:val="28"/>
          <w:szCs w:val="28"/>
          <w:lang w:val="uk-UA" w:eastAsia="en-US"/>
        </w:rPr>
      </w:pPr>
    </w:p>
    <w:p w:rsidR="00E3259F" w:rsidRDefault="00E3259F" w:rsidP="00E62AEF">
      <w:pPr>
        <w:suppressAutoHyphens/>
        <w:spacing w:line="360" w:lineRule="auto"/>
        <w:ind w:firstLine="709"/>
        <w:jc w:val="both"/>
        <w:rPr>
          <w:rFonts w:eastAsia="Calibri"/>
          <w:sz w:val="28"/>
          <w:szCs w:val="28"/>
          <w:lang w:val="uk-UA"/>
        </w:rPr>
      </w:pPr>
      <w:r>
        <w:rPr>
          <w:sz w:val="28"/>
          <w:szCs w:val="28"/>
          <w:lang w:val="uk-UA"/>
        </w:rPr>
        <w:t xml:space="preserve">Для перших 28 питань можливі відповіді "Так" або "Ні". Несприятливими вважаються відповіді "Так" на питання 1-25 і відповіді "Ні" на питання 26-28. На питання 29 в анкеті можливі такі відповіді: "гарне", "задовільне", "погане" і "дуже погане". Несприятливим вважається одна з двох останніх відповідей. </w:t>
      </w:r>
      <w:r>
        <w:rPr>
          <w:rFonts w:eastAsia="Calibri"/>
          <w:sz w:val="28"/>
          <w:szCs w:val="28"/>
          <w:lang w:val="uk-UA"/>
        </w:rPr>
        <w:t>При кількості несприятливих відповідей, що дорівнює нулю, здоров'я вважалося ідеальним, при 29 - поганим. Отриману величину індексу СОЗ вводили у формулу для визначення показника БВ.</w:t>
      </w:r>
    </w:p>
    <w:p w:rsidR="00E3259F" w:rsidRDefault="00E3259F" w:rsidP="00E62AEF">
      <w:pPr>
        <w:spacing w:line="360" w:lineRule="auto"/>
        <w:ind w:firstLine="709"/>
        <w:jc w:val="both"/>
        <w:textAlignment w:val="top"/>
        <w:rPr>
          <w:color w:val="000000"/>
          <w:sz w:val="28"/>
          <w:szCs w:val="28"/>
        </w:rPr>
      </w:pPr>
      <w:r>
        <w:rPr>
          <w:color w:val="000000"/>
          <w:sz w:val="28"/>
          <w:szCs w:val="28"/>
          <w:lang w:val="uk-UA"/>
        </w:rPr>
        <w:t>Розрахунок</w:t>
      </w:r>
      <w:r>
        <w:rPr>
          <w:color w:val="000000"/>
          <w:sz w:val="28"/>
          <w:szCs w:val="28"/>
        </w:rPr>
        <w:t xml:space="preserve"> БВ проводили </w:t>
      </w:r>
      <w:r>
        <w:rPr>
          <w:color w:val="000000"/>
          <w:sz w:val="28"/>
          <w:szCs w:val="28"/>
          <w:lang w:val="uk-UA"/>
        </w:rPr>
        <w:t xml:space="preserve">за </w:t>
      </w:r>
      <w:r>
        <w:rPr>
          <w:color w:val="000000"/>
          <w:sz w:val="28"/>
          <w:szCs w:val="28"/>
        </w:rPr>
        <w:t>формул</w:t>
      </w:r>
      <w:r>
        <w:rPr>
          <w:color w:val="000000"/>
          <w:sz w:val="28"/>
          <w:szCs w:val="28"/>
          <w:lang w:val="uk-UA"/>
        </w:rPr>
        <w:t>ою</w:t>
      </w:r>
      <w:r>
        <w:rPr>
          <w:color w:val="000000"/>
          <w:sz w:val="28"/>
          <w:szCs w:val="28"/>
        </w:rPr>
        <w:t>:</w:t>
      </w:r>
    </w:p>
    <w:p w:rsidR="00E3259F" w:rsidRDefault="00E3259F" w:rsidP="00E62AEF">
      <w:pPr>
        <w:autoSpaceDE w:val="0"/>
        <w:autoSpaceDN w:val="0"/>
        <w:adjustRightInd w:val="0"/>
        <w:spacing w:line="360" w:lineRule="auto"/>
        <w:rPr>
          <w:rFonts w:eastAsia="MS Mincho"/>
          <w:sz w:val="28"/>
          <w:szCs w:val="28"/>
          <w:lang w:eastAsia="en-US"/>
        </w:rPr>
      </w:pPr>
      <w:r>
        <w:rPr>
          <w:sz w:val="28"/>
          <w:szCs w:val="28"/>
        </w:rPr>
        <w:t xml:space="preserve">БВ </w:t>
      </w:r>
      <w:r>
        <w:rPr>
          <w:sz w:val="28"/>
          <w:szCs w:val="28"/>
          <w:lang w:val="uk-UA"/>
        </w:rPr>
        <w:t>чоловіків</w:t>
      </w:r>
      <w:r>
        <w:rPr>
          <w:sz w:val="28"/>
          <w:szCs w:val="28"/>
        </w:rPr>
        <w:t xml:space="preserve"> = 26,985+0,215</w:t>
      </w:r>
      <w:r>
        <w:rPr>
          <w:sz w:val="28"/>
          <w:szCs w:val="28"/>
        </w:rPr>
        <w:sym w:font="Symbol" w:char="F0B4"/>
      </w:r>
      <w:r>
        <w:rPr>
          <w:sz w:val="28"/>
          <w:szCs w:val="28"/>
        </w:rPr>
        <w:t>СА</w:t>
      </w:r>
      <w:r>
        <w:rPr>
          <w:sz w:val="28"/>
          <w:szCs w:val="28"/>
          <w:lang w:val="uk-UA"/>
        </w:rPr>
        <w:t>Т</w:t>
      </w:r>
      <w:r>
        <w:rPr>
          <w:sz w:val="28"/>
          <w:szCs w:val="28"/>
        </w:rPr>
        <w:t>–0,149</w:t>
      </w:r>
      <w:r>
        <w:rPr>
          <w:sz w:val="28"/>
          <w:szCs w:val="28"/>
        </w:rPr>
        <w:sym w:font="Symbol" w:char="F0B4"/>
      </w:r>
      <w:r>
        <w:rPr>
          <w:sz w:val="28"/>
          <w:szCs w:val="28"/>
        </w:rPr>
        <w:t>ЗДВ–0,151</w:t>
      </w:r>
      <w:r>
        <w:rPr>
          <w:sz w:val="28"/>
          <w:szCs w:val="28"/>
        </w:rPr>
        <w:sym w:font="Symbol" w:char="F0B4"/>
      </w:r>
      <w:r>
        <w:rPr>
          <w:sz w:val="28"/>
          <w:szCs w:val="28"/>
        </w:rPr>
        <w:t>СБ + 0,723</w:t>
      </w:r>
      <w:r>
        <w:rPr>
          <w:sz w:val="28"/>
          <w:szCs w:val="28"/>
        </w:rPr>
        <w:sym w:font="Symbol" w:char="F0B4"/>
      </w:r>
      <w:r>
        <w:rPr>
          <w:sz w:val="28"/>
          <w:szCs w:val="28"/>
        </w:rPr>
        <w:t>СОЗ</w:t>
      </w:r>
      <w:r>
        <w:rPr>
          <w:i/>
          <w:sz w:val="28"/>
          <w:szCs w:val="28"/>
          <w:lang w:val="uk-UA"/>
        </w:rPr>
        <w:t xml:space="preserve"> </w:t>
      </w:r>
      <w:r>
        <w:rPr>
          <w:sz w:val="28"/>
          <w:szCs w:val="28"/>
          <w:lang w:val="uk-UA"/>
        </w:rPr>
        <w:t xml:space="preserve">  </w:t>
      </w:r>
      <w:r>
        <w:rPr>
          <w:rFonts w:eastAsia="MS Mincho"/>
          <w:sz w:val="28"/>
          <w:szCs w:val="28"/>
        </w:rPr>
        <w:t>(2.</w:t>
      </w:r>
      <w:r>
        <w:rPr>
          <w:rFonts w:eastAsia="MS Mincho"/>
          <w:sz w:val="28"/>
          <w:szCs w:val="28"/>
          <w:lang w:val="uk-UA"/>
        </w:rPr>
        <w:t>1</w:t>
      </w:r>
      <w:r>
        <w:rPr>
          <w:rFonts w:eastAsia="MS Mincho"/>
          <w:sz w:val="28"/>
          <w:szCs w:val="28"/>
        </w:rPr>
        <w:t>)</w:t>
      </w:r>
    </w:p>
    <w:p w:rsidR="00E3259F" w:rsidRDefault="00E3259F" w:rsidP="00E62AEF">
      <w:pPr>
        <w:autoSpaceDE w:val="0"/>
        <w:autoSpaceDN w:val="0"/>
        <w:adjustRightInd w:val="0"/>
        <w:spacing w:line="360" w:lineRule="auto"/>
        <w:rPr>
          <w:rFonts w:eastAsia="MS Mincho"/>
          <w:sz w:val="28"/>
          <w:szCs w:val="28"/>
        </w:rPr>
      </w:pPr>
      <w:r>
        <w:rPr>
          <w:sz w:val="28"/>
          <w:szCs w:val="28"/>
        </w:rPr>
        <w:t xml:space="preserve">БВ </w:t>
      </w:r>
      <w:r>
        <w:rPr>
          <w:sz w:val="28"/>
          <w:szCs w:val="28"/>
          <w:lang w:val="uk-UA"/>
        </w:rPr>
        <w:t>жінок</w:t>
      </w:r>
      <w:r>
        <w:rPr>
          <w:sz w:val="28"/>
          <w:szCs w:val="28"/>
        </w:rPr>
        <w:t xml:space="preserve"> = (-1,463)+0,415</w:t>
      </w:r>
      <w:r>
        <w:rPr>
          <w:sz w:val="28"/>
          <w:szCs w:val="28"/>
        </w:rPr>
        <w:sym w:font="Symbol" w:char="F0B4"/>
      </w:r>
      <w:r>
        <w:rPr>
          <w:sz w:val="28"/>
          <w:szCs w:val="28"/>
        </w:rPr>
        <w:t>ПА</w:t>
      </w:r>
      <w:r>
        <w:rPr>
          <w:sz w:val="28"/>
          <w:szCs w:val="28"/>
          <w:lang w:val="uk-UA"/>
        </w:rPr>
        <w:t>Т</w:t>
      </w:r>
      <w:r>
        <w:rPr>
          <w:sz w:val="28"/>
          <w:szCs w:val="28"/>
        </w:rPr>
        <w:t>–0,141</w:t>
      </w:r>
      <w:r>
        <w:rPr>
          <w:sz w:val="28"/>
          <w:szCs w:val="28"/>
        </w:rPr>
        <w:sym w:font="Symbol" w:char="F0B4"/>
      </w:r>
      <w:r>
        <w:rPr>
          <w:sz w:val="28"/>
          <w:szCs w:val="28"/>
        </w:rPr>
        <w:t>СБ+0,248</w:t>
      </w:r>
      <w:r>
        <w:rPr>
          <w:sz w:val="28"/>
          <w:szCs w:val="28"/>
        </w:rPr>
        <w:sym w:font="Symbol" w:char="F0B4"/>
      </w:r>
      <w:r>
        <w:rPr>
          <w:sz w:val="28"/>
          <w:szCs w:val="28"/>
        </w:rPr>
        <w:t>МТ+0,694</w:t>
      </w:r>
      <w:r>
        <w:rPr>
          <w:sz w:val="28"/>
          <w:szCs w:val="28"/>
        </w:rPr>
        <w:sym w:font="Symbol" w:char="F0B4"/>
      </w:r>
      <w:r>
        <w:rPr>
          <w:sz w:val="28"/>
          <w:szCs w:val="28"/>
        </w:rPr>
        <w:t>СОЗ</w:t>
      </w:r>
      <w:r>
        <w:rPr>
          <w:sz w:val="28"/>
          <w:szCs w:val="28"/>
          <w:lang w:val="uk-UA"/>
        </w:rPr>
        <w:t xml:space="preserve">         </w:t>
      </w:r>
      <w:r>
        <w:rPr>
          <w:rFonts w:eastAsia="MS Mincho"/>
          <w:sz w:val="28"/>
          <w:szCs w:val="28"/>
        </w:rPr>
        <w:t>(2.</w:t>
      </w:r>
      <w:r>
        <w:rPr>
          <w:rFonts w:eastAsia="MS Mincho"/>
          <w:sz w:val="28"/>
          <w:szCs w:val="28"/>
          <w:lang w:val="uk-UA"/>
        </w:rPr>
        <w:t>2</w:t>
      </w:r>
      <w:r>
        <w:rPr>
          <w:rFonts w:eastAsia="MS Mincho"/>
          <w:sz w:val="28"/>
          <w:szCs w:val="28"/>
        </w:rPr>
        <w:t>)</w:t>
      </w:r>
    </w:p>
    <w:p w:rsidR="00E3259F" w:rsidRDefault="00E3259F" w:rsidP="00E62AEF">
      <w:pPr>
        <w:spacing w:line="360" w:lineRule="auto"/>
        <w:jc w:val="both"/>
        <w:rPr>
          <w:rFonts w:eastAsiaTheme="minorHAnsi"/>
          <w:sz w:val="28"/>
          <w:szCs w:val="28"/>
        </w:rPr>
      </w:pPr>
      <w:r>
        <w:rPr>
          <w:sz w:val="28"/>
          <w:szCs w:val="28"/>
          <w:lang w:val="uk-UA"/>
        </w:rPr>
        <w:t>Значення Н</w:t>
      </w:r>
      <w:r>
        <w:rPr>
          <w:sz w:val="28"/>
          <w:szCs w:val="28"/>
        </w:rPr>
        <w:t>БВ обчислювалися за наведеними нижче формулами:</w:t>
      </w:r>
    </w:p>
    <w:p w:rsidR="00E3259F" w:rsidRDefault="00E3259F" w:rsidP="00E62AEF">
      <w:pPr>
        <w:autoSpaceDE w:val="0"/>
        <w:autoSpaceDN w:val="0"/>
        <w:adjustRightInd w:val="0"/>
        <w:spacing w:line="360" w:lineRule="auto"/>
        <w:ind w:firstLine="709"/>
        <w:rPr>
          <w:rFonts w:eastAsia="MS Mincho"/>
          <w:sz w:val="28"/>
          <w:szCs w:val="28"/>
        </w:rPr>
      </w:pPr>
      <w:r>
        <w:rPr>
          <w:sz w:val="28"/>
          <w:szCs w:val="28"/>
          <w:lang w:val="uk-UA"/>
        </w:rPr>
        <w:t>Н</w:t>
      </w:r>
      <w:r>
        <w:rPr>
          <w:sz w:val="28"/>
          <w:szCs w:val="28"/>
        </w:rPr>
        <w:t xml:space="preserve">БВ </w:t>
      </w:r>
      <w:r>
        <w:rPr>
          <w:sz w:val="28"/>
          <w:szCs w:val="28"/>
          <w:lang w:val="uk-UA"/>
        </w:rPr>
        <w:t>чоловіків</w:t>
      </w:r>
      <w:r>
        <w:rPr>
          <w:sz w:val="28"/>
          <w:szCs w:val="28"/>
        </w:rPr>
        <w:t xml:space="preserve"> = 0,629</w:t>
      </w:r>
      <w:r>
        <w:rPr>
          <w:sz w:val="28"/>
          <w:szCs w:val="28"/>
        </w:rPr>
        <w:sym w:font="Symbol" w:char="F0B4"/>
      </w:r>
      <w:r>
        <w:rPr>
          <w:sz w:val="28"/>
          <w:szCs w:val="28"/>
        </w:rPr>
        <w:t>КВ + 18,56;</w:t>
      </w:r>
      <w:r>
        <w:rPr>
          <w:sz w:val="28"/>
          <w:szCs w:val="28"/>
          <w:lang w:val="uk-UA"/>
        </w:rPr>
        <w:t xml:space="preserve">                                                    </w:t>
      </w:r>
      <w:r>
        <w:rPr>
          <w:rFonts w:eastAsia="MS Mincho"/>
          <w:sz w:val="28"/>
          <w:szCs w:val="28"/>
        </w:rPr>
        <w:t>(2.3)</w:t>
      </w:r>
    </w:p>
    <w:p w:rsidR="00E3259F" w:rsidRDefault="00E3259F" w:rsidP="00E62AEF">
      <w:pPr>
        <w:autoSpaceDE w:val="0"/>
        <w:autoSpaceDN w:val="0"/>
        <w:adjustRightInd w:val="0"/>
        <w:spacing w:line="360" w:lineRule="auto"/>
        <w:ind w:firstLine="709"/>
        <w:rPr>
          <w:rFonts w:eastAsia="MS Mincho"/>
          <w:sz w:val="28"/>
          <w:szCs w:val="28"/>
          <w:lang w:val="uk-UA"/>
        </w:rPr>
      </w:pPr>
      <w:r>
        <w:rPr>
          <w:sz w:val="28"/>
          <w:szCs w:val="28"/>
          <w:lang w:val="uk-UA"/>
        </w:rPr>
        <w:t>Н</w:t>
      </w:r>
      <w:r>
        <w:rPr>
          <w:sz w:val="28"/>
          <w:szCs w:val="28"/>
        </w:rPr>
        <w:t xml:space="preserve">БВ </w:t>
      </w:r>
      <w:r>
        <w:rPr>
          <w:sz w:val="28"/>
          <w:szCs w:val="28"/>
          <w:lang w:val="uk-UA"/>
        </w:rPr>
        <w:t>жінок</w:t>
      </w:r>
      <w:r>
        <w:rPr>
          <w:sz w:val="28"/>
          <w:szCs w:val="28"/>
        </w:rPr>
        <w:t xml:space="preserve"> = 0,581</w:t>
      </w:r>
      <w:r>
        <w:rPr>
          <w:sz w:val="28"/>
          <w:szCs w:val="28"/>
        </w:rPr>
        <w:sym w:font="Symbol" w:char="F0B4"/>
      </w:r>
      <w:r>
        <w:rPr>
          <w:sz w:val="28"/>
          <w:szCs w:val="28"/>
        </w:rPr>
        <w:t>КВ + 17,24.</w:t>
      </w:r>
      <w:r>
        <w:rPr>
          <w:sz w:val="28"/>
          <w:szCs w:val="28"/>
          <w:lang w:val="uk-UA"/>
        </w:rPr>
        <w:t xml:space="preserve">                                                          </w:t>
      </w:r>
      <w:r>
        <w:rPr>
          <w:rFonts w:eastAsia="MS Mincho"/>
          <w:sz w:val="28"/>
          <w:szCs w:val="28"/>
          <w:lang w:val="uk-UA"/>
        </w:rPr>
        <w:t>(2.4)</w:t>
      </w:r>
    </w:p>
    <w:p w:rsidR="00E3259F" w:rsidRDefault="00E3259F" w:rsidP="00E62AEF">
      <w:pPr>
        <w:spacing w:line="360" w:lineRule="auto"/>
        <w:ind w:firstLine="709"/>
        <w:jc w:val="both"/>
        <w:textAlignment w:val="top"/>
        <w:rPr>
          <w:color w:val="000000"/>
          <w:sz w:val="28"/>
          <w:szCs w:val="28"/>
          <w:lang w:val="uk-UA"/>
        </w:rPr>
      </w:pPr>
      <w:r>
        <w:rPr>
          <w:color w:val="000000"/>
          <w:sz w:val="28"/>
          <w:szCs w:val="28"/>
          <w:lang w:val="uk-UA"/>
        </w:rPr>
        <w:t>де КВ — календарний вік індивідууму в роках .</w:t>
      </w:r>
    </w:p>
    <w:p w:rsidR="00E3259F" w:rsidRPr="00E62AEF" w:rsidRDefault="00E3259F" w:rsidP="00E62AEF">
      <w:pPr>
        <w:shd w:val="clear" w:color="auto" w:fill="FFFFFF"/>
        <w:spacing w:line="360" w:lineRule="auto"/>
        <w:ind w:firstLine="709"/>
        <w:jc w:val="both"/>
        <w:textAlignment w:val="top"/>
        <w:rPr>
          <w:rFonts w:eastAsiaTheme="minorHAnsi"/>
          <w:sz w:val="28"/>
          <w:szCs w:val="28"/>
          <w:lang w:val="uk-UA" w:eastAsia="en-US"/>
        </w:rPr>
      </w:pPr>
      <w:r w:rsidRPr="00E62AEF">
        <w:rPr>
          <w:sz w:val="28"/>
          <w:szCs w:val="28"/>
          <w:lang w:val="uk-UA"/>
        </w:rPr>
        <w:t>Про абсолютне відхилення БВ від популяційного стандарту судили за коефіцієнтом біологічного віку (БВ-НБВ), про відносне відхилення - за індексом (БВ/НБВ). При БВ-НБВ=0 або БВ/ДБВ=1 реєструвалася відповідність БВ популяційної нормі. Відхилення від цих величин свідчило про прискорений або сповільнений темп старіння - чим вище відхилення БВ від його належної величини (БВ-НБВ&gt;0, БВ/ДБВ&gt;1), тим швидше старіє індивідуум, і навпаки, чим більше БВ відстає від НБВ (БВ-НБВ&lt;0, БВ/НБВ&lt;1), тим повільніший темп старіння [4].</w:t>
      </w:r>
    </w:p>
    <w:p w:rsidR="00E3259F" w:rsidRPr="00E62AEF" w:rsidRDefault="00E3259F" w:rsidP="00E62AEF">
      <w:pPr>
        <w:autoSpaceDE w:val="0"/>
        <w:autoSpaceDN w:val="0"/>
        <w:adjustRightInd w:val="0"/>
        <w:spacing w:line="360" w:lineRule="auto"/>
        <w:ind w:firstLine="709"/>
        <w:jc w:val="both"/>
        <w:rPr>
          <w:rFonts w:eastAsia="Calibri"/>
          <w:sz w:val="28"/>
          <w:szCs w:val="28"/>
        </w:rPr>
      </w:pPr>
      <w:r w:rsidRPr="00E62AEF">
        <w:rPr>
          <w:rFonts w:eastAsia="Calibri"/>
          <w:sz w:val="28"/>
          <w:szCs w:val="28"/>
        </w:rPr>
        <w:t xml:space="preserve">Антропометричне дослідження проводилося з визначенням таких показників як: вимірювання росту; визначення </w:t>
      </w:r>
      <w:r w:rsidRPr="00E62AEF">
        <w:rPr>
          <w:rFonts w:eastAsia="Calibri"/>
          <w:sz w:val="28"/>
          <w:szCs w:val="28"/>
          <w:lang w:val="uk-UA"/>
        </w:rPr>
        <w:t>МТ</w:t>
      </w:r>
      <w:r w:rsidRPr="00E62AEF">
        <w:rPr>
          <w:rFonts w:eastAsia="Calibri"/>
          <w:sz w:val="28"/>
          <w:szCs w:val="28"/>
        </w:rPr>
        <w:t xml:space="preserve"> за допомогою ваг медичних РП-150, № 175304/80. Вира</w:t>
      </w:r>
      <w:r w:rsidRPr="00E62AEF">
        <w:rPr>
          <w:rFonts w:eastAsia="Calibri"/>
          <w:sz w:val="28"/>
          <w:szCs w:val="28"/>
          <w:lang w:val="uk-UA"/>
        </w:rPr>
        <w:t>хову</w:t>
      </w:r>
      <w:r w:rsidRPr="00E62AEF">
        <w:rPr>
          <w:rFonts w:eastAsia="Calibri"/>
          <w:sz w:val="28"/>
          <w:szCs w:val="28"/>
        </w:rPr>
        <w:t xml:space="preserve">вання ІМТ проводилося за формулою Кетле: </w:t>
      </w:r>
    </w:p>
    <w:p w:rsidR="00E3259F" w:rsidRDefault="00E3259F" w:rsidP="00E3259F">
      <w:pPr>
        <w:autoSpaceDE w:val="0"/>
        <w:autoSpaceDN w:val="0"/>
        <w:adjustRightInd w:val="0"/>
        <w:spacing w:line="360" w:lineRule="auto"/>
        <w:ind w:firstLine="709"/>
        <w:jc w:val="right"/>
        <w:rPr>
          <w:rFonts w:eastAsia="MS Mincho"/>
          <w:sz w:val="28"/>
          <w:szCs w:val="28"/>
        </w:rPr>
      </w:pPr>
      <w:r>
        <w:rPr>
          <w:rFonts w:eastAsia="Calibri"/>
          <w:sz w:val="28"/>
          <w:szCs w:val="28"/>
        </w:rPr>
        <w:t>ІМТ = МТ / Р</w:t>
      </w:r>
      <w:r>
        <w:rPr>
          <w:rFonts w:eastAsia="Calibri"/>
          <w:sz w:val="28"/>
          <w:szCs w:val="28"/>
          <w:vertAlign w:val="superscript"/>
        </w:rPr>
        <w:t xml:space="preserve">2 </w:t>
      </w:r>
      <w:r>
        <w:rPr>
          <w:rFonts w:eastAsia="Calibri"/>
          <w:sz w:val="28"/>
          <w:szCs w:val="28"/>
          <w:vertAlign w:val="superscript"/>
        </w:rPr>
        <w:tab/>
      </w:r>
      <w:r>
        <w:rPr>
          <w:rFonts w:eastAsia="Calibri"/>
          <w:sz w:val="28"/>
          <w:szCs w:val="28"/>
          <w:vertAlign w:val="superscript"/>
        </w:rPr>
        <w:tab/>
      </w:r>
      <w:r>
        <w:rPr>
          <w:rFonts w:eastAsia="Calibri"/>
          <w:sz w:val="28"/>
          <w:szCs w:val="28"/>
          <w:vertAlign w:val="superscript"/>
        </w:rPr>
        <w:tab/>
      </w:r>
      <w:r>
        <w:rPr>
          <w:rFonts w:eastAsia="Calibri"/>
          <w:sz w:val="28"/>
          <w:szCs w:val="28"/>
          <w:vertAlign w:val="superscript"/>
        </w:rPr>
        <w:tab/>
      </w:r>
      <w:r>
        <w:rPr>
          <w:rFonts w:eastAsia="Calibri"/>
          <w:sz w:val="28"/>
          <w:szCs w:val="28"/>
          <w:vertAlign w:val="superscript"/>
        </w:rPr>
        <w:tab/>
      </w:r>
      <w:r>
        <w:rPr>
          <w:rFonts w:eastAsia="Calibri"/>
          <w:sz w:val="28"/>
          <w:szCs w:val="28"/>
          <w:vertAlign w:val="superscript"/>
        </w:rPr>
        <w:tab/>
      </w:r>
      <w:r>
        <w:rPr>
          <w:rFonts w:eastAsia="MS Mincho"/>
          <w:sz w:val="28"/>
          <w:szCs w:val="28"/>
        </w:rPr>
        <w:t>(2.</w:t>
      </w:r>
      <w:r>
        <w:rPr>
          <w:rFonts w:eastAsia="MS Mincho"/>
          <w:sz w:val="28"/>
          <w:szCs w:val="28"/>
          <w:lang w:val="uk-UA"/>
        </w:rPr>
        <w:t>5</w:t>
      </w:r>
      <w:r>
        <w:rPr>
          <w:rFonts w:eastAsia="MS Mincho"/>
          <w:sz w:val="28"/>
          <w:szCs w:val="28"/>
        </w:rPr>
        <w:t>)</w:t>
      </w:r>
    </w:p>
    <w:p w:rsidR="00E3259F" w:rsidRDefault="00E3259F" w:rsidP="00E3259F">
      <w:pPr>
        <w:widowControl w:val="0"/>
        <w:spacing w:line="360" w:lineRule="auto"/>
        <w:ind w:firstLine="540"/>
        <w:jc w:val="both"/>
        <w:rPr>
          <w:rFonts w:eastAsia="Calibri"/>
          <w:sz w:val="28"/>
          <w:szCs w:val="28"/>
          <w:lang w:val="uk-UA"/>
        </w:rPr>
      </w:pPr>
    </w:p>
    <w:p w:rsidR="00E3259F" w:rsidRPr="00E62AEF" w:rsidRDefault="00E3259F" w:rsidP="00E62AEF">
      <w:pPr>
        <w:autoSpaceDE w:val="0"/>
        <w:autoSpaceDN w:val="0"/>
        <w:adjustRightInd w:val="0"/>
        <w:spacing w:line="360" w:lineRule="auto"/>
        <w:ind w:firstLine="709"/>
        <w:jc w:val="both"/>
        <w:rPr>
          <w:rFonts w:eastAsia="Calibri"/>
          <w:sz w:val="28"/>
          <w:szCs w:val="28"/>
          <w:lang w:val="uk-UA" w:eastAsia="en-US"/>
        </w:rPr>
      </w:pPr>
      <w:r w:rsidRPr="00E62AEF">
        <w:rPr>
          <w:rFonts w:eastAsia="Calibri"/>
          <w:sz w:val="28"/>
          <w:szCs w:val="28"/>
          <w:lang w:val="uk-UA"/>
        </w:rPr>
        <w:t xml:space="preserve">Артеріальний тиск вимірювали в положенні сидячи після 10-15 хвилин відпочинку, </w:t>
      </w:r>
      <w:r w:rsidRPr="00793AD7">
        <w:rPr>
          <w:rFonts w:eastAsia="Calibri"/>
          <w:sz w:val="28"/>
          <w:szCs w:val="28"/>
          <w:lang w:val="uk-UA"/>
        </w:rPr>
        <w:t>використовуючи сфігмоманометр №31304500 (</w:t>
      </w:r>
      <w:r w:rsidRPr="00793AD7">
        <w:rPr>
          <w:rFonts w:eastAsia="Calibri"/>
          <w:sz w:val="28"/>
          <w:szCs w:val="28"/>
        </w:rPr>
        <w:t>Erka</w:t>
      </w:r>
      <w:r w:rsidRPr="00793AD7">
        <w:rPr>
          <w:rFonts w:eastAsia="Calibri"/>
          <w:sz w:val="28"/>
          <w:szCs w:val="28"/>
          <w:lang w:val="uk-UA"/>
        </w:rPr>
        <w:t xml:space="preserve">, </w:t>
      </w:r>
      <w:r w:rsidRPr="00793AD7">
        <w:rPr>
          <w:rFonts w:eastAsia="Calibri"/>
          <w:sz w:val="28"/>
          <w:szCs w:val="28"/>
        </w:rPr>
        <w:t>Chemnitz</w:t>
      </w:r>
      <w:r w:rsidRPr="00793AD7">
        <w:rPr>
          <w:rFonts w:eastAsia="Calibri"/>
          <w:sz w:val="28"/>
          <w:szCs w:val="28"/>
          <w:lang w:val="uk-UA"/>
        </w:rPr>
        <w:t xml:space="preserve">, Німеччина). Вимірювання АТ здійснювали на обох </w:t>
      </w:r>
      <w:r w:rsidRPr="00E62AEF">
        <w:rPr>
          <w:rFonts w:eastAsia="Calibri"/>
          <w:sz w:val="28"/>
          <w:szCs w:val="28"/>
          <w:lang w:val="uk-UA"/>
        </w:rPr>
        <w:t>руках, остаточний вимір проводили на тій руці, де були вищі показники</w:t>
      </w:r>
      <w:r w:rsidRPr="00E62AEF">
        <w:rPr>
          <w:rFonts w:eastAsia="Calibri"/>
          <w:sz w:val="28"/>
          <w:szCs w:val="28"/>
        </w:rPr>
        <w:t xml:space="preserve">. </w:t>
      </w:r>
      <w:r w:rsidRPr="00E62AEF">
        <w:rPr>
          <w:rFonts w:eastAsia="Calibri"/>
          <w:sz w:val="28"/>
          <w:szCs w:val="28"/>
          <w:lang w:val="uk-UA"/>
        </w:rPr>
        <w:t>Визначаючи середній показник, повторні вимірювання здійснювали ще двічі через 2-х хвилинні інтервали. Пульсовий артеріальний тиск вимірювали як різницю між САТ і ДАТ, оцінювали в мм.рт.ст.</w:t>
      </w:r>
    </w:p>
    <w:p w:rsidR="00E3259F" w:rsidRPr="00E62AEF" w:rsidRDefault="00E3259F" w:rsidP="00E62AEF">
      <w:pPr>
        <w:pStyle w:val="13"/>
        <w:shd w:val="clear" w:color="auto" w:fill="FFFFFF"/>
        <w:tabs>
          <w:tab w:val="left" w:pos="-124"/>
        </w:tabs>
        <w:spacing w:before="0" w:beforeAutospacing="0" w:after="0" w:afterAutospacing="0" w:line="360" w:lineRule="auto"/>
        <w:ind w:firstLine="709"/>
        <w:jc w:val="both"/>
        <w:rPr>
          <w:sz w:val="28"/>
          <w:szCs w:val="28"/>
        </w:rPr>
      </w:pPr>
      <w:r w:rsidRPr="00E62AEF">
        <w:rPr>
          <w:sz w:val="28"/>
          <w:szCs w:val="28"/>
          <w:lang w:val="uk-UA"/>
        </w:rPr>
        <w:t xml:space="preserve">Для дослідження лабораторних параметрів забір крові проводився вранці натще ( через не менш ніж 10-годин після останнього прийому їжі) із ліктьової вени в пробірки з внесеними реактивами. Сироватку крові отримували шляхом інкубування пробірок із кров’ю протягом 30 хв. При температурі (+37) ºС, потім відшаровували від стінки пастерівською піпеткою, згусток, що утворювався, інкубували при (+4) ºС протягом 1 години для ретракції згустку. Отриману </w:t>
      </w:r>
      <w:r w:rsidRPr="00E62AEF">
        <w:rPr>
          <w:sz w:val="28"/>
          <w:szCs w:val="28"/>
        </w:rPr>
        <w:t xml:space="preserve">сироватку </w:t>
      </w:r>
      <w:r w:rsidRPr="00E62AEF">
        <w:rPr>
          <w:sz w:val="28"/>
          <w:szCs w:val="28"/>
          <w:lang w:val="uk-UA"/>
        </w:rPr>
        <w:t>п</w:t>
      </w:r>
      <w:r w:rsidRPr="00E62AEF">
        <w:rPr>
          <w:sz w:val="28"/>
          <w:szCs w:val="28"/>
        </w:rPr>
        <w:t xml:space="preserve">ереносили </w:t>
      </w:r>
      <w:r w:rsidRPr="00E62AEF">
        <w:rPr>
          <w:sz w:val="28"/>
          <w:szCs w:val="28"/>
          <w:lang w:val="uk-UA"/>
        </w:rPr>
        <w:t>в</w:t>
      </w:r>
      <w:r w:rsidRPr="00E62AEF">
        <w:rPr>
          <w:sz w:val="28"/>
          <w:szCs w:val="28"/>
        </w:rPr>
        <w:t xml:space="preserve"> скляні пробірки, центрифугували протягом 15 хв при 1500 обертах </w:t>
      </w:r>
      <w:r w:rsidRPr="00E62AEF">
        <w:rPr>
          <w:sz w:val="28"/>
          <w:szCs w:val="28"/>
          <w:lang w:val="uk-UA"/>
        </w:rPr>
        <w:t>за</w:t>
      </w:r>
      <w:r w:rsidRPr="00E62AEF">
        <w:rPr>
          <w:sz w:val="28"/>
          <w:szCs w:val="28"/>
        </w:rPr>
        <w:t xml:space="preserve"> хвилину, відокремлювали супернатант </w:t>
      </w:r>
      <w:r w:rsidRPr="00E62AEF">
        <w:rPr>
          <w:sz w:val="28"/>
          <w:szCs w:val="28"/>
          <w:lang w:val="uk-UA"/>
        </w:rPr>
        <w:t>і</w:t>
      </w:r>
      <w:r w:rsidRPr="00E62AEF">
        <w:rPr>
          <w:sz w:val="28"/>
          <w:szCs w:val="28"/>
        </w:rPr>
        <w:t xml:space="preserve"> розливали </w:t>
      </w:r>
      <w:r w:rsidRPr="00E62AEF">
        <w:rPr>
          <w:sz w:val="28"/>
          <w:szCs w:val="28"/>
          <w:lang w:val="uk-UA"/>
        </w:rPr>
        <w:t>в</w:t>
      </w:r>
      <w:r w:rsidRPr="00E62AEF">
        <w:rPr>
          <w:sz w:val="28"/>
          <w:szCs w:val="28"/>
        </w:rPr>
        <w:t xml:space="preserve"> пробірки типу «Еп</w:t>
      </w:r>
      <w:r w:rsidRPr="00E62AEF">
        <w:rPr>
          <w:sz w:val="28"/>
          <w:szCs w:val="28"/>
          <w:lang w:val="uk-UA"/>
        </w:rPr>
        <w:t>е</w:t>
      </w:r>
      <w:r w:rsidRPr="00E62AEF">
        <w:rPr>
          <w:sz w:val="28"/>
          <w:szCs w:val="28"/>
        </w:rPr>
        <w:t xml:space="preserve">ндорф». </w:t>
      </w:r>
      <w:r w:rsidRPr="00E62AEF">
        <w:rPr>
          <w:sz w:val="28"/>
          <w:szCs w:val="28"/>
          <w:lang w:val="uk-UA"/>
        </w:rPr>
        <w:t>З</w:t>
      </w:r>
      <w:r w:rsidRPr="00E62AEF">
        <w:rPr>
          <w:sz w:val="28"/>
          <w:szCs w:val="28"/>
        </w:rPr>
        <w:t xml:space="preserve">разки </w:t>
      </w:r>
      <w:r w:rsidRPr="00E62AEF">
        <w:rPr>
          <w:sz w:val="28"/>
          <w:szCs w:val="28"/>
          <w:lang w:val="uk-UA"/>
        </w:rPr>
        <w:t>з</w:t>
      </w:r>
      <w:r w:rsidRPr="00E62AEF">
        <w:rPr>
          <w:sz w:val="28"/>
          <w:szCs w:val="28"/>
        </w:rPr>
        <w:t>берігали при (-20) ºС не більш 3 місяців до проведення дослідження [</w:t>
      </w:r>
      <w:r w:rsidRPr="00E62AEF">
        <w:rPr>
          <w:sz w:val="28"/>
          <w:szCs w:val="28"/>
          <w:lang w:val="uk-UA"/>
        </w:rPr>
        <w:t>60</w:t>
      </w:r>
      <w:r w:rsidRPr="00E62AEF">
        <w:rPr>
          <w:sz w:val="28"/>
          <w:szCs w:val="28"/>
        </w:rPr>
        <w:t>].</w:t>
      </w:r>
    </w:p>
    <w:p w:rsidR="00E3259F" w:rsidRPr="00E62AEF" w:rsidRDefault="00E3259F" w:rsidP="00E62AEF">
      <w:pPr>
        <w:tabs>
          <w:tab w:val="left" w:pos="0"/>
        </w:tabs>
        <w:spacing w:line="360" w:lineRule="auto"/>
        <w:ind w:firstLine="709"/>
        <w:jc w:val="both"/>
        <w:rPr>
          <w:rFonts w:eastAsia="Calibri"/>
          <w:sz w:val="28"/>
          <w:szCs w:val="28"/>
          <w:lang w:val="uk-UA"/>
        </w:rPr>
      </w:pPr>
      <w:r w:rsidRPr="00E62AEF">
        <w:rPr>
          <w:rFonts w:eastAsia="Calibri"/>
          <w:sz w:val="28"/>
          <w:szCs w:val="28"/>
          <w:lang w:val="uk-UA"/>
        </w:rPr>
        <w:t>Оцінку порушень ліпідного обміну проводили на підставі рекомендацій з діагностики та лікування дисліпідемій Європейського товариства кардіологів (ЄТК) та Є</w:t>
      </w:r>
      <w:r w:rsidRPr="00E62AEF">
        <w:rPr>
          <w:sz w:val="28"/>
          <w:szCs w:val="28"/>
          <w:lang w:val="uk-UA"/>
        </w:rPr>
        <w:t>вропейського товариства з атеросклерозу (ЄТА)</w:t>
      </w:r>
      <w:r w:rsidRPr="00E62AEF">
        <w:rPr>
          <w:rFonts w:eastAsia="Calibri"/>
          <w:sz w:val="28"/>
          <w:szCs w:val="28"/>
          <w:lang w:val="uk-UA"/>
        </w:rPr>
        <w:t xml:space="preserve"> (2016 р.),  а також методичних рекомендацій з дисліпідемії Асоціації кардіологів України (2018р.) </w:t>
      </w:r>
      <w:r w:rsidRPr="00E62AEF">
        <w:rPr>
          <w:sz w:val="28"/>
          <w:szCs w:val="28"/>
          <w:lang w:val="uk-UA"/>
        </w:rPr>
        <w:t>[</w:t>
      </w:r>
      <w:bookmarkStart w:id="11" w:name="_Hlk43579118"/>
      <w:r w:rsidRPr="00E62AEF">
        <w:rPr>
          <w:sz w:val="28"/>
          <w:szCs w:val="28"/>
          <w:lang w:val="uk-UA"/>
        </w:rPr>
        <w:t>32,1</w:t>
      </w:r>
      <w:bookmarkEnd w:id="11"/>
      <w:r w:rsidRPr="00E62AEF">
        <w:rPr>
          <w:sz w:val="28"/>
          <w:szCs w:val="28"/>
          <w:lang w:val="uk-UA"/>
        </w:rPr>
        <w:t>77].</w:t>
      </w:r>
      <w:r w:rsidRPr="00E62AEF">
        <w:rPr>
          <w:rFonts w:eastAsia="Calibri"/>
          <w:sz w:val="28"/>
          <w:szCs w:val="28"/>
          <w:lang w:val="uk-UA"/>
        </w:rPr>
        <w:t xml:space="preserve">  Для оцінки ліпідного обміну у всіх пацієнтів ферментативним методом на біохімічному аналізаторі “</w:t>
      </w:r>
      <w:r w:rsidRPr="00E62AEF">
        <w:rPr>
          <w:rFonts w:eastAsia="Calibri"/>
          <w:sz w:val="28"/>
          <w:szCs w:val="28"/>
          <w:lang w:val="en-US"/>
        </w:rPr>
        <w:t>Humal</w:t>
      </w:r>
      <w:r w:rsidRPr="00E62AEF">
        <w:rPr>
          <w:rFonts w:eastAsia="Calibri"/>
          <w:sz w:val="28"/>
          <w:szCs w:val="28"/>
          <w:lang w:val="uk-UA"/>
        </w:rPr>
        <w:t>а</w:t>
      </w:r>
      <w:r w:rsidRPr="00E62AEF">
        <w:rPr>
          <w:rFonts w:eastAsia="Calibri"/>
          <w:sz w:val="28"/>
          <w:szCs w:val="28"/>
          <w:lang w:val="en-US"/>
        </w:rPr>
        <w:t>yzer</w:t>
      </w:r>
      <w:r w:rsidRPr="00E62AEF">
        <w:rPr>
          <w:rFonts w:eastAsia="Calibri"/>
          <w:sz w:val="28"/>
          <w:szCs w:val="28"/>
          <w:lang w:val="uk-UA"/>
        </w:rPr>
        <w:t>” (№ 2106-1709) визначали рівень ЗХС, ХС ЛПВЩ та ТГ з використанням набору реактивів фірми “</w:t>
      </w:r>
      <w:r w:rsidRPr="00E62AEF">
        <w:rPr>
          <w:rFonts w:eastAsia="Calibri"/>
          <w:sz w:val="28"/>
          <w:szCs w:val="28"/>
          <w:lang w:val="en-US"/>
        </w:rPr>
        <w:t>Human</w:t>
      </w:r>
      <w:r w:rsidRPr="00E62AEF">
        <w:rPr>
          <w:rFonts w:eastAsia="Calibri"/>
          <w:sz w:val="28"/>
          <w:szCs w:val="28"/>
          <w:lang w:val="uk-UA"/>
        </w:rPr>
        <w:t xml:space="preserve">” (Німеччина). Уміст холестерину в складі ХС ЛПДНЩ обчислювали за формулою </w:t>
      </w:r>
      <w:r w:rsidRPr="00E62AEF">
        <w:rPr>
          <w:rFonts w:eastAsia="Calibri"/>
          <w:sz w:val="28"/>
          <w:szCs w:val="28"/>
        </w:rPr>
        <w:t>Friedewald</w:t>
      </w:r>
      <w:r w:rsidRPr="00E62AEF">
        <w:rPr>
          <w:rFonts w:eastAsia="Calibri"/>
          <w:sz w:val="28"/>
          <w:szCs w:val="28"/>
          <w:lang w:val="uk-UA"/>
        </w:rPr>
        <w:t xml:space="preserve"> </w:t>
      </w:r>
      <w:r w:rsidRPr="00E62AEF">
        <w:rPr>
          <w:rFonts w:eastAsia="Calibri"/>
          <w:sz w:val="28"/>
          <w:szCs w:val="28"/>
        </w:rPr>
        <w:t>W</w:t>
      </w:r>
      <w:r w:rsidRPr="00E62AEF">
        <w:rPr>
          <w:rFonts w:eastAsia="Calibri"/>
          <w:sz w:val="28"/>
          <w:szCs w:val="28"/>
          <w:lang w:val="uk-UA"/>
        </w:rPr>
        <w:t>.</w:t>
      </w:r>
      <w:r w:rsidRPr="00E62AEF">
        <w:rPr>
          <w:rFonts w:eastAsia="Calibri"/>
          <w:sz w:val="28"/>
          <w:szCs w:val="28"/>
        </w:rPr>
        <w:t>T</w:t>
      </w:r>
      <w:r w:rsidRPr="00E62AEF">
        <w:rPr>
          <w:rFonts w:eastAsia="Calibri"/>
          <w:sz w:val="28"/>
          <w:szCs w:val="28"/>
          <w:lang w:val="uk-UA"/>
        </w:rPr>
        <w:t xml:space="preserve">. з урахуванням вимірювання показника в ммоль/л: </w:t>
      </w:r>
    </w:p>
    <w:p w:rsidR="00E3259F" w:rsidRDefault="00E3259F" w:rsidP="00E3259F">
      <w:pPr>
        <w:widowControl w:val="0"/>
        <w:spacing w:line="360" w:lineRule="auto"/>
        <w:ind w:firstLine="709"/>
        <w:rPr>
          <w:rFonts w:eastAsia="Calibri"/>
          <w:sz w:val="28"/>
          <w:szCs w:val="28"/>
          <w:lang w:val="uk-UA"/>
        </w:rPr>
      </w:pPr>
      <w:r>
        <w:rPr>
          <w:rFonts w:eastAsia="Calibri"/>
          <w:sz w:val="28"/>
          <w:szCs w:val="28"/>
          <w:lang w:val="uk-UA"/>
        </w:rPr>
        <w:t xml:space="preserve">ХС ЛПНЩ = ЗХС – (ХС ЛПВЩ ± ТГ/2,22)                          </w:t>
      </w:r>
      <w:r>
        <w:rPr>
          <w:rFonts w:eastAsia="MS Mincho"/>
          <w:sz w:val="28"/>
          <w:szCs w:val="28"/>
          <w:lang w:val="uk-UA"/>
        </w:rPr>
        <w:t>(2.6)</w:t>
      </w:r>
    </w:p>
    <w:p w:rsidR="00E3259F" w:rsidRDefault="00E3259F" w:rsidP="00E3259F">
      <w:pPr>
        <w:spacing w:line="360" w:lineRule="auto"/>
        <w:ind w:firstLine="540"/>
        <w:jc w:val="both"/>
        <w:rPr>
          <w:rFonts w:eastAsiaTheme="minorHAnsi"/>
          <w:sz w:val="28"/>
          <w:szCs w:val="28"/>
          <w:lang w:val="uk-UA"/>
        </w:rPr>
      </w:pPr>
      <w:r>
        <w:rPr>
          <w:sz w:val="28"/>
          <w:szCs w:val="28"/>
          <w:lang w:val="uk-UA"/>
        </w:rPr>
        <w:t xml:space="preserve">Концентрація холестерину в складі ліпопротеїдів дуже низької щільності (ХС ЛПДНЩ) визначали за значенням співвідношення в </w:t>
      </w:r>
      <w:r>
        <w:rPr>
          <w:i/>
          <w:sz w:val="28"/>
          <w:szCs w:val="28"/>
          <w:lang w:val="uk-UA"/>
        </w:rPr>
        <w:t>ммоль/л</w:t>
      </w:r>
      <w:r>
        <w:rPr>
          <w:sz w:val="28"/>
          <w:szCs w:val="28"/>
          <w:lang w:val="uk-UA"/>
        </w:rPr>
        <w:t>:</w:t>
      </w:r>
    </w:p>
    <w:p w:rsidR="00E3259F" w:rsidRDefault="00E3259F" w:rsidP="00E3259F">
      <w:pPr>
        <w:spacing w:line="360" w:lineRule="auto"/>
        <w:ind w:firstLine="540"/>
        <w:jc w:val="both"/>
        <w:rPr>
          <w:sz w:val="28"/>
          <w:szCs w:val="28"/>
          <w:lang w:val="uk-UA"/>
        </w:rPr>
      </w:pPr>
      <w:r>
        <w:rPr>
          <w:i/>
          <w:sz w:val="28"/>
          <w:szCs w:val="28"/>
          <w:lang w:val="uk-UA"/>
        </w:rPr>
        <w:t xml:space="preserve">ХС ЛДПНЩ = ТГ/2,2,                                                                </w:t>
      </w:r>
      <w:r>
        <w:rPr>
          <w:sz w:val="28"/>
          <w:szCs w:val="28"/>
          <w:lang w:val="uk-UA"/>
        </w:rPr>
        <w:t>(2.7)</w:t>
      </w:r>
    </w:p>
    <w:p w:rsidR="00E3259F" w:rsidRPr="00E62AEF" w:rsidRDefault="00E3259F" w:rsidP="00E3259F">
      <w:pPr>
        <w:spacing w:line="360" w:lineRule="auto"/>
        <w:ind w:firstLine="540"/>
        <w:jc w:val="both"/>
        <w:rPr>
          <w:rFonts w:eastAsiaTheme="minorHAnsi"/>
          <w:sz w:val="28"/>
          <w:szCs w:val="28"/>
          <w:lang w:val="uk-UA"/>
        </w:rPr>
      </w:pPr>
      <w:r w:rsidRPr="00E62AEF">
        <w:rPr>
          <w:sz w:val="28"/>
          <w:szCs w:val="28"/>
          <w:lang w:val="uk-UA"/>
        </w:rPr>
        <w:t xml:space="preserve">З метою аналізу вуглеводного обміну </w:t>
      </w:r>
      <w:r w:rsidRPr="00E62AEF">
        <w:rPr>
          <w:rFonts w:eastAsia="Calibri"/>
          <w:sz w:val="28"/>
          <w:szCs w:val="28"/>
          <w:lang w:val="uk-UA"/>
        </w:rPr>
        <w:t xml:space="preserve">досліджували рівні глюкози натщесерце глюкозооксидазним методом, </w:t>
      </w:r>
      <w:r w:rsidRPr="00E62AEF">
        <w:rPr>
          <w:sz w:val="28"/>
          <w:szCs w:val="28"/>
          <w:lang w:val="uk-UA"/>
        </w:rPr>
        <w:t>уміст глікованого гемоглобіну (</w:t>
      </w:r>
      <w:r w:rsidRPr="00E62AEF">
        <w:rPr>
          <w:sz w:val="28"/>
          <w:szCs w:val="28"/>
        </w:rPr>
        <w:t>HbA</w:t>
      </w:r>
      <w:r w:rsidRPr="00E62AEF">
        <w:rPr>
          <w:sz w:val="28"/>
          <w:szCs w:val="28"/>
          <w:vertAlign w:val="subscript"/>
          <w:lang w:val="uk-UA"/>
        </w:rPr>
        <w:t xml:space="preserve">1с, </w:t>
      </w:r>
      <w:r w:rsidRPr="00E62AEF">
        <w:rPr>
          <w:sz w:val="28"/>
          <w:szCs w:val="28"/>
          <w:lang w:val="uk-UA"/>
        </w:rPr>
        <w:t xml:space="preserve">%) у якості показника, який характеризує довгостроковий глікемічний контроль, у венозній крові - методом </w:t>
      </w:r>
      <w:r w:rsidRPr="00E62AEF">
        <w:rPr>
          <w:rFonts w:eastAsia="Calibri"/>
          <w:sz w:val="28"/>
          <w:szCs w:val="28"/>
          <w:lang w:val="uk-UA"/>
        </w:rPr>
        <w:t>іонообмінної хроматографії на біохімічному напівавтоматичному аналізаторі «</w:t>
      </w:r>
      <w:r w:rsidRPr="00E62AEF">
        <w:rPr>
          <w:rFonts w:eastAsia="Calibri"/>
          <w:sz w:val="28"/>
          <w:szCs w:val="28"/>
        </w:rPr>
        <w:t>ERBA</w:t>
      </w:r>
      <w:r w:rsidRPr="00E62AEF">
        <w:rPr>
          <w:rFonts w:eastAsia="Calibri"/>
          <w:sz w:val="28"/>
          <w:szCs w:val="28"/>
          <w:lang w:val="uk-UA"/>
        </w:rPr>
        <w:t xml:space="preserve"> </w:t>
      </w:r>
      <w:r w:rsidRPr="00E62AEF">
        <w:rPr>
          <w:rFonts w:eastAsia="Calibri"/>
          <w:sz w:val="28"/>
          <w:szCs w:val="28"/>
        </w:rPr>
        <w:t>CHEM</w:t>
      </w:r>
      <w:r w:rsidRPr="00E62AEF">
        <w:rPr>
          <w:rFonts w:eastAsia="Calibri"/>
          <w:sz w:val="28"/>
          <w:szCs w:val="28"/>
          <w:lang w:val="uk-UA"/>
        </w:rPr>
        <w:t>-7-</w:t>
      </w:r>
      <w:r w:rsidRPr="00E62AEF">
        <w:rPr>
          <w:rFonts w:eastAsia="Calibri"/>
          <w:sz w:val="28"/>
          <w:szCs w:val="28"/>
        </w:rPr>
        <w:t>RU</w:t>
      </w:r>
      <w:r w:rsidRPr="00E62AEF">
        <w:rPr>
          <w:rFonts w:eastAsia="Calibri"/>
          <w:sz w:val="28"/>
          <w:szCs w:val="28"/>
          <w:lang w:val="uk-UA"/>
        </w:rPr>
        <w:t>» (</w:t>
      </w:r>
      <w:r w:rsidRPr="00E62AEF">
        <w:rPr>
          <w:rFonts w:eastAsia="Calibri"/>
          <w:sz w:val="28"/>
          <w:szCs w:val="28"/>
        </w:rPr>
        <w:t>ERBA</w:t>
      </w:r>
      <w:r w:rsidRPr="00E62AEF">
        <w:rPr>
          <w:rFonts w:eastAsia="Calibri"/>
          <w:sz w:val="28"/>
          <w:szCs w:val="28"/>
          <w:lang w:val="uk-UA"/>
        </w:rPr>
        <w:t xml:space="preserve"> </w:t>
      </w:r>
      <w:r w:rsidRPr="00E62AEF">
        <w:rPr>
          <w:rFonts w:eastAsia="Calibri"/>
          <w:sz w:val="28"/>
          <w:szCs w:val="28"/>
        </w:rPr>
        <w:t>LACHEMA</w:t>
      </w:r>
      <w:r w:rsidRPr="00E62AEF">
        <w:rPr>
          <w:rFonts w:eastAsia="Calibri"/>
          <w:sz w:val="28"/>
          <w:szCs w:val="28"/>
          <w:lang w:val="uk-UA"/>
        </w:rPr>
        <w:t xml:space="preserve"> </w:t>
      </w:r>
      <w:r w:rsidRPr="00E62AEF">
        <w:rPr>
          <w:rFonts w:eastAsia="Calibri"/>
          <w:sz w:val="28"/>
          <w:szCs w:val="28"/>
        </w:rPr>
        <w:t>s</w:t>
      </w:r>
      <w:r w:rsidRPr="00E62AEF">
        <w:rPr>
          <w:rFonts w:eastAsia="Calibri"/>
          <w:sz w:val="28"/>
          <w:szCs w:val="28"/>
          <w:lang w:val="uk-UA"/>
        </w:rPr>
        <w:t>.</w:t>
      </w:r>
      <w:r w:rsidRPr="00E62AEF">
        <w:rPr>
          <w:rFonts w:eastAsia="Calibri"/>
          <w:sz w:val="28"/>
          <w:szCs w:val="28"/>
        </w:rPr>
        <w:t>r</w:t>
      </w:r>
      <w:r w:rsidRPr="00E62AEF">
        <w:rPr>
          <w:rFonts w:eastAsia="Calibri"/>
          <w:sz w:val="28"/>
          <w:szCs w:val="28"/>
          <w:lang w:val="uk-UA"/>
        </w:rPr>
        <w:t>.</w:t>
      </w:r>
      <w:r w:rsidRPr="00E62AEF">
        <w:rPr>
          <w:rFonts w:eastAsia="Calibri"/>
          <w:sz w:val="28"/>
          <w:szCs w:val="28"/>
        </w:rPr>
        <w:t>o</w:t>
      </w:r>
      <w:r w:rsidRPr="00E62AEF">
        <w:rPr>
          <w:rFonts w:eastAsia="Calibri"/>
          <w:sz w:val="28"/>
          <w:szCs w:val="28"/>
          <w:lang w:val="uk-UA"/>
        </w:rPr>
        <w:t xml:space="preserve">., </w:t>
      </w:r>
      <w:r w:rsidRPr="00E62AEF">
        <w:rPr>
          <w:rFonts w:eastAsia="Calibri"/>
          <w:sz w:val="28"/>
          <w:szCs w:val="28"/>
        </w:rPr>
        <w:t>Czech</w:t>
      </w:r>
      <w:r w:rsidRPr="00E62AEF">
        <w:rPr>
          <w:rFonts w:eastAsia="Calibri"/>
          <w:sz w:val="28"/>
          <w:szCs w:val="28"/>
          <w:lang w:val="uk-UA"/>
        </w:rPr>
        <w:t xml:space="preserve"> </w:t>
      </w:r>
      <w:r w:rsidRPr="00E62AEF">
        <w:rPr>
          <w:rFonts w:eastAsia="Calibri"/>
          <w:sz w:val="28"/>
          <w:szCs w:val="28"/>
        </w:rPr>
        <w:t>Republic</w:t>
      </w:r>
      <w:r w:rsidRPr="00E62AEF">
        <w:rPr>
          <w:rFonts w:eastAsia="Calibri"/>
          <w:sz w:val="28"/>
          <w:szCs w:val="28"/>
          <w:lang w:val="uk-UA"/>
        </w:rPr>
        <w:t>)</w:t>
      </w:r>
      <w:r w:rsidRPr="00E62AEF">
        <w:rPr>
          <w:sz w:val="28"/>
          <w:szCs w:val="28"/>
          <w:lang w:val="uk-UA"/>
        </w:rPr>
        <w:t xml:space="preserve"> з використанням комерційної тест-системи фірми «</w:t>
      </w:r>
      <w:r w:rsidRPr="00E62AEF">
        <w:rPr>
          <w:rFonts w:eastAsia="Calibri"/>
          <w:sz w:val="28"/>
          <w:szCs w:val="28"/>
        </w:rPr>
        <w:t>Human</w:t>
      </w:r>
      <w:r w:rsidRPr="00E62AEF">
        <w:rPr>
          <w:sz w:val="28"/>
          <w:szCs w:val="28"/>
          <w:lang w:val="uk-UA"/>
        </w:rPr>
        <w:t>» (</w:t>
      </w:r>
      <w:r w:rsidRPr="00E62AEF">
        <w:rPr>
          <w:rFonts w:eastAsia="Calibri"/>
          <w:sz w:val="28"/>
          <w:szCs w:val="28"/>
          <w:lang w:val="uk-UA"/>
        </w:rPr>
        <w:t>Німеччина</w:t>
      </w:r>
      <w:r w:rsidRPr="00E62AEF">
        <w:rPr>
          <w:sz w:val="28"/>
          <w:szCs w:val="28"/>
          <w:lang w:val="uk-UA"/>
        </w:rPr>
        <w:t>) відповідно з доданою інструкцією.</w:t>
      </w:r>
    </w:p>
    <w:p w:rsidR="00E3259F" w:rsidRPr="00E62AEF" w:rsidRDefault="00E3259F" w:rsidP="00E3259F">
      <w:pPr>
        <w:spacing w:line="360" w:lineRule="auto"/>
        <w:ind w:firstLine="540"/>
        <w:jc w:val="both"/>
        <w:rPr>
          <w:sz w:val="28"/>
          <w:szCs w:val="28"/>
        </w:rPr>
      </w:pPr>
      <w:r w:rsidRPr="00E62AEF">
        <w:rPr>
          <w:sz w:val="28"/>
          <w:szCs w:val="28"/>
          <w:lang w:val="uk-UA"/>
        </w:rPr>
        <w:t xml:space="preserve">Концентрацію інсуліну визначали імуноферментним методом  з використанням </w:t>
      </w:r>
      <w:r w:rsidRPr="00E62AEF">
        <w:rPr>
          <w:rFonts w:eastAsia="Calibri"/>
          <w:sz w:val="28"/>
          <w:szCs w:val="28"/>
          <w:lang w:val="uk-UA"/>
        </w:rPr>
        <w:t>напівавтоматичного імуноферментного мікропланшетного аналізатора «</w:t>
      </w:r>
      <w:r w:rsidRPr="00E62AEF">
        <w:rPr>
          <w:rFonts w:eastAsia="Calibri"/>
          <w:sz w:val="28"/>
          <w:szCs w:val="28"/>
        </w:rPr>
        <w:t>ImmunoChem</w:t>
      </w:r>
      <w:r w:rsidRPr="00E62AEF">
        <w:rPr>
          <w:rFonts w:eastAsia="Calibri"/>
          <w:sz w:val="28"/>
          <w:szCs w:val="28"/>
          <w:lang w:val="uk-UA"/>
        </w:rPr>
        <w:t xml:space="preserve"> - 2100» (</w:t>
      </w:r>
      <w:r w:rsidRPr="00E62AEF">
        <w:rPr>
          <w:rFonts w:eastAsia="Calibri"/>
          <w:sz w:val="28"/>
          <w:szCs w:val="28"/>
        </w:rPr>
        <w:t>HighTechnology</w:t>
      </w:r>
      <w:r w:rsidRPr="00E62AEF">
        <w:rPr>
          <w:rFonts w:eastAsia="Calibri"/>
          <w:sz w:val="28"/>
          <w:szCs w:val="28"/>
          <w:lang w:val="uk-UA"/>
        </w:rPr>
        <w:t xml:space="preserve">, </w:t>
      </w:r>
      <w:r w:rsidRPr="00E62AEF">
        <w:rPr>
          <w:rFonts w:eastAsia="Calibri"/>
          <w:sz w:val="28"/>
          <w:szCs w:val="28"/>
        </w:rPr>
        <w:t>Inc</w:t>
      </w:r>
      <w:r w:rsidRPr="00E62AEF">
        <w:rPr>
          <w:rFonts w:eastAsia="Calibri"/>
          <w:sz w:val="28"/>
          <w:szCs w:val="28"/>
          <w:lang w:val="uk-UA"/>
        </w:rPr>
        <w:t>., США) з використанням набору реагентів «</w:t>
      </w:r>
      <w:r w:rsidRPr="00E62AEF">
        <w:rPr>
          <w:rFonts w:eastAsia="Calibri"/>
          <w:sz w:val="28"/>
          <w:szCs w:val="28"/>
        </w:rPr>
        <w:t>DRG</w:t>
      </w:r>
      <w:r w:rsidRPr="00E62AEF">
        <w:rPr>
          <w:rFonts w:eastAsia="Calibri"/>
          <w:sz w:val="28"/>
          <w:szCs w:val="28"/>
          <w:lang w:val="uk-UA"/>
        </w:rPr>
        <w:t xml:space="preserve"> </w:t>
      </w:r>
      <w:r w:rsidRPr="00E62AEF">
        <w:rPr>
          <w:rFonts w:eastAsia="Calibri"/>
          <w:sz w:val="28"/>
          <w:szCs w:val="28"/>
        </w:rPr>
        <w:t>Instruments</w:t>
      </w:r>
      <w:r w:rsidRPr="00E62AEF">
        <w:rPr>
          <w:rFonts w:eastAsia="Calibri"/>
          <w:sz w:val="28"/>
          <w:szCs w:val="28"/>
          <w:lang w:val="uk-UA"/>
        </w:rPr>
        <w:t xml:space="preserve"> </w:t>
      </w:r>
      <w:r w:rsidRPr="00E62AEF">
        <w:rPr>
          <w:rFonts w:eastAsia="Calibri"/>
          <w:sz w:val="28"/>
          <w:szCs w:val="28"/>
        </w:rPr>
        <w:t>GmbH</w:t>
      </w:r>
      <w:r w:rsidRPr="00E62AEF">
        <w:rPr>
          <w:rFonts w:eastAsia="Calibri"/>
          <w:sz w:val="28"/>
          <w:szCs w:val="28"/>
          <w:lang w:val="uk-UA"/>
        </w:rPr>
        <w:t>» (Німеччина).</w:t>
      </w:r>
      <w:r w:rsidRPr="00E62AEF">
        <w:rPr>
          <w:sz w:val="28"/>
          <w:szCs w:val="28"/>
          <w:lang w:val="uk-UA"/>
        </w:rPr>
        <w:t xml:space="preserve"> </w:t>
      </w:r>
      <w:r w:rsidRPr="00E62AEF">
        <w:rPr>
          <w:sz w:val="28"/>
          <w:szCs w:val="28"/>
        </w:rPr>
        <w:t>Концентрацію інсуліну в пробі виражали в мікро Міжнародних Одиницях у мл сироватки – мкМ</w:t>
      </w:r>
      <w:r w:rsidRPr="00E62AEF">
        <w:rPr>
          <w:sz w:val="28"/>
          <w:szCs w:val="28"/>
          <w:lang w:val="uk-UA"/>
        </w:rPr>
        <w:t>О</w:t>
      </w:r>
      <w:r w:rsidRPr="00E62AEF">
        <w:rPr>
          <w:sz w:val="28"/>
          <w:szCs w:val="28"/>
        </w:rPr>
        <w:t>/мл.</w:t>
      </w:r>
    </w:p>
    <w:p w:rsidR="00E3259F" w:rsidRPr="00E62AEF" w:rsidRDefault="00E3259F" w:rsidP="00E3259F">
      <w:pPr>
        <w:spacing w:line="360" w:lineRule="auto"/>
        <w:ind w:firstLine="540"/>
        <w:jc w:val="both"/>
        <w:rPr>
          <w:rFonts w:eastAsia="Calibri"/>
          <w:sz w:val="28"/>
          <w:szCs w:val="28"/>
          <w:lang w:val="uk-UA" w:eastAsia="en-US"/>
        </w:rPr>
      </w:pPr>
      <w:r w:rsidRPr="00E62AEF">
        <w:rPr>
          <w:rFonts w:eastAsia="Calibri"/>
          <w:sz w:val="28"/>
          <w:szCs w:val="28"/>
          <w:lang w:val="uk-UA"/>
        </w:rPr>
        <w:t xml:space="preserve">Концентрацію С-реактивного протеїну - СРП, фактора некрозу пухлин-α - ФНП-α вимірювали імуноферментним методом з використанням наборів реагентів виробництва «Вектор-Бест» (РФ) на напівавтоматичному імуноферментному мікропланшетному аналізаторі «ImmunoChem - 2100» (HighTechnology, Inc., США). </w:t>
      </w:r>
    </w:p>
    <w:p w:rsidR="00E3259F" w:rsidRPr="00E62AEF" w:rsidRDefault="00E3259F" w:rsidP="00E62AEF">
      <w:pPr>
        <w:spacing w:line="360" w:lineRule="auto"/>
        <w:ind w:firstLine="540"/>
        <w:jc w:val="both"/>
        <w:rPr>
          <w:rFonts w:eastAsia="Calibri"/>
          <w:sz w:val="28"/>
          <w:szCs w:val="28"/>
          <w:lang w:val="uk-UA"/>
        </w:rPr>
      </w:pPr>
      <w:r w:rsidRPr="00E62AEF">
        <w:rPr>
          <w:rFonts w:eastAsia="Calibri"/>
          <w:sz w:val="28"/>
          <w:szCs w:val="28"/>
          <w:lang w:val="uk-UA"/>
        </w:rPr>
        <w:t>Для кількісної оцінки ступеня вираженості інсулінорезистентності використовували математичну модель гомеостазу (</w:t>
      </w:r>
      <w:r w:rsidRPr="00E62AEF">
        <w:rPr>
          <w:rFonts w:eastAsia="Calibri"/>
          <w:sz w:val="28"/>
          <w:szCs w:val="28"/>
        </w:rPr>
        <w:t>Homeostasis</w:t>
      </w:r>
      <w:r w:rsidRPr="00E62AEF">
        <w:rPr>
          <w:rFonts w:eastAsia="Calibri"/>
          <w:sz w:val="28"/>
          <w:szCs w:val="28"/>
          <w:lang w:val="uk-UA"/>
        </w:rPr>
        <w:t xml:space="preserve"> </w:t>
      </w:r>
      <w:r w:rsidRPr="00E62AEF">
        <w:rPr>
          <w:rFonts w:eastAsia="Calibri"/>
          <w:sz w:val="28"/>
          <w:szCs w:val="28"/>
        </w:rPr>
        <w:t>Model</w:t>
      </w:r>
      <w:r w:rsidRPr="00E62AEF">
        <w:rPr>
          <w:rFonts w:eastAsia="Calibri"/>
          <w:sz w:val="28"/>
          <w:szCs w:val="28"/>
          <w:lang w:val="uk-UA"/>
        </w:rPr>
        <w:t xml:space="preserve"> </w:t>
      </w:r>
      <w:r w:rsidRPr="00E62AEF">
        <w:rPr>
          <w:rFonts w:eastAsia="Calibri"/>
          <w:sz w:val="28"/>
          <w:szCs w:val="28"/>
        </w:rPr>
        <w:t>Assesment</w:t>
      </w:r>
      <w:r w:rsidRPr="00E62AEF">
        <w:rPr>
          <w:rFonts w:eastAsia="Calibri"/>
          <w:sz w:val="28"/>
          <w:szCs w:val="28"/>
          <w:lang w:val="uk-UA"/>
        </w:rPr>
        <w:t xml:space="preserve"> - </w:t>
      </w:r>
      <w:r w:rsidRPr="00E62AEF">
        <w:rPr>
          <w:rFonts w:eastAsia="Calibri"/>
          <w:sz w:val="28"/>
          <w:szCs w:val="28"/>
        </w:rPr>
        <w:t>HOMA</w:t>
      </w:r>
      <w:r w:rsidRPr="00E62AEF">
        <w:rPr>
          <w:rFonts w:eastAsia="Calibri"/>
          <w:sz w:val="28"/>
          <w:szCs w:val="28"/>
          <w:lang w:val="uk-UA"/>
        </w:rPr>
        <w:t xml:space="preserve">) з визначенням індексу </w:t>
      </w:r>
      <w:r w:rsidRPr="00E62AEF">
        <w:rPr>
          <w:rFonts w:eastAsia="Calibri"/>
          <w:bCs/>
          <w:sz w:val="28"/>
          <w:szCs w:val="28"/>
        </w:rPr>
        <w:t>HOMA</w:t>
      </w:r>
      <w:r w:rsidRPr="00E62AEF">
        <w:rPr>
          <w:rFonts w:eastAsia="Calibri"/>
          <w:bCs/>
          <w:sz w:val="28"/>
          <w:szCs w:val="28"/>
          <w:lang w:val="uk-UA"/>
        </w:rPr>
        <w:t>-</w:t>
      </w:r>
      <w:r w:rsidRPr="00E62AEF">
        <w:rPr>
          <w:rFonts w:eastAsia="Calibri"/>
          <w:bCs/>
          <w:sz w:val="28"/>
          <w:szCs w:val="28"/>
        </w:rPr>
        <w:t>IR</w:t>
      </w:r>
      <w:r w:rsidRPr="00E62AEF">
        <w:rPr>
          <w:rFonts w:eastAsia="Calibri"/>
          <w:sz w:val="28"/>
          <w:szCs w:val="28"/>
          <w:lang w:val="uk-UA"/>
        </w:rPr>
        <w:t xml:space="preserve"> за формулою: </w:t>
      </w:r>
    </w:p>
    <w:p w:rsidR="00E3259F" w:rsidRPr="00E62AEF" w:rsidRDefault="00E3259F" w:rsidP="00E62AEF">
      <w:pPr>
        <w:spacing w:line="360" w:lineRule="auto"/>
        <w:ind w:firstLine="142"/>
        <w:jc w:val="both"/>
        <w:rPr>
          <w:i/>
          <w:sz w:val="28"/>
          <w:szCs w:val="28"/>
          <w:lang w:val="uk-UA"/>
        </w:rPr>
      </w:pPr>
      <w:r w:rsidRPr="00E62AEF">
        <w:rPr>
          <w:sz w:val="28"/>
          <w:szCs w:val="28"/>
          <w:lang w:val="uk-UA"/>
        </w:rPr>
        <w:t xml:space="preserve">    інсулін (мкОД/мл) × глюкоза(ммоль/л) натщесерце/22,5              (2.8)</w:t>
      </w:r>
    </w:p>
    <w:p w:rsidR="00E3259F" w:rsidRPr="00E62AEF" w:rsidRDefault="00E3259F" w:rsidP="00E62AEF">
      <w:pPr>
        <w:spacing w:line="360" w:lineRule="auto"/>
        <w:ind w:firstLine="540"/>
        <w:jc w:val="both"/>
        <w:rPr>
          <w:sz w:val="28"/>
          <w:szCs w:val="28"/>
          <w:lang w:val="uk-UA"/>
        </w:rPr>
      </w:pPr>
      <w:r w:rsidRPr="00E62AEF">
        <w:rPr>
          <w:sz w:val="28"/>
          <w:szCs w:val="28"/>
          <w:lang w:val="uk-UA"/>
        </w:rPr>
        <w:t xml:space="preserve">При індексі НОМА&gt;2,77 пацієнтів вважали інсулінорезистентними. </w:t>
      </w:r>
    </w:p>
    <w:p w:rsidR="00E3259F" w:rsidRPr="00E62AEF" w:rsidRDefault="00E3259F" w:rsidP="00E62AEF">
      <w:pPr>
        <w:autoSpaceDE w:val="0"/>
        <w:autoSpaceDN w:val="0"/>
        <w:adjustRightInd w:val="0"/>
        <w:spacing w:line="360" w:lineRule="auto"/>
        <w:ind w:firstLine="540"/>
        <w:jc w:val="both"/>
        <w:rPr>
          <w:rFonts w:ascii="Franklin Gothic Demi" w:hAnsi="Franklin Gothic Demi" w:cs="Arial"/>
          <w:bCs/>
          <w:sz w:val="28"/>
          <w:szCs w:val="28"/>
          <w:lang w:val="uk-UA"/>
        </w:rPr>
      </w:pPr>
      <w:r w:rsidRPr="00E62AEF">
        <w:rPr>
          <w:rFonts w:eastAsia="Calibri"/>
          <w:sz w:val="28"/>
          <w:szCs w:val="28"/>
          <w:lang w:val="uk-UA"/>
        </w:rPr>
        <w:t>У зв`язку з тим, що ранковий час -це період найбільшої активності гіпоталамо-гіпофізарно-надниркової системи, забір крові для визначення показників гормонального статусу проводився о 6-7 годині ранку, після нічного сну натще після не менш ніж 8-10 годин періоду голодування. З метою верифікації діагнозу СГТ на тлі АІТ досліджувалася концентрація ТТГ, вільного тироксину (Т4 віл), вільного трийодтиронину (Т3віл) та аутоантитіл до тиреопероксидази (АТ-ТПО) у сироватці крові за допомогою імуноферментного аналізу з використанням діагностичних наборів реактивів виробництва «Хема», (РФ). Референтні значення становили менш 30 МОд/мл та менш 50 МОд/мл  - для жінок старше 50 років.</w:t>
      </w:r>
      <w:r w:rsidRPr="00E62AEF">
        <w:rPr>
          <w:rFonts w:eastAsia="Calibri"/>
          <w:b/>
          <w:sz w:val="28"/>
          <w:szCs w:val="28"/>
          <w:lang w:val="uk-UA"/>
        </w:rPr>
        <w:t xml:space="preserve"> </w:t>
      </w:r>
      <w:r w:rsidRPr="00E62AEF">
        <w:rPr>
          <w:rFonts w:eastAsia="Calibri"/>
          <w:sz w:val="28"/>
          <w:szCs w:val="28"/>
        </w:rPr>
        <w:t xml:space="preserve">Референтні значення ТТГ </w:t>
      </w:r>
      <w:r w:rsidRPr="00E62AEF">
        <w:rPr>
          <w:rFonts w:eastAsia="Calibri"/>
          <w:sz w:val="28"/>
          <w:szCs w:val="28"/>
          <w:lang w:val="uk-UA"/>
        </w:rPr>
        <w:t>у</w:t>
      </w:r>
      <w:r w:rsidRPr="00E62AEF">
        <w:rPr>
          <w:rFonts w:eastAsia="Calibri"/>
          <w:sz w:val="28"/>
          <w:szCs w:val="28"/>
        </w:rPr>
        <w:t xml:space="preserve"> сироватці крові становили 0,4- 4,0 мкМОд/мл, рівень вільного Т4 - 10,0- 23,2 пмоль/л (</w:t>
      </w:r>
      <w:r w:rsidRPr="00E62AEF">
        <w:rPr>
          <w:rFonts w:eastAsia="Calibri"/>
          <w:sz w:val="28"/>
          <w:szCs w:val="28"/>
          <w:lang w:val="uk-UA"/>
        </w:rPr>
        <w:t>в</w:t>
      </w:r>
      <w:r w:rsidRPr="00E62AEF">
        <w:rPr>
          <w:rFonts w:eastAsia="Calibri"/>
          <w:sz w:val="28"/>
          <w:szCs w:val="28"/>
        </w:rPr>
        <w:t xml:space="preserve"> осіб до 60 років) та </w:t>
      </w:r>
      <w:r w:rsidRPr="00E62AEF">
        <w:rPr>
          <w:rFonts w:eastAsia="Calibri"/>
          <w:bCs/>
          <w:sz w:val="28"/>
          <w:szCs w:val="28"/>
        </w:rPr>
        <w:t>10,0 – 21,0 пмоль/л (старше за 60 років)</w:t>
      </w:r>
      <w:r w:rsidRPr="00E62AEF">
        <w:rPr>
          <w:rFonts w:eastAsia="Calibri"/>
          <w:bCs/>
          <w:sz w:val="28"/>
          <w:szCs w:val="28"/>
          <w:lang w:val="uk-UA"/>
        </w:rPr>
        <w:t>, вільного Т3 – 1,63-3,78</w:t>
      </w:r>
      <w:r w:rsidRPr="00E62AEF">
        <w:rPr>
          <w:rFonts w:ascii="Franklin Gothic Demi" w:hAnsi="Franklin Gothic Demi" w:cs="Arial"/>
          <w:bCs/>
          <w:sz w:val="28"/>
          <w:szCs w:val="28"/>
          <w:lang w:val="uk-UA"/>
        </w:rPr>
        <w:t xml:space="preserve"> </w:t>
      </w:r>
      <w:r w:rsidRPr="00E62AEF">
        <w:rPr>
          <w:bCs/>
          <w:sz w:val="28"/>
          <w:szCs w:val="28"/>
        </w:rPr>
        <w:t>пг/мл</w:t>
      </w:r>
      <w:r w:rsidRPr="00E62AEF">
        <w:rPr>
          <w:bCs/>
          <w:sz w:val="28"/>
          <w:szCs w:val="28"/>
          <w:lang w:val="uk-UA"/>
        </w:rPr>
        <w:t>.</w:t>
      </w:r>
    </w:p>
    <w:p w:rsidR="00E3259F" w:rsidRPr="00E62AEF" w:rsidRDefault="00E3259F" w:rsidP="00E62AEF">
      <w:pPr>
        <w:autoSpaceDE w:val="0"/>
        <w:autoSpaceDN w:val="0"/>
        <w:adjustRightInd w:val="0"/>
        <w:spacing w:line="360" w:lineRule="auto"/>
        <w:ind w:firstLine="540"/>
        <w:jc w:val="both"/>
        <w:rPr>
          <w:sz w:val="28"/>
          <w:szCs w:val="28"/>
          <w:lang w:val="uk-UA"/>
        </w:rPr>
      </w:pPr>
      <w:r w:rsidRPr="00E62AEF">
        <w:rPr>
          <w:sz w:val="28"/>
          <w:szCs w:val="28"/>
          <w:lang w:val="uk-UA"/>
        </w:rPr>
        <w:t xml:space="preserve">У якості показників оксидантно-антиоксидантної системи досліджували: рівні МДА у якості маркера ОС, а </w:t>
      </w:r>
      <w:r w:rsidRPr="00E62AEF">
        <w:rPr>
          <w:b/>
          <w:sz w:val="28"/>
          <w:szCs w:val="28"/>
          <w:lang w:val="uk-UA"/>
        </w:rPr>
        <w:t xml:space="preserve"> </w:t>
      </w:r>
      <w:r w:rsidRPr="00E62AEF">
        <w:rPr>
          <w:sz w:val="28"/>
          <w:szCs w:val="28"/>
          <w:lang w:val="uk-UA"/>
        </w:rPr>
        <w:t>активність ГПО в еритроцитах</w:t>
      </w:r>
      <w:r w:rsidRPr="00E62AEF">
        <w:rPr>
          <w:b/>
          <w:sz w:val="28"/>
          <w:szCs w:val="28"/>
          <w:lang w:val="uk-UA"/>
        </w:rPr>
        <w:t xml:space="preserve"> </w:t>
      </w:r>
      <w:r w:rsidRPr="00E62AEF">
        <w:rPr>
          <w:sz w:val="28"/>
          <w:szCs w:val="28"/>
          <w:lang w:val="uk-UA"/>
        </w:rPr>
        <w:t>та вміст сульфгідрильних груп (</w:t>
      </w:r>
      <w:r w:rsidRPr="00E62AEF">
        <w:rPr>
          <w:sz w:val="28"/>
          <w:szCs w:val="28"/>
          <w:lang w:val="en-AU"/>
        </w:rPr>
        <w:t>SH</w:t>
      </w:r>
      <w:r w:rsidRPr="00E62AEF">
        <w:rPr>
          <w:sz w:val="28"/>
          <w:szCs w:val="28"/>
          <w:lang w:val="uk-UA"/>
        </w:rPr>
        <w:t>-груп) у сироватці крові в якості маркерів АОЗ.</w:t>
      </w:r>
    </w:p>
    <w:p w:rsidR="00E3259F" w:rsidRPr="00E62AEF" w:rsidRDefault="00E3259F" w:rsidP="00E62AEF">
      <w:pPr>
        <w:spacing w:line="360" w:lineRule="auto"/>
        <w:ind w:firstLine="709"/>
        <w:jc w:val="both"/>
        <w:rPr>
          <w:rFonts w:eastAsia="MS Mincho"/>
          <w:sz w:val="28"/>
          <w:szCs w:val="28"/>
          <w:lang w:eastAsia="ja-JP"/>
        </w:rPr>
      </w:pPr>
      <w:r w:rsidRPr="00E62AEF">
        <w:rPr>
          <w:sz w:val="28"/>
          <w:szCs w:val="28"/>
        </w:rPr>
        <w:t>Кров ретельно перемішували</w:t>
      </w:r>
      <w:r w:rsidRPr="00E62AEF">
        <w:rPr>
          <w:sz w:val="28"/>
          <w:szCs w:val="28"/>
          <w:lang w:val="uk-UA"/>
        </w:rPr>
        <w:t xml:space="preserve"> у </w:t>
      </w:r>
      <w:r w:rsidRPr="00E62AEF">
        <w:rPr>
          <w:sz w:val="28"/>
          <w:szCs w:val="28"/>
        </w:rPr>
        <w:t>відповідн</w:t>
      </w:r>
      <w:r w:rsidRPr="00E62AEF">
        <w:rPr>
          <w:sz w:val="28"/>
          <w:szCs w:val="28"/>
          <w:lang w:val="uk-UA"/>
        </w:rPr>
        <w:t>их</w:t>
      </w:r>
      <w:r w:rsidRPr="00E62AEF">
        <w:rPr>
          <w:sz w:val="28"/>
          <w:szCs w:val="28"/>
        </w:rPr>
        <w:t xml:space="preserve"> комерційн</w:t>
      </w:r>
      <w:r w:rsidRPr="00E62AEF">
        <w:rPr>
          <w:sz w:val="28"/>
          <w:szCs w:val="28"/>
          <w:lang w:val="uk-UA"/>
        </w:rPr>
        <w:t>их</w:t>
      </w:r>
      <w:r w:rsidRPr="00E62AEF">
        <w:rPr>
          <w:sz w:val="28"/>
          <w:szCs w:val="28"/>
        </w:rPr>
        <w:t xml:space="preserve"> вакутайнер</w:t>
      </w:r>
      <w:r w:rsidRPr="00E62AEF">
        <w:rPr>
          <w:sz w:val="28"/>
          <w:szCs w:val="28"/>
          <w:lang w:val="uk-UA"/>
        </w:rPr>
        <w:t>ах</w:t>
      </w:r>
      <w:r w:rsidRPr="00E62AEF">
        <w:rPr>
          <w:sz w:val="28"/>
          <w:szCs w:val="28"/>
        </w:rPr>
        <w:t xml:space="preserve"> та центрифугували при 1600 g протягом 15 хв при температурі 4°С для отримання сироватки та плазми крові. Аліквоти плазми або сироватки переносили в чисті поліпропіленові пробірки та зберігали до проведення аналізу при (-70)</w:t>
      </w:r>
      <w:r w:rsidRPr="00E62AEF">
        <w:rPr>
          <w:sz w:val="28"/>
          <w:szCs w:val="28"/>
          <w:vertAlign w:val="superscript"/>
        </w:rPr>
        <w:t>о</w:t>
      </w:r>
      <w:r w:rsidRPr="00E62AEF">
        <w:rPr>
          <w:sz w:val="28"/>
          <w:szCs w:val="28"/>
        </w:rPr>
        <w:t xml:space="preserve">С, уникаючи повторного заморожування-відтаювання. </w:t>
      </w:r>
      <w:r w:rsidRPr="00E62AEF">
        <w:rPr>
          <w:rFonts w:eastAsia="MS Mincho"/>
          <w:sz w:val="28"/>
          <w:szCs w:val="28"/>
          <w:lang w:eastAsia="ja-JP"/>
        </w:rPr>
        <w:t>Еритроцити зі зразків крові тричі промивали 0,9 % розчином NaCl в об’ємному співвідношенні 1:5 та центрифугували при 2000 об/хв протягом 10 хв. Гемолізат отримували шляхом додавання до відмитих еритроцитів дистильованої води у співвідношенні 1:100 з наступним центрифугуванням 10 хв при 6000 об/хв для видалення мембран еритроцитів.</w:t>
      </w:r>
    </w:p>
    <w:p w:rsidR="00E3259F" w:rsidRPr="00E62AEF" w:rsidRDefault="00E3259F" w:rsidP="00E62AEF">
      <w:pPr>
        <w:pStyle w:val="a4"/>
        <w:spacing w:line="360" w:lineRule="auto"/>
        <w:ind w:left="0" w:firstLine="709"/>
        <w:jc w:val="both"/>
        <w:rPr>
          <w:rFonts w:eastAsiaTheme="minorHAnsi"/>
          <w:b/>
          <w:bCs/>
          <w:sz w:val="28"/>
          <w:szCs w:val="28"/>
          <w:lang w:val="uk-UA" w:eastAsia="en-US"/>
        </w:rPr>
      </w:pPr>
      <w:r w:rsidRPr="00E62AEF">
        <w:rPr>
          <w:bCs/>
          <w:sz w:val="28"/>
          <w:szCs w:val="28"/>
          <w:lang w:val="uk-UA"/>
        </w:rPr>
        <w:t xml:space="preserve">Визначення МДА в сироватці крові проводили за реакцією з тіобарбітуровою кислотою (ТБК, </w:t>
      </w:r>
      <w:r w:rsidRPr="00E62AEF">
        <w:rPr>
          <w:bCs/>
          <w:sz w:val="28"/>
          <w:szCs w:val="28"/>
        </w:rPr>
        <w:t>(«</w:t>
      </w:r>
      <w:r w:rsidRPr="00E62AEF">
        <w:rPr>
          <w:bCs/>
          <w:sz w:val="28"/>
          <w:szCs w:val="28"/>
          <w:lang w:val="en-US"/>
        </w:rPr>
        <w:t>Organika</w:t>
      </w:r>
      <w:r w:rsidRPr="00E62AEF">
        <w:rPr>
          <w:bCs/>
          <w:sz w:val="28"/>
          <w:szCs w:val="28"/>
        </w:rPr>
        <w:t>», Німеччина)</w:t>
      </w:r>
      <w:r w:rsidRPr="00E62AEF">
        <w:rPr>
          <w:bCs/>
          <w:sz w:val="28"/>
          <w:szCs w:val="28"/>
          <w:lang w:val="uk-UA"/>
        </w:rPr>
        <w:t>). Метод заснований на реакції між МДА й ТБК (при температурі 100 ºС у кислому середовищі рН 2,5-3,5) [</w:t>
      </w:r>
      <w:bookmarkStart w:id="12" w:name="_Hlk43579828"/>
      <w:r w:rsidRPr="00E62AEF">
        <w:rPr>
          <w:sz w:val="28"/>
          <w:szCs w:val="28"/>
          <w:lang w:eastAsia="en-US"/>
        </w:rPr>
        <w:t>3,1</w:t>
      </w:r>
      <w:bookmarkEnd w:id="12"/>
      <w:r w:rsidRPr="00E62AEF">
        <w:rPr>
          <w:sz w:val="28"/>
          <w:szCs w:val="28"/>
          <w:lang w:val="uk-UA" w:eastAsia="en-US"/>
        </w:rPr>
        <w:t>31</w:t>
      </w:r>
      <w:r w:rsidRPr="00E62AEF">
        <w:rPr>
          <w:bCs/>
          <w:sz w:val="28"/>
          <w:szCs w:val="28"/>
          <w:lang w:val="uk-UA"/>
        </w:rPr>
        <w:t>].</w:t>
      </w:r>
      <w:r w:rsidRPr="00E62AEF">
        <w:rPr>
          <w:b/>
          <w:bCs/>
          <w:sz w:val="28"/>
          <w:szCs w:val="28"/>
          <w:lang w:val="uk-UA"/>
        </w:rPr>
        <w:t xml:space="preserve"> </w:t>
      </w:r>
      <w:r w:rsidRPr="00E62AEF">
        <w:rPr>
          <w:bCs/>
          <w:sz w:val="28"/>
          <w:szCs w:val="28"/>
          <w:lang w:val="uk-UA"/>
        </w:rPr>
        <w:t>Продуктом реакції є забарвлений триметиловий комплекс, уміст якого вимірювали шляхом фотометрії при 532 нм на колориметрі фотоелектричному „</w:t>
      </w:r>
      <w:r w:rsidRPr="00E62AEF">
        <w:rPr>
          <w:bCs/>
          <w:sz w:val="28"/>
          <w:szCs w:val="28"/>
          <w:lang w:val="en-US"/>
        </w:rPr>
        <w:t>SPECOLL</w:t>
      </w:r>
      <w:r w:rsidRPr="00E62AEF">
        <w:rPr>
          <w:bCs/>
          <w:sz w:val="28"/>
          <w:szCs w:val="28"/>
          <w:lang w:val="uk-UA"/>
        </w:rPr>
        <w:t>-11”. Концентрацію МДА розраховували в мкмоль/л за формулою:</w:t>
      </w:r>
    </w:p>
    <w:p w:rsidR="00E3259F" w:rsidRPr="00E62AEF" w:rsidRDefault="00E3259F" w:rsidP="00E62AEF">
      <w:pPr>
        <w:spacing w:line="360" w:lineRule="auto"/>
        <w:ind w:firstLine="709"/>
        <w:rPr>
          <w:rFonts w:eastAsia="Calibri"/>
          <w:bCs/>
          <w:sz w:val="28"/>
          <w:szCs w:val="28"/>
        </w:rPr>
      </w:pPr>
      <w:r w:rsidRPr="00E62AEF">
        <w:rPr>
          <w:sz w:val="28"/>
          <w:szCs w:val="28"/>
        </w:rPr>
        <w:t xml:space="preserve">МДА = </w:t>
      </w:r>
      <w:r w:rsidRPr="00E62AEF">
        <w:rPr>
          <w:caps/>
          <w:sz w:val="28"/>
          <w:szCs w:val="28"/>
        </w:rPr>
        <w:t>Е</w:t>
      </w:r>
      <w:r w:rsidRPr="00E62AEF">
        <w:rPr>
          <w:sz w:val="28"/>
          <w:szCs w:val="28"/>
        </w:rPr>
        <w:t>д·</w:t>
      </w:r>
      <w:r w:rsidRPr="00E62AEF">
        <w:rPr>
          <w:b/>
          <w:caps/>
          <w:sz w:val="28"/>
          <w:szCs w:val="28"/>
        </w:rPr>
        <w:t>·</w:t>
      </w:r>
      <w:r w:rsidRPr="00E62AEF">
        <w:rPr>
          <w:sz w:val="28"/>
          <w:szCs w:val="28"/>
        </w:rPr>
        <w:t xml:space="preserve"> (16,5/0,156) = </w:t>
      </w:r>
      <w:r w:rsidRPr="00E62AEF">
        <w:rPr>
          <w:caps/>
          <w:sz w:val="28"/>
          <w:szCs w:val="28"/>
        </w:rPr>
        <w:t>Е</w:t>
      </w:r>
      <w:r w:rsidRPr="00E62AEF">
        <w:rPr>
          <w:sz w:val="28"/>
          <w:szCs w:val="28"/>
        </w:rPr>
        <w:t xml:space="preserve">д </w:t>
      </w:r>
      <w:r w:rsidRPr="00E62AEF">
        <w:rPr>
          <w:b/>
          <w:caps/>
          <w:sz w:val="28"/>
          <w:szCs w:val="28"/>
        </w:rPr>
        <w:t>·</w:t>
      </w:r>
      <w:r w:rsidRPr="00E62AEF">
        <w:rPr>
          <w:sz w:val="28"/>
          <w:szCs w:val="28"/>
        </w:rPr>
        <w:t>·105,77 (мкмоль/л),</w:t>
      </w:r>
      <w:r w:rsidRPr="00E62AEF">
        <w:rPr>
          <w:sz w:val="28"/>
          <w:szCs w:val="28"/>
          <w:lang w:val="uk-UA"/>
        </w:rPr>
        <w:t xml:space="preserve">                      </w:t>
      </w:r>
      <w:r w:rsidRPr="00E62AEF">
        <w:rPr>
          <w:rFonts w:eastAsia="MS Mincho"/>
          <w:sz w:val="28"/>
          <w:szCs w:val="28"/>
        </w:rPr>
        <w:t>(2.</w:t>
      </w:r>
      <w:r w:rsidRPr="00E62AEF">
        <w:rPr>
          <w:rFonts w:eastAsia="MS Mincho"/>
          <w:sz w:val="28"/>
          <w:szCs w:val="28"/>
          <w:lang w:val="uk-UA"/>
        </w:rPr>
        <w:t>9</w:t>
      </w:r>
      <w:r w:rsidRPr="00E62AEF">
        <w:rPr>
          <w:rFonts w:eastAsia="MS Mincho"/>
          <w:sz w:val="28"/>
          <w:szCs w:val="28"/>
        </w:rPr>
        <w:t>)</w:t>
      </w:r>
    </w:p>
    <w:p w:rsidR="00E3259F" w:rsidRPr="00E62AEF" w:rsidRDefault="00E3259F" w:rsidP="00E62AEF">
      <w:pPr>
        <w:pStyle w:val="a4"/>
        <w:spacing w:line="360" w:lineRule="auto"/>
        <w:ind w:left="0" w:firstLine="709"/>
        <w:jc w:val="both"/>
        <w:rPr>
          <w:sz w:val="28"/>
          <w:szCs w:val="28"/>
          <w:lang w:val="uk-UA"/>
        </w:rPr>
      </w:pPr>
      <w:r w:rsidRPr="00E62AEF">
        <w:rPr>
          <w:sz w:val="28"/>
          <w:szCs w:val="28"/>
        </w:rPr>
        <w:t xml:space="preserve">де Ед – екстинція дослідного зразка; </w:t>
      </w:r>
      <w:r w:rsidRPr="00E62AEF">
        <w:rPr>
          <w:sz w:val="28"/>
          <w:szCs w:val="28"/>
          <w:lang w:val="uk-UA"/>
        </w:rPr>
        <w:t>16,5 — коефіцієнт розведення сироватки в пробі; 0,156 — коефіцієнт мікромолярної екстинції забарвленого комплексу при 532 нм.</w:t>
      </w:r>
    </w:p>
    <w:p w:rsidR="00E3259F" w:rsidRPr="00E62AEF" w:rsidRDefault="00E3259F" w:rsidP="00E62AEF">
      <w:pPr>
        <w:pStyle w:val="a4"/>
        <w:tabs>
          <w:tab w:val="num" w:pos="3828"/>
        </w:tabs>
        <w:spacing w:line="360" w:lineRule="auto"/>
        <w:ind w:left="0" w:firstLine="709"/>
        <w:jc w:val="both"/>
        <w:rPr>
          <w:sz w:val="28"/>
          <w:szCs w:val="28"/>
          <w:lang w:val="uk-UA"/>
        </w:rPr>
      </w:pPr>
      <w:r w:rsidRPr="00E62AEF">
        <w:rPr>
          <w:sz w:val="28"/>
          <w:szCs w:val="28"/>
          <w:lang w:val="uk-UA"/>
        </w:rPr>
        <w:t xml:space="preserve">Визначення вмісту </w:t>
      </w:r>
      <w:r w:rsidRPr="00E62AEF">
        <w:rPr>
          <w:sz w:val="28"/>
          <w:szCs w:val="28"/>
        </w:rPr>
        <w:t>SH</w:t>
      </w:r>
      <w:r w:rsidRPr="00E62AEF">
        <w:rPr>
          <w:sz w:val="28"/>
          <w:szCs w:val="28"/>
          <w:lang w:val="uk-UA"/>
        </w:rPr>
        <w:t>-груп у сироватці крові проводили фотометричним методом з використанням специфічного тіолового реагенту – 5,5 дитіобіснітробензойної кислоти</w:t>
      </w:r>
      <w:r w:rsidRPr="00E62AEF">
        <w:rPr>
          <w:caps/>
          <w:sz w:val="28"/>
          <w:szCs w:val="28"/>
          <w:lang w:val="uk-UA"/>
        </w:rPr>
        <w:t xml:space="preserve"> (ДТНБ) (</w:t>
      </w:r>
      <w:r w:rsidRPr="00E62AEF">
        <w:rPr>
          <w:caps/>
          <w:sz w:val="28"/>
          <w:szCs w:val="28"/>
          <w:lang w:val="en-US"/>
        </w:rPr>
        <w:t>Merck</w:t>
      </w:r>
      <w:r w:rsidRPr="00E62AEF">
        <w:rPr>
          <w:caps/>
          <w:sz w:val="28"/>
          <w:szCs w:val="28"/>
          <w:lang w:val="uk-UA"/>
        </w:rPr>
        <w:t>, Н</w:t>
      </w:r>
      <w:r w:rsidRPr="00E62AEF">
        <w:rPr>
          <w:sz w:val="28"/>
          <w:szCs w:val="28"/>
          <w:lang w:val="uk-UA"/>
        </w:rPr>
        <w:t>імеччина</w:t>
      </w:r>
      <w:r w:rsidRPr="00E62AEF">
        <w:rPr>
          <w:caps/>
          <w:sz w:val="28"/>
          <w:szCs w:val="28"/>
          <w:lang w:val="uk-UA"/>
        </w:rPr>
        <w:t xml:space="preserve">) </w:t>
      </w:r>
      <w:r w:rsidRPr="00E62AEF">
        <w:rPr>
          <w:sz w:val="28"/>
          <w:szCs w:val="28"/>
          <w:lang w:val="uk-UA"/>
        </w:rPr>
        <w:t xml:space="preserve">у реакції тіолдисульфідного обміну </w:t>
      </w:r>
      <w:r w:rsidRPr="00E62AEF">
        <w:rPr>
          <w:caps/>
          <w:sz w:val="28"/>
          <w:szCs w:val="28"/>
          <w:lang w:val="uk-UA"/>
        </w:rPr>
        <w:t>[3]</w:t>
      </w:r>
      <w:r w:rsidRPr="00E62AEF">
        <w:rPr>
          <w:sz w:val="28"/>
          <w:szCs w:val="28"/>
          <w:lang w:val="uk-UA"/>
        </w:rPr>
        <w:t>.</w:t>
      </w:r>
      <w:r w:rsidRPr="00E62AEF">
        <w:rPr>
          <w:caps/>
          <w:sz w:val="28"/>
          <w:szCs w:val="28"/>
          <w:lang w:val="uk-UA"/>
        </w:rPr>
        <w:t xml:space="preserve"> </w:t>
      </w:r>
      <w:r w:rsidRPr="00E62AEF">
        <w:rPr>
          <w:sz w:val="28"/>
          <w:szCs w:val="28"/>
          <w:lang w:val="uk-UA"/>
        </w:rPr>
        <w:t xml:space="preserve">ДТНБ є дисульфідним хромогеном, який легко відновлюється </w:t>
      </w:r>
      <w:r w:rsidRPr="00E62AEF">
        <w:rPr>
          <w:sz w:val="28"/>
          <w:szCs w:val="28"/>
          <w:lang w:val="en-AU"/>
        </w:rPr>
        <w:t>SH</w:t>
      </w:r>
      <w:r w:rsidRPr="00E62AEF">
        <w:rPr>
          <w:sz w:val="28"/>
          <w:szCs w:val="28"/>
          <w:lang w:val="uk-UA"/>
        </w:rPr>
        <w:t>-речовинами з утворенням забарвленого комплексу (Д</w:t>
      </w:r>
      <w:r w:rsidRPr="00E62AEF">
        <w:rPr>
          <w:sz w:val="28"/>
          <w:szCs w:val="28"/>
          <w:vertAlign w:val="subscript"/>
          <w:lang w:val="en-AU"/>
        </w:rPr>
        <w:t>max</w:t>
      </w:r>
      <w:r w:rsidRPr="00E62AEF">
        <w:rPr>
          <w:sz w:val="28"/>
          <w:szCs w:val="28"/>
          <w:lang w:val="uk-UA"/>
        </w:rPr>
        <w:t xml:space="preserve">=412нм). </w:t>
      </w:r>
      <w:r w:rsidRPr="00E62AEF">
        <w:rPr>
          <w:caps/>
          <w:sz w:val="28"/>
          <w:szCs w:val="28"/>
          <w:lang w:val="uk-UA"/>
        </w:rPr>
        <w:t>У</w:t>
      </w:r>
      <w:r w:rsidRPr="00E62AEF">
        <w:rPr>
          <w:sz w:val="28"/>
          <w:szCs w:val="28"/>
          <w:lang w:val="uk-UA"/>
        </w:rPr>
        <w:t>міст</w:t>
      </w:r>
      <w:r w:rsidRPr="00E62AEF">
        <w:rPr>
          <w:caps/>
          <w:sz w:val="28"/>
          <w:szCs w:val="28"/>
          <w:lang w:val="uk-UA"/>
        </w:rPr>
        <w:t xml:space="preserve"> </w:t>
      </w:r>
      <w:r w:rsidRPr="00E62AEF">
        <w:rPr>
          <w:caps/>
          <w:sz w:val="28"/>
          <w:szCs w:val="28"/>
        </w:rPr>
        <w:t>SH</w:t>
      </w:r>
      <w:r w:rsidRPr="00E62AEF">
        <w:rPr>
          <w:caps/>
          <w:sz w:val="28"/>
          <w:szCs w:val="28"/>
          <w:lang w:val="uk-UA"/>
        </w:rPr>
        <w:t>-</w:t>
      </w:r>
      <w:r w:rsidRPr="00E62AEF">
        <w:rPr>
          <w:sz w:val="28"/>
          <w:szCs w:val="28"/>
          <w:lang w:val="uk-UA"/>
        </w:rPr>
        <w:t>груп розраховували за формулою</w:t>
      </w:r>
      <w:r w:rsidRPr="00E62AEF">
        <w:rPr>
          <w:caps/>
          <w:sz w:val="28"/>
          <w:szCs w:val="28"/>
          <w:lang w:val="uk-UA"/>
        </w:rPr>
        <w:t xml:space="preserve">: </w:t>
      </w:r>
    </w:p>
    <w:p w:rsidR="00E3259F" w:rsidRPr="00E62AEF" w:rsidRDefault="00E3259F" w:rsidP="00E62AEF">
      <w:pPr>
        <w:pStyle w:val="a4"/>
        <w:spacing w:line="360" w:lineRule="auto"/>
        <w:ind w:left="0" w:firstLine="709"/>
        <w:jc w:val="both"/>
        <w:rPr>
          <w:sz w:val="28"/>
          <w:szCs w:val="28"/>
        </w:rPr>
      </w:pPr>
      <w:r w:rsidRPr="00E62AEF">
        <w:rPr>
          <w:caps/>
          <w:sz w:val="28"/>
          <w:szCs w:val="28"/>
        </w:rPr>
        <w:t>SH-</w:t>
      </w:r>
      <w:r w:rsidRPr="00E62AEF">
        <w:rPr>
          <w:sz w:val="28"/>
          <w:szCs w:val="28"/>
        </w:rPr>
        <w:t>групи</w:t>
      </w:r>
      <w:r w:rsidRPr="00E62AEF">
        <w:rPr>
          <w:caps/>
          <w:sz w:val="28"/>
          <w:szCs w:val="28"/>
        </w:rPr>
        <w:t xml:space="preserve">  = (Ед – Ер) </w:t>
      </w:r>
      <w:r w:rsidRPr="00E62AEF">
        <w:rPr>
          <w:b/>
          <w:caps/>
          <w:sz w:val="28"/>
          <w:szCs w:val="28"/>
        </w:rPr>
        <w:t>·</w:t>
      </w:r>
      <w:r w:rsidRPr="00E62AEF">
        <w:rPr>
          <w:caps/>
          <w:sz w:val="28"/>
          <w:szCs w:val="28"/>
        </w:rPr>
        <w:t xml:space="preserve"> </w:t>
      </w:r>
      <w:r w:rsidRPr="00E62AEF">
        <w:rPr>
          <w:caps/>
          <w:sz w:val="28"/>
          <w:szCs w:val="28"/>
          <w:lang w:val="uk-UA"/>
        </w:rPr>
        <w:t>25</w:t>
      </w:r>
      <w:r w:rsidRPr="00E62AEF">
        <w:rPr>
          <w:caps/>
          <w:sz w:val="28"/>
          <w:szCs w:val="28"/>
        </w:rPr>
        <w:t>/11,4 (</w:t>
      </w:r>
      <w:r w:rsidRPr="00E62AEF">
        <w:rPr>
          <w:sz w:val="28"/>
          <w:szCs w:val="28"/>
        </w:rPr>
        <w:t>ммоль/л</w:t>
      </w:r>
      <w:r w:rsidRPr="00E62AEF">
        <w:rPr>
          <w:caps/>
          <w:sz w:val="28"/>
          <w:szCs w:val="28"/>
        </w:rPr>
        <w:t xml:space="preserve">), </w:t>
      </w:r>
      <w:r w:rsidRPr="00E62AEF">
        <w:rPr>
          <w:caps/>
          <w:sz w:val="28"/>
          <w:szCs w:val="28"/>
          <w:lang w:val="uk-UA"/>
        </w:rPr>
        <w:t xml:space="preserve">                                 </w:t>
      </w:r>
      <w:r w:rsidRPr="00E62AEF">
        <w:rPr>
          <w:rFonts w:eastAsia="MS Mincho"/>
          <w:sz w:val="28"/>
          <w:szCs w:val="28"/>
        </w:rPr>
        <w:t>(2.</w:t>
      </w:r>
      <w:r w:rsidRPr="00E62AEF">
        <w:rPr>
          <w:rFonts w:eastAsia="MS Mincho"/>
          <w:sz w:val="28"/>
          <w:szCs w:val="28"/>
          <w:lang w:val="uk-UA"/>
        </w:rPr>
        <w:t>10</w:t>
      </w:r>
      <w:r w:rsidRPr="00E62AEF">
        <w:rPr>
          <w:rFonts w:eastAsia="MS Mincho"/>
          <w:sz w:val="28"/>
          <w:szCs w:val="28"/>
        </w:rPr>
        <w:t>)</w:t>
      </w:r>
    </w:p>
    <w:p w:rsidR="00E3259F" w:rsidRPr="00E62AEF" w:rsidRDefault="00E3259F" w:rsidP="00E62AEF">
      <w:pPr>
        <w:pStyle w:val="a4"/>
        <w:spacing w:line="360" w:lineRule="auto"/>
        <w:ind w:left="0"/>
        <w:jc w:val="both"/>
        <w:rPr>
          <w:caps/>
          <w:sz w:val="28"/>
          <w:szCs w:val="28"/>
        </w:rPr>
      </w:pPr>
      <w:r w:rsidRPr="00E62AEF">
        <w:rPr>
          <w:sz w:val="28"/>
          <w:szCs w:val="28"/>
        </w:rPr>
        <w:t>де</w:t>
      </w:r>
      <w:r w:rsidRPr="00E62AEF">
        <w:rPr>
          <w:caps/>
          <w:sz w:val="28"/>
          <w:szCs w:val="28"/>
        </w:rPr>
        <w:t xml:space="preserve"> Ед </w:t>
      </w:r>
      <w:r w:rsidRPr="00E62AEF">
        <w:rPr>
          <w:sz w:val="28"/>
          <w:szCs w:val="28"/>
        </w:rPr>
        <w:t>та</w:t>
      </w:r>
      <w:r w:rsidRPr="00E62AEF">
        <w:rPr>
          <w:caps/>
          <w:sz w:val="28"/>
          <w:szCs w:val="28"/>
        </w:rPr>
        <w:t xml:space="preserve"> Ер – е</w:t>
      </w:r>
      <w:r w:rsidRPr="00E62AEF">
        <w:rPr>
          <w:sz w:val="28"/>
          <w:szCs w:val="28"/>
        </w:rPr>
        <w:t>кстинція дослідного та референсного зразка</w:t>
      </w:r>
      <w:r w:rsidRPr="00E62AEF">
        <w:rPr>
          <w:caps/>
          <w:sz w:val="28"/>
          <w:szCs w:val="28"/>
        </w:rPr>
        <w:t xml:space="preserve">, </w:t>
      </w:r>
      <w:r w:rsidRPr="00E62AEF">
        <w:rPr>
          <w:sz w:val="28"/>
          <w:szCs w:val="28"/>
        </w:rPr>
        <w:t>відповідно</w:t>
      </w:r>
      <w:r w:rsidRPr="00E62AEF">
        <w:rPr>
          <w:caps/>
          <w:sz w:val="28"/>
          <w:szCs w:val="28"/>
        </w:rPr>
        <w:t xml:space="preserve">; </w:t>
      </w:r>
      <w:r w:rsidRPr="00E62AEF">
        <w:rPr>
          <w:caps/>
          <w:sz w:val="28"/>
          <w:szCs w:val="28"/>
          <w:lang w:val="uk-UA"/>
        </w:rPr>
        <w:t>25</w:t>
      </w:r>
      <w:r w:rsidRPr="00E62AEF">
        <w:rPr>
          <w:caps/>
          <w:sz w:val="28"/>
          <w:szCs w:val="28"/>
        </w:rPr>
        <w:t xml:space="preserve"> – </w:t>
      </w:r>
      <w:r w:rsidRPr="00E62AEF">
        <w:rPr>
          <w:sz w:val="28"/>
          <w:szCs w:val="28"/>
        </w:rPr>
        <w:t>коефіцієнт розведення сироватки крові</w:t>
      </w:r>
      <w:r w:rsidRPr="00E62AEF">
        <w:rPr>
          <w:caps/>
          <w:sz w:val="28"/>
          <w:szCs w:val="28"/>
        </w:rPr>
        <w:t xml:space="preserve">; 11,4 - </w:t>
      </w:r>
      <w:r w:rsidRPr="00E62AEF">
        <w:rPr>
          <w:sz w:val="28"/>
          <w:szCs w:val="28"/>
        </w:rPr>
        <w:t>коефіцієнт мілімолярної екстинції забарвленого комплексу</w:t>
      </w:r>
      <w:r w:rsidRPr="00E62AEF">
        <w:rPr>
          <w:caps/>
          <w:sz w:val="28"/>
          <w:szCs w:val="28"/>
        </w:rPr>
        <w:t xml:space="preserve"> ДТНБ </w:t>
      </w:r>
      <w:r w:rsidRPr="00E62AEF">
        <w:rPr>
          <w:sz w:val="28"/>
          <w:szCs w:val="28"/>
        </w:rPr>
        <w:t>з</w:t>
      </w:r>
      <w:r w:rsidRPr="00E62AEF">
        <w:rPr>
          <w:caps/>
          <w:sz w:val="28"/>
          <w:szCs w:val="28"/>
        </w:rPr>
        <w:t xml:space="preserve"> SH-</w:t>
      </w:r>
      <w:r w:rsidRPr="00E62AEF">
        <w:rPr>
          <w:sz w:val="28"/>
          <w:szCs w:val="28"/>
        </w:rPr>
        <w:t>групами</w:t>
      </w:r>
      <w:r w:rsidRPr="00E62AEF">
        <w:rPr>
          <w:caps/>
          <w:sz w:val="28"/>
          <w:szCs w:val="28"/>
        </w:rPr>
        <w:t xml:space="preserve"> (</w:t>
      </w:r>
      <w:r w:rsidRPr="00E62AEF">
        <w:rPr>
          <w:sz w:val="28"/>
          <w:szCs w:val="28"/>
        </w:rPr>
        <w:t>λ</w:t>
      </w:r>
      <w:r w:rsidRPr="00E62AEF">
        <w:rPr>
          <w:caps/>
          <w:sz w:val="28"/>
          <w:szCs w:val="28"/>
        </w:rPr>
        <w:t xml:space="preserve">=412 </w:t>
      </w:r>
      <w:r w:rsidRPr="00E62AEF">
        <w:rPr>
          <w:sz w:val="28"/>
          <w:szCs w:val="28"/>
        </w:rPr>
        <w:t>нм</w:t>
      </w:r>
      <w:r w:rsidRPr="00E62AEF">
        <w:rPr>
          <w:caps/>
          <w:sz w:val="28"/>
          <w:szCs w:val="28"/>
        </w:rPr>
        <w:t>).</w:t>
      </w:r>
    </w:p>
    <w:p w:rsidR="00E3259F" w:rsidRPr="00E62AEF" w:rsidRDefault="00E3259F" w:rsidP="00E62AEF">
      <w:pPr>
        <w:pStyle w:val="a4"/>
        <w:spacing w:line="360" w:lineRule="auto"/>
        <w:ind w:left="0" w:firstLine="709"/>
        <w:jc w:val="both"/>
        <w:rPr>
          <w:bCs/>
          <w:sz w:val="28"/>
          <w:szCs w:val="28"/>
          <w:lang w:val="uk-UA"/>
        </w:rPr>
      </w:pPr>
      <w:r w:rsidRPr="00E62AEF">
        <w:rPr>
          <w:bCs/>
          <w:sz w:val="28"/>
          <w:szCs w:val="28"/>
          <w:lang w:val="uk-UA"/>
        </w:rPr>
        <w:t xml:space="preserve">Активність ГПО в гемолізаті (1/100 ЕДТА-плазми крові ) визначали за зменшенням вмісту відновленого глутатіону </w:t>
      </w:r>
      <w:r w:rsidRPr="00E62AEF">
        <w:rPr>
          <w:bCs/>
          <w:caps/>
          <w:sz w:val="28"/>
          <w:szCs w:val="28"/>
          <w:lang w:val="uk-UA"/>
        </w:rPr>
        <w:t>(</w:t>
      </w:r>
      <w:r w:rsidRPr="00E62AEF">
        <w:rPr>
          <w:bCs/>
          <w:caps/>
          <w:sz w:val="28"/>
          <w:szCs w:val="28"/>
          <w:lang w:val="en-US"/>
        </w:rPr>
        <w:t>Merck</w:t>
      </w:r>
      <w:r w:rsidRPr="00E62AEF">
        <w:rPr>
          <w:bCs/>
          <w:caps/>
          <w:sz w:val="28"/>
          <w:szCs w:val="28"/>
          <w:lang w:val="uk-UA"/>
        </w:rPr>
        <w:t>, Н</w:t>
      </w:r>
      <w:r w:rsidRPr="00E62AEF">
        <w:rPr>
          <w:bCs/>
          <w:sz w:val="28"/>
          <w:szCs w:val="28"/>
          <w:lang w:val="uk-UA"/>
        </w:rPr>
        <w:t>імеччина</w:t>
      </w:r>
      <w:r w:rsidRPr="00E62AEF">
        <w:rPr>
          <w:bCs/>
          <w:caps/>
          <w:sz w:val="28"/>
          <w:szCs w:val="28"/>
          <w:lang w:val="uk-UA"/>
        </w:rPr>
        <w:t xml:space="preserve">) </w:t>
      </w:r>
      <w:r w:rsidRPr="00E62AEF">
        <w:rPr>
          <w:bCs/>
          <w:sz w:val="28"/>
          <w:szCs w:val="28"/>
          <w:lang w:val="uk-UA"/>
        </w:rPr>
        <w:t xml:space="preserve"> у процесі 5-хвилинної інкубації дослідного зразка гемолізату в присутності окислюючого субстрату – гідроперекису кумолу </w:t>
      </w:r>
      <w:r w:rsidRPr="00E62AEF">
        <w:rPr>
          <w:bCs/>
          <w:caps/>
          <w:sz w:val="28"/>
          <w:szCs w:val="28"/>
          <w:lang w:val="uk-UA"/>
        </w:rPr>
        <w:t>(</w:t>
      </w:r>
      <w:r w:rsidRPr="00E62AEF">
        <w:rPr>
          <w:bCs/>
          <w:caps/>
          <w:sz w:val="28"/>
          <w:szCs w:val="28"/>
          <w:lang w:val="en-US"/>
        </w:rPr>
        <w:t>Merck</w:t>
      </w:r>
      <w:r w:rsidRPr="00E62AEF">
        <w:rPr>
          <w:bCs/>
          <w:caps/>
          <w:sz w:val="28"/>
          <w:szCs w:val="28"/>
          <w:lang w:val="uk-UA"/>
        </w:rPr>
        <w:t>, Н</w:t>
      </w:r>
      <w:r w:rsidRPr="00E62AEF">
        <w:rPr>
          <w:bCs/>
          <w:sz w:val="28"/>
          <w:szCs w:val="28"/>
          <w:lang w:val="uk-UA"/>
        </w:rPr>
        <w:t>імеччина</w:t>
      </w:r>
      <w:r w:rsidRPr="00E62AEF">
        <w:rPr>
          <w:bCs/>
          <w:caps/>
          <w:sz w:val="28"/>
          <w:szCs w:val="28"/>
          <w:lang w:val="uk-UA"/>
        </w:rPr>
        <w:t xml:space="preserve">). </w:t>
      </w:r>
      <w:r w:rsidRPr="00E62AEF">
        <w:rPr>
          <w:bCs/>
          <w:sz w:val="28"/>
          <w:szCs w:val="28"/>
          <w:lang w:val="uk-UA"/>
        </w:rPr>
        <w:t>Уміст відновленого глутатіону визначали в кольоровій реакції на сульфгідрильні групи з ДТНБ (ДТНБ-SH</w:t>
      </w:r>
      <w:r w:rsidRPr="00E62AEF">
        <w:rPr>
          <w:b/>
          <w:bCs/>
          <w:sz w:val="28"/>
          <w:szCs w:val="28"/>
          <w:lang w:val="uk-UA"/>
        </w:rPr>
        <w:t>)</w:t>
      </w:r>
      <w:r w:rsidRPr="00E62AEF">
        <w:rPr>
          <w:bCs/>
          <w:sz w:val="28"/>
          <w:szCs w:val="28"/>
          <w:lang w:val="uk-UA"/>
        </w:rPr>
        <w:t>. Розрахунок активності ГПО здійснювали</w:t>
      </w:r>
      <w:r w:rsidRPr="00E62AEF">
        <w:rPr>
          <w:bCs/>
          <w:caps/>
          <w:sz w:val="28"/>
          <w:szCs w:val="28"/>
          <w:lang w:val="uk-UA"/>
        </w:rPr>
        <w:t xml:space="preserve"> </w:t>
      </w:r>
      <w:r w:rsidRPr="00E62AEF">
        <w:rPr>
          <w:bCs/>
          <w:sz w:val="28"/>
          <w:szCs w:val="28"/>
          <w:lang w:val="uk-UA"/>
        </w:rPr>
        <w:t>в мккат/г гемоглобіну за формулою</w:t>
      </w:r>
      <w:r w:rsidRPr="00E62AEF">
        <w:rPr>
          <w:bCs/>
          <w:caps/>
          <w:sz w:val="28"/>
          <w:szCs w:val="28"/>
          <w:lang w:val="uk-UA"/>
        </w:rPr>
        <w:t xml:space="preserve"> [3</w:t>
      </w:r>
      <w:r w:rsidRPr="00E62AEF">
        <w:rPr>
          <w:bCs/>
          <w:sz w:val="28"/>
          <w:szCs w:val="28"/>
          <w:lang w:val="uk-UA"/>
        </w:rPr>
        <w:t>,131</w:t>
      </w:r>
      <w:r w:rsidRPr="00E62AEF">
        <w:rPr>
          <w:bCs/>
          <w:caps/>
          <w:sz w:val="28"/>
          <w:szCs w:val="28"/>
          <w:lang w:val="uk-UA"/>
        </w:rPr>
        <w:t>]:</w:t>
      </w:r>
    </w:p>
    <w:p w:rsidR="00E3259F" w:rsidRPr="00E62AEF" w:rsidRDefault="00E3259F" w:rsidP="00E62AEF">
      <w:pPr>
        <w:spacing w:line="360" w:lineRule="auto"/>
        <w:rPr>
          <w:sz w:val="28"/>
          <w:szCs w:val="28"/>
          <w:u w:val="single"/>
          <w:lang w:val="uk-UA"/>
        </w:rPr>
      </w:pPr>
      <w:r w:rsidRPr="00E62AEF">
        <w:rPr>
          <w:sz w:val="28"/>
          <w:szCs w:val="28"/>
          <w:lang w:val="uk-UA"/>
        </w:rPr>
        <w:t xml:space="preserve">активність ГПО = ((Ер – Ед) </w:t>
      </w:r>
      <w:r w:rsidRPr="00E62AEF">
        <w:rPr>
          <w:b/>
          <w:caps/>
          <w:sz w:val="28"/>
          <w:szCs w:val="28"/>
        </w:rPr>
        <w:t>·</w:t>
      </w:r>
      <w:r w:rsidRPr="00E62AEF">
        <w:rPr>
          <w:caps/>
          <w:sz w:val="28"/>
          <w:szCs w:val="28"/>
          <w:lang w:val="uk-UA"/>
        </w:rPr>
        <w:t xml:space="preserve"> </w:t>
      </w:r>
      <w:r w:rsidRPr="00E62AEF">
        <w:rPr>
          <w:sz w:val="28"/>
          <w:szCs w:val="28"/>
          <w:lang w:val="uk-UA"/>
        </w:rPr>
        <w:t xml:space="preserve">6 </w:t>
      </w:r>
      <w:r w:rsidRPr="00E62AEF">
        <w:rPr>
          <w:b/>
          <w:caps/>
          <w:sz w:val="28"/>
          <w:szCs w:val="28"/>
        </w:rPr>
        <w:t>·</w:t>
      </w:r>
      <w:r w:rsidRPr="00E62AEF">
        <w:rPr>
          <w:caps/>
          <w:sz w:val="28"/>
          <w:szCs w:val="28"/>
          <w:lang w:val="uk-UA"/>
        </w:rPr>
        <w:t xml:space="preserve"> </w:t>
      </w:r>
      <w:r w:rsidRPr="00E62AEF">
        <w:rPr>
          <w:sz w:val="28"/>
          <w:szCs w:val="28"/>
          <w:lang w:val="uk-UA"/>
        </w:rPr>
        <w:t xml:space="preserve">100 </w:t>
      </w:r>
      <w:r w:rsidRPr="00E62AEF">
        <w:rPr>
          <w:b/>
          <w:caps/>
          <w:sz w:val="28"/>
          <w:szCs w:val="28"/>
        </w:rPr>
        <w:t>·</w:t>
      </w:r>
      <w:r w:rsidRPr="00E62AEF">
        <w:rPr>
          <w:b/>
          <w:caps/>
          <w:sz w:val="28"/>
          <w:szCs w:val="28"/>
          <w:lang w:val="uk-UA"/>
        </w:rPr>
        <w:t xml:space="preserve"> </w:t>
      </w:r>
      <w:r w:rsidRPr="00E62AEF">
        <w:rPr>
          <w:sz w:val="28"/>
          <w:szCs w:val="28"/>
          <w:lang w:val="uk-UA"/>
        </w:rPr>
        <w:t xml:space="preserve">1000)/(11,4 </w:t>
      </w:r>
      <w:r w:rsidRPr="00E62AEF">
        <w:rPr>
          <w:b/>
          <w:caps/>
          <w:sz w:val="28"/>
          <w:szCs w:val="28"/>
        </w:rPr>
        <w:t>·</w:t>
      </w:r>
      <w:r w:rsidRPr="00E62AEF">
        <w:rPr>
          <w:caps/>
          <w:sz w:val="28"/>
          <w:szCs w:val="28"/>
          <w:lang w:val="uk-UA"/>
        </w:rPr>
        <w:t xml:space="preserve"> </w:t>
      </w:r>
      <w:r w:rsidRPr="00E62AEF">
        <w:rPr>
          <w:sz w:val="28"/>
          <w:szCs w:val="28"/>
          <w:lang w:val="uk-UA"/>
        </w:rPr>
        <w:t>300</w:t>
      </w:r>
      <w:r w:rsidRPr="00E62AEF">
        <w:rPr>
          <w:caps/>
          <w:sz w:val="28"/>
          <w:szCs w:val="28"/>
          <w:lang w:val="uk-UA"/>
        </w:rPr>
        <w:t xml:space="preserve"> </w:t>
      </w:r>
      <w:r w:rsidRPr="00E62AEF">
        <w:rPr>
          <w:b/>
          <w:caps/>
          <w:sz w:val="28"/>
          <w:szCs w:val="28"/>
        </w:rPr>
        <w:t>·</w:t>
      </w:r>
      <w:r w:rsidRPr="00E62AEF">
        <w:rPr>
          <w:b/>
          <w:caps/>
          <w:sz w:val="28"/>
          <w:szCs w:val="28"/>
          <w:lang w:val="uk-UA"/>
        </w:rPr>
        <w:t xml:space="preserve"> </w:t>
      </w:r>
      <w:r w:rsidRPr="00E62AEF">
        <w:rPr>
          <w:sz w:val="28"/>
          <w:szCs w:val="28"/>
          <w:lang w:val="en-US"/>
        </w:rPr>
        <w:t>Hb</w:t>
      </w:r>
      <w:r w:rsidRPr="00E62AEF">
        <w:rPr>
          <w:sz w:val="28"/>
          <w:szCs w:val="28"/>
          <w:lang w:val="uk-UA"/>
        </w:rPr>
        <w:t xml:space="preserve">) = (Ер – Ед) </w:t>
      </w:r>
      <w:r w:rsidRPr="00E62AEF">
        <w:rPr>
          <w:b/>
          <w:caps/>
          <w:sz w:val="28"/>
          <w:szCs w:val="28"/>
        </w:rPr>
        <w:t>·</w:t>
      </w:r>
      <w:r w:rsidRPr="00E62AEF">
        <w:rPr>
          <w:caps/>
          <w:sz w:val="28"/>
          <w:szCs w:val="28"/>
          <w:lang w:val="uk-UA"/>
        </w:rPr>
        <w:t xml:space="preserve"> </w:t>
      </w:r>
      <w:r w:rsidRPr="00E62AEF">
        <w:rPr>
          <w:sz w:val="28"/>
          <w:szCs w:val="28"/>
          <w:lang w:val="uk-UA"/>
        </w:rPr>
        <w:t>175,44/</w:t>
      </w:r>
      <w:r w:rsidRPr="00E62AEF">
        <w:rPr>
          <w:sz w:val="28"/>
          <w:szCs w:val="28"/>
          <w:lang w:val="en-US"/>
        </w:rPr>
        <w:t>Hb</w:t>
      </w:r>
      <w:r w:rsidRPr="00E62AEF">
        <w:rPr>
          <w:sz w:val="28"/>
          <w:szCs w:val="28"/>
          <w:lang w:val="uk-UA"/>
        </w:rPr>
        <w:t>),</w:t>
      </w:r>
      <w:r w:rsidRPr="00E62AEF">
        <w:rPr>
          <w:rFonts w:eastAsia="MS Mincho"/>
          <w:sz w:val="28"/>
          <w:szCs w:val="28"/>
          <w:lang w:val="uk-UA"/>
        </w:rPr>
        <w:t xml:space="preserve">                                                                                                        (2.11)</w:t>
      </w:r>
    </w:p>
    <w:p w:rsidR="00E3259F" w:rsidRPr="00E62AEF" w:rsidRDefault="00E3259F" w:rsidP="00E62AEF">
      <w:pPr>
        <w:spacing w:line="360" w:lineRule="auto"/>
        <w:rPr>
          <w:rFonts w:eastAsia="MS Mincho"/>
          <w:sz w:val="28"/>
          <w:szCs w:val="28"/>
          <w:lang w:val="uk-UA" w:eastAsia="ja-JP"/>
        </w:rPr>
      </w:pPr>
      <w:r w:rsidRPr="00E62AEF">
        <w:rPr>
          <w:sz w:val="28"/>
          <w:szCs w:val="28"/>
          <w:lang w:val="uk-UA"/>
        </w:rPr>
        <w:t xml:space="preserve">де: Ер – екстинція референсного зразка; Ед – екстинція дослідного зразка; </w:t>
      </w:r>
      <w:r w:rsidRPr="00E62AEF">
        <w:rPr>
          <w:sz w:val="28"/>
          <w:szCs w:val="28"/>
          <w:lang w:val="en-US"/>
        </w:rPr>
        <w:t>Hb</w:t>
      </w:r>
      <w:r w:rsidRPr="00E62AEF">
        <w:rPr>
          <w:sz w:val="28"/>
          <w:szCs w:val="28"/>
          <w:lang w:val="uk-UA"/>
        </w:rPr>
        <w:t xml:space="preserve"> – концентрація гемоглобіну в гемолізаті (г/л); 6, 100 – коефіцієнти розведення зразка; 1000 – коефіцієнт перерахунку ммоль в мкмоль; 300 – коефіцієнт перерахунку на 1 с інкубації; </w:t>
      </w:r>
      <w:r w:rsidRPr="00E62AEF">
        <w:rPr>
          <w:rFonts w:eastAsia="MS Mincho"/>
          <w:sz w:val="28"/>
          <w:szCs w:val="28"/>
          <w:lang w:val="uk-UA" w:eastAsia="ja-JP"/>
        </w:rPr>
        <w:t>11,4 – коефіцієнт мілімолярної екстинції забарвленого комплексу ДТНБ-</w:t>
      </w:r>
      <w:r w:rsidRPr="00E62AEF">
        <w:rPr>
          <w:rFonts w:eastAsia="MS Mincho"/>
          <w:sz w:val="28"/>
          <w:szCs w:val="28"/>
          <w:lang w:eastAsia="ja-JP"/>
        </w:rPr>
        <w:t>SH</w:t>
      </w:r>
      <w:r w:rsidRPr="00E62AEF">
        <w:rPr>
          <w:rFonts w:eastAsia="MS Mincho"/>
          <w:sz w:val="28"/>
          <w:szCs w:val="28"/>
          <w:lang w:val="uk-UA" w:eastAsia="ja-JP"/>
        </w:rPr>
        <w:t xml:space="preserve"> при 412 нм.</w:t>
      </w:r>
    </w:p>
    <w:p w:rsidR="00E3259F" w:rsidRPr="00E62AEF" w:rsidRDefault="00E3259F" w:rsidP="00E62AEF">
      <w:pPr>
        <w:spacing w:line="360" w:lineRule="auto"/>
        <w:ind w:firstLine="709"/>
        <w:jc w:val="both"/>
        <w:rPr>
          <w:caps/>
          <w:sz w:val="28"/>
          <w:szCs w:val="28"/>
          <w:lang w:val="uk-UA"/>
        </w:rPr>
      </w:pPr>
      <w:r w:rsidRPr="00E62AEF">
        <w:rPr>
          <w:sz w:val="28"/>
          <w:szCs w:val="28"/>
          <w:lang w:val="uk-UA"/>
        </w:rPr>
        <w:t xml:space="preserve">У подальшому здійснювали перерахунок активності ГПО в мккат/г гемоглобіну, концентрацію якого визначали фотометричним методом з використанням стандартних наборів реактивів </w:t>
      </w:r>
      <w:r w:rsidRPr="00E62AEF">
        <w:rPr>
          <w:sz w:val="28"/>
          <w:szCs w:val="28"/>
        </w:rPr>
        <w:t>(Реагент, Україна).</w:t>
      </w:r>
      <w:r w:rsidRPr="00E62AEF">
        <w:rPr>
          <w:sz w:val="28"/>
          <w:szCs w:val="28"/>
          <w:lang w:val="uk-UA"/>
        </w:rPr>
        <w:t xml:space="preserve"> Вимірювання екстинції проводили на колориметрі фотоелектричному </w:t>
      </w:r>
      <w:r w:rsidRPr="00E62AEF">
        <w:rPr>
          <w:caps/>
          <w:sz w:val="28"/>
          <w:szCs w:val="28"/>
          <w:lang w:val="uk-UA"/>
        </w:rPr>
        <w:t>«</w:t>
      </w:r>
      <w:r w:rsidRPr="00E62AEF">
        <w:rPr>
          <w:caps/>
          <w:sz w:val="28"/>
          <w:szCs w:val="28"/>
          <w:lang w:val="en-US"/>
        </w:rPr>
        <w:t>Spekol</w:t>
      </w:r>
      <w:r w:rsidRPr="00E62AEF">
        <w:rPr>
          <w:caps/>
          <w:sz w:val="28"/>
          <w:szCs w:val="28"/>
          <w:lang w:val="uk-UA"/>
        </w:rPr>
        <w:t>-11» (</w:t>
      </w:r>
      <w:r w:rsidRPr="00E62AEF">
        <w:rPr>
          <w:caps/>
          <w:sz w:val="28"/>
          <w:szCs w:val="28"/>
          <w:lang w:val="en-US"/>
        </w:rPr>
        <w:t>C</w:t>
      </w:r>
      <w:r w:rsidRPr="00E62AEF">
        <w:rPr>
          <w:caps/>
          <w:sz w:val="28"/>
          <w:szCs w:val="28"/>
        </w:rPr>
        <w:t>arl</w:t>
      </w:r>
      <w:r w:rsidRPr="00E62AEF">
        <w:rPr>
          <w:caps/>
          <w:sz w:val="28"/>
          <w:szCs w:val="28"/>
          <w:lang w:val="uk-UA"/>
        </w:rPr>
        <w:t xml:space="preserve"> </w:t>
      </w:r>
      <w:r w:rsidRPr="00E62AEF">
        <w:rPr>
          <w:caps/>
          <w:sz w:val="28"/>
          <w:szCs w:val="28"/>
          <w:lang w:val="en-US"/>
        </w:rPr>
        <w:t>Z</w:t>
      </w:r>
      <w:r w:rsidRPr="00E62AEF">
        <w:rPr>
          <w:caps/>
          <w:sz w:val="28"/>
          <w:szCs w:val="28"/>
        </w:rPr>
        <w:t>eiss</w:t>
      </w:r>
      <w:r w:rsidRPr="00E62AEF">
        <w:rPr>
          <w:caps/>
          <w:sz w:val="28"/>
          <w:szCs w:val="28"/>
          <w:lang w:val="uk-UA"/>
        </w:rPr>
        <w:t xml:space="preserve"> </w:t>
      </w:r>
      <w:r w:rsidRPr="00E62AEF">
        <w:rPr>
          <w:caps/>
          <w:sz w:val="28"/>
          <w:szCs w:val="28"/>
        </w:rPr>
        <w:t>JENA</w:t>
      </w:r>
      <w:r w:rsidRPr="00E62AEF">
        <w:rPr>
          <w:caps/>
          <w:sz w:val="28"/>
          <w:szCs w:val="28"/>
          <w:lang w:val="uk-UA"/>
        </w:rPr>
        <w:t>, Н</w:t>
      </w:r>
      <w:r w:rsidRPr="00E62AEF">
        <w:rPr>
          <w:sz w:val="28"/>
          <w:szCs w:val="28"/>
          <w:lang w:val="uk-UA"/>
        </w:rPr>
        <w:t>імеччина</w:t>
      </w:r>
      <w:r w:rsidRPr="00E62AEF">
        <w:rPr>
          <w:caps/>
          <w:sz w:val="28"/>
          <w:szCs w:val="28"/>
          <w:lang w:val="uk-UA"/>
        </w:rPr>
        <w:t>).</w:t>
      </w:r>
    </w:p>
    <w:p w:rsidR="00E3259F" w:rsidRPr="00E62AEF" w:rsidRDefault="00E3259F" w:rsidP="00E62AEF">
      <w:pPr>
        <w:autoSpaceDE w:val="0"/>
        <w:autoSpaceDN w:val="0"/>
        <w:adjustRightInd w:val="0"/>
        <w:spacing w:line="360" w:lineRule="auto"/>
        <w:ind w:firstLine="540"/>
        <w:jc w:val="both"/>
        <w:rPr>
          <w:rFonts w:eastAsia="Calibri"/>
          <w:sz w:val="28"/>
          <w:szCs w:val="28"/>
          <w:lang w:val="uk-UA"/>
        </w:rPr>
      </w:pPr>
      <w:r w:rsidRPr="00E62AEF">
        <w:rPr>
          <w:sz w:val="28"/>
          <w:szCs w:val="28"/>
          <w:lang w:val="uk-UA"/>
        </w:rPr>
        <w:t>У якості маркера окислювального ушкодження ДНК оцінювали вміст 8-</w:t>
      </w:r>
      <w:r w:rsidRPr="00E62AEF">
        <w:rPr>
          <w:sz w:val="28"/>
          <w:szCs w:val="28"/>
          <w:lang w:val="en-US"/>
        </w:rPr>
        <w:t>OH</w:t>
      </w:r>
      <w:r w:rsidRPr="00E62AEF">
        <w:rPr>
          <w:sz w:val="28"/>
          <w:szCs w:val="28"/>
          <w:lang w:val="uk-UA"/>
        </w:rPr>
        <w:t>-</w:t>
      </w:r>
      <w:r w:rsidRPr="00E62AEF">
        <w:rPr>
          <w:sz w:val="28"/>
          <w:szCs w:val="28"/>
          <w:lang w:val="en-US"/>
        </w:rPr>
        <w:t>dG</w:t>
      </w:r>
      <w:r w:rsidRPr="00E62AEF">
        <w:rPr>
          <w:sz w:val="28"/>
          <w:szCs w:val="28"/>
          <w:lang w:val="uk-UA"/>
        </w:rPr>
        <w:t xml:space="preserve"> у сироватці крові методом імуноферментного аналізу</w:t>
      </w:r>
      <w:r w:rsidRPr="00E62AEF">
        <w:rPr>
          <w:rFonts w:eastAsia="Calibri"/>
          <w:bCs/>
          <w:sz w:val="28"/>
          <w:szCs w:val="28"/>
          <w:lang w:val="uk-UA"/>
        </w:rPr>
        <w:t xml:space="preserve"> </w:t>
      </w:r>
      <w:r w:rsidRPr="00E62AEF">
        <w:rPr>
          <w:rFonts w:eastAsia="Calibri"/>
          <w:sz w:val="28"/>
          <w:szCs w:val="28"/>
          <w:lang w:val="uk-UA"/>
        </w:rPr>
        <w:t xml:space="preserve">на напівавтоматичному імуноферментному мікропланшетному аналізаторі «ImmunoChem - 2100» (HighTechnology, Inc., США) </w:t>
      </w:r>
      <w:r w:rsidRPr="00E62AEF">
        <w:rPr>
          <w:sz w:val="28"/>
          <w:szCs w:val="28"/>
          <w:lang w:val="uk-UA"/>
        </w:rPr>
        <w:t>з використанням набору реактивів "</w:t>
      </w:r>
      <w:r w:rsidRPr="00E62AEF">
        <w:rPr>
          <w:sz w:val="28"/>
          <w:szCs w:val="28"/>
          <w:lang w:val="en-US"/>
        </w:rPr>
        <w:t>Bio</w:t>
      </w:r>
      <w:r w:rsidRPr="00E62AEF">
        <w:rPr>
          <w:sz w:val="28"/>
          <w:szCs w:val="28"/>
          <w:lang w:val="uk-UA"/>
        </w:rPr>
        <w:t>-</w:t>
      </w:r>
      <w:r w:rsidRPr="00E62AEF">
        <w:rPr>
          <w:sz w:val="28"/>
          <w:szCs w:val="28"/>
          <w:lang w:val="en-US"/>
        </w:rPr>
        <w:t>Vendor</w:t>
      </w:r>
      <w:r w:rsidRPr="00E62AEF">
        <w:rPr>
          <w:sz w:val="28"/>
          <w:szCs w:val="28"/>
          <w:lang w:val="uk-UA"/>
        </w:rPr>
        <w:t>" (Чеська республіка).</w:t>
      </w:r>
      <w:r w:rsidRPr="00E62AEF">
        <w:rPr>
          <w:rFonts w:eastAsia="Calibri"/>
          <w:sz w:val="28"/>
          <w:szCs w:val="28"/>
          <w:lang w:val="uk-UA"/>
        </w:rPr>
        <w:t xml:space="preserve">  Нормальне значення цього показника становило </w:t>
      </w:r>
      <w:r w:rsidRPr="00E62AEF">
        <w:rPr>
          <w:sz w:val="28"/>
          <w:szCs w:val="28"/>
          <w:lang w:val="uk-UA"/>
        </w:rPr>
        <w:t>6,77</w:t>
      </w:r>
      <w:r w:rsidRPr="00E62AEF">
        <w:rPr>
          <w:rFonts w:eastAsia="Calibri"/>
          <w:sz w:val="28"/>
          <w:szCs w:val="28"/>
          <w:lang w:val="uk-UA"/>
        </w:rPr>
        <w:t>±0</w:t>
      </w:r>
      <w:r w:rsidRPr="00E62AEF">
        <w:rPr>
          <w:sz w:val="28"/>
          <w:szCs w:val="28"/>
          <w:lang w:val="uk-UA"/>
        </w:rPr>
        <w:t>,16</w:t>
      </w:r>
      <w:r w:rsidRPr="00E62AEF">
        <w:rPr>
          <w:rFonts w:eastAsia="Calibri"/>
          <w:sz w:val="28"/>
          <w:szCs w:val="28"/>
          <w:lang w:val="uk-UA"/>
        </w:rPr>
        <w:t xml:space="preserve"> пг/мл. </w:t>
      </w:r>
    </w:p>
    <w:p w:rsidR="00E3259F" w:rsidRPr="00E62AEF" w:rsidRDefault="00E3259F" w:rsidP="00E62AEF">
      <w:pPr>
        <w:spacing w:line="360" w:lineRule="auto"/>
        <w:ind w:firstLine="709"/>
        <w:jc w:val="both"/>
        <w:rPr>
          <w:rFonts w:eastAsia="Calibri"/>
          <w:sz w:val="28"/>
          <w:szCs w:val="28"/>
          <w:lang w:val="uk-UA"/>
        </w:rPr>
      </w:pPr>
      <w:r w:rsidRPr="00E62AEF">
        <w:rPr>
          <w:rFonts w:eastAsia="Calibri"/>
          <w:sz w:val="28"/>
          <w:szCs w:val="28"/>
          <w:lang w:val="uk-UA"/>
        </w:rPr>
        <w:t xml:space="preserve">Оцінку морфологічного стану судинного ендотелію здійснювали за допомогою підрахунку ЦДЕК у крові за методом </w:t>
      </w:r>
      <w:r w:rsidRPr="00E62AEF">
        <w:rPr>
          <w:rFonts w:eastAsia="Calibri"/>
          <w:sz w:val="28"/>
          <w:szCs w:val="28"/>
        </w:rPr>
        <w:t>Hladovec</w:t>
      </w:r>
      <w:r w:rsidRPr="00E62AEF">
        <w:rPr>
          <w:rFonts w:eastAsia="Calibri"/>
          <w:sz w:val="28"/>
          <w:szCs w:val="28"/>
          <w:lang w:val="uk-UA"/>
        </w:rPr>
        <w:t xml:space="preserve"> </w:t>
      </w:r>
      <w:r w:rsidRPr="00E62AEF">
        <w:rPr>
          <w:rFonts w:eastAsia="Calibri"/>
          <w:sz w:val="28"/>
          <w:szCs w:val="28"/>
        </w:rPr>
        <w:t>J</w:t>
      </w:r>
      <w:r w:rsidRPr="00E62AEF">
        <w:rPr>
          <w:rFonts w:eastAsia="Calibri"/>
          <w:sz w:val="28"/>
          <w:szCs w:val="28"/>
          <w:lang w:val="uk-UA"/>
        </w:rPr>
        <w:t xml:space="preserve">. у модифікації </w:t>
      </w:r>
      <w:r w:rsidRPr="00E62AEF">
        <w:rPr>
          <w:rFonts w:eastAsia="Calibri"/>
          <w:sz w:val="28"/>
          <w:szCs w:val="28"/>
        </w:rPr>
        <w:t>Rajec</w:t>
      </w:r>
      <w:r w:rsidRPr="00E62AEF">
        <w:rPr>
          <w:rFonts w:eastAsia="Calibri"/>
          <w:sz w:val="28"/>
          <w:szCs w:val="28"/>
          <w:lang w:val="uk-UA"/>
        </w:rPr>
        <w:t xml:space="preserve"> </w:t>
      </w:r>
      <w:r w:rsidRPr="00E62AEF">
        <w:rPr>
          <w:rFonts w:eastAsia="Calibri"/>
          <w:sz w:val="28"/>
          <w:szCs w:val="28"/>
        </w:rPr>
        <w:t>J</w:t>
      </w:r>
      <w:r w:rsidRPr="00E62AEF">
        <w:rPr>
          <w:rFonts w:eastAsia="Calibri"/>
          <w:sz w:val="28"/>
          <w:szCs w:val="28"/>
          <w:lang w:val="uk-UA"/>
        </w:rPr>
        <w:t xml:space="preserve">. та співавт. (2007) з використанням фазово-контрастної мікроскопії </w:t>
      </w:r>
      <w:r w:rsidRPr="00E62AEF">
        <w:rPr>
          <w:sz w:val="28"/>
          <w:szCs w:val="28"/>
          <w:lang w:val="uk-UA"/>
        </w:rPr>
        <w:t>[323].</w:t>
      </w:r>
      <w:r w:rsidRPr="00E62AEF">
        <w:rPr>
          <w:rFonts w:eastAsia="Calibri"/>
          <w:sz w:val="28"/>
          <w:szCs w:val="28"/>
          <w:lang w:val="uk-UA"/>
        </w:rPr>
        <w:t xml:space="preserve"> При цьому нормальне значення цього показника становило - 4,5кл</w:t>
      </w:r>
      <w:r w:rsidRPr="00E62AEF">
        <w:rPr>
          <w:rFonts w:eastAsia="Calibri"/>
          <w:sz w:val="28"/>
          <w:szCs w:val="28"/>
          <w:u w:val="single"/>
          <w:lang w:val="uk-UA"/>
        </w:rPr>
        <w:t>±</w:t>
      </w:r>
      <w:r w:rsidRPr="00E62AEF">
        <w:rPr>
          <w:rFonts w:eastAsia="Calibri"/>
          <w:sz w:val="28"/>
          <w:szCs w:val="28"/>
          <w:lang w:val="uk-UA"/>
        </w:rPr>
        <w:t>1,8/100мкл. Біохімічний маркер  ангіогенезу та ЕД - васкулоендотеліальний фактор росту (ВЕФР) - у крові  досліджували м</w:t>
      </w:r>
      <w:r w:rsidRPr="00E62AEF">
        <w:rPr>
          <w:rFonts w:eastAsia="Calibri"/>
          <w:bCs/>
          <w:sz w:val="28"/>
          <w:szCs w:val="28"/>
          <w:lang w:val="uk-UA"/>
        </w:rPr>
        <w:t xml:space="preserve">етодом імуноферментного аналізу </w:t>
      </w:r>
      <w:r w:rsidRPr="00E62AEF">
        <w:rPr>
          <w:rFonts w:eastAsia="Calibri"/>
          <w:sz w:val="28"/>
          <w:szCs w:val="28"/>
          <w:lang w:val="uk-UA"/>
        </w:rPr>
        <w:t>на напівавтоматичному імуноферментному мікропланшетному аналізаторі «ImmunoChem - 2100» (HighTechnology, Inc., США)</w:t>
      </w:r>
      <w:r w:rsidRPr="00E62AEF">
        <w:rPr>
          <w:rFonts w:eastAsia="Calibri"/>
          <w:bCs/>
          <w:sz w:val="28"/>
          <w:szCs w:val="28"/>
          <w:lang w:val="uk-UA"/>
        </w:rPr>
        <w:t xml:space="preserve"> </w:t>
      </w:r>
      <w:r w:rsidRPr="00E62AEF">
        <w:rPr>
          <w:rFonts w:eastAsia="Calibri"/>
          <w:sz w:val="28"/>
          <w:szCs w:val="28"/>
          <w:lang w:val="uk-UA"/>
        </w:rPr>
        <w:t xml:space="preserve">за допомогою набору реактивів виробництва </w:t>
      </w:r>
      <w:r w:rsidRPr="00E62AEF">
        <w:rPr>
          <w:rFonts w:eastAsia="Calibri"/>
          <w:bCs/>
          <w:sz w:val="28"/>
          <w:szCs w:val="28"/>
          <w:lang w:val="uk-UA"/>
        </w:rPr>
        <w:t>„</w:t>
      </w:r>
      <w:r w:rsidRPr="00E62AEF">
        <w:rPr>
          <w:rFonts w:eastAsia="Calibri"/>
          <w:sz w:val="28"/>
          <w:szCs w:val="28"/>
        </w:rPr>
        <w:t>IBL</w:t>
      </w:r>
      <w:r w:rsidRPr="00E62AEF">
        <w:rPr>
          <w:rFonts w:eastAsia="Calibri"/>
          <w:sz w:val="28"/>
          <w:szCs w:val="28"/>
          <w:lang w:val="uk-UA"/>
        </w:rPr>
        <w:t xml:space="preserve"> </w:t>
      </w:r>
      <w:r w:rsidRPr="00E62AEF">
        <w:rPr>
          <w:rFonts w:eastAsia="Calibri"/>
          <w:sz w:val="28"/>
          <w:szCs w:val="28"/>
        </w:rPr>
        <w:t>International</w:t>
      </w:r>
      <w:r w:rsidRPr="00E62AEF">
        <w:rPr>
          <w:rFonts w:eastAsia="Calibri"/>
          <w:b/>
          <w:sz w:val="28"/>
          <w:szCs w:val="28"/>
          <w:lang w:val="uk-UA"/>
        </w:rPr>
        <w:t xml:space="preserve"> </w:t>
      </w:r>
      <w:r w:rsidRPr="00E62AEF">
        <w:rPr>
          <w:rFonts w:eastAsia="Calibri"/>
          <w:sz w:val="28"/>
          <w:szCs w:val="28"/>
        </w:rPr>
        <w:t>GmbH</w:t>
      </w:r>
      <w:r w:rsidRPr="00E62AEF">
        <w:rPr>
          <w:rFonts w:eastAsia="Calibri"/>
          <w:sz w:val="28"/>
          <w:szCs w:val="28"/>
          <w:lang w:val="uk-UA"/>
        </w:rPr>
        <w:t xml:space="preserve">”, </w:t>
      </w:r>
      <w:r w:rsidRPr="00E62AEF">
        <w:rPr>
          <w:rFonts w:eastAsia="Calibri"/>
          <w:sz w:val="28"/>
          <w:szCs w:val="28"/>
        </w:rPr>
        <w:t>Germany</w:t>
      </w:r>
      <w:r w:rsidRPr="00E62AEF">
        <w:rPr>
          <w:rFonts w:eastAsia="Calibri"/>
          <w:sz w:val="28"/>
          <w:szCs w:val="28"/>
          <w:lang w:val="uk-UA"/>
        </w:rPr>
        <w:t xml:space="preserve"> (Німеччина). Середнє значення референтного значення показника становило (127,0±36,8) пг/мл. </w:t>
      </w:r>
    </w:p>
    <w:p w:rsidR="00E3259F" w:rsidRPr="00E62AEF" w:rsidRDefault="00E3259F" w:rsidP="00E62AEF">
      <w:pPr>
        <w:spacing w:line="360" w:lineRule="auto"/>
        <w:ind w:firstLine="540"/>
        <w:jc w:val="both"/>
        <w:rPr>
          <w:rFonts w:eastAsia="Calibri"/>
          <w:sz w:val="28"/>
          <w:szCs w:val="28"/>
          <w:lang w:val="uk-UA"/>
        </w:rPr>
      </w:pPr>
      <w:r w:rsidRPr="00E62AEF">
        <w:rPr>
          <w:rFonts w:eastAsia="Calibri"/>
          <w:sz w:val="28"/>
          <w:szCs w:val="28"/>
          <w:lang w:val="uk-UA"/>
        </w:rPr>
        <w:t xml:space="preserve">Для оцінки морфологічного стану ЩЗ використовували УЗД за допомогою ультразвукової діагностичної системи „ </w:t>
      </w:r>
      <w:r w:rsidRPr="00E62AEF">
        <w:rPr>
          <w:rFonts w:eastAsia="Calibri"/>
          <w:sz w:val="28"/>
          <w:szCs w:val="28"/>
        </w:rPr>
        <w:t>LOGIQ</w:t>
      </w:r>
      <w:r w:rsidRPr="00E62AEF">
        <w:rPr>
          <w:rFonts w:eastAsia="Calibri"/>
          <w:sz w:val="28"/>
          <w:szCs w:val="28"/>
          <w:lang w:val="uk-UA"/>
        </w:rPr>
        <w:t>-5” (№ 1822</w:t>
      </w:r>
      <w:r w:rsidRPr="00E62AEF">
        <w:rPr>
          <w:rFonts w:eastAsia="Calibri"/>
          <w:sz w:val="28"/>
          <w:szCs w:val="28"/>
        </w:rPr>
        <w:t>SU</w:t>
      </w:r>
      <w:r w:rsidRPr="00E62AEF">
        <w:rPr>
          <w:rFonts w:eastAsia="Calibri"/>
          <w:sz w:val="28"/>
          <w:szCs w:val="28"/>
          <w:lang w:val="uk-UA"/>
        </w:rPr>
        <w:t xml:space="preserve">6) з використанням стандартної методики дослідження з оцінкою об 'єму ЩЗ, її долей, стану ехногенності, наявності вузлів та кіст, фіброзних включень та зернистості. </w:t>
      </w:r>
    </w:p>
    <w:p w:rsidR="00E3259F" w:rsidRPr="00E62AEF" w:rsidRDefault="00E3259F" w:rsidP="00E62AEF">
      <w:pPr>
        <w:spacing w:line="360" w:lineRule="auto"/>
        <w:ind w:firstLine="540"/>
        <w:jc w:val="both"/>
        <w:rPr>
          <w:rFonts w:eastAsia="Calibri"/>
          <w:sz w:val="28"/>
          <w:szCs w:val="28"/>
          <w:lang w:val="uk-UA"/>
        </w:rPr>
      </w:pPr>
      <w:r w:rsidRPr="00E62AEF">
        <w:rPr>
          <w:rFonts w:eastAsia="Calibri"/>
          <w:sz w:val="28"/>
          <w:szCs w:val="28"/>
          <w:lang w:val="uk-UA"/>
        </w:rPr>
        <w:t xml:space="preserve">Для виявлення ранніх проявів атеросклерозу проведено неінвазивне дослідження екстракраніального відділу брахіоцефальних артерій з вимірюванням ТКІМ. </w:t>
      </w:r>
      <w:r w:rsidRPr="00E62AEF">
        <w:rPr>
          <w:rFonts w:eastAsia="Calibri"/>
          <w:sz w:val="28"/>
          <w:szCs w:val="28"/>
        </w:rPr>
        <w:t xml:space="preserve">Для оцінки ТКІМ при дуплексному скануванні використовували ультразвукову діагностичну систему </w:t>
      </w:r>
      <w:r w:rsidRPr="00E62AEF">
        <w:rPr>
          <w:rFonts w:eastAsia="Calibri"/>
          <w:sz w:val="28"/>
          <w:szCs w:val="28"/>
          <w:lang w:val="uk-UA"/>
        </w:rPr>
        <w:t xml:space="preserve">„ </w:t>
      </w:r>
      <w:r w:rsidRPr="00E62AEF">
        <w:rPr>
          <w:rFonts w:eastAsia="Calibri"/>
          <w:sz w:val="28"/>
          <w:szCs w:val="28"/>
        </w:rPr>
        <w:t>LOGIQ</w:t>
      </w:r>
      <w:r w:rsidRPr="00E62AEF">
        <w:rPr>
          <w:rFonts w:eastAsia="Calibri"/>
          <w:sz w:val="28"/>
          <w:szCs w:val="28"/>
          <w:lang w:val="uk-UA"/>
        </w:rPr>
        <w:t>-5”</w:t>
      </w:r>
      <w:r w:rsidRPr="00E62AEF">
        <w:rPr>
          <w:rFonts w:eastAsia="Calibri"/>
          <w:sz w:val="28"/>
          <w:szCs w:val="28"/>
        </w:rPr>
        <w:t xml:space="preserve">, з лінійним датчиком </w:t>
      </w:r>
      <w:r w:rsidRPr="00E62AEF">
        <w:rPr>
          <w:rFonts w:eastAsia="Calibri"/>
          <w:sz w:val="28"/>
          <w:szCs w:val="28"/>
          <w:lang w:val="uk-UA"/>
        </w:rPr>
        <w:t>і</w:t>
      </w:r>
      <w:r w:rsidRPr="00E62AEF">
        <w:rPr>
          <w:rFonts w:eastAsia="Calibri"/>
          <w:sz w:val="28"/>
          <w:szCs w:val="28"/>
        </w:rPr>
        <w:t xml:space="preserve">з частотою не менш 7 МГц в В-режимі. Згідно </w:t>
      </w:r>
      <w:r w:rsidRPr="00E62AEF">
        <w:rPr>
          <w:rFonts w:eastAsia="Calibri"/>
          <w:sz w:val="28"/>
          <w:szCs w:val="28"/>
          <w:lang w:val="uk-UA"/>
        </w:rPr>
        <w:t>і</w:t>
      </w:r>
      <w:r w:rsidRPr="00E62AEF">
        <w:rPr>
          <w:rFonts w:eastAsia="Calibri"/>
          <w:sz w:val="28"/>
          <w:szCs w:val="28"/>
        </w:rPr>
        <w:t xml:space="preserve">з сучасними міжнародними рекомендаціями, проводили вимірювання ТКІМ задньої стінки </w:t>
      </w:r>
      <w:r w:rsidRPr="00E62AEF">
        <w:rPr>
          <w:rFonts w:eastAsia="Calibri"/>
          <w:sz w:val="28"/>
          <w:szCs w:val="28"/>
          <w:lang w:val="uk-UA"/>
        </w:rPr>
        <w:t>загальної сонної артерії (</w:t>
      </w:r>
      <w:r w:rsidRPr="00E62AEF">
        <w:rPr>
          <w:rFonts w:eastAsia="Calibri"/>
          <w:sz w:val="28"/>
          <w:szCs w:val="28"/>
        </w:rPr>
        <w:t>ЗСА</w:t>
      </w:r>
      <w:r w:rsidRPr="00E62AEF">
        <w:rPr>
          <w:rFonts w:eastAsia="Calibri"/>
          <w:sz w:val="28"/>
          <w:szCs w:val="28"/>
          <w:lang w:val="uk-UA"/>
        </w:rPr>
        <w:t>)</w:t>
      </w:r>
      <w:r w:rsidRPr="00E62AEF">
        <w:rPr>
          <w:rFonts w:eastAsia="Calibri"/>
          <w:sz w:val="28"/>
          <w:szCs w:val="28"/>
        </w:rPr>
        <w:t xml:space="preserve">. </w:t>
      </w:r>
      <w:r w:rsidRPr="00E62AEF">
        <w:rPr>
          <w:bCs/>
          <w:kern w:val="36"/>
          <w:sz w:val="28"/>
          <w:szCs w:val="28"/>
          <w:lang w:val="uk-UA"/>
        </w:rPr>
        <w:t xml:space="preserve">Згідно з рекомендаціями Європейського товариства з кардіології, Європейського товариства з артеріальній гіпертензії  та </w:t>
      </w:r>
      <w:r w:rsidRPr="00E62AEF">
        <w:rPr>
          <w:rFonts w:eastAsia="Calibri"/>
          <w:sz w:val="28"/>
          <w:szCs w:val="28"/>
        </w:rPr>
        <w:t>Європейськ</w:t>
      </w:r>
      <w:r w:rsidRPr="00E62AEF">
        <w:rPr>
          <w:rFonts w:eastAsia="Calibri"/>
          <w:sz w:val="28"/>
          <w:szCs w:val="28"/>
          <w:lang w:val="uk-UA"/>
        </w:rPr>
        <w:t xml:space="preserve">ого товариства </w:t>
      </w:r>
      <w:r w:rsidRPr="00E62AEF">
        <w:rPr>
          <w:rFonts w:eastAsia="Calibri"/>
          <w:sz w:val="28"/>
          <w:szCs w:val="28"/>
        </w:rPr>
        <w:t>кардіовізуалізаціі</w:t>
      </w:r>
      <w:r w:rsidRPr="00E62AEF">
        <w:rPr>
          <w:rFonts w:eastAsia="Calibri"/>
          <w:sz w:val="28"/>
          <w:szCs w:val="28"/>
          <w:lang w:val="uk-UA"/>
        </w:rPr>
        <w:t>, у якості маркера судинного ушкодження вважається ТКІМ ЗСА</w:t>
      </w:r>
      <w:r w:rsidRPr="00E62AEF">
        <w:rPr>
          <w:sz w:val="28"/>
          <w:szCs w:val="28"/>
          <w:shd w:val="clear" w:color="auto" w:fill="FFFFFF"/>
        </w:rPr>
        <w:t> &gt; 0.9 </w:t>
      </w:r>
      <w:r w:rsidRPr="00E62AEF">
        <w:rPr>
          <w:sz w:val="28"/>
          <w:szCs w:val="28"/>
          <w:shd w:val="clear" w:color="auto" w:fill="FFFFFF"/>
          <w:lang w:val="uk-UA"/>
        </w:rPr>
        <w:t>мм або  наявність бляшки (відзначається як ТКІМ ≥ 1,5 мм або фокусне потовщення на 0,5 мм або на 50% від значення ТКІМ загальної сонної артерії</w:t>
      </w:r>
      <w:r w:rsidRPr="00E62AEF">
        <w:rPr>
          <w:sz w:val="28"/>
          <w:szCs w:val="28"/>
          <w:shd w:val="clear" w:color="auto" w:fill="FFFFFF"/>
        </w:rPr>
        <w:t>)</w:t>
      </w:r>
      <w:r w:rsidRPr="00E62AEF">
        <w:rPr>
          <w:sz w:val="28"/>
          <w:szCs w:val="28"/>
          <w:shd w:val="clear" w:color="auto" w:fill="FFFFFF"/>
          <w:lang w:val="en-US"/>
        </w:rPr>
        <w:t> </w:t>
      </w:r>
      <w:r w:rsidRPr="00E62AEF">
        <w:rPr>
          <w:sz w:val="28"/>
          <w:szCs w:val="28"/>
          <w:lang w:val="uk-UA"/>
        </w:rPr>
        <w:t>[</w:t>
      </w:r>
      <w:r w:rsidRPr="00E62AEF">
        <w:rPr>
          <w:sz w:val="28"/>
          <w:szCs w:val="28"/>
        </w:rPr>
        <w:t>3</w:t>
      </w:r>
      <w:r w:rsidRPr="00E62AEF">
        <w:rPr>
          <w:sz w:val="28"/>
          <w:szCs w:val="28"/>
          <w:lang w:val="uk-UA"/>
        </w:rPr>
        <w:t xml:space="preserve">17]. </w:t>
      </w:r>
      <w:r w:rsidRPr="00E62AEF">
        <w:rPr>
          <w:rFonts w:eastAsia="Calibri"/>
          <w:sz w:val="28"/>
          <w:szCs w:val="28"/>
          <w:lang w:val="uk-UA"/>
        </w:rPr>
        <w:t xml:space="preserve">У свою чергу, Європейське товариство кардіовізуалізаціі рекомендує індивідуальний  підхід (з урахуванням статі та віку) до визначення нормальних значень ТКІМ </w:t>
      </w:r>
      <w:r w:rsidRPr="00E62AEF">
        <w:rPr>
          <w:sz w:val="28"/>
          <w:szCs w:val="28"/>
          <w:lang w:val="uk-UA"/>
        </w:rPr>
        <w:t>[</w:t>
      </w:r>
      <w:r w:rsidRPr="00E62AEF">
        <w:rPr>
          <w:sz w:val="28"/>
          <w:szCs w:val="28"/>
        </w:rPr>
        <w:t>3</w:t>
      </w:r>
      <w:r w:rsidRPr="00E62AEF">
        <w:rPr>
          <w:sz w:val="28"/>
          <w:szCs w:val="28"/>
          <w:lang w:val="uk-UA"/>
        </w:rPr>
        <w:t>49].</w:t>
      </w:r>
      <w:r w:rsidRPr="00E62AEF">
        <w:rPr>
          <w:rFonts w:eastAsia="Calibri"/>
          <w:sz w:val="28"/>
          <w:szCs w:val="28"/>
          <w:lang w:val="uk-UA"/>
        </w:rPr>
        <w:t xml:space="preserve"> У зв'язку із цим, з метою подальшої оцінки прогностичної значимості вимірювання ТКІМ щодо коронарного атеросклерозу та його ускладнень, у дослідженні були використані порогові величини ТКІМ для чоловіків від 40 до 50 років - 0,8 мм, старше 50 років - 0,9 мм, для жінок до 45 років - 0,7 мм , від 45 до 60 років - 0,8 мм, старше 60 років - 0,9 мм.</w:t>
      </w:r>
    </w:p>
    <w:p w:rsidR="00E3259F" w:rsidRPr="00E62AEF" w:rsidRDefault="00E3259F" w:rsidP="00E62AEF">
      <w:pPr>
        <w:tabs>
          <w:tab w:val="left" w:pos="540"/>
        </w:tabs>
        <w:spacing w:line="360" w:lineRule="auto"/>
        <w:jc w:val="both"/>
        <w:rPr>
          <w:rFonts w:eastAsia="Calibri"/>
          <w:sz w:val="28"/>
          <w:szCs w:val="28"/>
          <w:shd w:val="clear" w:color="auto" w:fill="FFFFFF"/>
          <w:lang w:val="uk-UA"/>
        </w:rPr>
      </w:pPr>
      <w:r w:rsidRPr="00E62AEF">
        <w:rPr>
          <w:sz w:val="28"/>
          <w:szCs w:val="28"/>
          <w:lang w:val="uk-UA"/>
        </w:rPr>
        <w:t xml:space="preserve">До спеціальних методів, які застосовувалися в дисертаційній роботі, слід віднести молекулярно-генетичні, на підставі даних яких проводилося визначення судинного старіння. Останні роки значна увага приділяється оцінці відносної довжини теломер в якості маркера судинного старіння. </w:t>
      </w:r>
      <w:r w:rsidRPr="00E62AEF">
        <w:rPr>
          <w:rFonts w:eastAsia="Calibri"/>
          <w:sz w:val="28"/>
          <w:szCs w:val="28"/>
          <w:shd w:val="clear" w:color="auto" w:fill="FFFFFF"/>
          <w:lang w:val="uk-UA"/>
        </w:rPr>
        <w:t xml:space="preserve">Відносну довжину </w:t>
      </w:r>
      <w:r w:rsidRPr="00E62AEF">
        <w:rPr>
          <w:rFonts w:eastAsia="Calibri"/>
          <w:sz w:val="28"/>
          <w:szCs w:val="28"/>
          <w:shd w:val="clear" w:color="auto" w:fill="FFFFFF"/>
        </w:rPr>
        <w:t>теломер</w:t>
      </w:r>
      <w:r w:rsidRPr="00E62AEF">
        <w:rPr>
          <w:rFonts w:eastAsia="Calibri"/>
          <w:sz w:val="28"/>
          <w:szCs w:val="28"/>
          <w:shd w:val="clear" w:color="auto" w:fill="FFFFFF"/>
          <w:lang w:val="uk-UA"/>
        </w:rPr>
        <w:t xml:space="preserve"> виміровали</w:t>
      </w:r>
      <w:r w:rsidRPr="00E62AEF">
        <w:rPr>
          <w:rFonts w:eastAsia="Calibri"/>
          <w:sz w:val="28"/>
          <w:szCs w:val="28"/>
          <w:shd w:val="clear" w:color="auto" w:fill="FFFFFF"/>
        </w:rPr>
        <w:t xml:space="preserve"> в клітинах букального епітелію та лейкоцитах периферичної крові.</w:t>
      </w:r>
      <w:r w:rsidRPr="00E62AEF">
        <w:rPr>
          <w:rFonts w:eastAsia="Calibri"/>
          <w:sz w:val="28"/>
          <w:szCs w:val="28"/>
          <w:shd w:val="clear" w:color="auto" w:fill="FFFFFF"/>
          <w:lang w:val="uk-UA"/>
        </w:rPr>
        <w:t xml:space="preserve"> </w:t>
      </w:r>
    </w:p>
    <w:p w:rsidR="00E3259F" w:rsidRPr="00E62AEF" w:rsidRDefault="00E3259F" w:rsidP="00E62AEF">
      <w:pPr>
        <w:tabs>
          <w:tab w:val="left" w:pos="540"/>
        </w:tabs>
        <w:spacing w:line="360" w:lineRule="auto"/>
        <w:ind w:firstLine="539"/>
        <w:jc w:val="both"/>
        <w:rPr>
          <w:rFonts w:eastAsia="Calibri"/>
          <w:sz w:val="28"/>
          <w:szCs w:val="28"/>
        </w:rPr>
      </w:pPr>
      <w:r w:rsidRPr="00E62AEF">
        <w:rPr>
          <w:rFonts w:eastAsia="Calibri"/>
          <w:sz w:val="28"/>
          <w:szCs w:val="28"/>
          <w:shd w:val="clear" w:color="auto" w:fill="FFFFFF"/>
          <w:lang w:val="uk-UA"/>
        </w:rPr>
        <w:t xml:space="preserve">ДНК для визначення відносної довжини теломер виділяли з букального епітелію та лейкоцитів периферичної крові з використанням наборів реактивів ДНК-сорб-АМ та ДНК-сорб-В («Амплісенс», РФ), відповідно. Концентрацію ДНК в зразках вимірювали флюорометричним методом на флюорометрі </w:t>
      </w:r>
      <w:r w:rsidRPr="00E62AEF">
        <w:rPr>
          <w:rFonts w:eastAsia="Calibri"/>
          <w:sz w:val="28"/>
          <w:szCs w:val="28"/>
          <w:shd w:val="clear" w:color="auto" w:fill="FFFFFF"/>
        </w:rPr>
        <w:t>Qubit</w:t>
      </w:r>
      <w:r w:rsidRPr="00E62AEF">
        <w:rPr>
          <w:rFonts w:eastAsia="Calibri"/>
          <w:sz w:val="28"/>
          <w:szCs w:val="28"/>
          <w:shd w:val="clear" w:color="auto" w:fill="FFFFFF"/>
          <w:lang w:val="uk-UA"/>
        </w:rPr>
        <w:t xml:space="preserve"> 3.0 (</w:t>
      </w:r>
      <w:r w:rsidRPr="00E62AEF">
        <w:rPr>
          <w:rFonts w:eastAsia="Calibri"/>
          <w:sz w:val="28"/>
          <w:szCs w:val="28"/>
          <w:shd w:val="clear" w:color="auto" w:fill="FFFFFF"/>
        </w:rPr>
        <w:t>Life</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Technologies</w:t>
      </w:r>
      <w:r w:rsidRPr="00E62AEF">
        <w:rPr>
          <w:rFonts w:eastAsia="Calibri"/>
          <w:sz w:val="28"/>
          <w:szCs w:val="28"/>
          <w:shd w:val="clear" w:color="auto" w:fill="FFFFFF"/>
          <w:lang w:val="uk-UA"/>
        </w:rPr>
        <w:t xml:space="preserve">, США) з використанням набору реактивів </w:t>
      </w:r>
      <w:r w:rsidRPr="00E62AEF">
        <w:rPr>
          <w:rFonts w:eastAsia="Calibri"/>
          <w:sz w:val="28"/>
          <w:szCs w:val="28"/>
          <w:shd w:val="clear" w:color="auto" w:fill="FFFFFF"/>
        </w:rPr>
        <w:t>Qubit</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dsDNA</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HS</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Assay</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Kits</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Life</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Technologies</w:t>
      </w:r>
      <w:r w:rsidRPr="00E62AEF">
        <w:rPr>
          <w:rFonts w:eastAsia="Calibri"/>
          <w:sz w:val="28"/>
          <w:szCs w:val="28"/>
          <w:shd w:val="clear" w:color="auto" w:fill="FFFFFF"/>
          <w:lang w:val="uk-UA"/>
        </w:rPr>
        <w:t xml:space="preserve">, США). </w:t>
      </w:r>
      <w:r w:rsidRPr="00E62AEF">
        <w:rPr>
          <w:rFonts w:eastAsia="Calibri"/>
          <w:sz w:val="28"/>
          <w:szCs w:val="28"/>
        </w:rPr>
        <w:t xml:space="preserve">Зразки ДНК розводили до концентрації 2-4 нг/мкл та зберігали </w:t>
      </w:r>
      <w:r w:rsidRPr="00E62AEF">
        <w:rPr>
          <w:rFonts w:eastAsia="Calibri"/>
          <w:sz w:val="28"/>
          <w:szCs w:val="28"/>
          <w:shd w:val="clear" w:color="auto" w:fill="FFFFFF"/>
        </w:rPr>
        <w:t>до проведення ампліфікації при - 20</w:t>
      </w:r>
      <w:r w:rsidRPr="00E62AEF">
        <w:rPr>
          <w:rFonts w:eastAsia="Calibri"/>
          <w:sz w:val="28"/>
          <w:szCs w:val="28"/>
          <w:shd w:val="clear" w:color="auto" w:fill="FFFFFF"/>
          <w:vertAlign w:val="superscript"/>
        </w:rPr>
        <w:t>о</w:t>
      </w:r>
      <w:r w:rsidRPr="00E62AEF">
        <w:rPr>
          <w:rFonts w:eastAsia="Calibri"/>
          <w:sz w:val="28"/>
          <w:szCs w:val="28"/>
          <w:shd w:val="clear" w:color="auto" w:fill="FFFFFF"/>
        </w:rPr>
        <w:t xml:space="preserve">С. </w:t>
      </w:r>
    </w:p>
    <w:p w:rsidR="00E3259F" w:rsidRPr="00E62AEF" w:rsidRDefault="00E3259F" w:rsidP="00E62AEF">
      <w:pPr>
        <w:autoSpaceDE w:val="0"/>
        <w:autoSpaceDN w:val="0"/>
        <w:adjustRightInd w:val="0"/>
        <w:spacing w:line="360" w:lineRule="auto"/>
        <w:ind w:firstLine="709"/>
        <w:jc w:val="both"/>
        <w:rPr>
          <w:rFonts w:eastAsia="TimesNewRomanPSMT"/>
          <w:sz w:val="28"/>
          <w:szCs w:val="28"/>
          <w:lang w:eastAsia="uk-UA"/>
        </w:rPr>
      </w:pPr>
      <w:r w:rsidRPr="00E62AEF">
        <w:rPr>
          <w:rFonts w:eastAsia="Calibri"/>
          <w:sz w:val="28"/>
          <w:szCs w:val="28"/>
        </w:rPr>
        <w:t xml:space="preserve">Визначення </w:t>
      </w:r>
      <w:r w:rsidRPr="00E62AEF">
        <w:rPr>
          <w:rFonts w:eastAsia="Calibri"/>
          <w:sz w:val="28"/>
          <w:szCs w:val="28"/>
          <w:lang w:val="uk-UA"/>
        </w:rPr>
        <w:t>ВДТ</w:t>
      </w:r>
      <w:r w:rsidRPr="00E62AEF">
        <w:rPr>
          <w:rFonts w:eastAsia="Calibri"/>
          <w:sz w:val="28"/>
          <w:szCs w:val="28"/>
        </w:rPr>
        <w:t xml:space="preserve"> проводили методом ПЛР з детекцією флюоресценції в реальному часі згідно з протоколом, описаним</w:t>
      </w:r>
      <w:r w:rsidRPr="00E62AEF">
        <w:rPr>
          <w:rFonts w:eastAsia="Calibri"/>
          <w:sz w:val="28"/>
          <w:szCs w:val="28"/>
          <w:shd w:val="clear" w:color="auto" w:fill="FFFFFF"/>
        </w:rPr>
        <w:t xml:space="preserve"> Cawthon R.M., 20</w:t>
      </w:r>
      <w:r w:rsidRPr="00E62AEF">
        <w:rPr>
          <w:rFonts w:eastAsia="Calibri"/>
          <w:sz w:val="28"/>
          <w:szCs w:val="28"/>
          <w:shd w:val="clear" w:color="auto" w:fill="FFFFFF"/>
          <w:lang w:val="uk-UA"/>
        </w:rPr>
        <w:t xml:space="preserve">09 </w:t>
      </w:r>
      <w:r w:rsidRPr="00E62AEF">
        <w:rPr>
          <w:rFonts w:eastAsia="Calibri"/>
          <w:sz w:val="28"/>
          <w:szCs w:val="28"/>
        </w:rPr>
        <w:t>[</w:t>
      </w:r>
      <w:r w:rsidRPr="00E62AEF">
        <w:rPr>
          <w:sz w:val="28"/>
          <w:szCs w:val="28"/>
          <w:shd w:val="clear" w:color="auto" w:fill="FFFFFF"/>
        </w:rPr>
        <w:t>1</w:t>
      </w:r>
      <w:r w:rsidRPr="00E62AEF">
        <w:rPr>
          <w:sz w:val="28"/>
          <w:szCs w:val="28"/>
          <w:shd w:val="clear" w:color="auto" w:fill="FFFFFF"/>
          <w:lang w:val="uk-UA"/>
        </w:rPr>
        <w:t>78</w:t>
      </w:r>
      <w:r w:rsidRPr="00E62AEF">
        <w:rPr>
          <w:rFonts w:eastAsia="Calibri"/>
          <w:sz w:val="28"/>
          <w:szCs w:val="28"/>
        </w:rPr>
        <w:t>]</w:t>
      </w:r>
      <w:r w:rsidRPr="00E62AEF">
        <w:rPr>
          <w:rFonts w:eastAsia="Calibri"/>
          <w:sz w:val="28"/>
          <w:szCs w:val="28"/>
          <w:shd w:val="clear" w:color="auto" w:fill="FFFFFF"/>
        </w:rPr>
        <w:t xml:space="preserve">. </w:t>
      </w:r>
      <w:r w:rsidRPr="00E62AEF">
        <w:rPr>
          <w:rFonts w:eastAsia="Calibri"/>
          <w:sz w:val="28"/>
          <w:szCs w:val="28"/>
        </w:rPr>
        <w:t>Для ампліфікації теломерних послідовностей використовували праймери, виробництва «Invitrogen» (</w:t>
      </w:r>
      <w:r w:rsidRPr="00E62AEF">
        <w:rPr>
          <w:rFonts w:eastAsia="TimesNewRomanPSMT"/>
          <w:sz w:val="28"/>
          <w:szCs w:val="28"/>
        </w:rPr>
        <w:t>Thermo Fisher Scientific):</w:t>
      </w:r>
    </w:p>
    <w:p w:rsidR="00E3259F" w:rsidRPr="00E62AEF" w:rsidRDefault="00E3259F" w:rsidP="00E62AEF">
      <w:pPr>
        <w:numPr>
          <w:ilvl w:val="1"/>
          <w:numId w:val="14"/>
        </w:numPr>
        <w:tabs>
          <w:tab w:val="left" w:pos="567"/>
        </w:tabs>
        <w:autoSpaceDE w:val="0"/>
        <w:autoSpaceDN w:val="0"/>
        <w:adjustRightInd w:val="0"/>
        <w:spacing w:line="360" w:lineRule="auto"/>
        <w:ind w:left="0" w:firstLine="0"/>
        <w:jc w:val="both"/>
        <w:rPr>
          <w:sz w:val="28"/>
          <w:szCs w:val="28"/>
          <w:lang w:val="en-US"/>
        </w:rPr>
      </w:pPr>
      <w:r w:rsidRPr="00E62AEF">
        <w:rPr>
          <w:sz w:val="28"/>
          <w:szCs w:val="28"/>
          <w:lang w:val="uk-UA"/>
        </w:rPr>
        <w:t>Tel-G ACACTAAGGTTTGGGTTTGGGTTTGGGTTTGGGTTAGTGT</w:t>
      </w:r>
    </w:p>
    <w:p w:rsidR="00E3259F" w:rsidRPr="00E62AEF" w:rsidRDefault="00E3259F" w:rsidP="00E62AEF">
      <w:pPr>
        <w:numPr>
          <w:ilvl w:val="1"/>
          <w:numId w:val="14"/>
        </w:numPr>
        <w:tabs>
          <w:tab w:val="left" w:pos="567"/>
        </w:tabs>
        <w:autoSpaceDE w:val="0"/>
        <w:autoSpaceDN w:val="0"/>
        <w:adjustRightInd w:val="0"/>
        <w:spacing w:line="360" w:lineRule="auto"/>
        <w:ind w:left="0" w:firstLine="0"/>
        <w:jc w:val="both"/>
        <w:rPr>
          <w:rFonts w:eastAsia="TimesNewRomanPSMT"/>
          <w:sz w:val="28"/>
          <w:szCs w:val="28"/>
          <w:lang w:val="uk-UA" w:eastAsia="uk-UA"/>
        </w:rPr>
      </w:pPr>
      <w:r w:rsidRPr="00E62AEF">
        <w:rPr>
          <w:sz w:val="28"/>
          <w:szCs w:val="28"/>
          <w:lang w:val="uk-UA"/>
        </w:rPr>
        <w:t>Tel</w:t>
      </w:r>
      <w:r w:rsidRPr="00E62AEF">
        <w:rPr>
          <w:sz w:val="28"/>
          <w:szCs w:val="28"/>
          <w:lang w:val="uk-UA"/>
        </w:rPr>
        <w:noBreakHyphen/>
        <w:t>C TGTTAGGTATCCCTATCCCTATCCCTATCCCTATCCCTAACA</w:t>
      </w:r>
      <w:r w:rsidRPr="00E62AEF">
        <w:rPr>
          <w:sz w:val="28"/>
          <w:szCs w:val="28"/>
          <w:lang w:val="en-US"/>
        </w:rPr>
        <w:t>/</w:t>
      </w:r>
    </w:p>
    <w:p w:rsidR="00E3259F" w:rsidRPr="00E62AEF" w:rsidRDefault="00E3259F" w:rsidP="00E62AEF">
      <w:pPr>
        <w:autoSpaceDE w:val="0"/>
        <w:autoSpaceDN w:val="0"/>
        <w:adjustRightInd w:val="0"/>
        <w:spacing w:line="360" w:lineRule="auto"/>
        <w:ind w:firstLine="900"/>
        <w:jc w:val="both"/>
        <w:rPr>
          <w:rFonts w:eastAsia="TimesNewRomanPSMT"/>
          <w:sz w:val="28"/>
          <w:szCs w:val="28"/>
          <w:lang w:val="uk-UA" w:eastAsia="uk-UA"/>
        </w:rPr>
      </w:pPr>
      <w:r w:rsidRPr="00E62AEF">
        <w:rPr>
          <w:rFonts w:eastAsia="Calibri"/>
          <w:sz w:val="28"/>
          <w:szCs w:val="28"/>
          <w:lang w:val="uk-UA"/>
        </w:rPr>
        <w:t xml:space="preserve">Для ампліфікації референтного однокопійного гена </w:t>
      </w:r>
      <w:r w:rsidRPr="00E62AEF">
        <w:rPr>
          <w:rFonts w:eastAsia="Calibri"/>
          <w:sz w:val="28"/>
          <w:szCs w:val="28"/>
          <w:lang w:val="en-US"/>
        </w:rPr>
        <w:t>ALB</w:t>
      </w:r>
      <w:r w:rsidRPr="00E62AEF">
        <w:rPr>
          <w:rFonts w:eastAsia="Calibri"/>
          <w:sz w:val="28"/>
          <w:szCs w:val="28"/>
          <w:lang w:val="uk-UA"/>
        </w:rPr>
        <w:t xml:space="preserve"> (альбумін) використовували праймери виробництва</w:t>
      </w:r>
      <w:r w:rsidRPr="00E62AEF">
        <w:rPr>
          <w:rFonts w:eastAsia="TimesNewRomanPSMT"/>
          <w:sz w:val="28"/>
          <w:szCs w:val="28"/>
          <w:lang w:val="uk-UA"/>
        </w:rPr>
        <w:t xml:space="preserve"> «</w:t>
      </w:r>
      <w:r w:rsidRPr="00E62AEF">
        <w:rPr>
          <w:rFonts w:eastAsia="Calibri"/>
          <w:sz w:val="28"/>
          <w:szCs w:val="28"/>
        </w:rPr>
        <w:t>Invitrogen</w:t>
      </w:r>
      <w:r w:rsidRPr="00E62AEF">
        <w:rPr>
          <w:rFonts w:eastAsia="Calibri"/>
          <w:sz w:val="28"/>
          <w:szCs w:val="28"/>
          <w:lang w:val="uk-UA"/>
        </w:rPr>
        <w:t>» (</w:t>
      </w:r>
      <w:r w:rsidRPr="00E62AEF">
        <w:rPr>
          <w:rFonts w:eastAsia="TimesNewRomanPSMT"/>
          <w:sz w:val="28"/>
          <w:szCs w:val="28"/>
        </w:rPr>
        <w:t>Thermo</w:t>
      </w:r>
      <w:r w:rsidRPr="00E62AEF">
        <w:rPr>
          <w:rFonts w:eastAsia="TimesNewRomanPSMT"/>
          <w:sz w:val="28"/>
          <w:szCs w:val="28"/>
          <w:lang w:val="uk-UA"/>
        </w:rPr>
        <w:t xml:space="preserve"> </w:t>
      </w:r>
      <w:r w:rsidRPr="00E62AEF">
        <w:rPr>
          <w:rFonts w:eastAsia="TimesNewRomanPSMT"/>
          <w:sz w:val="28"/>
          <w:szCs w:val="28"/>
        </w:rPr>
        <w:t>Fisher</w:t>
      </w:r>
      <w:r w:rsidRPr="00E62AEF">
        <w:rPr>
          <w:rFonts w:eastAsia="TimesNewRomanPSMT"/>
          <w:sz w:val="28"/>
          <w:szCs w:val="28"/>
          <w:lang w:val="uk-UA"/>
        </w:rPr>
        <w:t xml:space="preserve"> </w:t>
      </w:r>
      <w:r w:rsidRPr="00E62AEF">
        <w:rPr>
          <w:rFonts w:eastAsia="TimesNewRomanPSMT"/>
          <w:sz w:val="28"/>
          <w:szCs w:val="28"/>
        </w:rPr>
        <w:t>Scientific</w:t>
      </w:r>
      <w:r w:rsidRPr="00E62AEF">
        <w:rPr>
          <w:rFonts w:eastAsia="TimesNewRomanPSMT"/>
          <w:sz w:val="28"/>
          <w:szCs w:val="28"/>
          <w:lang w:val="uk-UA"/>
        </w:rPr>
        <w:t>):</w:t>
      </w:r>
    </w:p>
    <w:p w:rsidR="00E3259F" w:rsidRPr="00E62AEF" w:rsidRDefault="00E3259F" w:rsidP="00E62AEF">
      <w:pPr>
        <w:numPr>
          <w:ilvl w:val="0"/>
          <w:numId w:val="16"/>
        </w:numPr>
        <w:tabs>
          <w:tab w:val="left" w:pos="284"/>
        </w:tabs>
        <w:autoSpaceDE w:val="0"/>
        <w:autoSpaceDN w:val="0"/>
        <w:adjustRightInd w:val="0"/>
        <w:spacing w:line="360" w:lineRule="auto"/>
        <w:ind w:left="0" w:firstLine="0"/>
        <w:jc w:val="both"/>
        <w:rPr>
          <w:sz w:val="28"/>
          <w:szCs w:val="28"/>
          <w:lang w:val="uk-UA"/>
        </w:rPr>
      </w:pPr>
      <w:r w:rsidRPr="00E62AEF">
        <w:rPr>
          <w:sz w:val="28"/>
          <w:szCs w:val="28"/>
          <w:lang w:val="uk-UA"/>
        </w:rPr>
        <w:t>ALBU CGGCGGCGGGCGGCGCGGGCTGGGCGGAAATGCTGCACAGAATCCTTG</w:t>
      </w:r>
    </w:p>
    <w:p w:rsidR="00E3259F" w:rsidRPr="00E62AEF" w:rsidRDefault="00E3259F" w:rsidP="00E62AEF">
      <w:pPr>
        <w:numPr>
          <w:ilvl w:val="0"/>
          <w:numId w:val="16"/>
        </w:numPr>
        <w:tabs>
          <w:tab w:val="left" w:pos="284"/>
        </w:tabs>
        <w:autoSpaceDE w:val="0"/>
        <w:autoSpaceDN w:val="0"/>
        <w:adjustRightInd w:val="0"/>
        <w:spacing w:line="360" w:lineRule="auto"/>
        <w:ind w:left="0" w:firstLine="0"/>
        <w:jc w:val="both"/>
        <w:rPr>
          <w:rFonts w:eastAsia="Calibri"/>
          <w:sz w:val="28"/>
          <w:szCs w:val="28"/>
          <w:lang w:val="uk-UA"/>
        </w:rPr>
      </w:pPr>
      <w:r w:rsidRPr="00E62AEF">
        <w:rPr>
          <w:sz w:val="28"/>
          <w:szCs w:val="28"/>
          <w:lang w:val="uk-UA"/>
        </w:rPr>
        <w:t>ALBD GCCCGGCCCGCCGCGCCCGTCCCGCCGGAAAAGCATGGTCGCCTGTT.</w:t>
      </w:r>
    </w:p>
    <w:p w:rsidR="00E3259F" w:rsidRPr="00E62AEF" w:rsidRDefault="00E3259F" w:rsidP="00E62AEF">
      <w:pPr>
        <w:autoSpaceDE w:val="0"/>
        <w:autoSpaceDN w:val="0"/>
        <w:adjustRightInd w:val="0"/>
        <w:spacing w:line="360" w:lineRule="auto"/>
        <w:ind w:firstLine="540"/>
        <w:jc w:val="both"/>
        <w:rPr>
          <w:rFonts w:eastAsia="Calibri"/>
          <w:sz w:val="28"/>
          <w:szCs w:val="28"/>
          <w:lang w:val="uk-UA"/>
        </w:rPr>
      </w:pPr>
      <w:r w:rsidRPr="00E62AEF">
        <w:rPr>
          <w:rFonts w:eastAsia="Calibri"/>
          <w:sz w:val="28"/>
          <w:szCs w:val="28"/>
          <w:lang w:val="uk-UA"/>
        </w:rPr>
        <w:t>Для кожної із систем праймерів готували дві реакційні суміші на необхідну кількість зразків з використанням майстер-міксу «</w:t>
      </w:r>
      <w:r w:rsidRPr="00E62AEF">
        <w:rPr>
          <w:rFonts w:eastAsia="Calibri"/>
          <w:sz w:val="28"/>
          <w:szCs w:val="28"/>
          <w:shd w:val="clear" w:color="auto" w:fill="FFFFFF"/>
        </w:rPr>
        <w:t>iQ</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SYBR</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Green</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Supermix</w:t>
      </w:r>
      <w:r w:rsidRPr="00E62AEF">
        <w:rPr>
          <w:rFonts w:eastAsia="Calibri"/>
          <w:sz w:val="28"/>
          <w:szCs w:val="28"/>
          <w:shd w:val="clear" w:color="auto" w:fill="FFFFFF"/>
          <w:lang w:val="uk-UA"/>
        </w:rPr>
        <w:t>» (</w:t>
      </w:r>
      <w:r w:rsidRPr="00E62AEF">
        <w:rPr>
          <w:rFonts w:eastAsia="Calibri"/>
          <w:sz w:val="28"/>
          <w:szCs w:val="28"/>
          <w:shd w:val="clear" w:color="auto" w:fill="FFFFFF"/>
        </w:rPr>
        <w:t>BioRad</w:t>
      </w:r>
      <w:r w:rsidRPr="00E62AEF">
        <w:rPr>
          <w:rFonts w:eastAsia="Calibri"/>
          <w:sz w:val="28"/>
          <w:szCs w:val="28"/>
          <w:shd w:val="clear" w:color="auto" w:fill="FFFFFF"/>
          <w:lang w:val="uk-UA"/>
        </w:rPr>
        <w:t xml:space="preserve"> </w:t>
      </w:r>
      <w:r w:rsidRPr="00E62AEF">
        <w:rPr>
          <w:rFonts w:eastAsia="Calibri"/>
          <w:sz w:val="28"/>
          <w:szCs w:val="28"/>
          <w:shd w:val="clear" w:color="auto" w:fill="FFFFFF"/>
        </w:rPr>
        <w:t>Laboratories</w:t>
      </w:r>
      <w:r w:rsidRPr="00E62AEF">
        <w:rPr>
          <w:rFonts w:eastAsia="Calibri"/>
          <w:sz w:val="28"/>
          <w:szCs w:val="28"/>
          <w:shd w:val="clear" w:color="auto" w:fill="FFFFFF"/>
          <w:lang w:val="uk-UA"/>
        </w:rPr>
        <w:t>, США)</w:t>
      </w:r>
      <w:r w:rsidRPr="00E62AEF">
        <w:rPr>
          <w:rFonts w:eastAsia="Calibri"/>
          <w:sz w:val="28"/>
          <w:szCs w:val="28"/>
          <w:lang w:val="uk-UA"/>
        </w:rPr>
        <w:t xml:space="preserve"> (табл. 2.8). </w:t>
      </w:r>
    </w:p>
    <w:p w:rsidR="00E3259F" w:rsidRPr="00E62AEF" w:rsidRDefault="00E3259F" w:rsidP="00E62AEF">
      <w:pPr>
        <w:autoSpaceDE w:val="0"/>
        <w:autoSpaceDN w:val="0"/>
        <w:adjustRightInd w:val="0"/>
        <w:spacing w:line="360" w:lineRule="auto"/>
        <w:ind w:firstLine="540"/>
        <w:jc w:val="both"/>
        <w:rPr>
          <w:rFonts w:eastAsia="Calibri"/>
          <w:sz w:val="28"/>
          <w:szCs w:val="28"/>
          <w:lang w:val="uk-UA"/>
        </w:rPr>
      </w:pPr>
      <w:r w:rsidRPr="00E62AEF">
        <w:rPr>
          <w:rFonts w:eastAsia="Calibri"/>
          <w:sz w:val="28"/>
          <w:szCs w:val="28"/>
          <w:lang w:val="uk-UA"/>
        </w:rPr>
        <w:t>Реакційні суміші готували безпосередньо перед використанням. У стриповані пробірки для ПЛР вносили 16 мкл реакційної суміші та 4 мкл ДНК. Для побудови калібрувальних кривих, необхідних для оцінки середньої довжини теломер, проводили серію розведень контрольного зразка ДНК окремо для теломерної послідовності та для однокопійного гена.</w:t>
      </w:r>
    </w:p>
    <w:p w:rsidR="00E3259F" w:rsidRDefault="00E3259F" w:rsidP="00E3259F">
      <w:pPr>
        <w:autoSpaceDE w:val="0"/>
        <w:autoSpaceDN w:val="0"/>
        <w:adjustRightInd w:val="0"/>
        <w:spacing w:line="360" w:lineRule="auto"/>
        <w:jc w:val="right"/>
        <w:rPr>
          <w:rFonts w:eastAsia="Calibri"/>
          <w:bCs/>
          <w:sz w:val="28"/>
          <w:szCs w:val="28"/>
          <w:lang w:eastAsia="uk-UA"/>
        </w:rPr>
      </w:pPr>
      <w:r>
        <w:rPr>
          <w:rFonts w:eastAsia="Calibri"/>
          <w:bCs/>
          <w:sz w:val="28"/>
          <w:szCs w:val="28"/>
        </w:rPr>
        <w:t>Таблиця 2.</w:t>
      </w:r>
      <w:r>
        <w:rPr>
          <w:rFonts w:eastAsia="Calibri"/>
          <w:bCs/>
          <w:sz w:val="28"/>
          <w:szCs w:val="28"/>
          <w:lang w:val="uk-UA"/>
        </w:rPr>
        <w:t xml:space="preserve">8 </w:t>
      </w:r>
    </w:p>
    <w:p w:rsidR="00E3259F" w:rsidRDefault="00E3259F" w:rsidP="00E3259F">
      <w:pPr>
        <w:autoSpaceDE w:val="0"/>
        <w:autoSpaceDN w:val="0"/>
        <w:adjustRightInd w:val="0"/>
        <w:spacing w:line="360" w:lineRule="auto"/>
        <w:jc w:val="center"/>
        <w:rPr>
          <w:rFonts w:eastAsia="Calibri"/>
          <w:sz w:val="28"/>
          <w:szCs w:val="28"/>
          <w:lang w:val="uk-UA"/>
        </w:rPr>
      </w:pPr>
      <w:r>
        <w:rPr>
          <w:rFonts w:eastAsia="Calibri"/>
          <w:sz w:val="28"/>
          <w:szCs w:val="28"/>
        </w:rPr>
        <w:t>Приготування реакційної суміші для ПЛР</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3687"/>
        <w:gridCol w:w="2127"/>
        <w:gridCol w:w="1419"/>
      </w:tblGrid>
      <w:tr w:rsidR="00E3259F" w:rsidRPr="00E62AEF" w:rsidTr="00E3259F">
        <w:trPr>
          <w:trHeight w:val="559"/>
        </w:trPr>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jc w:val="center"/>
              <w:rPr>
                <w:bCs/>
                <w:color w:val="auto"/>
                <w:sz w:val="28"/>
                <w:szCs w:val="28"/>
                <w:lang w:val="uk-UA" w:eastAsia="en-US"/>
              </w:rPr>
            </w:pPr>
            <w:r w:rsidRPr="00E62AEF">
              <w:rPr>
                <w:bCs/>
                <w:color w:val="auto"/>
                <w:sz w:val="28"/>
                <w:szCs w:val="28"/>
                <w:lang w:val="uk-UA" w:eastAsia="en-US"/>
              </w:rPr>
              <w:t>Суміш</w:t>
            </w: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 п/п</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bCs/>
                <w:color w:val="auto"/>
                <w:sz w:val="28"/>
                <w:szCs w:val="28"/>
                <w:lang w:val="uk-UA" w:eastAsia="en-US"/>
              </w:rPr>
              <w:t>Компонент</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bCs/>
                <w:color w:val="auto"/>
                <w:sz w:val="28"/>
                <w:szCs w:val="28"/>
                <w:lang w:val="uk-UA" w:eastAsia="en-US"/>
              </w:rPr>
            </w:pPr>
            <w:r w:rsidRPr="00E62AEF">
              <w:rPr>
                <w:rFonts w:eastAsia="Calibri"/>
                <w:bCs/>
                <w:color w:val="auto"/>
                <w:sz w:val="28"/>
                <w:szCs w:val="28"/>
                <w:lang w:val="uk-UA" w:eastAsia="en-US"/>
              </w:rPr>
              <w:t>Кінцева концентрація, нМ</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bCs/>
                <w:color w:val="auto"/>
                <w:sz w:val="28"/>
                <w:szCs w:val="28"/>
                <w:lang w:val="uk-UA" w:eastAsia="en-US"/>
              </w:rPr>
            </w:pPr>
            <w:r w:rsidRPr="00E62AEF">
              <w:rPr>
                <w:rFonts w:eastAsia="Calibri"/>
                <w:bCs/>
                <w:color w:val="auto"/>
                <w:sz w:val="28"/>
                <w:szCs w:val="28"/>
                <w:lang w:val="uk-UA" w:eastAsia="en-US"/>
              </w:rPr>
              <w:t>Об’єм на 1 зразок, мкл</w:t>
            </w:r>
          </w:p>
        </w:tc>
      </w:tr>
      <w:tr w:rsidR="00E3259F" w:rsidRPr="00E62AEF" w:rsidTr="00E3259F">
        <w:trPr>
          <w:trHeight w:val="111"/>
        </w:trPr>
        <w:tc>
          <w:tcPr>
            <w:tcW w:w="1276"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jc w:val="center"/>
              <w:rPr>
                <w:bCs/>
                <w:color w:val="auto"/>
                <w:sz w:val="28"/>
                <w:szCs w:val="28"/>
                <w:lang w:val="uk-UA" w:eastAsia="en-US"/>
              </w:rPr>
            </w:pPr>
            <w:r w:rsidRPr="00E62AEF">
              <w:rPr>
                <w:bCs/>
                <w:color w:val="auto"/>
                <w:sz w:val="28"/>
                <w:szCs w:val="28"/>
                <w:lang w:val="uk-UA" w:eastAsia="en-US"/>
              </w:rPr>
              <w:t>Суміш 1</w:t>
            </w:r>
          </w:p>
          <w:p w:rsidR="00E3259F" w:rsidRPr="00E62AEF" w:rsidRDefault="00E3259F">
            <w:pPr>
              <w:pStyle w:val="Default"/>
              <w:spacing w:line="276" w:lineRule="auto"/>
              <w:ind w:left="-108"/>
              <w:jc w:val="center"/>
              <w:rPr>
                <w:bCs/>
                <w:color w:val="auto"/>
                <w:sz w:val="28"/>
                <w:szCs w:val="28"/>
                <w:lang w:val="uk-UA" w:eastAsia="en-US"/>
              </w:rPr>
            </w:pPr>
            <w:r w:rsidRPr="00E62AEF">
              <w:rPr>
                <w:bCs/>
                <w:color w:val="auto"/>
                <w:sz w:val="28"/>
                <w:szCs w:val="28"/>
                <w:lang w:val="uk-UA" w:eastAsia="en-US"/>
              </w:rPr>
              <w:t>ТЕЛ</w:t>
            </w: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1</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Вода для ПЛР</w:t>
            </w:r>
          </w:p>
        </w:tc>
        <w:tc>
          <w:tcPr>
            <w:tcW w:w="2126" w:type="dxa"/>
            <w:tcBorders>
              <w:top w:val="single" w:sz="4" w:space="0" w:color="auto"/>
              <w:left w:val="single" w:sz="4" w:space="0" w:color="auto"/>
              <w:bottom w:val="single" w:sz="4" w:space="0" w:color="auto"/>
              <w:right w:val="single" w:sz="4" w:space="0" w:color="auto"/>
            </w:tcBorders>
          </w:tcPr>
          <w:p w:rsidR="00E3259F" w:rsidRPr="00E62AEF" w:rsidRDefault="00E3259F">
            <w:pPr>
              <w:pStyle w:val="Default"/>
              <w:spacing w:line="276" w:lineRule="auto"/>
              <w:jc w:val="center"/>
              <w:rPr>
                <w:color w:val="auto"/>
                <w:sz w:val="28"/>
                <w:szCs w:val="28"/>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5,4</w:t>
            </w:r>
          </w:p>
        </w:tc>
      </w:tr>
      <w:tr w:rsidR="00E3259F" w:rsidRPr="00E62AEF" w:rsidTr="00E3259F">
        <w:trPr>
          <w:trHeight w:val="11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bCs/>
                <w:sz w:val="28"/>
                <w:szCs w:val="28"/>
                <w:lang w:val="uk-UA" w:eastAsia="en-US"/>
              </w:rPr>
            </w:pP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2</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SSO SYBR Green Supermix (2х)</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1х</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10</w:t>
            </w:r>
          </w:p>
        </w:tc>
      </w:tr>
      <w:tr w:rsidR="00E3259F" w:rsidRPr="00E62AEF" w:rsidTr="00E3259F">
        <w:trPr>
          <w:trHeight w:val="111"/>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bCs/>
                <w:sz w:val="28"/>
                <w:szCs w:val="28"/>
                <w:lang w:val="uk-UA" w:eastAsia="en-US"/>
              </w:rPr>
            </w:pP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3</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Праймер Tel G, 20 мкМ</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 xml:space="preserve">300 </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0,3</w:t>
            </w:r>
          </w:p>
        </w:tc>
      </w:tr>
      <w:tr w:rsidR="00E3259F" w:rsidRPr="00E62AEF" w:rsidTr="00E3259F">
        <w:trPr>
          <w:trHeight w:val="11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bCs/>
                <w:sz w:val="28"/>
                <w:szCs w:val="28"/>
                <w:lang w:val="uk-UA" w:eastAsia="en-US"/>
              </w:rPr>
            </w:pP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4</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Праймер Tel C, 20 мкМ</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300</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0,3</w:t>
            </w:r>
          </w:p>
        </w:tc>
      </w:tr>
      <w:tr w:rsidR="00E3259F" w:rsidRPr="00E62AEF" w:rsidTr="00E3259F">
        <w:trPr>
          <w:trHeight w:val="111"/>
        </w:trPr>
        <w:tc>
          <w:tcPr>
            <w:tcW w:w="1276"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jc w:val="center"/>
              <w:rPr>
                <w:bCs/>
                <w:color w:val="auto"/>
                <w:sz w:val="28"/>
                <w:szCs w:val="28"/>
                <w:lang w:val="uk-UA" w:eastAsia="en-US"/>
              </w:rPr>
            </w:pPr>
            <w:r w:rsidRPr="00E62AEF">
              <w:rPr>
                <w:bCs/>
                <w:color w:val="auto"/>
                <w:sz w:val="28"/>
                <w:szCs w:val="28"/>
                <w:lang w:val="uk-UA" w:eastAsia="en-US"/>
              </w:rPr>
              <w:t>Суміш 2</w:t>
            </w:r>
          </w:p>
          <w:p w:rsidR="00E3259F" w:rsidRPr="00E62AEF" w:rsidRDefault="00E3259F">
            <w:pPr>
              <w:pStyle w:val="Default"/>
              <w:spacing w:line="276" w:lineRule="auto"/>
              <w:ind w:left="-108"/>
              <w:jc w:val="center"/>
              <w:rPr>
                <w:bCs/>
                <w:color w:val="auto"/>
                <w:sz w:val="28"/>
                <w:szCs w:val="28"/>
                <w:lang w:val="uk-UA" w:eastAsia="en-US"/>
              </w:rPr>
            </w:pPr>
            <w:r w:rsidRPr="00E62AEF">
              <w:rPr>
                <w:bCs/>
                <w:color w:val="auto"/>
                <w:sz w:val="28"/>
                <w:szCs w:val="28"/>
                <w:lang w:val="uk-UA" w:eastAsia="en-US"/>
              </w:rPr>
              <w:t>АЛБ</w:t>
            </w: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1</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Вода для ПЛР</w:t>
            </w:r>
          </w:p>
        </w:tc>
        <w:tc>
          <w:tcPr>
            <w:tcW w:w="2126" w:type="dxa"/>
            <w:tcBorders>
              <w:top w:val="single" w:sz="4" w:space="0" w:color="auto"/>
              <w:left w:val="single" w:sz="4" w:space="0" w:color="auto"/>
              <w:bottom w:val="single" w:sz="4" w:space="0" w:color="auto"/>
              <w:right w:val="single" w:sz="4" w:space="0" w:color="auto"/>
            </w:tcBorders>
          </w:tcPr>
          <w:p w:rsidR="00E3259F" w:rsidRPr="00E62AEF" w:rsidRDefault="00E3259F">
            <w:pPr>
              <w:pStyle w:val="Default"/>
              <w:spacing w:line="276" w:lineRule="auto"/>
              <w:jc w:val="center"/>
              <w:rPr>
                <w:color w:val="auto"/>
                <w:sz w:val="28"/>
                <w:szCs w:val="28"/>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5,3</w:t>
            </w:r>
          </w:p>
        </w:tc>
      </w:tr>
      <w:tr w:rsidR="00E3259F" w:rsidRPr="00E62AEF" w:rsidTr="00E3259F">
        <w:trPr>
          <w:trHeight w:val="11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bCs/>
                <w:sz w:val="28"/>
                <w:szCs w:val="28"/>
                <w:lang w:val="uk-UA" w:eastAsia="en-US"/>
              </w:rPr>
            </w:pP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color w:val="auto"/>
                <w:sz w:val="28"/>
                <w:szCs w:val="28"/>
                <w:lang w:val="uk-UA" w:eastAsia="en-US"/>
              </w:rPr>
            </w:pPr>
            <w:r w:rsidRPr="00E62AEF">
              <w:rPr>
                <w:bCs/>
                <w:color w:val="auto"/>
                <w:sz w:val="28"/>
                <w:szCs w:val="28"/>
                <w:lang w:val="uk-UA" w:eastAsia="en-US"/>
              </w:rPr>
              <w:t>2</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SSO SYBR Green Supermix (2х)</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1х</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10</w:t>
            </w:r>
          </w:p>
        </w:tc>
      </w:tr>
      <w:tr w:rsidR="00E3259F" w:rsidRPr="00E62AEF" w:rsidTr="00E3259F">
        <w:trPr>
          <w:trHeight w:val="11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bCs/>
                <w:sz w:val="28"/>
                <w:szCs w:val="28"/>
                <w:lang w:val="uk-UA" w:eastAsia="en-US"/>
              </w:rPr>
            </w:pP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bCs/>
                <w:color w:val="auto"/>
                <w:sz w:val="28"/>
                <w:szCs w:val="28"/>
                <w:lang w:val="uk-UA" w:eastAsia="en-US"/>
              </w:rPr>
            </w:pPr>
            <w:r w:rsidRPr="00E62AEF">
              <w:rPr>
                <w:bCs/>
                <w:color w:val="auto"/>
                <w:sz w:val="28"/>
                <w:szCs w:val="28"/>
                <w:lang w:val="uk-UA" w:eastAsia="en-US"/>
              </w:rPr>
              <w:t>3</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Праймер ALBU 20 мкМ</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350</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0,35</w:t>
            </w:r>
          </w:p>
        </w:tc>
      </w:tr>
      <w:tr w:rsidR="00E3259F" w:rsidRPr="00E62AEF" w:rsidTr="00E3259F">
        <w:trPr>
          <w:trHeight w:val="113"/>
        </w:trPr>
        <w:tc>
          <w:tcPr>
            <w:tcW w:w="127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bCs/>
                <w:sz w:val="28"/>
                <w:szCs w:val="28"/>
                <w:lang w:val="uk-UA" w:eastAsia="en-US"/>
              </w:rPr>
            </w:pPr>
          </w:p>
        </w:tc>
        <w:tc>
          <w:tcPr>
            <w:tcW w:w="851"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right="-108"/>
              <w:jc w:val="center"/>
              <w:rPr>
                <w:bCs/>
                <w:color w:val="auto"/>
                <w:sz w:val="28"/>
                <w:szCs w:val="28"/>
                <w:lang w:val="uk-UA" w:eastAsia="en-US"/>
              </w:rPr>
            </w:pPr>
            <w:r w:rsidRPr="00E62AEF">
              <w:rPr>
                <w:bCs/>
                <w:color w:val="auto"/>
                <w:sz w:val="28"/>
                <w:szCs w:val="28"/>
                <w:lang w:val="uk-UA" w:eastAsia="en-US"/>
              </w:rPr>
              <w:t>4</w:t>
            </w: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Праймер ALBD, 20 мкМ</w:t>
            </w:r>
          </w:p>
        </w:tc>
        <w:tc>
          <w:tcPr>
            <w:tcW w:w="212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350</w:t>
            </w: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0,35</w:t>
            </w:r>
          </w:p>
        </w:tc>
      </w:tr>
      <w:tr w:rsidR="00E3259F" w:rsidRPr="00E62AEF" w:rsidTr="00E3259F">
        <w:trPr>
          <w:trHeight w:val="113"/>
        </w:trPr>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ind w:left="-108"/>
              <w:jc w:val="center"/>
              <w:rPr>
                <w:bCs/>
                <w:color w:val="auto"/>
                <w:sz w:val="28"/>
                <w:szCs w:val="28"/>
                <w:lang w:val="uk-UA" w:eastAsia="en-US"/>
              </w:rPr>
            </w:pPr>
            <w:r w:rsidRPr="00E62AEF">
              <w:rPr>
                <w:bCs/>
                <w:color w:val="auto"/>
                <w:sz w:val="28"/>
                <w:szCs w:val="28"/>
                <w:lang w:val="uk-UA" w:eastAsia="en-US"/>
              </w:rPr>
              <w:t>Зразок</w:t>
            </w:r>
          </w:p>
        </w:tc>
        <w:tc>
          <w:tcPr>
            <w:tcW w:w="851" w:type="dxa"/>
            <w:tcBorders>
              <w:top w:val="single" w:sz="4" w:space="0" w:color="auto"/>
              <w:left w:val="single" w:sz="4" w:space="0" w:color="auto"/>
              <w:bottom w:val="single" w:sz="4" w:space="0" w:color="auto"/>
              <w:right w:val="single" w:sz="4" w:space="0" w:color="auto"/>
            </w:tcBorders>
          </w:tcPr>
          <w:p w:rsidR="00E3259F" w:rsidRPr="00E62AEF" w:rsidRDefault="00E3259F">
            <w:pPr>
              <w:pStyle w:val="Default"/>
              <w:spacing w:line="276" w:lineRule="auto"/>
              <w:ind w:left="-108" w:right="-108"/>
              <w:jc w:val="center"/>
              <w:rPr>
                <w:bCs/>
                <w:color w:val="auto"/>
                <w:sz w:val="28"/>
                <w:szCs w:val="28"/>
                <w:lang w:val="uk-UA" w:eastAsia="en-US"/>
              </w:rPr>
            </w:pPr>
          </w:p>
        </w:tc>
        <w:tc>
          <w:tcPr>
            <w:tcW w:w="3685"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Стандарт або зразок ДНК</w:t>
            </w:r>
          </w:p>
        </w:tc>
        <w:tc>
          <w:tcPr>
            <w:tcW w:w="2126" w:type="dxa"/>
            <w:tcBorders>
              <w:top w:val="single" w:sz="4" w:space="0" w:color="auto"/>
              <w:left w:val="single" w:sz="4" w:space="0" w:color="auto"/>
              <w:bottom w:val="single" w:sz="4" w:space="0" w:color="auto"/>
              <w:right w:val="single" w:sz="4" w:space="0" w:color="auto"/>
            </w:tcBorders>
          </w:tcPr>
          <w:p w:rsidR="00E3259F" w:rsidRPr="00E62AEF" w:rsidRDefault="00E3259F">
            <w:pPr>
              <w:pStyle w:val="Default"/>
              <w:spacing w:line="276" w:lineRule="auto"/>
              <w:jc w:val="center"/>
              <w:rPr>
                <w:color w:val="auto"/>
                <w:sz w:val="28"/>
                <w:szCs w:val="28"/>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E3259F" w:rsidRPr="00E62AEF" w:rsidRDefault="00E3259F">
            <w:pPr>
              <w:pStyle w:val="Default"/>
              <w:spacing w:line="276" w:lineRule="auto"/>
              <w:jc w:val="center"/>
              <w:rPr>
                <w:color w:val="auto"/>
                <w:sz w:val="28"/>
                <w:szCs w:val="28"/>
                <w:lang w:val="uk-UA" w:eastAsia="en-US"/>
              </w:rPr>
            </w:pPr>
            <w:r w:rsidRPr="00E62AEF">
              <w:rPr>
                <w:color w:val="auto"/>
                <w:sz w:val="28"/>
                <w:szCs w:val="28"/>
                <w:lang w:val="uk-UA" w:eastAsia="en-US"/>
              </w:rPr>
              <w:t xml:space="preserve">4 </w:t>
            </w:r>
          </w:p>
        </w:tc>
      </w:tr>
    </w:tbl>
    <w:p w:rsidR="00E3259F" w:rsidRDefault="00E3259F" w:rsidP="00E3259F">
      <w:pPr>
        <w:autoSpaceDE w:val="0"/>
        <w:autoSpaceDN w:val="0"/>
        <w:adjustRightInd w:val="0"/>
        <w:spacing w:line="360" w:lineRule="auto"/>
        <w:jc w:val="center"/>
        <w:rPr>
          <w:rFonts w:eastAsia="Calibri"/>
          <w:sz w:val="28"/>
          <w:szCs w:val="28"/>
          <w:lang w:val="uk-UA"/>
        </w:rPr>
      </w:pPr>
    </w:p>
    <w:p w:rsidR="00E3259F" w:rsidRPr="00E62AEF" w:rsidRDefault="00E3259F" w:rsidP="00E3259F">
      <w:pPr>
        <w:spacing w:line="360" w:lineRule="auto"/>
        <w:ind w:firstLine="567"/>
        <w:jc w:val="both"/>
        <w:rPr>
          <w:rFonts w:eastAsia="Calibri"/>
          <w:sz w:val="28"/>
          <w:szCs w:val="28"/>
          <w:lang w:val="uk-UA"/>
        </w:rPr>
      </w:pPr>
      <w:r w:rsidRPr="00E62AEF">
        <w:rPr>
          <w:rFonts w:eastAsia="Calibri"/>
          <w:sz w:val="28"/>
          <w:szCs w:val="28"/>
        </w:rPr>
        <w:t xml:space="preserve">Кожен зразок досліджували </w:t>
      </w:r>
      <w:r w:rsidRPr="00E62AEF">
        <w:rPr>
          <w:rFonts w:eastAsia="Calibri"/>
          <w:sz w:val="28"/>
          <w:szCs w:val="28"/>
          <w:lang w:val="uk-UA"/>
        </w:rPr>
        <w:t>в</w:t>
      </w:r>
      <w:r w:rsidRPr="00E62AEF">
        <w:rPr>
          <w:rFonts w:eastAsia="Calibri"/>
          <w:sz w:val="28"/>
          <w:szCs w:val="28"/>
        </w:rPr>
        <w:t xml:space="preserve"> 3 технічних повторах. </w:t>
      </w:r>
      <w:r w:rsidRPr="00E62AEF">
        <w:rPr>
          <w:rFonts w:eastAsia="Calibri"/>
          <w:sz w:val="28"/>
          <w:szCs w:val="28"/>
          <w:shd w:val="clear" w:color="auto" w:fill="FFFFFF"/>
        </w:rPr>
        <w:t xml:space="preserve">Ампліфікацію проводили з використанням системи детекції CFX96 Touch (BioRad Laboratories, США) </w:t>
      </w:r>
      <w:r w:rsidRPr="00E62AEF">
        <w:rPr>
          <w:rFonts w:eastAsia="Calibri"/>
          <w:sz w:val="28"/>
          <w:szCs w:val="28"/>
          <w:lang w:val="uk-UA"/>
        </w:rPr>
        <w:t>за спільним протоколом для цільового (теломери) та референтного (альбумін) гена зі зчитуванням сигналу на 8 та 10 кроці, відповідно (Табл. 2.9).</w:t>
      </w:r>
    </w:p>
    <w:p w:rsidR="00E3259F" w:rsidRPr="00E62AEF" w:rsidRDefault="00E3259F" w:rsidP="00E3259F">
      <w:pPr>
        <w:jc w:val="right"/>
        <w:rPr>
          <w:sz w:val="28"/>
          <w:szCs w:val="28"/>
        </w:rPr>
      </w:pPr>
      <w:r w:rsidRPr="00E62AEF">
        <w:rPr>
          <w:sz w:val="28"/>
          <w:szCs w:val="28"/>
        </w:rPr>
        <w:t xml:space="preserve">Таблиця </w:t>
      </w:r>
      <w:r w:rsidRPr="00E62AEF">
        <w:rPr>
          <w:rFonts w:eastAsia="Calibri"/>
          <w:sz w:val="28"/>
          <w:szCs w:val="28"/>
        </w:rPr>
        <w:t>2.</w:t>
      </w:r>
      <w:r w:rsidRPr="00E62AEF">
        <w:rPr>
          <w:rFonts w:eastAsia="Calibri"/>
          <w:sz w:val="28"/>
          <w:szCs w:val="28"/>
          <w:lang w:val="uk-UA"/>
        </w:rPr>
        <w:t>9</w:t>
      </w:r>
    </w:p>
    <w:p w:rsidR="00E3259F" w:rsidRPr="00E62AEF" w:rsidRDefault="00E3259F" w:rsidP="00E3259F">
      <w:pPr>
        <w:pStyle w:val="Default"/>
        <w:tabs>
          <w:tab w:val="left" w:pos="360"/>
        </w:tabs>
        <w:jc w:val="center"/>
        <w:rPr>
          <w:color w:val="auto"/>
          <w:sz w:val="28"/>
          <w:szCs w:val="28"/>
          <w:lang w:val="uk-UA"/>
        </w:rPr>
      </w:pPr>
      <w:r w:rsidRPr="00E62AEF">
        <w:rPr>
          <w:color w:val="auto"/>
          <w:sz w:val="28"/>
          <w:szCs w:val="28"/>
          <w:lang w:val="uk-UA"/>
        </w:rPr>
        <w:t>Програма ампліфікації.</w:t>
      </w:r>
    </w:p>
    <w:p w:rsidR="00E3259F" w:rsidRPr="00E62AEF" w:rsidRDefault="00E3259F" w:rsidP="00E3259F">
      <w:pPr>
        <w:pStyle w:val="Default"/>
        <w:tabs>
          <w:tab w:val="left" w:pos="360"/>
        </w:tabs>
        <w:jc w:val="both"/>
        <w:rPr>
          <w:color w:val="auto"/>
          <w:sz w:val="28"/>
          <w:szCs w:val="28"/>
          <w:lang w:val="uk-UA"/>
        </w:rPr>
      </w:pPr>
    </w:p>
    <w:tbl>
      <w:tblPr>
        <w:tblW w:w="918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6"/>
        <w:gridCol w:w="1276"/>
        <w:gridCol w:w="1419"/>
        <w:gridCol w:w="5389"/>
      </w:tblGrid>
      <w:tr w:rsidR="00E62AEF" w:rsidRPr="00E62AEF" w:rsidTr="00E62AEF">
        <w:tc>
          <w:tcPr>
            <w:tcW w:w="109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Етап</w:t>
            </w: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Крок</w:t>
            </w:r>
          </w:p>
        </w:tc>
        <w:tc>
          <w:tcPr>
            <w:tcW w:w="1419"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Кількість циклів</w:t>
            </w:r>
          </w:p>
        </w:tc>
        <w:tc>
          <w:tcPr>
            <w:tcW w:w="5389"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Температура, час</w:t>
            </w:r>
          </w:p>
        </w:tc>
      </w:tr>
      <w:tr w:rsidR="00E62AEF" w:rsidRPr="00E62AEF" w:rsidTr="00E62AEF">
        <w:tc>
          <w:tcPr>
            <w:tcW w:w="109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1</w:t>
            </w: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1</w:t>
            </w:r>
          </w:p>
        </w:tc>
        <w:tc>
          <w:tcPr>
            <w:tcW w:w="1419" w:type="dxa"/>
            <w:tcBorders>
              <w:top w:val="single" w:sz="4" w:space="0" w:color="auto"/>
              <w:left w:val="single" w:sz="4" w:space="0" w:color="auto"/>
              <w:bottom w:val="single" w:sz="4" w:space="0" w:color="auto"/>
              <w:right w:val="single" w:sz="4" w:space="0" w:color="auto"/>
            </w:tcBorders>
          </w:tcPr>
          <w:p w:rsidR="00E3259F" w:rsidRPr="00E62AEF" w:rsidRDefault="00E3259F">
            <w:pPr>
              <w:autoSpaceDE w:val="0"/>
              <w:autoSpaceDN w:val="0"/>
              <w:adjustRightInd w:val="0"/>
              <w:spacing w:line="276" w:lineRule="auto"/>
              <w:jc w:val="both"/>
              <w:rPr>
                <w:sz w:val="28"/>
                <w:szCs w:val="28"/>
                <w:lang w:val="uk-UA" w:eastAsia="en-US"/>
              </w:rPr>
            </w:pPr>
          </w:p>
        </w:tc>
        <w:tc>
          <w:tcPr>
            <w:tcW w:w="5389"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95 </w:t>
            </w:r>
            <w:r w:rsidRPr="00E62AEF">
              <w:rPr>
                <w:sz w:val="28"/>
                <w:szCs w:val="28"/>
                <w:vertAlign w:val="superscript"/>
                <w:lang w:val="uk-UA" w:eastAsia="en-US"/>
              </w:rPr>
              <w:t>о</w:t>
            </w:r>
            <w:r w:rsidRPr="00E62AEF">
              <w:rPr>
                <w:sz w:val="28"/>
                <w:szCs w:val="28"/>
                <w:lang w:val="uk-UA" w:eastAsia="en-US"/>
              </w:rPr>
              <w:t>С, 15 хв</w:t>
            </w:r>
          </w:p>
        </w:tc>
      </w:tr>
      <w:tr w:rsidR="00E62AEF" w:rsidRPr="00E62AEF" w:rsidTr="00E62AEF">
        <w:trPr>
          <w:trHeight w:val="223"/>
        </w:trPr>
        <w:tc>
          <w:tcPr>
            <w:tcW w:w="1096"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2</w:t>
            </w: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2</w:t>
            </w:r>
          </w:p>
        </w:tc>
        <w:tc>
          <w:tcPr>
            <w:tcW w:w="1419"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2</w:t>
            </w:r>
          </w:p>
        </w:tc>
        <w:tc>
          <w:tcPr>
            <w:tcW w:w="5389"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94 </w:t>
            </w:r>
            <w:r w:rsidRPr="00E62AEF">
              <w:rPr>
                <w:sz w:val="28"/>
                <w:szCs w:val="28"/>
                <w:vertAlign w:val="superscript"/>
                <w:lang w:val="uk-UA" w:eastAsia="en-US"/>
              </w:rPr>
              <w:t>о</w:t>
            </w:r>
            <w:r w:rsidRPr="00E62AEF">
              <w:rPr>
                <w:sz w:val="28"/>
                <w:szCs w:val="28"/>
                <w:lang w:val="uk-UA" w:eastAsia="en-US"/>
              </w:rPr>
              <w:t>С – 15 сек</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49 </w:t>
            </w:r>
            <w:r w:rsidRPr="00E62AEF">
              <w:rPr>
                <w:sz w:val="28"/>
                <w:szCs w:val="28"/>
                <w:vertAlign w:val="superscript"/>
                <w:lang w:val="uk-UA" w:eastAsia="en-US"/>
              </w:rPr>
              <w:t>о</w:t>
            </w:r>
            <w:r w:rsidRPr="00E62AEF">
              <w:rPr>
                <w:sz w:val="28"/>
                <w:szCs w:val="28"/>
                <w:lang w:val="uk-UA" w:eastAsia="en-US"/>
              </w:rPr>
              <w:t>С – 15 сек</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94 </w:t>
            </w:r>
            <w:r w:rsidRPr="00E62AEF">
              <w:rPr>
                <w:sz w:val="28"/>
                <w:szCs w:val="28"/>
                <w:vertAlign w:val="superscript"/>
                <w:lang w:val="uk-UA" w:eastAsia="en-US"/>
              </w:rPr>
              <w:t>о</w:t>
            </w:r>
            <w:r w:rsidRPr="00E62AEF">
              <w:rPr>
                <w:sz w:val="28"/>
                <w:szCs w:val="28"/>
                <w:lang w:val="uk-UA" w:eastAsia="en-US"/>
              </w:rPr>
              <w:t>С – 15 сек</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49 </w:t>
            </w:r>
            <w:r w:rsidRPr="00E62AEF">
              <w:rPr>
                <w:sz w:val="28"/>
                <w:szCs w:val="28"/>
                <w:vertAlign w:val="superscript"/>
                <w:lang w:val="uk-UA" w:eastAsia="en-US"/>
              </w:rPr>
              <w:t>о</w:t>
            </w:r>
            <w:r w:rsidRPr="00E62AEF">
              <w:rPr>
                <w:sz w:val="28"/>
                <w:szCs w:val="28"/>
                <w:lang w:val="uk-UA" w:eastAsia="en-US"/>
              </w:rPr>
              <w:t>С – 15 сек</w:t>
            </w:r>
          </w:p>
        </w:tc>
      </w:tr>
      <w:tr w:rsidR="00E62AEF" w:rsidRPr="00E62AEF" w:rsidTr="00E62AEF">
        <w:trPr>
          <w:trHeight w:val="227"/>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3</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r w:rsidR="00E62AEF" w:rsidRPr="00E62AEF" w:rsidTr="00E62AEF">
        <w:trPr>
          <w:trHeight w:val="203"/>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4</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r w:rsidR="00E62AEF" w:rsidRPr="00E62AEF" w:rsidTr="00E62AEF">
        <w:trPr>
          <w:trHeight w:val="207"/>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5</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r w:rsidR="00E62AEF" w:rsidRPr="00E62AEF" w:rsidTr="00E62AEF">
        <w:trPr>
          <w:trHeight w:val="181"/>
        </w:trPr>
        <w:tc>
          <w:tcPr>
            <w:tcW w:w="1096"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3</w:t>
            </w: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6</w:t>
            </w:r>
          </w:p>
        </w:tc>
        <w:tc>
          <w:tcPr>
            <w:tcW w:w="1419"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32</w:t>
            </w:r>
          </w:p>
        </w:tc>
        <w:tc>
          <w:tcPr>
            <w:tcW w:w="5389" w:type="dxa"/>
            <w:vMerge w:val="restart"/>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94 </w:t>
            </w:r>
            <w:r w:rsidRPr="00E62AEF">
              <w:rPr>
                <w:sz w:val="28"/>
                <w:szCs w:val="28"/>
                <w:vertAlign w:val="superscript"/>
                <w:lang w:val="uk-UA" w:eastAsia="en-US"/>
              </w:rPr>
              <w:t>о</w:t>
            </w:r>
            <w:r w:rsidRPr="00E62AEF">
              <w:rPr>
                <w:sz w:val="28"/>
                <w:szCs w:val="28"/>
                <w:lang w:val="uk-UA" w:eastAsia="en-US"/>
              </w:rPr>
              <w:t>С – 15 сек</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62 </w:t>
            </w:r>
            <w:r w:rsidRPr="00E62AEF">
              <w:rPr>
                <w:sz w:val="28"/>
                <w:szCs w:val="28"/>
                <w:vertAlign w:val="superscript"/>
                <w:lang w:val="uk-UA" w:eastAsia="en-US"/>
              </w:rPr>
              <w:t>о</w:t>
            </w:r>
            <w:r w:rsidRPr="00E62AEF">
              <w:rPr>
                <w:sz w:val="28"/>
                <w:szCs w:val="28"/>
                <w:lang w:val="uk-UA" w:eastAsia="en-US"/>
              </w:rPr>
              <w:t>С – 10 сек</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74 </w:t>
            </w:r>
            <w:r w:rsidRPr="00E62AEF">
              <w:rPr>
                <w:sz w:val="28"/>
                <w:szCs w:val="28"/>
                <w:vertAlign w:val="superscript"/>
                <w:lang w:val="uk-UA" w:eastAsia="en-US"/>
              </w:rPr>
              <w:t>о</w:t>
            </w:r>
            <w:r w:rsidRPr="00E62AEF">
              <w:rPr>
                <w:sz w:val="28"/>
                <w:szCs w:val="28"/>
                <w:lang w:val="uk-UA" w:eastAsia="en-US"/>
              </w:rPr>
              <w:t xml:space="preserve">С – 15 сек + зчитування сигналу - теломери </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84 </w:t>
            </w:r>
            <w:r w:rsidRPr="00E62AEF">
              <w:rPr>
                <w:sz w:val="28"/>
                <w:szCs w:val="28"/>
                <w:vertAlign w:val="superscript"/>
                <w:lang w:val="uk-UA" w:eastAsia="en-US"/>
              </w:rPr>
              <w:t>о</w:t>
            </w:r>
            <w:r w:rsidRPr="00E62AEF">
              <w:rPr>
                <w:sz w:val="28"/>
                <w:szCs w:val="28"/>
                <w:lang w:val="uk-UA" w:eastAsia="en-US"/>
              </w:rPr>
              <w:t>С – 10 сек</w:t>
            </w:r>
          </w:p>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 xml:space="preserve">88 </w:t>
            </w:r>
            <w:r w:rsidRPr="00E62AEF">
              <w:rPr>
                <w:sz w:val="28"/>
                <w:szCs w:val="28"/>
                <w:vertAlign w:val="superscript"/>
                <w:lang w:val="uk-UA" w:eastAsia="en-US"/>
              </w:rPr>
              <w:t>о</w:t>
            </w:r>
            <w:r w:rsidRPr="00E62AEF">
              <w:rPr>
                <w:sz w:val="28"/>
                <w:szCs w:val="28"/>
                <w:lang w:val="uk-UA" w:eastAsia="en-US"/>
              </w:rPr>
              <w:t>С – 15 сек + зчитування сигналу - альбумін</w:t>
            </w:r>
          </w:p>
        </w:tc>
      </w:tr>
      <w:tr w:rsidR="00E62AEF" w:rsidRPr="00E62AEF" w:rsidTr="00E62AEF">
        <w:trPr>
          <w:trHeight w:val="273"/>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7</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r w:rsidR="00E62AEF" w:rsidRPr="00E62AEF" w:rsidTr="00E62AEF">
        <w:trPr>
          <w:trHeight w:val="147"/>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8</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r w:rsidR="00E62AEF" w:rsidRPr="00E62AEF" w:rsidTr="00E62AEF">
        <w:trPr>
          <w:trHeight w:val="187"/>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9</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r w:rsidR="00E62AEF" w:rsidRPr="00E62AEF" w:rsidTr="00E62AEF">
        <w:trPr>
          <w:trHeight w:val="303"/>
        </w:trPr>
        <w:tc>
          <w:tcPr>
            <w:tcW w:w="1096"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E62AEF" w:rsidRDefault="00E3259F">
            <w:pPr>
              <w:autoSpaceDE w:val="0"/>
              <w:autoSpaceDN w:val="0"/>
              <w:adjustRightInd w:val="0"/>
              <w:spacing w:line="276" w:lineRule="auto"/>
              <w:jc w:val="both"/>
              <w:rPr>
                <w:sz w:val="28"/>
                <w:szCs w:val="28"/>
                <w:lang w:val="uk-UA" w:eastAsia="en-US"/>
              </w:rPr>
            </w:pPr>
            <w:r w:rsidRPr="00E62AEF">
              <w:rPr>
                <w:sz w:val="28"/>
                <w:szCs w:val="28"/>
                <w:lang w:val="uk-UA" w:eastAsia="en-US"/>
              </w:rPr>
              <w:t>10</w:t>
            </w:r>
          </w:p>
        </w:tc>
        <w:tc>
          <w:tcPr>
            <w:tcW w:w="141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c>
          <w:tcPr>
            <w:tcW w:w="5389" w:type="dxa"/>
            <w:vMerge/>
            <w:tcBorders>
              <w:top w:val="single" w:sz="4" w:space="0" w:color="auto"/>
              <w:left w:val="single" w:sz="4" w:space="0" w:color="auto"/>
              <w:bottom w:val="single" w:sz="4" w:space="0" w:color="auto"/>
              <w:right w:val="single" w:sz="4" w:space="0" w:color="auto"/>
            </w:tcBorders>
            <w:vAlign w:val="center"/>
            <w:hideMark/>
          </w:tcPr>
          <w:p w:rsidR="00E3259F" w:rsidRPr="00E62AEF" w:rsidRDefault="00E3259F">
            <w:pPr>
              <w:rPr>
                <w:sz w:val="28"/>
                <w:szCs w:val="28"/>
                <w:lang w:val="uk-UA" w:eastAsia="en-US"/>
              </w:rPr>
            </w:pPr>
          </w:p>
        </w:tc>
      </w:tr>
    </w:tbl>
    <w:p w:rsidR="00E3259F" w:rsidRPr="00E62AEF" w:rsidRDefault="00E3259F" w:rsidP="00E3259F">
      <w:pPr>
        <w:spacing w:line="360" w:lineRule="auto"/>
        <w:ind w:firstLine="567"/>
        <w:jc w:val="both"/>
        <w:rPr>
          <w:rFonts w:eastAsia="Calibri"/>
          <w:sz w:val="28"/>
          <w:szCs w:val="28"/>
          <w:lang w:val="uk-UA"/>
        </w:rPr>
      </w:pPr>
    </w:p>
    <w:p w:rsidR="00E3259F" w:rsidRDefault="00E3259F" w:rsidP="00E62AEF">
      <w:pPr>
        <w:autoSpaceDE w:val="0"/>
        <w:autoSpaceDN w:val="0"/>
        <w:adjustRightInd w:val="0"/>
        <w:spacing w:line="360" w:lineRule="auto"/>
        <w:ind w:firstLine="709"/>
        <w:jc w:val="both"/>
        <w:rPr>
          <w:rFonts w:eastAsia="TimesNewRomanPSMT"/>
          <w:color w:val="000000"/>
          <w:sz w:val="28"/>
          <w:szCs w:val="28"/>
          <w:lang w:val="uk-UA"/>
        </w:rPr>
      </w:pPr>
      <w:r>
        <w:rPr>
          <w:rFonts w:eastAsia="Calibri"/>
          <w:color w:val="000000"/>
          <w:sz w:val="28"/>
          <w:szCs w:val="28"/>
          <w:lang w:val="uk-UA"/>
        </w:rPr>
        <w:t xml:space="preserve">За допомогою програмного забезпечення </w:t>
      </w:r>
      <w:r>
        <w:rPr>
          <w:rFonts w:eastAsia="Calibri"/>
          <w:sz w:val="28"/>
          <w:szCs w:val="28"/>
        </w:rPr>
        <w:t>CFX</w:t>
      </w:r>
      <w:r>
        <w:rPr>
          <w:rFonts w:eastAsia="Calibri"/>
          <w:sz w:val="28"/>
          <w:szCs w:val="28"/>
          <w:lang w:val="uk-UA"/>
        </w:rPr>
        <w:t xml:space="preserve">96 </w:t>
      </w:r>
      <w:r>
        <w:rPr>
          <w:rFonts w:eastAsia="Calibri"/>
          <w:sz w:val="28"/>
          <w:szCs w:val="28"/>
        </w:rPr>
        <w:t>TouchSoftware</w:t>
      </w:r>
      <w:r>
        <w:rPr>
          <w:rFonts w:eastAsia="Calibri"/>
          <w:sz w:val="28"/>
          <w:szCs w:val="28"/>
          <w:lang w:val="uk-UA"/>
        </w:rPr>
        <w:t xml:space="preserve"> </w:t>
      </w:r>
      <w:r>
        <w:rPr>
          <w:rFonts w:eastAsia="Calibri"/>
          <w:sz w:val="28"/>
          <w:szCs w:val="28"/>
        </w:rPr>
        <w:t>V</w:t>
      </w:r>
      <w:r>
        <w:rPr>
          <w:rFonts w:eastAsia="Calibri"/>
          <w:sz w:val="28"/>
          <w:szCs w:val="28"/>
          <w:lang w:val="uk-UA"/>
        </w:rPr>
        <w:t>.3 (</w:t>
      </w:r>
      <w:r>
        <w:rPr>
          <w:rFonts w:eastAsia="Calibri"/>
          <w:sz w:val="28"/>
          <w:szCs w:val="28"/>
        </w:rPr>
        <w:t>BioRadLaboratories</w:t>
      </w:r>
      <w:r>
        <w:rPr>
          <w:rFonts w:eastAsia="Calibri"/>
          <w:sz w:val="28"/>
          <w:szCs w:val="28"/>
          <w:lang w:val="uk-UA"/>
        </w:rPr>
        <w:t>, США) проводили побудову калібрувальних графіків та оцінку ефективності реакції ампліфікації для теломерної матриці (Т) та однокопійного референтного гена (</w:t>
      </w:r>
      <w:r>
        <w:rPr>
          <w:rFonts w:eastAsia="Calibri"/>
          <w:sz w:val="28"/>
          <w:szCs w:val="28"/>
        </w:rPr>
        <w:t>S</w:t>
      </w:r>
      <w:r>
        <w:rPr>
          <w:rFonts w:eastAsia="Calibri"/>
          <w:sz w:val="28"/>
          <w:szCs w:val="28"/>
          <w:lang w:val="uk-UA"/>
        </w:rPr>
        <w:t xml:space="preserve">). </w:t>
      </w:r>
      <w:r>
        <w:rPr>
          <w:rFonts w:eastAsia="TimesNewRomanPSMT"/>
          <w:sz w:val="28"/>
          <w:szCs w:val="28"/>
        </w:rPr>
        <w:t>Для оцінки</w:t>
      </w:r>
      <w:r>
        <w:rPr>
          <w:rFonts w:eastAsia="TimesNewRomanPSMT"/>
          <w:color w:val="000000"/>
          <w:sz w:val="28"/>
          <w:szCs w:val="28"/>
          <w:lang w:val="uk-UA"/>
        </w:rPr>
        <w:t xml:space="preserve"> відносної довжини теломер (T/S) розраховували різницю порогових циклів для теломерної та референтної послідовностей за формулою ∆Ct</w:t>
      </w:r>
      <w:r>
        <w:rPr>
          <w:rFonts w:eastAsia="TimesNewRomanPSMT"/>
          <w:color w:val="000000"/>
          <w:sz w:val="28"/>
          <w:szCs w:val="28"/>
          <w:vertAlign w:val="subscript"/>
          <w:lang w:val="uk-UA"/>
        </w:rPr>
        <w:t>x</w:t>
      </w:r>
      <w:r>
        <w:rPr>
          <w:rFonts w:eastAsia="TimesNewRomanPSMT"/>
          <w:color w:val="000000"/>
          <w:sz w:val="28"/>
          <w:szCs w:val="28"/>
          <w:lang w:val="uk-UA"/>
        </w:rPr>
        <w:t>= Ct</w:t>
      </w:r>
      <w:r>
        <w:rPr>
          <w:rFonts w:eastAsia="TimesNewRomanPSMT"/>
          <w:color w:val="000000"/>
          <w:sz w:val="28"/>
          <w:szCs w:val="28"/>
          <w:vertAlign w:val="subscript"/>
          <w:lang w:val="uk-UA"/>
        </w:rPr>
        <w:t>тел.</w:t>
      </w:r>
      <w:r>
        <w:rPr>
          <w:rFonts w:eastAsia="TimesNewRomanPSMT"/>
          <w:color w:val="000000"/>
          <w:sz w:val="28"/>
          <w:szCs w:val="28"/>
          <w:lang w:val="uk-UA"/>
        </w:rPr>
        <w:t xml:space="preserve"> - Ct</w:t>
      </w:r>
      <w:r>
        <w:rPr>
          <w:rFonts w:eastAsia="TimesNewRomanPSMT"/>
          <w:color w:val="000000"/>
          <w:sz w:val="28"/>
          <w:szCs w:val="28"/>
          <w:vertAlign w:val="subscript"/>
          <w:lang w:val="uk-UA"/>
        </w:rPr>
        <w:t>реф.</w:t>
      </w:r>
      <w:r>
        <w:rPr>
          <w:rFonts w:eastAsia="TimesNewRomanPSMT"/>
          <w:color w:val="000000"/>
          <w:sz w:val="28"/>
          <w:szCs w:val="28"/>
          <w:lang w:val="uk-UA"/>
        </w:rPr>
        <w:t>, а також середнє ∆Ct</w:t>
      </w:r>
      <w:r>
        <w:rPr>
          <w:rFonts w:eastAsia="TimesNewRomanPSMT"/>
          <w:color w:val="000000"/>
          <w:sz w:val="28"/>
          <w:szCs w:val="28"/>
          <w:vertAlign w:val="subscript"/>
          <w:lang w:val="uk-UA"/>
        </w:rPr>
        <w:t>к</w:t>
      </w:r>
      <w:r>
        <w:rPr>
          <w:rFonts w:eastAsia="TimesNewRomanPSMT"/>
          <w:color w:val="000000"/>
          <w:sz w:val="28"/>
          <w:szCs w:val="28"/>
          <w:lang w:val="uk-UA"/>
        </w:rPr>
        <w:t xml:space="preserve"> для всіх стандартних та контрольних зразків. Нормалізацію значення Т/S для кожного з аналізованих зразків </w:t>
      </w:r>
      <w:r>
        <w:rPr>
          <w:rFonts w:eastAsia="Calibri"/>
          <w:color w:val="000000"/>
          <w:sz w:val="28"/>
          <w:szCs w:val="28"/>
          <w:lang w:val="uk-UA"/>
        </w:rPr>
        <w:t>п</w:t>
      </w:r>
      <w:r>
        <w:rPr>
          <w:rFonts w:eastAsia="TimesNewRomanPSMT"/>
          <w:color w:val="000000"/>
          <w:sz w:val="28"/>
          <w:szCs w:val="28"/>
          <w:lang w:val="uk-UA"/>
        </w:rPr>
        <w:t>роводили відносно середнього значення ∆Ct</w:t>
      </w:r>
      <w:r>
        <w:rPr>
          <w:rFonts w:eastAsia="TimesNewRomanPSMT"/>
          <w:color w:val="000000"/>
          <w:sz w:val="28"/>
          <w:szCs w:val="28"/>
          <w:vertAlign w:val="subscript"/>
          <w:lang w:val="uk-UA"/>
        </w:rPr>
        <w:t>к</w:t>
      </w:r>
      <w:r>
        <w:rPr>
          <w:rFonts w:eastAsia="TimesNewRomanPSMT"/>
          <w:color w:val="000000"/>
          <w:sz w:val="28"/>
          <w:szCs w:val="28"/>
          <w:lang w:val="uk-UA"/>
        </w:rPr>
        <w:t xml:space="preserve"> за формулою:</w:t>
      </w:r>
    </w:p>
    <w:p w:rsidR="00E3259F" w:rsidRDefault="00E3259F" w:rsidP="00E3259F">
      <w:pPr>
        <w:autoSpaceDE w:val="0"/>
        <w:autoSpaceDN w:val="0"/>
        <w:adjustRightInd w:val="0"/>
        <w:spacing w:line="360" w:lineRule="auto"/>
        <w:jc w:val="center"/>
        <w:rPr>
          <w:rFonts w:eastAsia="TimesNewRomanPSMT"/>
          <w:color w:val="000000"/>
          <w:sz w:val="28"/>
          <w:szCs w:val="28"/>
          <w:lang w:val="uk-UA"/>
        </w:rPr>
      </w:pPr>
      <w:r>
        <w:rPr>
          <w:rFonts w:eastAsia="TimesNewRomanPSMT"/>
          <w:color w:val="000000"/>
          <w:sz w:val="28"/>
          <w:szCs w:val="28"/>
          <w:lang w:val="uk-UA"/>
        </w:rPr>
        <w:t xml:space="preserve">                                         Т/S = [ 2 </w:t>
      </w:r>
      <w:r>
        <w:rPr>
          <w:rFonts w:eastAsia="TimesNewRomanPSMT"/>
          <w:color w:val="000000"/>
          <w:sz w:val="28"/>
          <w:szCs w:val="28"/>
          <w:vertAlign w:val="superscript"/>
          <w:lang w:val="uk-UA"/>
        </w:rPr>
        <w:t>–(∆Ct x - ∆Ct к</w:t>
      </w:r>
      <w:r>
        <w:rPr>
          <w:rFonts w:eastAsia="TimesNewRomanPSMT"/>
          <w:color w:val="000000"/>
          <w:sz w:val="28"/>
          <w:szCs w:val="28"/>
          <w:lang w:val="uk-UA"/>
        </w:rPr>
        <w:t xml:space="preserve">] = [ 2 </w:t>
      </w:r>
      <w:r>
        <w:rPr>
          <w:rFonts w:eastAsia="TimesNewRomanPSMT"/>
          <w:color w:val="000000"/>
          <w:sz w:val="28"/>
          <w:szCs w:val="28"/>
          <w:vertAlign w:val="superscript"/>
          <w:lang w:val="uk-UA"/>
        </w:rPr>
        <w:t>- ∆∆Ct</w:t>
      </w:r>
      <w:r>
        <w:rPr>
          <w:rFonts w:eastAsia="TimesNewRomanPSMT"/>
          <w:color w:val="000000"/>
          <w:sz w:val="28"/>
          <w:szCs w:val="28"/>
          <w:lang w:val="uk-UA"/>
        </w:rPr>
        <w:t xml:space="preserve">]                                </w:t>
      </w:r>
      <w:r>
        <w:rPr>
          <w:rFonts w:eastAsia="MS Mincho"/>
          <w:color w:val="000000"/>
          <w:sz w:val="28"/>
          <w:szCs w:val="28"/>
          <w:lang w:val="uk-UA"/>
        </w:rPr>
        <w:t>(2.12)</w:t>
      </w:r>
    </w:p>
    <w:p w:rsidR="00E3259F" w:rsidRDefault="00E3259F" w:rsidP="00E3259F">
      <w:pPr>
        <w:suppressAutoHyphens/>
        <w:spacing w:line="360" w:lineRule="auto"/>
        <w:ind w:firstLine="708"/>
        <w:jc w:val="both"/>
        <w:rPr>
          <w:rFonts w:eastAsiaTheme="minorHAnsi"/>
          <w:sz w:val="28"/>
          <w:szCs w:val="28"/>
        </w:rPr>
      </w:pPr>
      <w:r>
        <w:rPr>
          <w:sz w:val="28"/>
          <w:szCs w:val="28"/>
          <w:lang w:val="uk-UA"/>
        </w:rPr>
        <w:t>О</w:t>
      </w:r>
      <w:r>
        <w:rPr>
          <w:sz w:val="28"/>
          <w:szCs w:val="28"/>
        </w:rPr>
        <w:t xml:space="preserve">бстеження хворих </w:t>
      </w:r>
      <w:r>
        <w:rPr>
          <w:sz w:val="28"/>
          <w:szCs w:val="28"/>
          <w:lang w:val="uk-UA"/>
        </w:rPr>
        <w:t xml:space="preserve">2 та 3 групи </w:t>
      </w:r>
      <w:r>
        <w:rPr>
          <w:sz w:val="28"/>
          <w:szCs w:val="28"/>
        </w:rPr>
        <w:t xml:space="preserve">проводили двічі, при </w:t>
      </w:r>
      <w:r>
        <w:rPr>
          <w:sz w:val="28"/>
          <w:szCs w:val="28"/>
          <w:lang w:val="uk-UA"/>
        </w:rPr>
        <w:t>залучені до дослідження та</w:t>
      </w:r>
      <w:r>
        <w:rPr>
          <w:sz w:val="28"/>
          <w:szCs w:val="28"/>
        </w:rPr>
        <w:t xml:space="preserve"> через </w:t>
      </w:r>
      <w:r>
        <w:rPr>
          <w:sz w:val="28"/>
          <w:szCs w:val="28"/>
          <w:lang w:val="uk-UA"/>
        </w:rPr>
        <w:t>12</w:t>
      </w:r>
      <w:r>
        <w:rPr>
          <w:sz w:val="28"/>
          <w:szCs w:val="28"/>
        </w:rPr>
        <w:t xml:space="preserve"> місяців для оцінки ефективності терапії, що проводилася. </w:t>
      </w:r>
    </w:p>
    <w:p w:rsidR="00E3259F" w:rsidRDefault="00E3259F" w:rsidP="00E3259F">
      <w:pPr>
        <w:tabs>
          <w:tab w:val="left" w:pos="0"/>
        </w:tabs>
        <w:spacing w:line="360" w:lineRule="auto"/>
        <w:ind w:firstLine="709"/>
        <w:jc w:val="both"/>
        <w:rPr>
          <w:rFonts w:eastAsia="Calibri"/>
          <w:color w:val="000000" w:themeColor="text1"/>
          <w:sz w:val="28"/>
          <w:szCs w:val="28"/>
          <w:lang w:val="uk-UA"/>
        </w:rPr>
      </w:pPr>
    </w:p>
    <w:p w:rsidR="00E3259F" w:rsidRDefault="00E3259F" w:rsidP="00E3259F">
      <w:pPr>
        <w:widowControl w:val="0"/>
        <w:spacing w:line="360" w:lineRule="auto"/>
        <w:ind w:firstLine="720"/>
        <w:jc w:val="both"/>
        <w:rPr>
          <w:rFonts w:eastAsia="Calibri"/>
          <w:sz w:val="28"/>
          <w:szCs w:val="28"/>
          <w:lang w:eastAsia="en-US"/>
        </w:rPr>
      </w:pPr>
      <w:r>
        <w:rPr>
          <w:rFonts w:eastAsia="Calibri"/>
          <w:iCs/>
          <w:sz w:val="28"/>
          <w:szCs w:val="28"/>
        </w:rPr>
        <w:t>2.3. Методи статистично</w:t>
      </w:r>
      <w:r w:rsidR="00E62AEF">
        <w:rPr>
          <w:rFonts w:eastAsia="Calibri"/>
          <w:iCs/>
          <w:sz w:val="28"/>
          <w:szCs w:val="28"/>
          <w:lang w:val="uk-UA"/>
        </w:rPr>
        <w:t>го аналізу</w:t>
      </w:r>
      <w:r>
        <w:rPr>
          <w:rFonts w:eastAsia="Calibri"/>
          <w:iCs/>
          <w:sz w:val="28"/>
          <w:szCs w:val="28"/>
        </w:rPr>
        <w:t xml:space="preserve"> </w:t>
      </w:r>
    </w:p>
    <w:p w:rsidR="00E3259F" w:rsidRDefault="00E3259F" w:rsidP="00E3259F">
      <w:pPr>
        <w:widowControl w:val="0"/>
        <w:spacing w:line="360" w:lineRule="auto"/>
        <w:ind w:firstLine="720"/>
        <w:jc w:val="both"/>
        <w:rPr>
          <w:rFonts w:eastAsia="Calibri"/>
          <w:sz w:val="28"/>
          <w:szCs w:val="28"/>
        </w:rPr>
      </w:pPr>
    </w:p>
    <w:p w:rsidR="00E3259F" w:rsidRPr="00E62AEF" w:rsidRDefault="00E3259F" w:rsidP="00E62AEF">
      <w:pPr>
        <w:widowControl w:val="0"/>
        <w:spacing w:line="360" w:lineRule="auto"/>
        <w:ind w:firstLine="709"/>
        <w:jc w:val="both"/>
        <w:rPr>
          <w:rFonts w:eastAsia="Calibri"/>
          <w:sz w:val="28"/>
          <w:szCs w:val="28"/>
        </w:rPr>
      </w:pPr>
      <w:r w:rsidRPr="00E62AEF">
        <w:rPr>
          <w:rFonts w:eastAsia="Calibri"/>
          <w:sz w:val="28"/>
          <w:szCs w:val="28"/>
        </w:rPr>
        <w:t xml:space="preserve">Статистичний аналіз результатів дослідження здійснювали за допомогою пакету прикладних програм SPSS 19 для Windows. </w:t>
      </w:r>
    </w:p>
    <w:p w:rsidR="00E3259F" w:rsidRPr="00E62AEF" w:rsidRDefault="00E3259F" w:rsidP="00E62AEF">
      <w:pPr>
        <w:widowControl w:val="0"/>
        <w:spacing w:line="360" w:lineRule="auto"/>
        <w:ind w:firstLine="709"/>
        <w:jc w:val="both"/>
        <w:rPr>
          <w:rFonts w:eastAsia="Calibri"/>
          <w:sz w:val="28"/>
          <w:szCs w:val="28"/>
        </w:rPr>
      </w:pPr>
      <w:r w:rsidRPr="00E62AEF">
        <w:rPr>
          <w:rFonts w:eastAsia="Calibri"/>
          <w:sz w:val="28"/>
          <w:szCs w:val="28"/>
        </w:rPr>
        <w:t>Аналіз досліджуваних параметрів щодо нормальності розподілу здійснювали за тестом Шапіро-Уїлка. Кількісні змінні представлені у вигляді М ± m (М – середня величина, m – її стандартна помилка), якісні ознаки описували у вигляді частоти подій (% від нормального числа спостережень). Для визначення відмінностей використовували  t-критерій Стьюдента для залежних і незалежних вибірок. Частоту ознак в групах  порівнювали за допомогою критерію χ</w:t>
      </w:r>
      <w:r w:rsidRPr="00E62AEF">
        <w:rPr>
          <w:rFonts w:eastAsia="Calibri"/>
          <w:sz w:val="28"/>
          <w:szCs w:val="28"/>
          <w:vertAlign w:val="superscript"/>
        </w:rPr>
        <w:t>2</w:t>
      </w:r>
      <w:r w:rsidRPr="00E62AEF">
        <w:rPr>
          <w:rFonts w:eastAsia="Calibri"/>
          <w:sz w:val="28"/>
          <w:szCs w:val="28"/>
        </w:rPr>
        <w:t>. .</w:t>
      </w:r>
    </w:p>
    <w:p w:rsidR="00E3259F" w:rsidRPr="00E62AEF" w:rsidRDefault="00E3259F" w:rsidP="00E62AEF">
      <w:pPr>
        <w:widowControl w:val="0"/>
        <w:spacing w:line="360" w:lineRule="auto"/>
        <w:ind w:firstLine="709"/>
        <w:jc w:val="both"/>
        <w:rPr>
          <w:rFonts w:eastAsia="Calibri"/>
          <w:sz w:val="28"/>
          <w:szCs w:val="28"/>
        </w:rPr>
      </w:pPr>
      <w:r w:rsidRPr="00E62AEF">
        <w:rPr>
          <w:rFonts w:eastAsia="Calibri"/>
          <w:sz w:val="28"/>
          <w:szCs w:val="28"/>
        </w:rPr>
        <w:t xml:space="preserve">Для визначення наявності та характеру зв’язків між різними проявами та патогенетичними факторами різних процесів проводили кореляційний аналіз з використанням критерію Пірсона (r) і шкали Чеддока. </w:t>
      </w:r>
    </w:p>
    <w:p w:rsidR="00E3259F" w:rsidRPr="00E62AEF" w:rsidRDefault="00E3259F" w:rsidP="00E62AEF">
      <w:pPr>
        <w:widowControl w:val="0"/>
        <w:spacing w:line="360" w:lineRule="auto"/>
        <w:ind w:firstLine="709"/>
        <w:jc w:val="both"/>
        <w:rPr>
          <w:rFonts w:eastAsia="Calibri"/>
          <w:sz w:val="28"/>
          <w:szCs w:val="28"/>
        </w:rPr>
      </w:pPr>
      <w:r w:rsidRPr="00E62AEF">
        <w:rPr>
          <w:rFonts w:eastAsia="Calibri"/>
          <w:sz w:val="28"/>
          <w:szCs w:val="28"/>
        </w:rPr>
        <w:t>Для визначення ролі окремих факторів використовували дисперсійний аналіз, для визначення ймовірності розвитку серцево-судинної події - метод логістичної регресії.</w:t>
      </w:r>
      <w:r w:rsidRPr="00E62AEF">
        <w:rPr>
          <w:rFonts w:eastAsia="Calibri"/>
          <w:sz w:val="28"/>
          <w:szCs w:val="28"/>
          <w:lang w:val="uk-UA"/>
        </w:rPr>
        <w:t xml:space="preserve"> </w:t>
      </w:r>
      <w:r w:rsidRPr="00E62AEF">
        <w:rPr>
          <w:rFonts w:eastAsia="Calibri"/>
          <w:sz w:val="28"/>
          <w:szCs w:val="28"/>
        </w:rPr>
        <w:t>Імовірність настання події для деякого випадку розраховувалася за формулою,</w:t>
      </w:r>
    </w:p>
    <w:p w:rsidR="00E3259F" w:rsidRDefault="00E3259F" w:rsidP="00E3259F">
      <w:pPr>
        <w:spacing w:line="360" w:lineRule="auto"/>
        <w:ind w:firstLine="567"/>
        <w:jc w:val="center"/>
        <w:rPr>
          <w:i/>
          <w:kern w:val="2"/>
          <w:position w:val="-10"/>
          <w:sz w:val="28"/>
          <w:szCs w:val="28"/>
        </w:rPr>
      </w:pPr>
    </w:p>
    <w:p w:rsidR="00E3259F" w:rsidRDefault="00E3259F" w:rsidP="00E3259F">
      <w:pPr>
        <w:spacing w:line="360" w:lineRule="auto"/>
        <w:ind w:firstLine="567"/>
        <w:rPr>
          <w:rFonts w:eastAsia="MS Mincho"/>
          <w:sz w:val="28"/>
          <w:szCs w:val="28"/>
          <w:lang w:eastAsia="uk-UA"/>
        </w:rPr>
      </w:pPr>
      <w:r>
        <w:rPr>
          <w:i/>
          <w:kern w:val="2"/>
          <w:position w:val="-10"/>
          <w:sz w:val="28"/>
          <w:szCs w:val="28"/>
        </w:rPr>
        <w:t xml:space="preserve">                                             </w:t>
      </w:r>
      <w:r>
        <w:rPr>
          <w:i/>
          <w:kern w:val="2"/>
          <w:position w:val="-10"/>
          <w:sz w:val="28"/>
          <w:szCs w:val="28"/>
          <w:lang w:val="uk-UA"/>
        </w:rPr>
        <w:object w:dxaOrig="2010" w:dyaOrig="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1.25pt;height:38.25pt" o:ole="">
            <v:imagedata r:id="rId10" o:title=""/>
          </v:shape>
          <o:OLEObject Type="Embed" ProgID="Equation.3" ShapeID="_x0000_i1025" DrawAspect="Content" ObjectID="_1669446809" r:id="rId11"/>
        </w:object>
      </w:r>
      <w:r>
        <w:rPr>
          <w:rFonts w:eastAsia="Calibri"/>
          <w:sz w:val="28"/>
          <w:szCs w:val="28"/>
        </w:rPr>
        <w:t xml:space="preserve">                        </w:t>
      </w:r>
      <w:r>
        <w:rPr>
          <w:rFonts w:eastAsia="Calibri"/>
          <w:sz w:val="28"/>
          <w:szCs w:val="28"/>
          <w:vertAlign w:val="subscript"/>
        </w:rPr>
        <w:t xml:space="preserve"> </w:t>
      </w:r>
      <w:r>
        <w:rPr>
          <w:rFonts w:eastAsia="MS Mincho"/>
          <w:sz w:val="28"/>
          <w:szCs w:val="28"/>
        </w:rPr>
        <w:t>(2.</w:t>
      </w:r>
      <w:r>
        <w:rPr>
          <w:rFonts w:eastAsia="MS Mincho"/>
          <w:sz w:val="28"/>
          <w:szCs w:val="28"/>
          <w:lang w:val="uk-UA"/>
        </w:rPr>
        <w:t>13</w:t>
      </w:r>
      <w:r>
        <w:rPr>
          <w:rFonts w:eastAsia="MS Mincho"/>
          <w:sz w:val="28"/>
          <w:szCs w:val="28"/>
        </w:rPr>
        <w:t>)</w:t>
      </w:r>
    </w:p>
    <w:p w:rsidR="00E3259F" w:rsidRDefault="00E3259F" w:rsidP="00E3259F">
      <w:pPr>
        <w:spacing w:line="360" w:lineRule="auto"/>
        <w:ind w:firstLine="567"/>
        <w:jc w:val="both"/>
        <w:rPr>
          <w:i/>
          <w:sz w:val="28"/>
          <w:szCs w:val="28"/>
          <w:vertAlign w:val="subscript"/>
          <w:lang w:eastAsia="en-US"/>
        </w:rPr>
      </w:pPr>
      <w:r>
        <w:rPr>
          <w:rFonts w:eastAsia="Calibri"/>
          <w:sz w:val="28"/>
          <w:szCs w:val="28"/>
        </w:rPr>
        <w:t xml:space="preserve">де     </w:t>
      </w:r>
      <w:r>
        <w:rPr>
          <w:i/>
          <w:sz w:val="28"/>
          <w:szCs w:val="28"/>
          <w:lang w:val="en-US"/>
        </w:rPr>
        <w:t>z</w:t>
      </w:r>
      <w:r>
        <w:rPr>
          <w:i/>
          <w:sz w:val="28"/>
          <w:szCs w:val="28"/>
        </w:rPr>
        <w:t xml:space="preserve"> = </w:t>
      </w:r>
      <w:r>
        <w:rPr>
          <w:i/>
          <w:sz w:val="28"/>
          <w:szCs w:val="28"/>
          <w:lang w:val="en-US"/>
        </w:rPr>
        <w:t>b</w:t>
      </w:r>
      <w:r>
        <w:rPr>
          <w:i/>
          <w:sz w:val="28"/>
          <w:szCs w:val="28"/>
          <w:vertAlign w:val="subscript"/>
        </w:rPr>
        <w:t>0</w:t>
      </w:r>
      <w:r>
        <w:rPr>
          <w:i/>
          <w:sz w:val="28"/>
          <w:szCs w:val="28"/>
        </w:rPr>
        <w:t>+</w:t>
      </w:r>
      <w:r>
        <w:rPr>
          <w:i/>
          <w:sz w:val="28"/>
          <w:szCs w:val="28"/>
          <w:lang w:val="en-US"/>
        </w:rPr>
        <w:t>b</w:t>
      </w:r>
      <w:r>
        <w:rPr>
          <w:i/>
          <w:sz w:val="28"/>
          <w:szCs w:val="28"/>
          <w:vertAlign w:val="subscript"/>
        </w:rPr>
        <w:t>1</w:t>
      </w:r>
      <w:r>
        <w:rPr>
          <w:i/>
          <w:sz w:val="28"/>
          <w:szCs w:val="28"/>
          <w:lang w:val="en-US"/>
        </w:rPr>
        <w:t>x</w:t>
      </w:r>
      <w:r>
        <w:rPr>
          <w:i/>
          <w:sz w:val="28"/>
          <w:szCs w:val="28"/>
          <w:vertAlign w:val="subscript"/>
        </w:rPr>
        <w:t>1</w:t>
      </w:r>
      <w:r>
        <w:rPr>
          <w:i/>
          <w:sz w:val="28"/>
          <w:szCs w:val="28"/>
        </w:rPr>
        <w:t>+</w:t>
      </w:r>
      <w:r>
        <w:rPr>
          <w:i/>
          <w:sz w:val="28"/>
          <w:szCs w:val="28"/>
          <w:lang w:val="en-US"/>
        </w:rPr>
        <w:t>b</w:t>
      </w:r>
      <w:r>
        <w:rPr>
          <w:i/>
          <w:sz w:val="28"/>
          <w:szCs w:val="28"/>
          <w:vertAlign w:val="subscript"/>
        </w:rPr>
        <w:t>2</w:t>
      </w:r>
      <w:r>
        <w:rPr>
          <w:i/>
          <w:sz w:val="28"/>
          <w:szCs w:val="28"/>
          <w:lang w:val="en-US"/>
        </w:rPr>
        <w:t>x</w:t>
      </w:r>
      <w:r>
        <w:rPr>
          <w:i/>
          <w:sz w:val="28"/>
          <w:szCs w:val="28"/>
          <w:vertAlign w:val="subscript"/>
        </w:rPr>
        <w:t>2</w:t>
      </w:r>
      <w:r>
        <w:rPr>
          <w:i/>
          <w:sz w:val="28"/>
          <w:szCs w:val="28"/>
        </w:rPr>
        <w:t>+…+</w:t>
      </w:r>
      <w:r>
        <w:rPr>
          <w:i/>
          <w:sz w:val="28"/>
          <w:szCs w:val="28"/>
          <w:lang w:val="en-US"/>
        </w:rPr>
        <w:t>b</w:t>
      </w:r>
      <w:r>
        <w:rPr>
          <w:i/>
          <w:sz w:val="28"/>
          <w:szCs w:val="28"/>
          <w:vertAlign w:val="subscript"/>
          <w:lang w:val="en-US"/>
        </w:rPr>
        <w:t>n</w:t>
      </w:r>
      <w:r>
        <w:rPr>
          <w:i/>
          <w:sz w:val="28"/>
          <w:szCs w:val="28"/>
          <w:lang w:val="en-US"/>
        </w:rPr>
        <w:t>x</w:t>
      </w:r>
      <w:r>
        <w:rPr>
          <w:i/>
          <w:sz w:val="28"/>
          <w:szCs w:val="28"/>
          <w:vertAlign w:val="subscript"/>
          <w:lang w:val="en-US"/>
        </w:rPr>
        <w:t>n</w:t>
      </w:r>
      <w:r>
        <w:rPr>
          <w:i/>
          <w:sz w:val="28"/>
          <w:szCs w:val="28"/>
          <w:vertAlign w:val="subscript"/>
        </w:rPr>
        <w:t xml:space="preserve"> ,</w:t>
      </w:r>
    </w:p>
    <w:p w:rsidR="00E3259F" w:rsidRDefault="00E3259F" w:rsidP="00E3259F">
      <w:pPr>
        <w:spacing w:line="360" w:lineRule="auto"/>
        <w:ind w:firstLine="567"/>
        <w:jc w:val="both"/>
        <w:rPr>
          <w:rFonts w:eastAsia="Calibri"/>
          <w:sz w:val="28"/>
          <w:szCs w:val="28"/>
        </w:rPr>
      </w:pPr>
      <w:r>
        <w:rPr>
          <w:i/>
          <w:sz w:val="28"/>
          <w:szCs w:val="28"/>
        </w:rPr>
        <w:t>х</w:t>
      </w:r>
      <w:r>
        <w:rPr>
          <w:i/>
          <w:sz w:val="28"/>
          <w:szCs w:val="28"/>
          <w:vertAlign w:val="subscript"/>
        </w:rPr>
        <w:t>1</w:t>
      </w:r>
      <w:r>
        <w:rPr>
          <w:i/>
          <w:sz w:val="28"/>
          <w:szCs w:val="28"/>
        </w:rPr>
        <w:t>, х</w:t>
      </w:r>
      <w:r>
        <w:rPr>
          <w:i/>
          <w:sz w:val="28"/>
          <w:szCs w:val="28"/>
          <w:vertAlign w:val="subscript"/>
        </w:rPr>
        <w:t>2</w:t>
      </w:r>
      <w:r>
        <w:rPr>
          <w:i/>
          <w:sz w:val="28"/>
          <w:szCs w:val="28"/>
        </w:rPr>
        <w:t>, …, х</w:t>
      </w:r>
      <w:r>
        <w:rPr>
          <w:i/>
          <w:sz w:val="28"/>
          <w:szCs w:val="28"/>
          <w:vertAlign w:val="subscript"/>
          <w:lang w:val="en-US"/>
        </w:rPr>
        <w:t>n</w:t>
      </w:r>
      <w:r>
        <w:rPr>
          <w:i/>
          <w:sz w:val="28"/>
          <w:szCs w:val="28"/>
          <w:vertAlign w:val="subscript"/>
        </w:rPr>
        <w:t xml:space="preserve">  </w:t>
      </w:r>
      <w:r>
        <w:rPr>
          <w:rFonts w:eastAsia="Calibri"/>
          <w:sz w:val="28"/>
          <w:szCs w:val="28"/>
        </w:rPr>
        <w:t xml:space="preserve">- значення незалежних змінних, </w:t>
      </w:r>
    </w:p>
    <w:p w:rsidR="00E3259F" w:rsidRDefault="00E3259F" w:rsidP="00E3259F">
      <w:pPr>
        <w:spacing w:line="360" w:lineRule="auto"/>
        <w:ind w:firstLine="567"/>
        <w:jc w:val="both"/>
        <w:rPr>
          <w:rFonts w:eastAsia="Calibri"/>
          <w:sz w:val="28"/>
          <w:szCs w:val="28"/>
        </w:rPr>
      </w:pPr>
      <w:r>
        <w:rPr>
          <w:i/>
          <w:sz w:val="28"/>
          <w:szCs w:val="28"/>
          <w:lang w:val="en-US"/>
        </w:rPr>
        <w:t>b</w:t>
      </w:r>
      <w:r>
        <w:rPr>
          <w:i/>
          <w:sz w:val="28"/>
          <w:szCs w:val="28"/>
          <w:vertAlign w:val="subscript"/>
        </w:rPr>
        <w:t>1</w:t>
      </w:r>
      <w:r>
        <w:rPr>
          <w:i/>
          <w:sz w:val="28"/>
          <w:szCs w:val="28"/>
        </w:rPr>
        <w:t>,</w:t>
      </w:r>
      <w:r>
        <w:rPr>
          <w:i/>
          <w:sz w:val="28"/>
          <w:szCs w:val="28"/>
          <w:lang w:val="en-US"/>
        </w:rPr>
        <w:t>b</w:t>
      </w:r>
      <w:r>
        <w:rPr>
          <w:i/>
          <w:sz w:val="28"/>
          <w:szCs w:val="28"/>
          <w:vertAlign w:val="subscript"/>
        </w:rPr>
        <w:t>2</w:t>
      </w:r>
      <w:r>
        <w:rPr>
          <w:i/>
          <w:sz w:val="28"/>
          <w:szCs w:val="28"/>
        </w:rPr>
        <w:t>,…</w:t>
      </w:r>
      <w:r>
        <w:rPr>
          <w:i/>
          <w:sz w:val="28"/>
          <w:szCs w:val="28"/>
          <w:lang w:val="en-US"/>
        </w:rPr>
        <w:t>b</w:t>
      </w:r>
      <w:r>
        <w:rPr>
          <w:i/>
          <w:sz w:val="28"/>
          <w:szCs w:val="28"/>
          <w:vertAlign w:val="subscript"/>
          <w:lang w:val="en-US"/>
        </w:rPr>
        <w:t>n</w:t>
      </w:r>
      <w:r w:rsidRPr="00E3259F">
        <w:rPr>
          <w:i/>
          <w:sz w:val="28"/>
          <w:szCs w:val="28"/>
        </w:rPr>
        <w:t xml:space="preserve"> </w:t>
      </w:r>
      <w:r>
        <w:rPr>
          <w:rFonts w:eastAsia="Calibri"/>
          <w:sz w:val="28"/>
          <w:szCs w:val="28"/>
        </w:rPr>
        <w:t xml:space="preserve"> - коефіцієнти, розрахунок яких є завданням бінарної логістичної регресії, </w:t>
      </w:r>
    </w:p>
    <w:p w:rsidR="00E3259F" w:rsidRDefault="00E3259F" w:rsidP="00E3259F">
      <w:pPr>
        <w:spacing w:line="360" w:lineRule="auto"/>
        <w:ind w:firstLine="567"/>
        <w:jc w:val="both"/>
        <w:rPr>
          <w:rFonts w:eastAsia="Calibri"/>
          <w:sz w:val="28"/>
          <w:szCs w:val="28"/>
        </w:rPr>
      </w:pPr>
      <w:r>
        <w:rPr>
          <w:i/>
          <w:sz w:val="28"/>
          <w:szCs w:val="28"/>
          <w:lang w:val="en-US"/>
        </w:rPr>
        <w:t>b</w:t>
      </w:r>
      <w:r>
        <w:rPr>
          <w:i/>
          <w:sz w:val="28"/>
          <w:szCs w:val="28"/>
          <w:vertAlign w:val="subscript"/>
        </w:rPr>
        <w:t>0</w:t>
      </w:r>
      <w:r>
        <w:rPr>
          <w:i/>
          <w:sz w:val="28"/>
          <w:szCs w:val="28"/>
        </w:rPr>
        <w:t xml:space="preserve"> </w:t>
      </w:r>
      <w:r>
        <w:rPr>
          <w:rFonts w:eastAsia="Calibri"/>
          <w:sz w:val="28"/>
          <w:szCs w:val="28"/>
        </w:rPr>
        <w:t>– константа</w:t>
      </w:r>
    </w:p>
    <w:p w:rsidR="00E3259F" w:rsidRDefault="00E3259F" w:rsidP="00E3259F">
      <w:pPr>
        <w:spacing w:line="360" w:lineRule="auto"/>
        <w:ind w:firstLine="567"/>
        <w:jc w:val="both"/>
        <w:rPr>
          <w:rFonts w:eastAsia="Calibri"/>
          <w:sz w:val="28"/>
          <w:szCs w:val="28"/>
        </w:rPr>
      </w:pPr>
      <w:r w:rsidRPr="00E62AEF">
        <w:rPr>
          <w:rFonts w:eastAsia="Calibri"/>
          <w:sz w:val="28"/>
          <w:szCs w:val="28"/>
        </w:rPr>
        <w:t>Параметри моделі оцінювалися за допомогою методу максимальної правдоподібності. Перевірка значущості підібраних коефіцієнтів проводилася за допомогою статистики Вальда, що представляє собою квадрат відносини відповідного коефіцієнта до його стандартної помилки:</w:t>
      </w:r>
    </w:p>
    <w:p w:rsidR="00E3259F" w:rsidRDefault="00E3259F" w:rsidP="00E3259F">
      <w:pPr>
        <w:spacing w:line="360" w:lineRule="auto"/>
        <w:ind w:left="2832" w:firstLine="708"/>
        <w:rPr>
          <w:rFonts w:eastAsia="Calibri"/>
          <w:sz w:val="28"/>
          <w:szCs w:val="28"/>
        </w:rPr>
      </w:pPr>
      <w:r>
        <w:rPr>
          <w:rFonts w:eastAsia="Calibri"/>
          <w:noProof/>
          <w:position w:val="-36"/>
          <w:sz w:val="28"/>
          <w:szCs w:val="28"/>
        </w:rPr>
        <w:drawing>
          <wp:inline distT="0" distB="0" distL="0" distR="0">
            <wp:extent cx="800100" cy="6000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0100" cy="600075"/>
                    </a:xfrm>
                    <a:prstGeom prst="rect">
                      <a:avLst/>
                    </a:prstGeom>
                    <a:noFill/>
                    <a:ln>
                      <a:noFill/>
                    </a:ln>
                  </pic:spPr>
                </pic:pic>
              </a:graphicData>
            </a:graphic>
          </wp:inline>
        </w:drawing>
      </w:r>
      <w:r>
        <w:rPr>
          <w:rFonts w:eastAsia="Calibri"/>
          <w:bCs/>
          <w:sz w:val="28"/>
          <w:szCs w:val="28"/>
        </w:rPr>
        <w:t xml:space="preserve">                                            (2.</w:t>
      </w:r>
      <w:r>
        <w:rPr>
          <w:rFonts w:eastAsia="Calibri"/>
          <w:bCs/>
          <w:sz w:val="28"/>
          <w:szCs w:val="28"/>
          <w:lang w:val="uk-UA"/>
        </w:rPr>
        <w:t>14</w:t>
      </w:r>
      <w:r>
        <w:rPr>
          <w:rFonts w:eastAsia="Calibri"/>
          <w:bCs/>
          <w:sz w:val="28"/>
          <w:szCs w:val="28"/>
        </w:rPr>
        <w:t>)</w:t>
      </w:r>
    </w:p>
    <w:p w:rsidR="00E3259F" w:rsidRPr="00E62AEF" w:rsidRDefault="00E3259F" w:rsidP="00E3259F">
      <w:pPr>
        <w:spacing w:line="360" w:lineRule="auto"/>
        <w:ind w:firstLine="567"/>
        <w:jc w:val="both"/>
        <w:rPr>
          <w:rFonts w:eastAsia="Calibri"/>
          <w:sz w:val="28"/>
          <w:szCs w:val="28"/>
        </w:rPr>
      </w:pPr>
      <w:r>
        <w:rPr>
          <w:rFonts w:eastAsia="Calibri"/>
          <w:sz w:val="28"/>
          <w:szCs w:val="28"/>
        </w:rPr>
        <w:t xml:space="preserve"> </w:t>
      </w:r>
      <w:r w:rsidRPr="00E62AEF">
        <w:rPr>
          <w:rFonts w:eastAsia="Calibri"/>
          <w:sz w:val="28"/>
          <w:szCs w:val="28"/>
        </w:rPr>
        <w:t xml:space="preserve">Загальна оцінка згоди між впливом виявлених в моделі факторів ризику </w:t>
      </w:r>
      <w:r w:rsidRPr="00E62AEF">
        <w:rPr>
          <w:rFonts w:eastAsia="Calibri"/>
          <w:sz w:val="28"/>
          <w:szCs w:val="28"/>
          <w:lang w:val="uk-UA"/>
        </w:rPr>
        <w:t>та</w:t>
      </w:r>
      <w:r w:rsidRPr="00E62AEF">
        <w:rPr>
          <w:rFonts w:eastAsia="Calibri"/>
          <w:sz w:val="28"/>
          <w:szCs w:val="28"/>
        </w:rPr>
        <w:t xml:space="preserve"> реально зафіксованим настанням несприятливого результату проводилася з використанням тесту згоди Хосмера-Лемешова. При р&gt;0,05 приймалас</w:t>
      </w:r>
      <w:r w:rsidRPr="00E62AEF">
        <w:rPr>
          <w:rFonts w:eastAsia="Calibri"/>
          <w:sz w:val="28"/>
          <w:szCs w:val="28"/>
          <w:lang w:val="uk-UA"/>
        </w:rPr>
        <w:t>я</w:t>
      </w:r>
      <w:r w:rsidRPr="00E62AEF">
        <w:rPr>
          <w:rFonts w:eastAsia="Calibri"/>
          <w:sz w:val="28"/>
          <w:szCs w:val="28"/>
        </w:rPr>
        <w:t xml:space="preserve"> гіпотеза про узгодженість. Для всіх інших видів аналізу відмінності вважали вірогідними при р&lt;0,05. </w:t>
      </w:r>
    </w:p>
    <w:p w:rsidR="00E3259F" w:rsidRPr="00E62AEF" w:rsidRDefault="00E3259F" w:rsidP="00E3259F">
      <w:pPr>
        <w:spacing w:line="360" w:lineRule="auto"/>
        <w:ind w:firstLine="567"/>
        <w:jc w:val="both"/>
        <w:rPr>
          <w:rFonts w:eastAsia="Calibri"/>
          <w:sz w:val="28"/>
          <w:szCs w:val="28"/>
        </w:rPr>
      </w:pPr>
      <w:r w:rsidRPr="00E62AEF">
        <w:rPr>
          <w:rFonts w:eastAsia="Calibri"/>
          <w:sz w:val="28"/>
          <w:szCs w:val="28"/>
        </w:rPr>
        <w:t>Частин</w:t>
      </w:r>
      <w:r w:rsidRPr="00E62AEF">
        <w:rPr>
          <w:rFonts w:eastAsia="Calibri"/>
          <w:sz w:val="28"/>
          <w:szCs w:val="28"/>
          <w:lang w:val="uk-UA"/>
        </w:rPr>
        <w:t>у</w:t>
      </w:r>
      <w:r w:rsidRPr="00E62AEF">
        <w:rPr>
          <w:rFonts w:eastAsia="Calibri"/>
          <w:sz w:val="28"/>
          <w:szCs w:val="28"/>
        </w:rPr>
        <w:t xml:space="preserve"> дисперсії, яку можна пояснити за допомогою логістичної регресії</w:t>
      </w:r>
      <w:r w:rsidRPr="00E62AEF">
        <w:rPr>
          <w:rFonts w:eastAsia="Calibri"/>
          <w:sz w:val="28"/>
          <w:szCs w:val="28"/>
          <w:lang w:val="uk-UA"/>
        </w:rPr>
        <w:t>,</w:t>
      </w:r>
      <w:r w:rsidRPr="00E62AEF">
        <w:rPr>
          <w:rFonts w:eastAsia="Calibri"/>
          <w:sz w:val="28"/>
          <w:szCs w:val="28"/>
        </w:rPr>
        <w:t xml:space="preserve"> визначали за допомогою показників Кокса, Шелла та Нейджелкерка.</w:t>
      </w:r>
    </w:p>
    <w:p w:rsidR="00E3259F" w:rsidRPr="00E62AEF" w:rsidRDefault="00E3259F" w:rsidP="00E3259F">
      <w:pPr>
        <w:spacing w:line="360" w:lineRule="auto"/>
        <w:ind w:left="142" w:firstLine="425"/>
        <w:jc w:val="both"/>
      </w:pPr>
      <w:r w:rsidRPr="00E62AEF">
        <w:rPr>
          <w:sz w:val="28"/>
          <w:szCs w:val="28"/>
        </w:rPr>
        <w:t xml:space="preserve">Оцінку діагностичної сили отриманої моделі визначали з використанням аналізу операційних характеристик діагностичних тестів (ROC), який включав розрахунки чутливості, специфічності, загальної кількості коректних передбачень та побудови ROC-кривої із визначенням площі під нею (AUC). </w:t>
      </w:r>
    </w:p>
    <w:p w:rsidR="00E3259F" w:rsidRDefault="00E3259F" w:rsidP="00E3259F">
      <w:pPr>
        <w:spacing w:after="200" w:line="276" w:lineRule="auto"/>
        <w:rPr>
          <w:b/>
          <w:bCs/>
          <w:kern w:val="36"/>
          <w:sz w:val="48"/>
          <w:szCs w:val="48"/>
          <w:lang w:val="uk-UA"/>
        </w:rPr>
      </w:pPr>
      <w:r>
        <w:rPr>
          <w:lang w:val="uk-UA"/>
        </w:rPr>
        <w:br w:type="page"/>
      </w:r>
    </w:p>
    <w:p w:rsidR="00E3259F" w:rsidRDefault="00E3259F" w:rsidP="00E3259F">
      <w:pPr>
        <w:ind w:left="-360"/>
        <w:jc w:val="center"/>
        <w:rPr>
          <w:sz w:val="28"/>
          <w:szCs w:val="28"/>
          <w:lang w:val="uk-UA"/>
        </w:rPr>
      </w:pPr>
      <w:r>
        <w:rPr>
          <w:sz w:val="28"/>
          <w:szCs w:val="28"/>
          <w:lang w:val="uk-UA"/>
        </w:rPr>
        <w:t>РОЗДІЛ 3.</w:t>
      </w:r>
    </w:p>
    <w:p w:rsidR="00E3259F" w:rsidRDefault="00E3259F" w:rsidP="00E3259F">
      <w:pPr>
        <w:ind w:left="-360"/>
        <w:jc w:val="center"/>
        <w:rPr>
          <w:spacing w:val="-1"/>
          <w:sz w:val="28"/>
          <w:szCs w:val="28"/>
          <w:lang w:val="uk-UA"/>
        </w:rPr>
      </w:pPr>
    </w:p>
    <w:p w:rsidR="00E3259F" w:rsidRPr="00514B9A" w:rsidRDefault="00E3259F" w:rsidP="00E3259F">
      <w:pPr>
        <w:spacing w:line="360" w:lineRule="auto"/>
        <w:jc w:val="center"/>
        <w:rPr>
          <w:spacing w:val="-1"/>
          <w:sz w:val="28"/>
          <w:szCs w:val="28"/>
          <w:lang w:val="uk-UA"/>
        </w:rPr>
      </w:pPr>
      <w:r w:rsidRPr="00514B9A">
        <w:rPr>
          <w:spacing w:val="-1"/>
          <w:sz w:val="28"/>
          <w:szCs w:val="28"/>
          <w:lang w:val="uk-UA"/>
        </w:rPr>
        <w:t>КЛІНІКО-МЕТАБОЛІЧНІ ОСОБЛИВОСТІ ГІПЕРТОНІЧНОЇ ХВОРОБИ В ПОЄДНАННІ З ЦУКРОВИМ ДІАБЕТОМ 2 ТИПУ БЕЗ ПОРУШЕННЯ ФУНКЦІЇЇ ЩИТОПОДІБНОЇ ЗАЛОЗИ ТА ПРИ НАЯВНОСТІ СУБКЛІНІЧНОГО ГІПОТИРЕОЗУ</w:t>
      </w:r>
    </w:p>
    <w:p w:rsidR="00E3259F" w:rsidRPr="00514B9A" w:rsidRDefault="00E3259F" w:rsidP="00E3259F">
      <w:pPr>
        <w:rPr>
          <w:spacing w:val="-1"/>
          <w:sz w:val="28"/>
          <w:szCs w:val="28"/>
          <w:lang w:val="uk-UA"/>
        </w:rPr>
      </w:pPr>
    </w:p>
    <w:p w:rsidR="00E3259F" w:rsidRDefault="00E3259F" w:rsidP="00E3259F">
      <w:pPr>
        <w:spacing w:line="360" w:lineRule="auto"/>
        <w:rPr>
          <w:sz w:val="28"/>
          <w:szCs w:val="28"/>
          <w:lang w:val="uk-UA"/>
        </w:rPr>
      </w:pPr>
      <w:r>
        <w:rPr>
          <w:sz w:val="28"/>
          <w:szCs w:val="28"/>
          <w:lang w:val="uk-UA"/>
        </w:rPr>
        <w:t xml:space="preserve">3.1. </w:t>
      </w:r>
      <w:r w:rsidRPr="00514B9A">
        <w:rPr>
          <w:sz w:val="28"/>
          <w:szCs w:val="28"/>
          <w:lang w:val="uk-UA"/>
        </w:rPr>
        <w:t>Особливості ліпідного  та вуглеводного обміну у хворих на гіпертонічну хворобу в поєднанні з цукровим діабетом</w:t>
      </w:r>
      <w:r w:rsidR="0003474B" w:rsidRPr="00514B9A">
        <w:rPr>
          <w:sz w:val="28"/>
          <w:szCs w:val="28"/>
          <w:lang w:val="uk-UA"/>
        </w:rPr>
        <w:t xml:space="preserve"> 2 типу</w:t>
      </w:r>
      <w:r w:rsidRPr="00514B9A">
        <w:rPr>
          <w:sz w:val="28"/>
          <w:szCs w:val="28"/>
          <w:lang w:val="uk-UA"/>
        </w:rPr>
        <w:t xml:space="preserve"> без порушення функції щитоподібної залози та  з субклінічним гіпотиреозом з урахуванням гендерних та вікових особливостей.</w:t>
      </w:r>
    </w:p>
    <w:p w:rsidR="00E3259F" w:rsidRDefault="00E3259F" w:rsidP="00E3259F">
      <w:pPr>
        <w:pStyle w:val="1"/>
        <w:shd w:val="clear" w:color="auto" w:fill="FFFFFF"/>
        <w:spacing w:before="0" w:beforeAutospacing="0" w:after="0" w:afterAutospacing="0" w:line="276" w:lineRule="auto"/>
        <w:jc w:val="both"/>
        <w:rPr>
          <w:b w:val="0"/>
          <w:i/>
          <w:sz w:val="28"/>
          <w:szCs w:val="28"/>
          <w:lang w:val="uk-UA"/>
        </w:rPr>
      </w:pPr>
    </w:p>
    <w:p w:rsidR="00E3259F" w:rsidRPr="00514B9A" w:rsidRDefault="00E3259F" w:rsidP="00514B9A">
      <w:pPr>
        <w:pStyle w:val="1"/>
        <w:shd w:val="clear" w:color="auto" w:fill="FFFFFF"/>
        <w:spacing w:before="0" w:beforeAutospacing="0" w:after="0" w:afterAutospacing="0" w:line="360" w:lineRule="auto"/>
        <w:ind w:firstLine="709"/>
        <w:jc w:val="both"/>
        <w:rPr>
          <w:b w:val="0"/>
          <w:sz w:val="28"/>
          <w:szCs w:val="28"/>
          <w:lang w:val="uk-UA"/>
        </w:rPr>
      </w:pPr>
      <w:r w:rsidRPr="00514B9A">
        <w:rPr>
          <w:b w:val="0"/>
          <w:sz w:val="28"/>
          <w:szCs w:val="28"/>
          <w:lang w:val="uk-UA"/>
        </w:rPr>
        <w:t>На даний час активно обговорюється значення та несприятливий вплив СГТ на перебіг і прогноз ССЗ [</w:t>
      </w:r>
      <w:r w:rsidRPr="00514B9A">
        <w:rPr>
          <w:b w:val="0"/>
          <w:sz w:val="28"/>
          <w:szCs w:val="28"/>
        </w:rPr>
        <w:t>1</w:t>
      </w:r>
      <w:r w:rsidRPr="00514B9A">
        <w:rPr>
          <w:b w:val="0"/>
          <w:sz w:val="28"/>
          <w:szCs w:val="28"/>
          <w:lang w:val="uk-UA"/>
        </w:rPr>
        <w:t>17</w:t>
      </w:r>
      <w:r w:rsidRPr="00514B9A">
        <w:rPr>
          <w:b w:val="0"/>
          <w:sz w:val="28"/>
          <w:szCs w:val="28"/>
        </w:rPr>
        <w:t>,2</w:t>
      </w:r>
      <w:r w:rsidRPr="00514B9A">
        <w:rPr>
          <w:b w:val="0"/>
          <w:sz w:val="28"/>
          <w:szCs w:val="28"/>
          <w:lang w:val="uk-UA"/>
        </w:rPr>
        <w:t>20</w:t>
      </w:r>
      <w:r w:rsidRPr="00514B9A">
        <w:rPr>
          <w:b w:val="0"/>
          <w:sz w:val="28"/>
          <w:szCs w:val="28"/>
        </w:rPr>
        <w:t>]</w:t>
      </w:r>
      <w:r w:rsidRPr="00514B9A">
        <w:rPr>
          <w:b w:val="0"/>
          <w:sz w:val="28"/>
          <w:szCs w:val="28"/>
          <w:lang w:val="uk-UA"/>
        </w:rPr>
        <w:t>.</w:t>
      </w:r>
      <w:r w:rsidRPr="00514B9A">
        <w:rPr>
          <w:b w:val="0"/>
          <w:sz w:val="28"/>
          <w:szCs w:val="28"/>
        </w:rPr>
        <w:t xml:space="preserve"> Багато авторів сходяться на думці, що навіть мінімальне підвищення концентрації ТТГ тягне за собою значні відхилення в роботі серцево-судинної системи</w:t>
      </w:r>
      <w:r w:rsidRPr="00514B9A">
        <w:rPr>
          <w:b w:val="0"/>
          <w:sz w:val="28"/>
          <w:szCs w:val="28"/>
          <w:lang w:val="uk-UA"/>
        </w:rPr>
        <w:t xml:space="preserve"> </w:t>
      </w:r>
      <w:r w:rsidRPr="00514B9A">
        <w:rPr>
          <w:b w:val="0"/>
          <w:sz w:val="28"/>
          <w:szCs w:val="28"/>
        </w:rPr>
        <w:t>[</w:t>
      </w:r>
      <w:r w:rsidRPr="00514B9A">
        <w:rPr>
          <w:b w:val="0"/>
          <w:sz w:val="28"/>
          <w:szCs w:val="28"/>
          <w:shd w:val="clear" w:color="auto" w:fill="FFFFFF"/>
        </w:rPr>
        <w:t>1</w:t>
      </w:r>
      <w:r w:rsidRPr="00514B9A">
        <w:rPr>
          <w:b w:val="0"/>
          <w:sz w:val="28"/>
          <w:szCs w:val="28"/>
          <w:shd w:val="clear" w:color="auto" w:fill="FFFFFF"/>
          <w:lang w:val="uk-UA"/>
        </w:rPr>
        <w:t>29</w:t>
      </w:r>
      <w:r w:rsidRPr="00514B9A">
        <w:rPr>
          <w:b w:val="0"/>
          <w:sz w:val="28"/>
          <w:szCs w:val="28"/>
          <w:lang w:val="uk-UA"/>
        </w:rPr>
        <w:t>]. Також у великій кількості робіт були досліджені порушення обміну ліпідів при гіпотиреозі [18,313]. Однак до</w:t>
      </w:r>
      <w:r w:rsidRPr="00514B9A">
        <w:rPr>
          <w:sz w:val="28"/>
          <w:szCs w:val="28"/>
          <w:lang w:val="uk-UA"/>
        </w:rPr>
        <w:t xml:space="preserve"> </w:t>
      </w:r>
      <w:r w:rsidRPr="00514B9A">
        <w:rPr>
          <w:b w:val="0"/>
          <w:sz w:val="28"/>
          <w:szCs w:val="28"/>
          <w:lang w:val="uk-UA"/>
        </w:rPr>
        <w:t>цього часуне існує чіткої думки щодо впливу субклінічної гіпофункції ЩЗ на рівень ліпідів у сироватці крові, зокрема при коморбідній патології, яка включає ГХ та  ЦД 2 типу.</w:t>
      </w:r>
    </w:p>
    <w:p w:rsidR="00E3259F" w:rsidRPr="00514B9A" w:rsidRDefault="00E3259F" w:rsidP="00514B9A">
      <w:pPr>
        <w:spacing w:line="360" w:lineRule="auto"/>
        <w:ind w:firstLine="709"/>
        <w:jc w:val="both"/>
        <w:rPr>
          <w:sz w:val="28"/>
          <w:szCs w:val="28"/>
          <w:lang w:val="uk-UA"/>
        </w:rPr>
      </w:pPr>
      <w:r w:rsidRPr="00514B9A">
        <w:rPr>
          <w:sz w:val="28"/>
          <w:szCs w:val="28"/>
          <w:lang w:val="uk-UA"/>
        </w:rPr>
        <w:t xml:space="preserve">Наявність ознак атерогенної дисліпідемії в цьому дослідженні відзначалась у 62,26±4,70% пацієнтів з ГХ. При поєднаному перебігу ГХ та ЦД 2 типу без порушення функції ЩЗ ознаки атерогенної дисліпідемії спостерігались у 51,28±4,00% пацієнтів, а при наявності СГТ, незважаючи на прийом статинів, - у 74,19±4,54% пацієнтів.   </w:t>
      </w:r>
    </w:p>
    <w:p w:rsidR="00E3259F" w:rsidRPr="00514B9A" w:rsidRDefault="00E3259F" w:rsidP="00514B9A">
      <w:pPr>
        <w:spacing w:line="360" w:lineRule="auto"/>
        <w:ind w:firstLine="709"/>
        <w:jc w:val="both"/>
        <w:rPr>
          <w:rFonts w:eastAsia="Calibri"/>
          <w:sz w:val="28"/>
          <w:szCs w:val="28"/>
          <w:lang w:val="uk-UA" w:eastAsia="en-US"/>
        </w:rPr>
      </w:pPr>
      <w:r w:rsidRPr="00514B9A">
        <w:rPr>
          <w:sz w:val="28"/>
          <w:szCs w:val="28"/>
          <w:lang w:val="uk-UA"/>
        </w:rPr>
        <w:t xml:space="preserve">При порівняльному аналізі показників ліпідного обміну (таблиця 3.1) було відзначено достовірне (р&lt;0,001) збільшення рівнів ЗХС, ТГ, ХС ЛПНЩ, ХС ЛПДНЩ при зменшенні рівня ХС ЛПВЩ у групах пацієнтів порівняно з групою контролю. Відсутність достовірних змін спостерігалася лише при порівнянні рівнів ХС ЛПВЩ контрольної групи та  групи 1 (р&gt;0,05). Рівні ЗХС у хворих з коморбдною патологією порівняно з хворими з ізольованою ГХ достовірно були нижче лише при порівнянні 1-ї та 2–ї  групи. При поєднаному перебігу ГХ, ЦД 2 типу та СГТ спостерігалося достовірне підвищення ЗХС порівняно з пацієнтами з ГХ та ЦД 2 типу (р=0,002).  </w:t>
      </w:r>
    </w:p>
    <w:p w:rsidR="00E3259F" w:rsidRPr="00514B9A" w:rsidRDefault="00E3259F" w:rsidP="00514B9A">
      <w:pPr>
        <w:spacing w:line="360" w:lineRule="auto"/>
        <w:ind w:firstLine="709"/>
        <w:jc w:val="both"/>
        <w:rPr>
          <w:rFonts w:eastAsiaTheme="minorHAnsi"/>
          <w:sz w:val="28"/>
          <w:szCs w:val="28"/>
          <w:lang w:val="uk-UA"/>
        </w:rPr>
      </w:pPr>
      <w:r w:rsidRPr="00514B9A">
        <w:rPr>
          <w:sz w:val="28"/>
          <w:szCs w:val="28"/>
          <w:lang w:val="uk-UA"/>
        </w:rPr>
        <w:t>Рівні ТГ при коморбідній патології були достовірно вище, ніж при ізольованій ГХ незалежно від функціонального стану ЩЖ (</w:t>
      </w:r>
      <w:r w:rsidRPr="00514B9A">
        <w:rPr>
          <w:sz w:val="28"/>
          <w:szCs w:val="28"/>
          <w:lang w:val="uk-UA" w:eastAsia="en-US"/>
        </w:rPr>
        <w:t>р</w:t>
      </w:r>
      <w:r w:rsidRPr="00514B9A">
        <w:rPr>
          <w:sz w:val="28"/>
          <w:szCs w:val="28"/>
          <w:vertAlign w:val="subscript"/>
          <w:lang w:val="uk-UA" w:eastAsia="en-US"/>
        </w:rPr>
        <w:t>1-2</w:t>
      </w:r>
      <w:r w:rsidRPr="00514B9A">
        <w:rPr>
          <w:sz w:val="28"/>
          <w:szCs w:val="28"/>
          <w:lang w:val="uk-UA" w:eastAsia="en-US"/>
        </w:rPr>
        <w:t>=0,004,                      р</w:t>
      </w:r>
      <w:r w:rsidRPr="00514B9A">
        <w:rPr>
          <w:sz w:val="28"/>
          <w:szCs w:val="28"/>
          <w:vertAlign w:val="subscript"/>
          <w:lang w:val="uk-UA" w:eastAsia="en-US"/>
        </w:rPr>
        <w:t>1-3</w:t>
      </w:r>
      <w:r w:rsidRPr="00514B9A">
        <w:rPr>
          <w:sz w:val="28"/>
          <w:szCs w:val="28"/>
          <w:lang w:val="uk-UA" w:eastAsia="en-US"/>
        </w:rPr>
        <w:t>=0,004)</w:t>
      </w:r>
      <w:r w:rsidRPr="00514B9A">
        <w:rPr>
          <w:sz w:val="28"/>
          <w:szCs w:val="28"/>
          <w:lang w:val="uk-UA"/>
        </w:rPr>
        <w:t>. Наявність СГТ супроводжувалася більш високими значеннями ТГ порівняно із хворими на поєднаний перебіг ГХ та ЦД 2 типу, але достовірних відмінностей знайдено не було (р&gt;0,05). Рівні ХС ЛПВЩ при коморбідній патології були нижче, ніж при ізольованій ГХ, достовірні відмінності спостерігались як між групами 1 та 2 (р=0,001), та і при порівнянні групи 1 та 3 (р=0,009).</w:t>
      </w:r>
    </w:p>
    <w:p w:rsidR="00E3259F" w:rsidRPr="00514B9A" w:rsidRDefault="00E3259F" w:rsidP="00514B9A">
      <w:pPr>
        <w:spacing w:line="360" w:lineRule="auto"/>
        <w:jc w:val="right"/>
        <w:rPr>
          <w:sz w:val="28"/>
          <w:szCs w:val="28"/>
          <w:lang w:val="uk-UA"/>
        </w:rPr>
      </w:pPr>
      <w:r w:rsidRPr="00514B9A">
        <w:rPr>
          <w:sz w:val="28"/>
          <w:szCs w:val="28"/>
          <w:lang w:val="uk-UA"/>
        </w:rPr>
        <w:t>Таблиця 3.1</w:t>
      </w:r>
    </w:p>
    <w:p w:rsidR="00E3259F" w:rsidRPr="00514B9A" w:rsidRDefault="00E3259F" w:rsidP="00514B9A">
      <w:pPr>
        <w:spacing w:line="360" w:lineRule="auto"/>
        <w:jc w:val="center"/>
        <w:rPr>
          <w:sz w:val="28"/>
          <w:szCs w:val="28"/>
          <w:lang w:val="uk-UA"/>
        </w:rPr>
      </w:pPr>
      <w:r w:rsidRPr="00514B9A">
        <w:rPr>
          <w:sz w:val="28"/>
          <w:szCs w:val="28"/>
          <w:lang w:val="uk-UA"/>
        </w:rPr>
        <w:t>Порівняльний аналіз показників ліпідного обміну (</w:t>
      </w:r>
      <w:r w:rsidRPr="00514B9A">
        <w:rPr>
          <w:sz w:val="28"/>
          <w:szCs w:val="28"/>
          <w:lang w:val="en-US"/>
        </w:rPr>
        <w:t>M</w:t>
      </w:r>
      <w:r w:rsidRPr="00514B9A">
        <w:rPr>
          <w:sz w:val="28"/>
          <w:szCs w:val="28"/>
          <w:lang w:val="uk-UA"/>
        </w:rPr>
        <w:t>±</w:t>
      </w:r>
      <w:r w:rsidRPr="00514B9A">
        <w:rPr>
          <w:sz w:val="28"/>
          <w:szCs w:val="28"/>
          <w:lang w:val="en-US"/>
        </w:rPr>
        <w:t>m</w:t>
      </w:r>
      <w:r w:rsidRPr="00514B9A">
        <w:rPr>
          <w:sz w:val="28"/>
          <w:szCs w:val="28"/>
          <w:lang w:val="uk-UA"/>
        </w:rPr>
        <w:t>)</w:t>
      </w:r>
    </w:p>
    <w:tbl>
      <w:tblPr>
        <w:tblW w:w="9570" w:type="dxa"/>
        <w:tblLayout w:type="fixed"/>
        <w:tblLook w:val="04A0" w:firstRow="1" w:lastRow="0" w:firstColumn="1" w:lastColumn="0" w:noHBand="0" w:noVBand="1"/>
      </w:tblPr>
      <w:tblGrid>
        <w:gridCol w:w="1808"/>
        <w:gridCol w:w="1560"/>
        <w:gridCol w:w="1417"/>
        <w:gridCol w:w="1418"/>
        <w:gridCol w:w="1417"/>
        <w:gridCol w:w="1950"/>
      </w:tblGrid>
      <w:tr w:rsidR="00514B9A" w:rsidRPr="00514B9A" w:rsidTr="00514B9A">
        <w:tc>
          <w:tcPr>
            <w:tcW w:w="180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Показник</w:t>
            </w:r>
          </w:p>
        </w:tc>
        <w:tc>
          <w:tcPr>
            <w:tcW w:w="156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Група контролю</w:t>
            </w:r>
          </w:p>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w:t>
            </w:r>
            <w:r w:rsidRPr="00514B9A">
              <w:rPr>
                <w:sz w:val="26"/>
                <w:szCs w:val="26"/>
                <w:lang w:val="en-US" w:eastAsia="en-US"/>
              </w:rPr>
              <w:t>n</w:t>
            </w:r>
            <w:r w:rsidRPr="00514B9A">
              <w:rPr>
                <w:sz w:val="26"/>
                <w:szCs w:val="26"/>
                <w:lang w:val="uk-UA" w:eastAsia="en-US"/>
              </w:rPr>
              <w:t>=30)</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1 група</w:t>
            </w:r>
          </w:p>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w:t>
            </w:r>
            <w:r w:rsidRPr="00514B9A">
              <w:rPr>
                <w:sz w:val="26"/>
                <w:szCs w:val="26"/>
                <w:lang w:val="en-US" w:eastAsia="en-US"/>
              </w:rPr>
              <w:t>n</w:t>
            </w:r>
            <w:r w:rsidRPr="00514B9A">
              <w:rPr>
                <w:sz w:val="26"/>
                <w:szCs w:val="26"/>
                <w:lang w:val="uk-UA" w:eastAsia="en-US"/>
              </w:rPr>
              <w:t>=106)</w:t>
            </w:r>
          </w:p>
        </w:tc>
        <w:tc>
          <w:tcPr>
            <w:tcW w:w="141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2 група</w:t>
            </w:r>
          </w:p>
          <w:p w:rsidR="00E3259F" w:rsidRPr="00514B9A" w:rsidRDefault="00E3259F" w:rsidP="00514B9A">
            <w:pPr>
              <w:spacing w:line="360" w:lineRule="auto"/>
              <w:jc w:val="center"/>
              <w:rPr>
                <w:rFonts w:eastAsia="Calibri"/>
                <w:sz w:val="26"/>
                <w:szCs w:val="26"/>
                <w:lang w:val="en-US" w:eastAsia="en-US"/>
              </w:rPr>
            </w:pPr>
            <w:r w:rsidRPr="00514B9A">
              <w:rPr>
                <w:sz w:val="26"/>
                <w:szCs w:val="26"/>
                <w:lang w:val="uk-UA" w:eastAsia="en-US"/>
              </w:rPr>
              <w:t>(</w:t>
            </w:r>
            <w:r w:rsidRPr="00514B9A">
              <w:rPr>
                <w:sz w:val="26"/>
                <w:szCs w:val="26"/>
                <w:lang w:val="en-US" w:eastAsia="en-US"/>
              </w:rPr>
              <w:t>n</w:t>
            </w:r>
            <w:r w:rsidRPr="00514B9A">
              <w:rPr>
                <w:sz w:val="26"/>
                <w:szCs w:val="26"/>
                <w:lang w:val="uk-UA" w:eastAsia="en-US"/>
              </w:rPr>
              <w:t>=156)</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center"/>
              <w:rPr>
                <w:rFonts w:eastAsia="Calibri"/>
                <w:sz w:val="26"/>
                <w:szCs w:val="26"/>
                <w:lang w:val="en-US" w:eastAsia="en-US"/>
              </w:rPr>
            </w:pPr>
            <w:r w:rsidRPr="00514B9A">
              <w:rPr>
                <w:sz w:val="26"/>
                <w:szCs w:val="26"/>
                <w:lang w:val="uk-UA" w:eastAsia="en-US"/>
              </w:rPr>
              <w:t>3</w:t>
            </w:r>
            <w:r w:rsidRPr="00514B9A">
              <w:rPr>
                <w:sz w:val="26"/>
                <w:szCs w:val="26"/>
                <w:lang w:eastAsia="en-US"/>
              </w:rPr>
              <w:t xml:space="preserve"> група</w:t>
            </w:r>
          </w:p>
          <w:p w:rsidR="00E3259F" w:rsidRPr="00514B9A" w:rsidRDefault="00E3259F" w:rsidP="00514B9A">
            <w:pPr>
              <w:spacing w:line="360" w:lineRule="auto"/>
              <w:jc w:val="center"/>
              <w:rPr>
                <w:rFonts w:eastAsia="Calibri"/>
                <w:sz w:val="26"/>
                <w:szCs w:val="26"/>
                <w:lang w:val="en-US" w:eastAsia="en-US"/>
              </w:rPr>
            </w:pPr>
            <w:r w:rsidRPr="00514B9A">
              <w:rPr>
                <w:sz w:val="26"/>
                <w:szCs w:val="26"/>
                <w:lang w:val="uk-UA" w:eastAsia="en-US"/>
              </w:rPr>
              <w:t>(</w:t>
            </w:r>
            <w:r w:rsidRPr="00514B9A">
              <w:rPr>
                <w:sz w:val="26"/>
                <w:szCs w:val="26"/>
                <w:lang w:val="en-US" w:eastAsia="en-US"/>
              </w:rPr>
              <w:t>n</w:t>
            </w:r>
            <w:r w:rsidRPr="00514B9A">
              <w:rPr>
                <w:sz w:val="26"/>
                <w:szCs w:val="26"/>
                <w:lang w:val="uk-UA" w:eastAsia="en-US"/>
              </w:rPr>
              <w:t>=93)</w:t>
            </w:r>
          </w:p>
        </w:tc>
        <w:tc>
          <w:tcPr>
            <w:tcW w:w="195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center"/>
              <w:rPr>
                <w:sz w:val="26"/>
                <w:szCs w:val="26"/>
                <w:lang w:val="uk-UA" w:eastAsia="en-US"/>
              </w:rPr>
            </w:pPr>
            <w:r w:rsidRPr="00514B9A">
              <w:rPr>
                <w:sz w:val="26"/>
                <w:szCs w:val="26"/>
                <w:lang w:val="uk-UA" w:eastAsia="en-US"/>
              </w:rPr>
              <w:t>Значимість,</w:t>
            </w:r>
          </w:p>
          <w:p w:rsidR="00E3259F" w:rsidRPr="00514B9A" w:rsidRDefault="00E3259F" w:rsidP="00514B9A">
            <w:pPr>
              <w:spacing w:line="360" w:lineRule="auto"/>
              <w:jc w:val="center"/>
              <w:rPr>
                <w:rFonts w:eastAsia="Calibri"/>
                <w:sz w:val="26"/>
                <w:szCs w:val="26"/>
                <w:lang w:val="uk-UA" w:eastAsia="en-US"/>
              </w:rPr>
            </w:pPr>
            <w:r w:rsidRPr="00514B9A">
              <w:rPr>
                <w:sz w:val="26"/>
                <w:szCs w:val="26"/>
                <w:lang w:val="uk-UA" w:eastAsia="en-US"/>
              </w:rPr>
              <w:t>р</w:t>
            </w:r>
          </w:p>
        </w:tc>
      </w:tr>
      <w:tr w:rsidR="00514B9A" w:rsidRPr="00514B9A" w:rsidTr="00514B9A">
        <w:tc>
          <w:tcPr>
            <w:tcW w:w="180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both"/>
              <w:rPr>
                <w:sz w:val="26"/>
                <w:szCs w:val="26"/>
                <w:lang w:val="uk-UA" w:eastAsia="en-US"/>
              </w:rPr>
            </w:pPr>
            <w:r w:rsidRPr="00514B9A">
              <w:rPr>
                <w:sz w:val="26"/>
                <w:szCs w:val="26"/>
                <w:lang w:eastAsia="en-US"/>
              </w:rPr>
              <w:t>ЗХС</w:t>
            </w:r>
            <w:r w:rsidRPr="00514B9A">
              <w:rPr>
                <w:sz w:val="26"/>
                <w:szCs w:val="26"/>
                <w:lang w:val="uk-UA" w:eastAsia="en-US"/>
              </w:rPr>
              <w:t>,</w:t>
            </w:r>
          </w:p>
          <w:p w:rsidR="00E3259F" w:rsidRPr="00514B9A" w:rsidRDefault="00E3259F" w:rsidP="00514B9A">
            <w:pPr>
              <w:spacing w:line="360" w:lineRule="auto"/>
              <w:jc w:val="both"/>
              <w:rPr>
                <w:rFonts w:eastAsia="Calibri"/>
                <w:sz w:val="26"/>
                <w:szCs w:val="26"/>
                <w:lang w:eastAsia="en-US"/>
              </w:rPr>
            </w:pPr>
            <w:r w:rsidRPr="00514B9A">
              <w:rPr>
                <w:sz w:val="26"/>
                <w:szCs w:val="26"/>
                <w:lang w:val="uk-UA" w:eastAsia="en-US"/>
              </w:rPr>
              <w:t>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4,</w:t>
            </w:r>
            <w:r w:rsidRPr="00514B9A">
              <w:rPr>
                <w:sz w:val="26"/>
                <w:szCs w:val="26"/>
                <w:lang w:val="uk-UA" w:eastAsia="en-US"/>
              </w:rPr>
              <w:t>65</w:t>
            </w:r>
            <w:r w:rsidRPr="00514B9A">
              <w:rPr>
                <w:sz w:val="26"/>
                <w:szCs w:val="26"/>
                <w:lang w:eastAsia="en-US"/>
              </w:rPr>
              <w:t>± 0,</w:t>
            </w:r>
            <w:r w:rsidRPr="00514B9A">
              <w:rPr>
                <w:sz w:val="26"/>
                <w:szCs w:val="26"/>
                <w:lang w:val="uk-UA" w:eastAsia="en-US"/>
              </w:rPr>
              <w:t>33</w:t>
            </w:r>
          </w:p>
        </w:tc>
        <w:tc>
          <w:tcPr>
            <w:tcW w:w="1417" w:type="dxa"/>
            <w:tcBorders>
              <w:top w:val="single" w:sz="4" w:space="0" w:color="auto"/>
              <w:left w:val="single" w:sz="4" w:space="0" w:color="auto"/>
              <w:bottom w:val="single" w:sz="4" w:space="0" w:color="auto"/>
              <w:right w:val="single" w:sz="4" w:space="0" w:color="auto"/>
            </w:tcBorders>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5,96±</w:t>
            </w:r>
            <w:r w:rsidRPr="00514B9A">
              <w:rPr>
                <w:sz w:val="26"/>
                <w:szCs w:val="26"/>
                <w:lang w:val="uk-UA" w:eastAsia="en-US"/>
              </w:rPr>
              <w:t>0</w:t>
            </w:r>
            <w:r w:rsidRPr="00514B9A">
              <w:rPr>
                <w:sz w:val="26"/>
                <w:szCs w:val="26"/>
                <w:lang w:eastAsia="en-US"/>
              </w:rPr>
              <w:t>,</w:t>
            </w:r>
            <w:r w:rsidRPr="00514B9A">
              <w:rPr>
                <w:sz w:val="26"/>
                <w:szCs w:val="26"/>
                <w:lang w:val="uk-UA" w:eastAsia="en-US"/>
              </w:rPr>
              <w:t>14*</w:t>
            </w:r>
          </w:p>
          <w:p w:rsidR="00E3259F" w:rsidRPr="00514B9A" w:rsidRDefault="00E3259F" w:rsidP="00514B9A">
            <w:pPr>
              <w:spacing w:line="360" w:lineRule="auto"/>
              <w:rPr>
                <w:rFonts w:eastAsia="Calibri"/>
                <w:sz w:val="26"/>
                <w:szCs w:val="26"/>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5,</w:t>
            </w:r>
            <w:r w:rsidRPr="00514B9A">
              <w:rPr>
                <w:sz w:val="26"/>
                <w:szCs w:val="26"/>
                <w:lang w:val="uk-UA" w:eastAsia="en-US"/>
              </w:rPr>
              <w:t>25</w:t>
            </w:r>
            <w:r w:rsidRPr="00514B9A">
              <w:rPr>
                <w:sz w:val="26"/>
                <w:szCs w:val="26"/>
                <w:lang w:eastAsia="en-US"/>
              </w:rPr>
              <w:t>±</w:t>
            </w:r>
            <w:r w:rsidRPr="00514B9A">
              <w:rPr>
                <w:sz w:val="26"/>
                <w:szCs w:val="26"/>
                <w:lang w:val="uk-UA" w:eastAsia="en-US"/>
              </w:rPr>
              <w:t>0</w:t>
            </w:r>
            <w:r w:rsidRPr="00514B9A">
              <w:rPr>
                <w:sz w:val="26"/>
                <w:szCs w:val="26"/>
                <w:lang w:eastAsia="en-US"/>
              </w:rPr>
              <w:t>,1</w:t>
            </w:r>
            <w:r w:rsidRPr="00514B9A">
              <w:rPr>
                <w:sz w:val="26"/>
                <w:szCs w:val="26"/>
                <w:lang w:val="uk-UA" w:eastAsia="en-US"/>
              </w:rPr>
              <w:t>0*</w:t>
            </w:r>
          </w:p>
        </w:tc>
        <w:tc>
          <w:tcPr>
            <w:tcW w:w="1417" w:type="dxa"/>
            <w:tcBorders>
              <w:top w:val="single" w:sz="4" w:space="0" w:color="auto"/>
              <w:left w:val="single" w:sz="4" w:space="0" w:color="auto"/>
              <w:bottom w:val="single" w:sz="4" w:space="0" w:color="auto"/>
              <w:right w:val="single" w:sz="4" w:space="0" w:color="auto"/>
            </w:tcBorders>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5,7</w:t>
            </w:r>
            <w:r w:rsidRPr="00514B9A">
              <w:rPr>
                <w:sz w:val="26"/>
                <w:szCs w:val="26"/>
                <w:lang w:val="uk-UA" w:eastAsia="en-US"/>
              </w:rPr>
              <w:t>8</w:t>
            </w:r>
            <w:r w:rsidRPr="00514B9A">
              <w:rPr>
                <w:sz w:val="26"/>
                <w:szCs w:val="26"/>
                <w:lang w:eastAsia="en-US"/>
              </w:rPr>
              <w:t>±</w:t>
            </w:r>
            <w:r w:rsidRPr="00514B9A">
              <w:rPr>
                <w:sz w:val="26"/>
                <w:szCs w:val="26"/>
                <w:lang w:val="uk-UA" w:eastAsia="en-US"/>
              </w:rPr>
              <w:t>0</w:t>
            </w:r>
            <w:r w:rsidRPr="00514B9A">
              <w:rPr>
                <w:sz w:val="26"/>
                <w:szCs w:val="26"/>
                <w:lang w:eastAsia="en-US"/>
              </w:rPr>
              <w:t>,1</w:t>
            </w:r>
            <w:r w:rsidRPr="00514B9A">
              <w:rPr>
                <w:sz w:val="26"/>
                <w:szCs w:val="26"/>
                <w:lang w:val="uk-UA" w:eastAsia="en-US"/>
              </w:rPr>
              <w:t>3*</w:t>
            </w:r>
          </w:p>
          <w:p w:rsidR="00E3259F" w:rsidRPr="00514B9A" w:rsidRDefault="00E3259F" w:rsidP="00514B9A">
            <w:pPr>
              <w:spacing w:line="360" w:lineRule="auto"/>
              <w:rPr>
                <w:rFonts w:eastAsia="Calibri"/>
                <w:sz w:val="26"/>
                <w:szCs w:val="26"/>
                <w:lang w:eastAsia="en-US"/>
              </w:rPr>
            </w:pPr>
          </w:p>
        </w:tc>
        <w:tc>
          <w:tcPr>
            <w:tcW w:w="195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1-2</w:t>
            </w:r>
            <w:r w:rsidRPr="00514B9A">
              <w:rPr>
                <w:sz w:val="26"/>
                <w:szCs w:val="26"/>
                <w:lang w:val="uk-UA" w:eastAsia="en-US"/>
              </w:rPr>
              <w:t>=0</w:t>
            </w:r>
            <w:r w:rsidRPr="00514B9A">
              <w:rPr>
                <w:sz w:val="26"/>
                <w:szCs w:val="26"/>
                <w:lang w:eastAsia="en-US"/>
              </w:rPr>
              <w:t>,0</w:t>
            </w:r>
            <w:r w:rsidRPr="00514B9A">
              <w:rPr>
                <w:sz w:val="26"/>
                <w:szCs w:val="26"/>
                <w:lang w:val="uk-UA" w:eastAsia="en-US"/>
              </w:rPr>
              <w:t>01</w:t>
            </w:r>
          </w:p>
          <w:p w:rsidR="00E3259F" w:rsidRPr="00514B9A" w:rsidRDefault="00E3259F" w:rsidP="00514B9A">
            <w:pPr>
              <w:spacing w:line="360" w:lineRule="auto"/>
              <w:rPr>
                <w:rFonts w:eastAsiaTheme="minorHAnsi"/>
                <w:sz w:val="26"/>
                <w:szCs w:val="26"/>
                <w:lang w:eastAsia="en-US"/>
              </w:rPr>
            </w:pPr>
            <w:r w:rsidRPr="00514B9A">
              <w:rPr>
                <w:sz w:val="26"/>
                <w:szCs w:val="26"/>
                <w:lang w:eastAsia="en-US"/>
              </w:rPr>
              <w:t>р</w:t>
            </w:r>
            <w:r w:rsidRPr="00514B9A">
              <w:rPr>
                <w:sz w:val="26"/>
                <w:szCs w:val="26"/>
                <w:vertAlign w:val="subscript"/>
                <w:lang w:eastAsia="en-US"/>
              </w:rPr>
              <w:t>1-3</w:t>
            </w:r>
            <w:r w:rsidRPr="00514B9A">
              <w:rPr>
                <w:sz w:val="26"/>
                <w:szCs w:val="26"/>
                <w:lang w:val="uk-UA" w:eastAsia="en-US"/>
              </w:rPr>
              <w:t>&gt;0,05</w:t>
            </w:r>
          </w:p>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2-3</w:t>
            </w:r>
            <w:r w:rsidRPr="00514B9A">
              <w:rPr>
                <w:sz w:val="26"/>
                <w:szCs w:val="26"/>
                <w:lang w:val="uk-UA" w:eastAsia="en-US"/>
              </w:rPr>
              <w:t>=</w:t>
            </w:r>
            <w:r w:rsidRPr="00514B9A">
              <w:rPr>
                <w:sz w:val="26"/>
                <w:szCs w:val="26"/>
                <w:lang w:eastAsia="en-US"/>
              </w:rPr>
              <w:t>0,</w:t>
            </w:r>
            <w:r w:rsidRPr="00514B9A">
              <w:rPr>
                <w:sz w:val="26"/>
                <w:szCs w:val="26"/>
                <w:lang w:val="uk-UA" w:eastAsia="en-US"/>
              </w:rPr>
              <w:t>002</w:t>
            </w:r>
          </w:p>
        </w:tc>
      </w:tr>
      <w:tr w:rsidR="00514B9A" w:rsidRPr="00514B9A" w:rsidTr="00514B9A">
        <w:tc>
          <w:tcPr>
            <w:tcW w:w="180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val="uk-UA" w:eastAsia="en-US"/>
              </w:rPr>
              <w:t>ТГ,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val="uk-UA" w:eastAsia="en-US"/>
              </w:rPr>
              <w:t>0</w:t>
            </w:r>
            <w:r w:rsidRPr="00514B9A">
              <w:rPr>
                <w:sz w:val="26"/>
                <w:szCs w:val="26"/>
                <w:lang w:eastAsia="en-US"/>
              </w:rPr>
              <w:t>,</w:t>
            </w:r>
            <w:r w:rsidRPr="00514B9A">
              <w:rPr>
                <w:sz w:val="26"/>
                <w:szCs w:val="26"/>
                <w:lang w:val="uk-UA" w:eastAsia="en-US"/>
              </w:rPr>
              <w:t>94</w:t>
            </w:r>
            <w:r w:rsidRPr="00514B9A">
              <w:rPr>
                <w:sz w:val="26"/>
                <w:szCs w:val="26"/>
                <w:lang w:eastAsia="en-US"/>
              </w:rPr>
              <w:t xml:space="preserve"> ±0,</w:t>
            </w:r>
            <w:r w:rsidRPr="00514B9A">
              <w:rPr>
                <w:sz w:val="26"/>
                <w:szCs w:val="26"/>
                <w:lang w:val="uk-UA" w:eastAsia="en-US"/>
              </w:rPr>
              <w:t>0</w:t>
            </w:r>
            <w:r w:rsidRPr="00514B9A">
              <w:rPr>
                <w:sz w:val="26"/>
                <w:szCs w:val="26"/>
                <w:lang w:eastAsia="en-US"/>
              </w:rPr>
              <w:t>3</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1,58±</w:t>
            </w:r>
            <w:r w:rsidRPr="00514B9A">
              <w:rPr>
                <w:sz w:val="26"/>
                <w:szCs w:val="26"/>
                <w:lang w:val="uk-UA" w:eastAsia="en-US"/>
              </w:rPr>
              <w:t>0</w:t>
            </w:r>
            <w:r w:rsidRPr="00514B9A">
              <w:rPr>
                <w:sz w:val="26"/>
                <w:szCs w:val="26"/>
                <w:lang w:eastAsia="en-US"/>
              </w:rPr>
              <w:t>,</w:t>
            </w:r>
            <w:r w:rsidRPr="00514B9A">
              <w:rPr>
                <w:sz w:val="26"/>
                <w:szCs w:val="26"/>
                <w:lang w:val="uk-UA" w:eastAsia="en-US"/>
              </w:rPr>
              <w:t>08*</w:t>
            </w:r>
          </w:p>
        </w:tc>
        <w:tc>
          <w:tcPr>
            <w:tcW w:w="141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1,</w:t>
            </w:r>
            <w:r w:rsidRPr="00514B9A">
              <w:rPr>
                <w:sz w:val="26"/>
                <w:szCs w:val="26"/>
                <w:lang w:val="uk-UA" w:eastAsia="en-US"/>
              </w:rPr>
              <w:t>89</w:t>
            </w:r>
            <w:r w:rsidRPr="00514B9A">
              <w:rPr>
                <w:sz w:val="26"/>
                <w:szCs w:val="26"/>
                <w:lang w:eastAsia="en-US"/>
              </w:rPr>
              <w:t>±</w:t>
            </w:r>
            <w:r w:rsidRPr="00514B9A">
              <w:rPr>
                <w:sz w:val="26"/>
                <w:szCs w:val="26"/>
                <w:lang w:val="uk-UA" w:eastAsia="en-US"/>
              </w:rPr>
              <w:t>0</w:t>
            </w:r>
            <w:r w:rsidRPr="00514B9A">
              <w:rPr>
                <w:sz w:val="26"/>
                <w:szCs w:val="26"/>
                <w:lang w:eastAsia="en-US"/>
              </w:rPr>
              <w:t>,</w:t>
            </w:r>
            <w:r w:rsidRPr="00514B9A">
              <w:rPr>
                <w:sz w:val="26"/>
                <w:szCs w:val="26"/>
                <w:lang w:val="uk-UA" w:eastAsia="en-US"/>
              </w:rPr>
              <w:t>07*</w:t>
            </w:r>
          </w:p>
        </w:tc>
        <w:tc>
          <w:tcPr>
            <w:tcW w:w="1417" w:type="dxa"/>
            <w:tcBorders>
              <w:top w:val="single" w:sz="4" w:space="0" w:color="auto"/>
              <w:left w:val="single" w:sz="4" w:space="0" w:color="auto"/>
              <w:bottom w:val="single" w:sz="4" w:space="0" w:color="auto"/>
              <w:right w:val="single" w:sz="4" w:space="0" w:color="auto"/>
            </w:tcBorders>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2,0</w:t>
            </w:r>
            <w:r w:rsidRPr="00514B9A">
              <w:rPr>
                <w:sz w:val="26"/>
                <w:szCs w:val="26"/>
                <w:lang w:val="uk-UA" w:eastAsia="en-US"/>
              </w:rPr>
              <w:t>1</w:t>
            </w:r>
            <w:r w:rsidRPr="00514B9A">
              <w:rPr>
                <w:sz w:val="26"/>
                <w:szCs w:val="26"/>
                <w:lang w:eastAsia="en-US"/>
              </w:rPr>
              <w:t>±</w:t>
            </w:r>
            <w:r w:rsidRPr="00514B9A">
              <w:rPr>
                <w:sz w:val="26"/>
                <w:szCs w:val="26"/>
                <w:lang w:val="uk-UA" w:eastAsia="en-US"/>
              </w:rPr>
              <w:t>0</w:t>
            </w:r>
            <w:r w:rsidRPr="00514B9A">
              <w:rPr>
                <w:sz w:val="26"/>
                <w:szCs w:val="26"/>
                <w:lang w:eastAsia="en-US"/>
              </w:rPr>
              <w:t>,1</w:t>
            </w:r>
            <w:r w:rsidRPr="00514B9A">
              <w:rPr>
                <w:sz w:val="26"/>
                <w:szCs w:val="26"/>
                <w:lang w:val="uk-UA" w:eastAsia="en-US"/>
              </w:rPr>
              <w:t>3*</w:t>
            </w:r>
          </w:p>
          <w:p w:rsidR="00E3259F" w:rsidRPr="00514B9A" w:rsidRDefault="00E3259F" w:rsidP="00514B9A">
            <w:pPr>
              <w:spacing w:line="360" w:lineRule="auto"/>
              <w:rPr>
                <w:rFonts w:eastAsia="Calibri"/>
                <w:sz w:val="26"/>
                <w:szCs w:val="26"/>
                <w:lang w:eastAsia="en-US"/>
              </w:rPr>
            </w:pPr>
          </w:p>
        </w:tc>
        <w:tc>
          <w:tcPr>
            <w:tcW w:w="195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1-2</w:t>
            </w:r>
            <w:r w:rsidRPr="00514B9A">
              <w:rPr>
                <w:sz w:val="26"/>
                <w:szCs w:val="26"/>
                <w:lang w:val="uk-UA" w:eastAsia="en-US"/>
              </w:rPr>
              <w:t>=0</w:t>
            </w:r>
            <w:r w:rsidRPr="00514B9A">
              <w:rPr>
                <w:sz w:val="26"/>
                <w:szCs w:val="26"/>
                <w:lang w:eastAsia="en-US"/>
              </w:rPr>
              <w:t>,</w:t>
            </w:r>
            <w:r w:rsidRPr="00514B9A">
              <w:rPr>
                <w:sz w:val="26"/>
                <w:szCs w:val="26"/>
                <w:lang w:val="uk-UA" w:eastAsia="en-US"/>
              </w:rPr>
              <w:t>004</w:t>
            </w:r>
          </w:p>
          <w:p w:rsidR="00E3259F" w:rsidRPr="00514B9A" w:rsidRDefault="00E3259F" w:rsidP="00514B9A">
            <w:pPr>
              <w:spacing w:line="360" w:lineRule="auto"/>
              <w:rPr>
                <w:rFonts w:eastAsiaTheme="minorHAnsi"/>
                <w:sz w:val="26"/>
                <w:szCs w:val="26"/>
                <w:lang w:eastAsia="en-US"/>
              </w:rPr>
            </w:pPr>
            <w:r w:rsidRPr="00514B9A">
              <w:rPr>
                <w:sz w:val="26"/>
                <w:szCs w:val="26"/>
                <w:lang w:eastAsia="en-US"/>
              </w:rPr>
              <w:t>р</w:t>
            </w:r>
            <w:r w:rsidRPr="00514B9A">
              <w:rPr>
                <w:sz w:val="26"/>
                <w:szCs w:val="26"/>
                <w:vertAlign w:val="subscript"/>
                <w:lang w:eastAsia="en-US"/>
              </w:rPr>
              <w:t>1-3</w:t>
            </w:r>
            <w:r w:rsidRPr="00514B9A">
              <w:rPr>
                <w:sz w:val="26"/>
                <w:szCs w:val="26"/>
                <w:lang w:val="uk-UA" w:eastAsia="en-US"/>
              </w:rPr>
              <w:t>=</w:t>
            </w:r>
            <w:r w:rsidRPr="00514B9A">
              <w:rPr>
                <w:sz w:val="26"/>
                <w:szCs w:val="26"/>
                <w:lang w:eastAsia="en-US"/>
              </w:rPr>
              <w:t>0,</w:t>
            </w:r>
            <w:r w:rsidRPr="00514B9A">
              <w:rPr>
                <w:sz w:val="26"/>
                <w:szCs w:val="26"/>
                <w:lang w:val="uk-UA" w:eastAsia="en-US"/>
              </w:rPr>
              <w:t>004</w:t>
            </w:r>
          </w:p>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2-3</w:t>
            </w:r>
            <w:r w:rsidRPr="00514B9A">
              <w:rPr>
                <w:sz w:val="26"/>
                <w:szCs w:val="26"/>
                <w:lang w:val="uk-UA" w:eastAsia="en-US"/>
              </w:rPr>
              <w:t xml:space="preserve"> &gt;0,05</w:t>
            </w:r>
          </w:p>
        </w:tc>
      </w:tr>
      <w:tr w:rsidR="00514B9A" w:rsidRPr="00514B9A" w:rsidTr="00514B9A">
        <w:tc>
          <w:tcPr>
            <w:tcW w:w="180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both"/>
              <w:rPr>
                <w:rFonts w:eastAsia="Calibri"/>
                <w:sz w:val="26"/>
                <w:szCs w:val="26"/>
                <w:lang w:eastAsia="en-US"/>
              </w:rPr>
            </w:pPr>
            <w:r w:rsidRPr="00514B9A">
              <w:rPr>
                <w:sz w:val="26"/>
                <w:szCs w:val="26"/>
                <w:lang w:eastAsia="en-US"/>
              </w:rPr>
              <w:t>ХС</w:t>
            </w:r>
            <w:r w:rsidRPr="00514B9A">
              <w:rPr>
                <w:sz w:val="26"/>
                <w:szCs w:val="26"/>
                <w:lang w:val="uk-UA" w:eastAsia="en-US"/>
              </w:rPr>
              <w:t xml:space="preserve"> </w:t>
            </w:r>
            <w:r w:rsidRPr="00514B9A">
              <w:rPr>
                <w:sz w:val="26"/>
                <w:szCs w:val="26"/>
                <w:lang w:eastAsia="en-US"/>
              </w:rPr>
              <w:t>ЛПВЩ</w:t>
            </w:r>
            <w:r w:rsidRPr="00514B9A">
              <w:rPr>
                <w:sz w:val="26"/>
                <w:szCs w:val="26"/>
                <w:lang w:val="uk-UA" w:eastAsia="en-US"/>
              </w:rPr>
              <w:t>,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1,</w:t>
            </w:r>
            <w:r w:rsidRPr="00514B9A">
              <w:rPr>
                <w:sz w:val="26"/>
                <w:szCs w:val="26"/>
                <w:lang w:val="uk-UA" w:eastAsia="en-US"/>
              </w:rPr>
              <w:t>53</w:t>
            </w:r>
            <w:r w:rsidRPr="00514B9A">
              <w:rPr>
                <w:sz w:val="26"/>
                <w:szCs w:val="26"/>
                <w:lang w:eastAsia="en-US"/>
              </w:rPr>
              <w:t xml:space="preserve"> ± 0,</w:t>
            </w:r>
            <w:r w:rsidRPr="00514B9A">
              <w:rPr>
                <w:sz w:val="26"/>
                <w:szCs w:val="26"/>
                <w:lang w:val="uk-UA" w:eastAsia="en-US"/>
              </w:rPr>
              <w:t>0</w:t>
            </w:r>
            <w:r w:rsidRPr="00514B9A">
              <w:rPr>
                <w:sz w:val="26"/>
                <w:szCs w:val="26"/>
                <w:lang w:eastAsia="en-US"/>
              </w:rPr>
              <w:t>2</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1,41±0,0</w:t>
            </w:r>
            <w:r w:rsidRPr="00514B9A">
              <w:rPr>
                <w:sz w:val="26"/>
                <w:szCs w:val="26"/>
                <w:lang w:val="uk-UA" w:eastAsia="en-US"/>
              </w:rPr>
              <w:t>4</w:t>
            </w:r>
          </w:p>
        </w:tc>
        <w:tc>
          <w:tcPr>
            <w:tcW w:w="1418" w:type="dxa"/>
            <w:tcBorders>
              <w:top w:val="single" w:sz="4" w:space="0" w:color="auto"/>
              <w:left w:val="single" w:sz="4" w:space="0" w:color="auto"/>
              <w:bottom w:val="single" w:sz="4" w:space="0" w:color="auto"/>
              <w:right w:val="single" w:sz="4" w:space="0" w:color="auto"/>
            </w:tcBorders>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1,2</w:t>
            </w:r>
            <w:r w:rsidRPr="00514B9A">
              <w:rPr>
                <w:sz w:val="26"/>
                <w:szCs w:val="26"/>
                <w:lang w:val="uk-UA" w:eastAsia="en-US"/>
              </w:rPr>
              <w:t>2</w:t>
            </w:r>
            <w:r w:rsidRPr="00514B9A">
              <w:rPr>
                <w:sz w:val="26"/>
                <w:szCs w:val="26"/>
                <w:lang w:eastAsia="en-US"/>
              </w:rPr>
              <w:t>±</w:t>
            </w:r>
            <w:r w:rsidRPr="00514B9A">
              <w:rPr>
                <w:sz w:val="26"/>
                <w:szCs w:val="26"/>
                <w:lang w:val="uk-UA" w:eastAsia="en-US"/>
              </w:rPr>
              <w:t>0</w:t>
            </w:r>
            <w:r w:rsidRPr="00514B9A">
              <w:rPr>
                <w:sz w:val="26"/>
                <w:szCs w:val="26"/>
                <w:lang w:eastAsia="en-US"/>
              </w:rPr>
              <w:t>,0</w:t>
            </w:r>
            <w:r w:rsidRPr="00514B9A">
              <w:rPr>
                <w:sz w:val="26"/>
                <w:szCs w:val="26"/>
                <w:lang w:val="uk-UA" w:eastAsia="en-US"/>
              </w:rPr>
              <w:t>3*</w:t>
            </w:r>
          </w:p>
          <w:p w:rsidR="00E3259F" w:rsidRPr="00514B9A" w:rsidRDefault="00E3259F" w:rsidP="00514B9A">
            <w:pPr>
              <w:spacing w:line="360" w:lineRule="auto"/>
              <w:rPr>
                <w:rFonts w:eastAsia="Calibri"/>
                <w:sz w:val="26"/>
                <w:szCs w:val="26"/>
                <w:lang w:eastAsia="en-US"/>
              </w:rPr>
            </w:pPr>
          </w:p>
        </w:tc>
        <w:tc>
          <w:tcPr>
            <w:tcW w:w="1417" w:type="dxa"/>
            <w:tcBorders>
              <w:top w:val="single" w:sz="4" w:space="0" w:color="auto"/>
              <w:left w:val="single" w:sz="4" w:space="0" w:color="auto"/>
              <w:bottom w:val="single" w:sz="4" w:space="0" w:color="auto"/>
              <w:right w:val="single" w:sz="4" w:space="0" w:color="auto"/>
            </w:tcBorders>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1,2</w:t>
            </w:r>
            <w:r w:rsidRPr="00514B9A">
              <w:rPr>
                <w:sz w:val="26"/>
                <w:szCs w:val="26"/>
                <w:lang w:val="uk-UA" w:eastAsia="en-US"/>
              </w:rPr>
              <w:t>7</w:t>
            </w:r>
            <w:r w:rsidRPr="00514B9A">
              <w:rPr>
                <w:sz w:val="26"/>
                <w:szCs w:val="26"/>
                <w:lang w:eastAsia="en-US"/>
              </w:rPr>
              <w:t>±</w:t>
            </w:r>
            <w:r w:rsidRPr="00514B9A">
              <w:rPr>
                <w:sz w:val="26"/>
                <w:szCs w:val="26"/>
                <w:lang w:val="uk-UA" w:eastAsia="en-US"/>
              </w:rPr>
              <w:t>0</w:t>
            </w:r>
            <w:r w:rsidRPr="00514B9A">
              <w:rPr>
                <w:sz w:val="26"/>
                <w:szCs w:val="26"/>
                <w:lang w:eastAsia="en-US"/>
              </w:rPr>
              <w:t>,0</w:t>
            </w:r>
            <w:r w:rsidRPr="00514B9A">
              <w:rPr>
                <w:sz w:val="26"/>
                <w:szCs w:val="26"/>
                <w:lang w:val="uk-UA" w:eastAsia="en-US"/>
              </w:rPr>
              <w:t>3*</w:t>
            </w:r>
          </w:p>
          <w:p w:rsidR="00E3259F" w:rsidRPr="00514B9A" w:rsidRDefault="00E3259F" w:rsidP="00514B9A">
            <w:pPr>
              <w:spacing w:line="360" w:lineRule="auto"/>
              <w:rPr>
                <w:rFonts w:eastAsia="Calibri"/>
                <w:sz w:val="26"/>
                <w:szCs w:val="26"/>
                <w:lang w:eastAsia="en-US"/>
              </w:rPr>
            </w:pPr>
          </w:p>
        </w:tc>
        <w:tc>
          <w:tcPr>
            <w:tcW w:w="195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р</w:t>
            </w:r>
            <w:r w:rsidRPr="00514B9A">
              <w:rPr>
                <w:sz w:val="26"/>
                <w:szCs w:val="26"/>
                <w:vertAlign w:val="subscript"/>
                <w:lang w:eastAsia="en-US"/>
              </w:rPr>
              <w:t>1-2</w:t>
            </w:r>
            <w:r w:rsidRPr="00514B9A">
              <w:rPr>
                <w:sz w:val="26"/>
                <w:szCs w:val="26"/>
                <w:lang w:val="uk-UA" w:eastAsia="en-US"/>
              </w:rPr>
              <w:t>=0</w:t>
            </w:r>
            <w:r w:rsidRPr="00514B9A">
              <w:rPr>
                <w:sz w:val="26"/>
                <w:szCs w:val="26"/>
                <w:lang w:eastAsia="en-US"/>
              </w:rPr>
              <w:t>,0</w:t>
            </w:r>
            <w:r w:rsidRPr="00514B9A">
              <w:rPr>
                <w:sz w:val="26"/>
                <w:szCs w:val="26"/>
                <w:lang w:val="uk-UA" w:eastAsia="en-US"/>
              </w:rPr>
              <w:t>01</w:t>
            </w:r>
          </w:p>
          <w:p w:rsidR="00E3259F" w:rsidRPr="00514B9A" w:rsidRDefault="00E3259F" w:rsidP="00514B9A">
            <w:pPr>
              <w:spacing w:line="360" w:lineRule="auto"/>
              <w:rPr>
                <w:rFonts w:eastAsiaTheme="minorHAnsi"/>
                <w:sz w:val="26"/>
                <w:szCs w:val="26"/>
                <w:lang w:eastAsia="en-US"/>
              </w:rPr>
            </w:pPr>
            <w:r w:rsidRPr="00514B9A">
              <w:rPr>
                <w:sz w:val="26"/>
                <w:szCs w:val="26"/>
                <w:lang w:eastAsia="en-US"/>
              </w:rPr>
              <w:t>р</w:t>
            </w:r>
            <w:r w:rsidRPr="00514B9A">
              <w:rPr>
                <w:sz w:val="26"/>
                <w:szCs w:val="26"/>
                <w:vertAlign w:val="subscript"/>
                <w:lang w:eastAsia="en-US"/>
              </w:rPr>
              <w:t>1-3</w:t>
            </w:r>
            <w:r w:rsidRPr="00514B9A">
              <w:rPr>
                <w:sz w:val="26"/>
                <w:szCs w:val="26"/>
                <w:lang w:val="uk-UA" w:eastAsia="en-US"/>
              </w:rPr>
              <w:t>=0</w:t>
            </w:r>
            <w:r w:rsidRPr="00514B9A">
              <w:rPr>
                <w:sz w:val="26"/>
                <w:szCs w:val="26"/>
                <w:lang w:eastAsia="en-US"/>
              </w:rPr>
              <w:t>,</w:t>
            </w:r>
            <w:r w:rsidRPr="00514B9A">
              <w:rPr>
                <w:sz w:val="26"/>
                <w:szCs w:val="26"/>
                <w:lang w:val="uk-UA" w:eastAsia="en-US"/>
              </w:rPr>
              <w:t>009</w:t>
            </w:r>
          </w:p>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2-3</w:t>
            </w:r>
            <w:r w:rsidRPr="00514B9A">
              <w:rPr>
                <w:sz w:val="26"/>
                <w:szCs w:val="26"/>
                <w:lang w:val="uk-UA" w:eastAsia="en-US"/>
              </w:rPr>
              <w:t>&gt;0,05</w:t>
            </w:r>
          </w:p>
        </w:tc>
      </w:tr>
      <w:tr w:rsidR="00514B9A" w:rsidRPr="00514B9A" w:rsidTr="00514B9A">
        <w:tc>
          <w:tcPr>
            <w:tcW w:w="180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both"/>
              <w:rPr>
                <w:rStyle w:val="longtext10"/>
                <w:rFonts w:eastAsia="Calibri"/>
                <w:sz w:val="26"/>
                <w:szCs w:val="26"/>
                <w:lang w:val="uk-UA"/>
              </w:rPr>
            </w:pPr>
            <w:r w:rsidRPr="00514B9A">
              <w:rPr>
                <w:sz w:val="26"/>
                <w:szCs w:val="26"/>
                <w:lang w:eastAsia="en-US"/>
              </w:rPr>
              <w:t>ХС</w:t>
            </w:r>
            <w:r w:rsidRPr="00514B9A">
              <w:rPr>
                <w:sz w:val="26"/>
                <w:szCs w:val="26"/>
                <w:lang w:val="uk-UA" w:eastAsia="en-US"/>
              </w:rPr>
              <w:t xml:space="preserve"> </w:t>
            </w:r>
            <w:r w:rsidRPr="00514B9A">
              <w:rPr>
                <w:sz w:val="26"/>
                <w:szCs w:val="26"/>
                <w:lang w:eastAsia="en-US"/>
              </w:rPr>
              <w:t>ЛП</w:t>
            </w:r>
            <w:r w:rsidRPr="00514B9A">
              <w:rPr>
                <w:sz w:val="26"/>
                <w:szCs w:val="26"/>
                <w:lang w:val="uk-UA" w:eastAsia="en-US"/>
              </w:rPr>
              <w:t>Д</w:t>
            </w:r>
            <w:r w:rsidRPr="00514B9A">
              <w:rPr>
                <w:sz w:val="26"/>
                <w:szCs w:val="26"/>
                <w:lang w:eastAsia="en-US"/>
              </w:rPr>
              <w:t>НЩ</w:t>
            </w:r>
            <w:r w:rsidRPr="00514B9A">
              <w:rPr>
                <w:rStyle w:val="longtext10"/>
                <w:rFonts w:eastAsiaTheme="majorEastAsia"/>
                <w:sz w:val="26"/>
                <w:szCs w:val="26"/>
                <w:lang w:val="uk-UA" w:eastAsia="en-US"/>
              </w:rPr>
              <w:t>,</w:t>
            </w:r>
            <w:r w:rsidRPr="00514B9A">
              <w:rPr>
                <w:sz w:val="26"/>
                <w:szCs w:val="26"/>
                <w:lang w:val="uk-UA" w:eastAsia="en-US"/>
              </w:rPr>
              <w:t xml:space="preserve">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0,</w:t>
            </w:r>
            <w:r w:rsidRPr="00514B9A">
              <w:rPr>
                <w:sz w:val="26"/>
                <w:szCs w:val="26"/>
                <w:lang w:val="uk-UA" w:eastAsia="en-US"/>
              </w:rPr>
              <w:t>43</w:t>
            </w:r>
            <w:r w:rsidRPr="00514B9A">
              <w:rPr>
                <w:sz w:val="26"/>
                <w:szCs w:val="26"/>
                <w:lang w:eastAsia="en-US"/>
              </w:rPr>
              <w:t>± 0,</w:t>
            </w:r>
            <w:r w:rsidRPr="00514B9A">
              <w:rPr>
                <w:sz w:val="26"/>
                <w:szCs w:val="26"/>
                <w:lang w:val="uk-UA" w:eastAsia="en-US"/>
              </w:rPr>
              <w:t>01</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val="uk-UA" w:eastAsia="en-US"/>
              </w:rPr>
              <w:t>0</w:t>
            </w:r>
            <w:r w:rsidRPr="00514B9A">
              <w:rPr>
                <w:sz w:val="26"/>
                <w:szCs w:val="26"/>
                <w:lang w:eastAsia="en-US"/>
              </w:rPr>
              <w:t>,69±</w:t>
            </w:r>
            <w:r w:rsidRPr="00514B9A">
              <w:rPr>
                <w:sz w:val="26"/>
                <w:szCs w:val="26"/>
                <w:lang w:val="uk-UA" w:eastAsia="en-US"/>
              </w:rPr>
              <w:t>0</w:t>
            </w:r>
            <w:r w:rsidRPr="00514B9A">
              <w:rPr>
                <w:sz w:val="26"/>
                <w:szCs w:val="26"/>
                <w:lang w:eastAsia="en-US"/>
              </w:rPr>
              <w:t>,0</w:t>
            </w:r>
            <w:r w:rsidRPr="00514B9A">
              <w:rPr>
                <w:sz w:val="26"/>
                <w:szCs w:val="26"/>
                <w:lang w:val="uk-UA" w:eastAsia="en-US"/>
              </w:rPr>
              <w:t>3*</w:t>
            </w:r>
          </w:p>
        </w:tc>
        <w:tc>
          <w:tcPr>
            <w:tcW w:w="141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val="uk-UA" w:eastAsia="en-US"/>
              </w:rPr>
              <w:t>0</w:t>
            </w:r>
            <w:r w:rsidRPr="00514B9A">
              <w:rPr>
                <w:sz w:val="26"/>
                <w:szCs w:val="26"/>
                <w:lang w:eastAsia="en-US"/>
              </w:rPr>
              <w:t>,85±</w:t>
            </w:r>
            <w:r w:rsidRPr="00514B9A">
              <w:rPr>
                <w:sz w:val="26"/>
                <w:szCs w:val="26"/>
                <w:lang w:val="uk-UA" w:eastAsia="en-US"/>
              </w:rPr>
              <w:t>0</w:t>
            </w:r>
            <w:r w:rsidRPr="00514B9A">
              <w:rPr>
                <w:sz w:val="26"/>
                <w:szCs w:val="26"/>
                <w:lang w:eastAsia="en-US"/>
              </w:rPr>
              <w:t>,0</w:t>
            </w:r>
            <w:r w:rsidRPr="00514B9A">
              <w:rPr>
                <w:sz w:val="26"/>
                <w:szCs w:val="26"/>
                <w:lang w:val="uk-UA" w:eastAsia="en-US"/>
              </w:rPr>
              <w:t>4*</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val="uk-UA" w:eastAsia="en-US"/>
              </w:rPr>
            </w:pPr>
            <w:r w:rsidRPr="00514B9A">
              <w:rPr>
                <w:sz w:val="26"/>
                <w:szCs w:val="26"/>
                <w:lang w:val="uk-UA" w:eastAsia="en-US"/>
              </w:rPr>
              <w:t>0</w:t>
            </w:r>
            <w:r w:rsidRPr="00514B9A">
              <w:rPr>
                <w:sz w:val="26"/>
                <w:szCs w:val="26"/>
                <w:lang w:eastAsia="en-US"/>
              </w:rPr>
              <w:t>,8</w:t>
            </w:r>
            <w:r w:rsidRPr="00514B9A">
              <w:rPr>
                <w:sz w:val="26"/>
                <w:szCs w:val="26"/>
                <w:lang w:val="uk-UA" w:eastAsia="en-US"/>
              </w:rPr>
              <w:t>8</w:t>
            </w:r>
            <w:r w:rsidRPr="00514B9A">
              <w:rPr>
                <w:sz w:val="26"/>
                <w:szCs w:val="26"/>
                <w:lang w:eastAsia="en-US"/>
              </w:rPr>
              <w:t>±</w:t>
            </w:r>
            <w:r w:rsidRPr="00514B9A">
              <w:rPr>
                <w:sz w:val="26"/>
                <w:szCs w:val="26"/>
                <w:lang w:val="uk-UA" w:eastAsia="en-US"/>
              </w:rPr>
              <w:t>0</w:t>
            </w:r>
            <w:r w:rsidRPr="00514B9A">
              <w:rPr>
                <w:sz w:val="26"/>
                <w:szCs w:val="26"/>
                <w:lang w:eastAsia="en-US"/>
              </w:rPr>
              <w:t>,0</w:t>
            </w:r>
            <w:r w:rsidRPr="00514B9A">
              <w:rPr>
                <w:sz w:val="26"/>
                <w:szCs w:val="26"/>
                <w:lang w:val="uk-UA" w:eastAsia="en-US"/>
              </w:rPr>
              <w:t>5*</w:t>
            </w:r>
          </w:p>
        </w:tc>
        <w:tc>
          <w:tcPr>
            <w:tcW w:w="195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1-2</w:t>
            </w:r>
            <w:r w:rsidRPr="00514B9A">
              <w:rPr>
                <w:sz w:val="26"/>
                <w:szCs w:val="26"/>
                <w:lang w:val="uk-UA" w:eastAsia="en-US"/>
              </w:rPr>
              <w:t>=0</w:t>
            </w:r>
            <w:r w:rsidRPr="00514B9A">
              <w:rPr>
                <w:sz w:val="26"/>
                <w:szCs w:val="26"/>
                <w:lang w:eastAsia="en-US"/>
              </w:rPr>
              <w:t>,</w:t>
            </w:r>
            <w:r w:rsidRPr="00514B9A">
              <w:rPr>
                <w:sz w:val="26"/>
                <w:szCs w:val="26"/>
                <w:lang w:val="uk-UA" w:eastAsia="en-US"/>
              </w:rPr>
              <w:t>009</w:t>
            </w:r>
          </w:p>
          <w:p w:rsidR="00E3259F" w:rsidRPr="00514B9A" w:rsidRDefault="00E3259F" w:rsidP="00514B9A">
            <w:pPr>
              <w:spacing w:line="360" w:lineRule="auto"/>
              <w:rPr>
                <w:rFonts w:eastAsiaTheme="minorHAnsi"/>
                <w:sz w:val="26"/>
                <w:szCs w:val="26"/>
                <w:lang w:eastAsia="en-US"/>
              </w:rPr>
            </w:pPr>
            <w:r w:rsidRPr="00514B9A">
              <w:rPr>
                <w:sz w:val="26"/>
                <w:szCs w:val="26"/>
                <w:lang w:eastAsia="en-US"/>
              </w:rPr>
              <w:t>р</w:t>
            </w:r>
            <w:r w:rsidRPr="00514B9A">
              <w:rPr>
                <w:sz w:val="26"/>
                <w:szCs w:val="26"/>
                <w:vertAlign w:val="subscript"/>
                <w:lang w:eastAsia="en-US"/>
              </w:rPr>
              <w:t>1-3</w:t>
            </w:r>
            <w:r w:rsidRPr="00514B9A">
              <w:rPr>
                <w:sz w:val="26"/>
                <w:szCs w:val="26"/>
                <w:lang w:val="uk-UA" w:eastAsia="en-US"/>
              </w:rPr>
              <w:t>=</w:t>
            </w:r>
            <w:r w:rsidRPr="00514B9A">
              <w:rPr>
                <w:sz w:val="26"/>
                <w:szCs w:val="26"/>
                <w:lang w:eastAsia="en-US"/>
              </w:rPr>
              <w:t xml:space="preserve">0, </w:t>
            </w:r>
            <w:r w:rsidRPr="00514B9A">
              <w:rPr>
                <w:sz w:val="26"/>
                <w:szCs w:val="26"/>
                <w:lang w:val="uk-UA" w:eastAsia="en-US"/>
              </w:rPr>
              <w:t>004</w:t>
            </w:r>
          </w:p>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2-3</w:t>
            </w:r>
            <w:r w:rsidRPr="00514B9A">
              <w:rPr>
                <w:sz w:val="26"/>
                <w:szCs w:val="26"/>
                <w:lang w:val="uk-UA" w:eastAsia="en-US"/>
              </w:rPr>
              <w:t>&gt;0,05</w:t>
            </w:r>
          </w:p>
        </w:tc>
      </w:tr>
      <w:tr w:rsidR="00514B9A" w:rsidRPr="00514B9A" w:rsidTr="00514B9A">
        <w:tc>
          <w:tcPr>
            <w:tcW w:w="180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jc w:val="both"/>
              <w:rPr>
                <w:rFonts w:eastAsia="Calibri"/>
                <w:sz w:val="26"/>
                <w:szCs w:val="26"/>
                <w:lang w:eastAsia="en-US"/>
              </w:rPr>
            </w:pPr>
            <w:r w:rsidRPr="00514B9A">
              <w:rPr>
                <w:sz w:val="26"/>
                <w:szCs w:val="26"/>
                <w:lang w:eastAsia="en-US"/>
              </w:rPr>
              <w:t>ХС</w:t>
            </w:r>
            <w:r w:rsidRPr="00514B9A">
              <w:rPr>
                <w:sz w:val="26"/>
                <w:szCs w:val="26"/>
                <w:lang w:val="uk-UA" w:eastAsia="en-US"/>
              </w:rPr>
              <w:t xml:space="preserve"> </w:t>
            </w:r>
            <w:r w:rsidRPr="00514B9A">
              <w:rPr>
                <w:sz w:val="26"/>
                <w:szCs w:val="26"/>
                <w:lang w:eastAsia="en-US"/>
              </w:rPr>
              <w:t>ЛПНЩ</w:t>
            </w:r>
            <w:r w:rsidRPr="00514B9A">
              <w:rPr>
                <w:rStyle w:val="longtext10"/>
                <w:rFonts w:eastAsiaTheme="majorEastAsia"/>
                <w:sz w:val="26"/>
                <w:szCs w:val="26"/>
                <w:lang w:val="uk-UA" w:eastAsia="en-US"/>
              </w:rPr>
              <w:t>,</w:t>
            </w:r>
            <w:r w:rsidRPr="00514B9A">
              <w:rPr>
                <w:sz w:val="26"/>
                <w:szCs w:val="26"/>
                <w:lang w:val="uk-UA" w:eastAsia="en-US"/>
              </w:rPr>
              <w:t xml:space="preserve">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2,6</w:t>
            </w:r>
            <w:r w:rsidRPr="00514B9A">
              <w:rPr>
                <w:sz w:val="26"/>
                <w:szCs w:val="26"/>
                <w:lang w:val="uk-UA" w:eastAsia="en-US"/>
              </w:rPr>
              <w:t>8</w:t>
            </w:r>
            <w:r w:rsidRPr="00514B9A">
              <w:rPr>
                <w:sz w:val="26"/>
                <w:szCs w:val="26"/>
                <w:lang w:eastAsia="en-US"/>
              </w:rPr>
              <w:t>±0,</w:t>
            </w:r>
            <w:r w:rsidRPr="00514B9A">
              <w:rPr>
                <w:sz w:val="26"/>
                <w:szCs w:val="26"/>
                <w:lang w:val="uk-UA" w:eastAsia="en-US"/>
              </w:rPr>
              <w:t>04</w:t>
            </w:r>
          </w:p>
        </w:tc>
        <w:tc>
          <w:tcPr>
            <w:tcW w:w="1417"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3,7</w:t>
            </w:r>
            <w:r w:rsidRPr="00514B9A">
              <w:rPr>
                <w:sz w:val="26"/>
                <w:szCs w:val="26"/>
                <w:lang w:val="uk-UA" w:eastAsia="en-US"/>
              </w:rPr>
              <w:t>8</w:t>
            </w:r>
            <w:r w:rsidRPr="00514B9A">
              <w:rPr>
                <w:sz w:val="26"/>
                <w:szCs w:val="26"/>
                <w:lang w:eastAsia="en-US"/>
              </w:rPr>
              <w:t>±0,</w:t>
            </w:r>
            <w:r w:rsidRPr="00514B9A">
              <w:rPr>
                <w:sz w:val="26"/>
                <w:szCs w:val="26"/>
                <w:lang w:val="uk-UA" w:eastAsia="en-US"/>
              </w:rPr>
              <w:t>14*</w:t>
            </w:r>
          </w:p>
        </w:tc>
        <w:tc>
          <w:tcPr>
            <w:tcW w:w="1418"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3,2</w:t>
            </w:r>
            <w:r w:rsidRPr="00514B9A">
              <w:rPr>
                <w:sz w:val="26"/>
                <w:szCs w:val="26"/>
                <w:lang w:val="uk-UA" w:eastAsia="en-US"/>
              </w:rPr>
              <w:t>1</w:t>
            </w:r>
            <w:r w:rsidRPr="00514B9A">
              <w:rPr>
                <w:sz w:val="26"/>
                <w:szCs w:val="26"/>
                <w:lang w:eastAsia="en-US"/>
              </w:rPr>
              <w:t>±</w:t>
            </w:r>
            <w:r w:rsidRPr="00514B9A">
              <w:rPr>
                <w:sz w:val="26"/>
                <w:szCs w:val="26"/>
                <w:lang w:val="uk-UA" w:eastAsia="en-US"/>
              </w:rPr>
              <w:t>0</w:t>
            </w:r>
            <w:r w:rsidRPr="00514B9A">
              <w:rPr>
                <w:sz w:val="26"/>
                <w:szCs w:val="26"/>
                <w:lang w:eastAsia="en-US"/>
              </w:rPr>
              <w:t>,</w:t>
            </w:r>
            <w:r w:rsidRPr="00514B9A">
              <w:rPr>
                <w:sz w:val="26"/>
                <w:szCs w:val="26"/>
                <w:lang w:val="uk-UA" w:eastAsia="en-US"/>
              </w:rPr>
              <w:t>11*</w:t>
            </w:r>
          </w:p>
        </w:tc>
        <w:tc>
          <w:tcPr>
            <w:tcW w:w="1417" w:type="dxa"/>
            <w:tcBorders>
              <w:top w:val="single" w:sz="4" w:space="0" w:color="auto"/>
              <w:left w:val="single" w:sz="4" w:space="0" w:color="auto"/>
              <w:bottom w:val="single" w:sz="4" w:space="0" w:color="auto"/>
              <w:right w:val="single" w:sz="4" w:space="0" w:color="auto"/>
            </w:tcBorders>
          </w:tcPr>
          <w:p w:rsidR="00E3259F" w:rsidRPr="00514B9A" w:rsidRDefault="00E3259F" w:rsidP="00514B9A">
            <w:pPr>
              <w:spacing w:line="360" w:lineRule="auto"/>
              <w:rPr>
                <w:rFonts w:eastAsia="Calibri"/>
                <w:sz w:val="26"/>
                <w:szCs w:val="26"/>
                <w:lang w:val="uk-UA" w:eastAsia="en-US"/>
              </w:rPr>
            </w:pPr>
            <w:r w:rsidRPr="00514B9A">
              <w:rPr>
                <w:sz w:val="26"/>
                <w:szCs w:val="26"/>
                <w:lang w:eastAsia="en-US"/>
              </w:rPr>
              <w:t>3,54±</w:t>
            </w:r>
            <w:r w:rsidRPr="00514B9A">
              <w:rPr>
                <w:sz w:val="26"/>
                <w:szCs w:val="26"/>
                <w:lang w:val="uk-UA" w:eastAsia="en-US"/>
              </w:rPr>
              <w:t>0</w:t>
            </w:r>
            <w:r w:rsidRPr="00514B9A">
              <w:rPr>
                <w:sz w:val="26"/>
                <w:szCs w:val="26"/>
                <w:lang w:eastAsia="en-US"/>
              </w:rPr>
              <w:t>,1</w:t>
            </w:r>
            <w:r w:rsidRPr="00514B9A">
              <w:rPr>
                <w:sz w:val="26"/>
                <w:szCs w:val="26"/>
                <w:lang w:val="uk-UA" w:eastAsia="en-US"/>
              </w:rPr>
              <w:t>1*</w:t>
            </w:r>
          </w:p>
          <w:p w:rsidR="00E3259F" w:rsidRPr="00514B9A" w:rsidRDefault="00E3259F" w:rsidP="00514B9A">
            <w:pPr>
              <w:spacing w:line="360" w:lineRule="auto"/>
              <w:rPr>
                <w:rFonts w:eastAsia="Calibri"/>
                <w:sz w:val="26"/>
                <w:szCs w:val="26"/>
                <w:lang w:eastAsia="en-US"/>
              </w:rPr>
            </w:pPr>
          </w:p>
        </w:tc>
        <w:tc>
          <w:tcPr>
            <w:tcW w:w="1950" w:type="dxa"/>
            <w:tcBorders>
              <w:top w:val="single" w:sz="4" w:space="0" w:color="auto"/>
              <w:left w:val="single" w:sz="4" w:space="0" w:color="auto"/>
              <w:bottom w:val="single" w:sz="4" w:space="0" w:color="auto"/>
              <w:right w:val="single" w:sz="4" w:space="0" w:color="auto"/>
            </w:tcBorders>
            <w:hideMark/>
          </w:tcPr>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1-2</w:t>
            </w:r>
            <w:r w:rsidRPr="00514B9A">
              <w:rPr>
                <w:sz w:val="26"/>
                <w:szCs w:val="26"/>
                <w:lang w:val="uk-UA" w:eastAsia="en-US"/>
              </w:rPr>
              <w:t>=0</w:t>
            </w:r>
            <w:r w:rsidRPr="00514B9A">
              <w:rPr>
                <w:sz w:val="26"/>
                <w:szCs w:val="26"/>
                <w:lang w:eastAsia="en-US"/>
              </w:rPr>
              <w:t>,</w:t>
            </w:r>
            <w:r w:rsidRPr="00514B9A">
              <w:rPr>
                <w:sz w:val="26"/>
                <w:szCs w:val="26"/>
                <w:lang w:val="uk-UA" w:eastAsia="en-US"/>
              </w:rPr>
              <w:t>002</w:t>
            </w:r>
          </w:p>
          <w:p w:rsidR="00E3259F" w:rsidRPr="00514B9A" w:rsidRDefault="00E3259F" w:rsidP="00514B9A">
            <w:pPr>
              <w:spacing w:line="360" w:lineRule="auto"/>
              <w:rPr>
                <w:rFonts w:eastAsiaTheme="minorHAnsi"/>
                <w:sz w:val="26"/>
                <w:szCs w:val="26"/>
                <w:lang w:val="uk-UA" w:eastAsia="en-US"/>
              </w:rPr>
            </w:pPr>
            <w:r w:rsidRPr="00514B9A">
              <w:rPr>
                <w:sz w:val="26"/>
                <w:szCs w:val="26"/>
                <w:lang w:eastAsia="en-US"/>
              </w:rPr>
              <w:t>р</w:t>
            </w:r>
            <w:r w:rsidRPr="00514B9A">
              <w:rPr>
                <w:sz w:val="26"/>
                <w:szCs w:val="26"/>
                <w:vertAlign w:val="subscript"/>
                <w:lang w:eastAsia="en-US"/>
              </w:rPr>
              <w:t>1-3</w:t>
            </w:r>
            <w:r w:rsidRPr="00514B9A">
              <w:rPr>
                <w:sz w:val="26"/>
                <w:szCs w:val="26"/>
                <w:lang w:val="uk-UA" w:eastAsia="en-US"/>
              </w:rPr>
              <w:t>&gt;0,05</w:t>
            </w:r>
          </w:p>
          <w:p w:rsidR="00E3259F" w:rsidRPr="00514B9A" w:rsidRDefault="00E3259F" w:rsidP="00514B9A">
            <w:pPr>
              <w:spacing w:line="360" w:lineRule="auto"/>
              <w:rPr>
                <w:rFonts w:eastAsia="Calibri"/>
                <w:sz w:val="26"/>
                <w:szCs w:val="26"/>
                <w:lang w:eastAsia="en-US"/>
              </w:rPr>
            </w:pPr>
            <w:r w:rsidRPr="00514B9A">
              <w:rPr>
                <w:sz w:val="26"/>
                <w:szCs w:val="26"/>
                <w:lang w:eastAsia="en-US"/>
              </w:rPr>
              <w:t>р</w:t>
            </w:r>
            <w:r w:rsidRPr="00514B9A">
              <w:rPr>
                <w:sz w:val="26"/>
                <w:szCs w:val="26"/>
                <w:vertAlign w:val="subscript"/>
                <w:lang w:eastAsia="en-US"/>
              </w:rPr>
              <w:t>2-3</w:t>
            </w:r>
            <w:r w:rsidRPr="00514B9A">
              <w:rPr>
                <w:sz w:val="26"/>
                <w:szCs w:val="26"/>
                <w:lang w:val="uk-UA" w:eastAsia="en-US"/>
              </w:rPr>
              <w:t>=</w:t>
            </w:r>
            <w:r w:rsidRPr="00514B9A">
              <w:rPr>
                <w:sz w:val="26"/>
                <w:szCs w:val="26"/>
                <w:lang w:eastAsia="en-US"/>
              </w:rPr>
              <w:t>0,</w:t>
            </w:r>
            <w:r w:rsidRPr="00514B9A">
              <w:rPr>
                <w:sz w:val="26"/>
                <w:szCs w:val="26"/>
                <w:lang w:val="uk-UA" w:eastAsia="en-US"/>
              </w:rPr>
              <w:t>048</w:t>
            </w:r>
          </w:p>
        </w:tc>
      </w:tr>
    </w:tbl>
    <w:p w:rsidR="00E3259F" w:rsidRPr="00514B9A" w:rsidRDefault="00E3259F" w:rsidP="00E3259F">
      <w:pPr>
        <w:spacing w:line="360" w:lineRule="auto"/>
        <w:jc w:val="both"/>
        <w:rPr>
          <w:rFonts w:asciiTheme="minorHAnsi" w:hAnsiTheme="minorHAnsi" w:cstheme="minorBidi"/>
          <w:sz w:val="28"/>
          <w:szCs w:val="28"/>
          <w:lang w:val="uk-UA" w:eastAsia="en-US"/>
        </w:rPr>
      </w:pPr>
      <w:r w:rsidRPr="00514B9A">
        <w:rPr>
          <w:sz w:val="28"/>
          <w:szCs w:val="28"/>
          <w:lang w:val="uk-UA"/>
        </w:rPr>
        <w:t>Примітка: * - р&lt;0,001 – рівень значущості відмінностей у порівнянні з контрольною групою, р</w:t>
      </w:r>
      <w:r w:rsidRPr="00514B9A">
        <w:rPr>
          <w:sz w:val="28"/>
          <w:szCs w:val="28"/>
          <w:vertAlign w:val="subscript"/>
          <w:lang w:val="uk-UA"/>
        </w:rPr>
        <w:t>1-2 -</w:t>
      </w:r>
      <w:r w:rsidRPr="00514B9A">
        <w:rPr>
          <w:sz w:val="28"/>
          <w:szCs w:val="28"/>
          <w:lang w:val="uk-UA"/>
        </w:rPr>
        <w:t xml:space="preserve">  рівень значущості відмінностей при порівнянні  групи 1 та 2, р</w:t>
      </w:r>
      <w:r w:rsidRPr="00514B9A">
        <w:rPr>
          <w:sz w:val="28"/>
          <w:szCs w:val="28"/>
          <w:vertAlign w:val="subscript"/>
          <w:lang w:val="uk-UA"/>
        </w:rPr>
        <w:t xml:space="preserve">1-3 - </w:t>
      </w:r>
      <w:r w:rsidRPr="00514B9A">
        <w:rPr>
          <w:sz w:val="28"/>
          <w:szCs w:val="28"/>
          <w:lang w:val="uk-UA"/>
        </w:rPr>
        <w:t>рівень значущості відмінностей при порівнянні  групи 1 та 3, р</w:t>
      </w:r>
      <w:r w:rsidRPr="00514B9A">
        <w:rPr>
          <w:sz w:val="28"/>
          <w:szCs w:val="28"/>
          <w:vertAlign w:val="subscript"/>
          <w:lang w:val="uk-UA"/>
        </w:rPr>
        <w:t>2-3</w:t>
      </w:r>
      <w:r w:rsidRPr="00514B9A">
        <w:rPr>
          <w:sz w:val="28"/>
          <w:szCs w:val="28"/>
          <w:lang w:val="uk-UA"/>
        </w:rPr>
        <w:t xml:space="preserve"> - рівень значущості відмінностей при порівнянні групи 2 та 3</w:t>
      </w:r>
    </w:p>
    <w:p w:rsidR="00E3259F" w:rsidRDefault="00E3259F" w:rsidP="00E3259F">
      <w:pPr>
        <w:pStyle w:val="1"/>
        <w:shd w:val="clear" w:color="auto" w:fill="FFFFFF"/>
        <w:spacing w:before="0" w:beforeAutospacing="0" w:after="0" w:afterAutospacing="0" w:line="276" w:lineRule="auto"/>
        <w:jc w:val="both"/>
        <w:rPr>
          <w:b w:val="0"/>
          <w:sz w:val="28"/>
          <w:szCs w:val="28"/>
          <w:lang w:val="uk-UA"/>
        </w:rPr>
      </w:pPr>
    </w:p>
    <w:p w:rsidR="00E3259F" w:rsidRPr="00514B9A" w:rsidRDefault="00E3259F" w:rsidP="00E3259F">
      <w:pPr>
        <w:pStyle w:val="1"/>
        <w:shd w:val="clear" w:color="auto" w:fill="FFFFFF"/>
        <w:spacing w:before="0" w:beforeAutospacing="0" w:after="0" w:afterAutospacing="0" w:line="360" w:lineRule="auto"/>
        <w:ind w:firstLine="709"/>
        <w:jc w:val="both"/>
        <w:rPr>
          <w:rFonts w:eastAsiaTheme="minorHAnsi"/>
          <w:b w:val="0"/>
          <w:sz w:val="28"/>
          <w:szCs w:val="28"/>
          <w:lang w:val="uk-UA" w:eastAsia="en-US"/>
        </w:rPr>
      </w:pPr>
      <w:r w:rsidRPr="00514B9A">
        <w:rPr>
          <w:b w:val="0"/>
          <w:sz w:val="28"/>
          <w:szCs w:val="28"/>
          <w:lang w:val="uk-UA"/>
        </w:rPr>
        <w:t>Наявність СГТ не призводила до достовірних відмінностей рівней ХС ЛПВЩ при порівнянні між собою груп пацієнтів з коморбідною патологією (</w:t>
      </w:r>
      <w:r w:rsidRPr="00514B9A">
        <w:rPr>
          <w:b w:val="0"/>
          <w:sz w:val="28"/>
          <w:szCs w:val="28"/>
          <w:lang w:val="uk-UA" w:eastAsia="en-US"/>
        </w:rPr>
        <w:t>р</w:t>
      </w:r>
      <w:r w:rsidRPr="00514B9A">
        <w:rPr>
          <w:b w:val="0"/>
          <w:sz w:val="28"/>
          <w:szCs w:val="28"/>
          <w:vertAlign w:val="subscript"/>
          <w:lang w:val="uk-UA" w:eastAsia="en-US"/>
        </w:rPr>
        <w:t>2-3</w:t>
      </w:r>
      <w:r w:rsidRPr="00514B9A">
        <w:rPr>
          <w:b w:val="0"/>
          <w:sz w:val="28"/>
          <w:szCs w:val="28"/>
          <w:lang w:val="uk-UA"/>
        </w:rPr>
        <w:t>&gt;0,05</w:t>
      </w:r>
      <w:r w:rsidRPr="00514B9A">
        <w:rPr>
          <w:b w:val="0"/>
          <w:sz w:val="28"/>
          <w:szCs w:val="28"/>
          <w:lang w:val="uk-UA" w:eastAsia="en-US"/>
        </w:rPr>
        <w:t>). Статистично значущі</w:t>
      </w:r>
      <w:r w:rsidRPr="00514B9A">
        <w:rPr>
          <w:b w:val="0"/>
          <w:sz w:val="28"/>
          <w:szCs w:val="28"/>
          <w:lang w:val="uk-UA"/>
        </w:rPr>
        <w:t xml:space="preserve"> відмінності рівнів ХС ЛПДНЩ спостерігалися між групою пацієнтів із ізольованою ГХ та групами пацієнтів з поєднаним перебігом ГХ та ЦД 2 типу незалежно від функціонального стану ЩЗ (</w:t>
      </w:r>
      <w:r w:rsidRPr="00514B9A">
        <w:rPr>
          <w:b w:val="0"/>
          <w:sz w:val="28"/>
          <w:szCs w:val="28"/>
          <w:lang w:val="uk-UA" w:eastAsia="en-US"/>
        </w:rPr>
        <w:t>р</w:t>
      </w:r>
      <w:r w:rsidRPr="00514B9A">
        <w:rPr>
          <w:b w:val="0"/>
          <w:sz w:val="28"/>
          <w:szCs w:val="28"/>
          <w:vertAlign w:val="subscript"/>
          <w:lang w:val="uk-UA" w:eastAsia="en-US"/>
        </w:rPr>
        <w:t>1-2</w:t>
      </w:r>
      <w:r w:rsidRPr="00514B9A">
        <w:rPr>
          <w:b w:val="0"/>
          <w:sz w:val="28"/>
          <w:szCs w:val="28"/>
          <w:lang w:val="uk-UA" w:eastAsia="en-US"/>
        </w:rPr>
        <w:t>=0,009, р</w:t>
      </w:r>
      <w:r w:rsidRPr="00514B9A">
        <w:rPr>
          <w:b w:val="0"/>
          <w:sz w:val="28"/>
          <w:szCs w:val="28"/>
          <w:vertAlign w:val="subscript"/>
          <w:lang w:val="uk-UA" w:eastAsia="en-US"/>
        </w:rPr>
        <w:t>1-3</w:t>
      </w:r>
      <w:r w:rsidRPr="00514B9A">
        <w:rPr>
          <w:b w:val="0"/>
          <w:sz w:val="28"/>
          <w:szCs w:val="28"/>
          <w:lang w:val="uk-UA" w:eastAsia="en-US"/>
        </w:rPr>
        <w:t>=0, 004). Між групами з коморбідною патологією достовірних відмінностей  в рівнях ХС ЛПДНЩ знайдено не було (</w:t>
      </w:r>
      <w:r w:rsidRPr="00514B9A">
        <w:rPr>
          <w:b w:val="0"/>
          <w:sz w:val="28"/>
          <w:szCs w:val="28"/>
          <w:lang w:val="uk-UA"/>
        </w:rPr>
        <w:t>р&gt;0,05</w:t>
      </w:r>
      <w:r w:rsidRPr="00514B9A">
        <w:rPr>
          <w:b w:val="0"/>
          <w:sz w:val="28"/>
          <w:szCs w:val="28"/>
          <w:lang w:val="uk-UA" w:eastAsia="en-US"/>
        </w:rPr>
        <w:t>).</w:t>
      </w:r>
    </w:p>
    <w:p w:rsidR="00E3259F" w:rsidRPr="00514B9A" w:rsidRDefault="00E3259F" w:rsidP="00E3259F">
      <w:pPr>
        <w:spacing w:line="360" w:lineRule="auto"/>
        <w:ind w:firstLine="709"/>
        <w:jc w:val="both"/>
        <w:rPr>
          <w:b/>
          <w:sz w:val="28"/>
          <w:szCs w:val="28"/>
          <w:lang w:val="uk-UA"/>
        </w:rPr>
      </w:pPr>
      <w:r w:rsidRPr="00514B9A">
        <w:rPr>
          <w:sz w:val="28"/>
          <w:szCs w:val="28"/>
          <w:lang w:val="uk-UA"/>
        </w:rPr>
        <w:t>Пацієнти з ізольованою ГХ мали найбільші рівні ХС ЛПНЩ, але достовірні відмінності були виявлені лише при порівнянні з групою 2                  (</w:t>
      </w:r>
      <w:r w:rsidRPr="00514B9A">
        <w:rPr>
          <w:sz w:val="28"/>
          <w:szCs w:val="28"/>
          <w:lang w:val="uk-UA" w:eastAsia="en-US"/>
        </w:rPr>
        <w:t>р</w:t>
      </w:r>
      <w:r w:rsidRPr="00514B9A">
        <w:rPr>
          <w:sz w:val="28"/>
          <w:szCs w:val="28"/>
          <w:vertAlign w:val="subscript"/>
          <w:lang w:val="uk-UA" w:eastAsia="en-US"/>
        </w:rPr>
        <w:t>1-2</w:t>
      </w:r>
      <w:r w:rsidRPr="00514B9A">
        <w:rPr>
          <w:sz w:val="28"/>
          <w:szCs w:val="28"/>
          <w:lang w:val="uk-UA" w:eastAsia="en-US"/>
        </w:rPr>
        <w:t>=0,002, р</w:t>
      </w:r>
      <w:r w:rsidRPr="00514B9A">
        <w:rPr>
          <w:sz w:val="28"/>
          <w:szCs w:val="28"/>
          <w:vertAlign w:val="subscript"/>
          <w:lang w:val="uk-UA" w:eastAsia="en-US"/>
        </w:rPr>
        <w:t>1-3</w:t>
      </w:r>
      <w:r w:rsidRPr="00514B9A">
        <w:rPr>
          <w:sz w:val="28"/>
          <w:szCs w:val="28"/>
          <w:lang w:val="uk-UA" w:eastAsia="en-US"/>
        </w:rPr>
        <w:t xml:space="preserve">&gt;0,05). </w:t>
      </w:r>
      <w:r w:rsidRPr="00514B9A">
        <w:rPr>
          <w:sz w:val="28"/>
          <w:szCs w:val="28"/>
          <w:lang w:val="uk-UA"/>
        </w:rPr>
        <w:t>При коморбідній патології, за наявністю СГТ, спостерігалися достовірно більш високі рівні ХС ЛПНЩ порівняно з хворими без порушення функції ЩЗ (</w:t>
      </w:r>
      <w:r w:rsidRPr="00514B9A">
        <w:rPr>
          <w:sz w:val="28"/>
          <w:szCs w:val="28"/>
          <w:lang w:val="uk-UA" w:eastAsia="en-US"/>
        </w:rPr>
        <w:t>р</w:t>
      </w:r>
      <w:r w:rsidRPr="00514B9A">
        <w:rPr>
          <w:sz w:val="28"/>
          <w:szCs w:val="28"/>
          <w:vertAlign w:val="subscript"/>
          <w:lang w:val="uk-UA" w:eastAsia="en-US"/>
        </w:rPr>
        <w:t>2-3</w:t>
      </w:r>
      <w:r w:rsidRPr="00514B9A">
        <w:rPr>
          <w:sz w:val="28"/>
          <w:szCs w:val="28"/>
          <w:lang w:val="uk-UA" w:eastAsia="en-US"/>
        </w:rPr>
        <w:t>=0,048)</w:t>
      </w:r>
      <w:r w:rsidRPr="00514B9A">
        <w:rPr>
          <w:sz w:val="28"/>
          <w:szCs w:val="28"/>
          <w:lang w:val="uk-UA"/>
        </w:rPr>
        <w:t>. Отже наявність СГТ поглиблює ступінь атерогенної дисліпідемії у хворих з поєднаним перебігом ГХ та ЦД 2 типу, що підтверджує існуючі дані про наявність атерогенної дисліпідемії на тлі гіпофункції ЩЗ як фактора ризику прогресування атеросклерозу і, відповідно, ризику розвитку його ускладнень [16,220].</w:t>
      </w:r>
    </w:p>
    <w:p w:rsidR="00E3259F" w:rsidRDefault="00E3259F" w:rsidP="00E3259F">
      <w:pPr>
        <w:pStyle w:val="1"/>
        <w:shd w:val="clear" w:color="auto" w:fill="FFFFFF"/>
        <w:spacing w:before="0" w:beforeAutospacing="0" w:after="0" w:afterAutospacing="0" w:line="360" w:lineRule="auto"/>
        <w:ind w:firstLine="709"/>
        <w:jc w:val="both"/>
        <w:rPr>
          <w:b w:val="0"/>
          <w:color w:val="000000"/>
          <w:sz w:val="28"/>
          <w:szCs w:val="28"/>
          <w:lang w:val="uk-UA"/>
        </w:rPr>
      </w:pPr>
      <w:r w:rsidRPr="00514B9A">
        <w:rPr>
          <w:b w:val="0"/>
          <w:sz w:val="28"/>
          <w:szCs w:val="28"/>
          <w:lang w:val="uk-UA"/>
        </w:rPr>
        <w:t xml:space="preserve">Наявність зв'язку між виразністю дисфункції ЩЗ і кардіоваскулярними змінами продемонстровано в багатьох дослідженнях. Однак незаперечний консенсус досягнутий лише щодо факту високої клінічної та прогностичної ролі при рівні ТТГ понад 10 мкМОд/мл. Питання про роль СГТ при рівні ТТГ менш 10 мкОД/мл залишається відкритим. </w:t>
      </w:r>
      <w:r w:rsidRPr="00514B9A">
        <w:rPr>
          <w:b w:val="0"/>
          <w:color w:val="000000"/>
          <w:sz w:val="28"/>
          <w:szCs w:val="28"/>
          <w:lang w:val="uk-UA"/>
        </w:rPr>
        <w:t xml:space="preserve">Існують нечисленні роботи, у яких фігурують рівні ТТГ в 6-7 мкОД/мл як порогові з точки зору серцево-судинного ризику, оскільки є дані про більш високу частоту ІХС і загальної смертності в цієї </w:t>
      </w:r>
      <w:r w:rsidRPr="00514B9A">
        <w:rPr>
          <w:b w:val="0"/>
          <w:sz w:val="28"/>
          <w:szCs w:val="28"/>
          <w:lang w:val="uk-UA"/>
        </w:rPr>
        <w:t>когорти</w:t>
      </w:r>
      <w:r w:rsidRPr="00514B9A">
        <w:rPr>
          <w:b w:val="0"/>
          <w:color w:val="FF0000"/>
          <w:sz w:val="28"/>
          <w:szCs w:val="28"/>
          <w:lang w:val="uk-UA"/>
        </w:rPr>
        <w:t xml:space="preserve"> </w:t>
      </w:r>
      <w:r w:rsidRPr="00514B9A">
        <w:rPr>
          <w:b w:val="0"/>
          <w:color w:val="000000"/>
          <w:sz w:val="28"/>
          <w:szCs w:val="28"/>
          <w:lang w:val="uk-UA"/>
        </w:rPr>
        <w:t>пацієнтів [279]. Оскільки</w:t>
      </w:r>
      <w:r>
        <w:rPr>
          <w:b w:val="0"/>
          <w:color w:val="000000"/>
          <w:sz w:val="28"/>
          <w:szCs w:val="28"/>
          <w:lang w:val="uk-UA"/>
        </w:rPr>
        <w:t xml:space="preserve"> визначення порогового рівня ТТГ, при входженні в який ймовірність серцево-судинних порушень стає значущою, є актуальним завданням, у цій роботі досліджувані показники розглядалися зокрема й щодо рівня ТТГ 6-7 мкМОд/мл. </w:t>
      </w:r>
    </w:p>
    <w:p w:rsidR="00E3259F" w:rsidRPr="00514B9A" w:rsidRDefault="00E3259F" w:rsidP="00514B9A">
      <w:pPr>
        <w:pStyle w:val="1"/>
        <w:shd w:val="clear" w:color="auto" w:fill="FFFFFF"/>
        <w:spacing w:before="0" w:beforeAutospacing="0" w:after="0" w:afterAutospacing="0" w:line="360" w:lineRule="auto"/>
        <w:ind w:firstLine="709"/>
        <w:jc w:val="both"/>
        <w:rPr>
          <w:b w:val="0"/>
          <w:sz w:val="28"/>
          <w:szCs w:val="28"/>
          <w:lang w:val="uk-UA"/>
        </w:rPr>
      </w:pPr>
      <w:r w:rsidRPr="00514B9A">
        <w:rPr>
          <w:b w:val="0"/>
          <w:sz w:val="28"/>
          <w:szCs w:val="28"/>
          <w:lang w:val="uk-UA"/>
        </w:rPr>
        <w:t xml:space="preserve">Як було зазначено, з урахуванням суперечливих даних щодо посилення більшості властивих СГТ порушень за мірою збільшення ТТГ, </w:t>
      </w:r>
      <w:r w:rsidRPr="00514B9A">
        <w:rPr>
          <w:b w:val="0"/>
          <w:sz w:val="28"/>
          <w:szCs w:val="28"/>
          <w:shd w:val="clear" w:color="auto" w:fill="FFFFFF"/>
          <w:lang w:val="uk-UA"/>
        </w:rPr>
        <w:t xml:space="preserve">було проведено більш детальний аналіз показників ліпідного обміну, залежно від рівня ТТГ </w:t>
      </w:r>
      <w:r w:rsidRPr="00514B9A">
        <w:rPr>
          <w:b w:val="0"/>
          <w:sz w:val="28"/>
          <w:szCs w:val="28"/>
          <w:lang w:val="uk-UA"/>
        </w:rPr>
        <w:t>(Таблиця 3.2).</w:t>
      </w:r>
    </w:p>
    <w:p w:rsidR="00E3259F" w:rsidRPr="00514B9A" w:rsidRDefault="00E3259F" w:rsidP="00E3259F">
      <w:pPr>
        <w:spacing w:line="360" w:lineRule="auto"/>
        <w:ind w:firstLine="709"/>
        <w:jc w:val="right"/>
        <w:rPr>
          <w:sz w:val="28"/>
          <w:szCs w:val="28"/>
          <w:lang w:val="uk-UA"/>
        </w:rPr>
      </w:pPr>
      <w:r w:rsidRPr="00514B9A">
        <w:rPr>
          <w:sz w:val="28"/>
          <w:szCs w:val="28"/>
          <w:lang w:val="uk-UA"/>
        </w:rPr>
        <w:t>Таблиця 3.2</w:t>
      </w:r>
    </w:p>
    <w:p w:rsidR="00E3259F" w:rsidRPr="00514B9A" w:rsidRDefault="00E3259F" w:rsidP="00E3259F">
      <w:pPr>
        <w:spacing w:line="360" w:lineRule="auto"/>
        <w:ind w:firstLine="709"/>
        <w:jc w:val="center"/>
        <w:rPr>
          <w:sz w:val="28"/>
          <w:szCs w:val="28"/>
          <w:lang w:val="uk-UA"/>
        </w:rPr>
      </w:pPr>
      <w:r w:rsidRPr="00514B9A">
        <w:rPr>
          <w:sz w:val="28"/>
          <w:szCs w:val="28"/>
          <w:lang w:val="uk-UA"/>
        </w:rPr>
        <w:t>Порівняльна характеристика показників ліпідного спектру між пацієнтами  на гіпертонічну хворобу, цукровий діабет 2 типу та субклінічний гіпотиреозом з урахуванням рівня ТТГ, (</w:t>
      </w:r>
      <w:r w:rsidRPr="00514B9A">
        <w:rPr>
          <w:sz w:val="28"/>
          <w:szCs w:val="28"/>
          <w:lang w:val="en-US"/>
        </w:rPr>
        <w:t>M</w:t>
      </w:r>
      <w:r w:rsidRPr="00514B9A">
        <w:rPr>
          <w:sz w:val="28"/>
          <w:szCs w:val="28"/>
          <w:lang w:val="uk-UA"/>
        </w:rPr>
        <w:t>±</w:t>
      </w:r>
      <w:r w:rsidRPr="00514B9A">
        <w:rPr>
          <w:sz w:val="28"/>
          <w:szCs w:val="28"/>
          <w:lang w:val="en-US"/>
        </w:rPr>
        <w:t>m</w:t>
      </w:r>
      <w:r w:rsidRPr="00514B9A">
        <w:rPr>
          <w:sz w:val="28"/>
          <w:szCs w:val="28"/>
          <w:lang w:val="uk-UA"/>
        </w:rPr>
        <w:t>)</w:t>
      </w:r>
    </w:p>
    <w:tbl>
      <w:tblPr>
        <w:tblW w:w="0" w:type="auto"/>
        <w:tblLayout w:type="fixed"/>
        <w:tblLook w:val="04A0" w:firstRow="1" w:lastRow="0" w:firstColumn="1" w:lastColumn="0" w:noHBand="0" w:noVBand="1"/>
      </w:tblPr>
      <w:tblGrid>
        <w:gridCol w:w="2942"/>
        <w:gridCol w:w="2552"/>
        <w:gridCol w:w="2411"/>
        <w:gridCol w:w="1665"/>
      </w:tblGrid>
      <w:tr w:rsidR="001A58B0" w:rsidRPr="001A58B0" w:rsidTr="001A58B0">
        <w:tc>
          <w:tcPr>
            <w:tcW w:w="294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val="uk-UA" w:eastAsia="en-US"/>
              </w:rPr>
            </w:pPr>
            <w:r w:rsidRPr="001A58B0">
              <w:rPr>
                <w:sz w:val="28"/>
                <w:szCs w:val="28"/>
                <w:lang w:val="uk-UA" w:eastAsia="en-US"/>
              </w:rPr>
              <w:t>Показник</w:t>
            </w:r>
          </w:p>
        </w:tc>
        <w:tc>
          <w:tcPr>
            <w:tcW w:w="2552" w:type="dxa"/>
            <w:tcBorders>
              <w:top w:val="single" w:sz="4" w:space="0" w:color="auto"/>
              <w:left w:val="single" w:sz="4" w:space="0" w:color="auto"/>
              <w:bottom w:val="single" w:sz="4" w:space="0" w:color="auto"/>
              <w:right w:val="single" w:sz="4" w:space="0" w:color="auto"/>
            </w:tcBorders>
            <w:hideMark/>
          </w:tcPr>
          <w:p w:rsidR="00E3259F" w:rsidRPr="001A58B0" w:rsidRDefault="001A58B0" w:rsidP="001A58B0">
            <w:pPr>
              <w:spacing w:line="360" w:lineRule="auto"/>
              <w:jc w:val="center"/>
              <w:rPr>
                <w:sz w:val="28"/>
                <w:szCs w:val="28"/>
                <w:lang w:val="uk-UA" w:eastAsia="en-US"/>
              </w:rPr>
            </w:pPr>
            <w:r w:rsidRPr="001A58B0">
              <w:rPr>
                <w:sz w:val="28"/>
                <w:szCs w:val="28"/>
                <w:lang w:val="uk-UA" w:eastAsia="en-US"/>
              </w:rPr>
              <w:t>Г</w:t>
            </w:r>
            <w:r w:rsidR="00E3259F" w:rsidRPr="001A58B0">
              <w:rPr>
                <w:sz w:val="28"/>
                <w:szCs w:val="28"/>
                <w:lang w:val="uk-UA" w:eastAsia="en-US"/>
              </w:rPr>
              <w:t>рупа</w:t>
            </w:r>
            <w:r w:rsidRPr="001A58B0">
              <w:rPr>
                <w:sz w:val="28"/>
                <w:szCs w:val="28"/>
                <w:lang w:val="uk-UA" w:eastAsia="en-US"/>
              </w:rPr>
              <w:t xml:space="preserve"> 3а</w:t>
            </w:r>
          </w:p>
          <w:p w:rsidR="00E3259F" w:rsidRPr="001A58B0" w:rsidRDefault="00E3259F" w:rsidP="001A58B0">
            <w:pPr>
              <w:spacing w:line="360" w:lineRule="auto"/>
              <w:jc w:val="center"/>
              <w:rPr>
                <w:rFonts w:eastAsia="Calibri"/>
                <w:sz w:val="28"/>
                <w:szCs w:val="28"/>
                <w:lang w:eastAsia="en-US"/>
              </w:rPr>
            </w:pPr>
            <w:r w:rsidRPr="001A58B0">
              <w:rPr>
                <w:sz w:val="28"/>
                <w:szCs w:val="28"/>
                <w:lang w:val="uk-UA" w:eastAsia="en-US"/>
              </w:rPr>
              <w:t>(рівень ТТГ від 4,0 до 6,0 мкМОд/мл)</w:t>
            </w:r>
          </w:p>
          <w:p w:rsidR="00E3259F" w:rsidRPr="001A58B0" w:rsidRDefault="00E3259F" w:rsidP="001A58B0">
            <w:pPr>
              <w:spacing w:line="360" w:lineRule="auto"/>
              <w:jc w:val="center"/>
              <w:rPr>
                <w:rFonts w:eastAsia="Calibri"/>
                <w:sz w:val="28"/>
                <w:szCs w:val="28"/>
                <w:lang w:val="uk-UA" w:eastAsia="en-US"/>
              </w:rPr>
            </w:pPr>
            <w:r w:rsidRPr="001A58B0">
              <w:rPr>
                <w:sz w:val="28"/>
                <w:szCs w:val="28"/>
                <w:shd w:val="clear" w:color="auto" w:fill="FFFFFF"/>
                <w:lang w:val="uk-UA" w:eastAsia="en-US"/>
              </w:rPr>
              <w:t>(</w:t>
            </w:r>
            <w:r w:rsidRPr="001A58B0">
              <w:rPr>
                <w:sz w:val="28"/>
                <w:szCs w:val="28"/>
                <w:shd w:val="clear" w:color="auto" w:fill="FFFFFF"/>
                <w:lang w:val="en-US" w:eastAsia="en-US"/>
              </w:rPr>
              <w:t>n</w:t>
            </w:r>
            <w:r w:rsidRPr="001A58B0">
              <w:rPr>
                <w:sz w:val="28"/>
                <w:szCs w:val="28"/>
                <w:shd w:val="clear" w:color="auto" w:fill="FFFFFF"/>
                <w:lang w:val="uk-UA" w:eastAsia="en-US"/>
              </w:rPr>
              <w:t>=52)</w:t>
            </w:r>
          </w:p>
        </w:tc>
        <w:tc>
          <w:tcPr>
            <w:tcW w:w="2411" w:type="dxa"/>
            <w:tcBorders>
              <w:top w:val="single" w:sz="4" w:space="0" w:color="auto"/>
              <w:left w:val="single" w:sz="4" w:space="0" w:color="auto"/>
              <w:bottom w:val="single" w:sz="4" w:space="0" w:color="auto"/>
              <w:right w:val="single" w:sz="4" w:space="0" w:color="auto"/>
            </w:tcBorders>
            <w:hideMark/>
          </w:tcPr>
          <w:p w:rsidR="00E3259F" w:rsidRPr="001A58B0" w:rsidRDefault="001A58B0" w:rsidP="001A58B0">
            <w:pPr>
              <w:spacing w:line="360" w:lineRule="auto"/>
              <w:jc w:val="center"/>
              <w:rPr>
                <w:sz w:val="28"/>
                <w:szCs w:val="28"/>
                <w:lang w:val="uk-UA" w:eastAsia="en-US"/>
              </w:rPr>
            </w:pPr>
            <w:r w:rsidRPr="001A58B0">
              <w:rPr>
                <w:sz w:val="28"/>
                <w:szCs w:val="28"/>
                <w:lang w:val="uk-UA" w:eastAsia="en-US"/>
              </w:rPr>
              <w:t>Г</w:t>
            </w:r>
            <w:r w:rsidR="00E3259F" w:rsidRPr="001A58B0">
              <w:rPr>
                <w:sz w:val="28"/>
                <w:szCs w:val="28"/>
                <w:lang w:val="uk-UA" w:eastAsia="en-US"/>
              </w:rPr>
              <w:t>рупа</w:t>
            </w:r>
            <w:r w:rsidRPr="001A58B0">
              <w:rPr>
                <w:sz w:val="28"/>
                <w:szCs w:val="28"/>
                <w:lang w:val="uk-UA" w:eastAsia="en-US"/>
              </w:rPr>
              <w:t xml:space="preserve"> 3б</w:t>
            </w:r>
          </w:p>
          <w:p w:rsidR="00E3259F" w:rsidRPr="001A58B0" w:rsidRDefault="00E3259F" w:rsidP="001A58B0">
            <w:pPr>
              <w:spacing w:line="360" w:lineRule="auto"/>
              <w:jc w:val="center"/>
              <w:rPr>
                <w:rFonts w:eastAsia="Calibri"/>
                <w:sz w:val="28"/>
                <w:szCs w:val="28"/>
                <w:lang w:eastAsia="en-US"/>
              </w:rPr>
            </w:pPr>
            <w:r w:rsidRPr="001A58B0">
              <w:rPr>
                <w:sz w:val="28"/>
                <w:szCs w:val="28"/>
                <w:lang w:val="uk-UA" w:eastAsia="en-US"/>
              </w:rPr>
              <w:t>(рівень ТТГ від 6,1 до 10 мкМОд/мл)</w:t>
            </w:r>
          </w:p>
          <w:p w:rsidR="00E3259F" w:rsidRPr="001A58B0" w:rsidRDefault="00E3259F" w:rsidP="001A58B0">
            <w:pPr>
              <w:spacing w:line="360" w:lineRule="auto"/>
              <w:jc w:val="center"/>
              <w:rPr>
                <w:rFonts w:eastAsia="Calibri"/>
                <w:sz w:val="28"/>
                <w:szCs w:val="28"/>
                <w:lang w:eastAsia="en-US"/>
              </w:rPr>
            </w:pPr>
            <w:r w:rsidRPr="001A58B0">
              <w:rPr>
                <w:sz w:val="28"/>
                <w:szCs w:val="28"/>
                <w:shd w:val="clear" w:color="auto" w:fill="FFFFFF"/>
                <w:lang w:val="uk-UA" w:eastAsia="en-US"/>
              </w:rPr>
              <w:t>(</w:t>
            </w:r>
            <w:r w:rsidRPr="001A58B0">
              <w:rPr>
                <w:sz w:val="28"/>
                <w:szCs w:val="28"/>
                <w:shd w:val="clear" w:color="auto" w:fill="FFFFFF"/>
                <w:lang w:val="en-US" w:eastAsia="en-US"/>
              </w:rPr>
              <w:t>n</w:t>
            </w:r>
            <w:r w:rsidRPr="001A58B0">
              <w:rPr>
                <w:sz w:val="28"/>
                <w:szCs w:val="28"/>
                <w:shd w:val="clear" w:color="auto" w:fill="FFFFFF"/>
                <w:lang w:val="uk-UA" w:eastAsia="en-US"/>
              </w:rPr>
              <w:t>=41)</w:t>
            </w:r>
          </w:p>
        </w:tc>
        <w:tc>
          <w:tcPr>
            <w:tcW w:w="1665"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val="uk-UA" w:eastAsia="en-US"/>
              </w:rPr>
            </w:pPr>
            <w:r w:rsidRPr="001A58B0">
              <w:rPr>
                <w:sz w:val="28"/>
                <w:szCs w:val="28"/>
                <w:lang w:val="uk-UA" w:eastAsia="en-US"/>
              </w:rPr>
              <w:t>Значимість,</w:t>
            </w:r>
          </w:p>
          <w:p w:rsidR="00E3259F" w:rsidRPr="001A58B0" w:rsidRDefault="00E3259F" w:rsidP="001A58B0">
            <w:pPr>
              <w:spacing w:line="360" w:lineRule="auto"/>
              <w:jc w:val="center"/>
              <w:rPr>
                <w:sz w:val="28"/>
                <w:szCs w:val="28"/>
                <w:lang w:val="uk-UA" w:eastAsia="en-US"/>
              </w:rPr>
            </w:pPr>
            <w:r w:rsidRPr="001A58B0">
              <w:rPr>
                <w:sz w:val="28"/>
                <w:szCs w:val="28"/>
                <w:lang w:val="uk-UA" w:eastAsia="en-US"/>
              </w:rPr>
              <w:t>р</w:t>
            </w:r>
          </w:p>
        </w:tc>
      </w:tr>
      <w:tr w:rsidR="001A58B0" w:rsidRPr="001A58B0" w:rsidTr="001A58B0">
        <w:tc>
          <w:tcPr>
            <w:tcW w:w="294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rPr>
                <w:rFonts w:eastAsia="Calibri"/>
                <w:sz w:val="28"/>
                <w:szCs w:val="28"/>
                <w:lang w:eastAsia="en-US"/>
              </w:rPr>
            </w:pPr>
            <w:r w:rsidRPr="001A58B0">
              <w:rPr>
                <w:sz w:val="28"/>
                <w:szCs w:val="28"/>
                <w:lang w:val="uk-UA" w:eastAsia="en-US"/>
              </w:rPr>
              <w:t>ЗХС, ммоль/л</w:t>
            </w:r>
          </w:p>
        </w:tc>
        <w:tc>
          <w:tcPr>
            <w:tcW w:w="255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5,</w:t>
            </w:r>
            <w:r w:rsidRPr="001A58B0">
              <w:rPr>
                <w:sz w:val="28"/>
                <w:szCs w:val="28"/>
                <w:lang w:val="uk-UA" w:eastAsia="en-US"/>
              </w:rPr>
              <w:t>70</w:t>
            </w:r>
            <w:r w:rsidRPr="001A58B0">
              <w:rPr>
                <w:sz w:val="28"/>
                <w:szCs w:val="28"/>
                <w:lang w:eastAsia="en-US"/>
              </w:rPr>
              <w:t>±</w:t>
            </w:r>
            <w:r w:rsidRPr="001A58B0">
              <w:rPr>
                <w:sz w:val="28"/>
                <w:szCs w:val="28"/>
                <w:lang w:val="uk-UA" w:eastAsia="en-US"/>
              </w:rPr>
              <w:t>0,05</w:t>
            </w:r>
          </w:p>
        </w:tc>
        <w:tc>
          <w:tcPr>
            <w:tcW w:w="2411"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5,8</w:t>
            </w:r>
            <w:r w:rsidRPr="001A58B0">
              <w:rPr>
                <w:sz w:val="28"/>
                <w:szCs w:val="28"/>
                <w:lang w:val="uk-UA" w:eastAsia="en-US"/>
              </w:rPr>
              <w:t>8</w:t>
            </w:r>
            <w:r w:rsidRPr="001A58B0">
              <w:rPr>
                <w:sz w:val="28"/>
                <w:szCs w:val="28"/>
                <w:lang w:eastAsia="en-US"/>
              </w:rPr>
              <w:t>±</w:t>
            </w:r>
            <w:r w:rsidRPr="001A58B0">
              <w:rPr>
                <w:sz w:val="28"/>
                <w:szCs w:val="28"/>
                <w:lang w:val="uk-UA" w:eastAsia="en-US"/>
              </w:rPr>
              <w:t>0,07</w:t>
            </w:r>
          </w:p>
        </w:tc>
        <w:tc>
          <w:tcPr>
            <w:tcW w:w="1665"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val="uk-UA" w:eastAsia="en-US"/>
              </w:rPr>
            </w:pPr>
            <w:r w:rsidRPr="001A58B0">
              <w:rPr>
                <w:sz w:val="28"/>
                <w:szCs w:val="28"/>
                <w:lang w:val="uk-UA" w:eastAsia="en-US"/>
              </w:rPr>
              <w:t>р=0,039</w:t>
            </w:r>
          </w:p>
        </w:tc>
      </w:tr>
      <w:tr w:rsidR="001A58B0" w:rsidRPr="001A58B0" w:rsidTr="001A58B0">
        <w:tc>
          <w:tcPr>
            <w:tcW w:w="294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rPr>
                <w:rFonts w:eastAsia="Calibri"/>
                <w:sz w:val="28"/>
                <w:szCs w:val="28"/>
                <w:lang w:val="uk-UA" w:eastAsia="en-US"/>
              </w:rPr>
            </w:pPr>
            <w:r w:rsidRPr="001A58B0">
              <w:rPr>
                <w:sz w:val="28"/>
                <w:szCs w:val="28"/>
                <w:lang w:val="uk-UA" w:eastAsia="en-US"/>
              </w:rPr>
              <w:t>ТГ, ммоль/л</w:t>
            </w:r>
          </w:p>
        </w:tc>
        <w:tc>
          <w:tcPr>
            <w:tcW w:w="255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1,8</w:t>
            </w:r>
            <w:r w:rsidRPr="001A58B0">
              <w:rPr>
                <w:sz w:val="28"/>
                <w:szCs w:val="28"/>
                <w:lang w:val="uk-UA" w:eastAsia="en-US"/>
              </w:rPr>
              <w:t>1±0,15</w:t>
            </w:r>
          </w:p>
        </w:tc>
        <w:tc>
          <w:tcPr>
            <w:tcW w:w="2411"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2,2</w:t>
            </w:r>
            <w:r w:rsidRPr="001A58B0">
              <w:rPr>
                <w:sz w:val="28"/>
                <w:szCs w:val="28"/>
                <w:lang w:val="uk-UA" w:eastAsia="en-US"/>
              </w:rPr>
              <w:t>8±0,18</w:t>
            </w:r>
          </w:p>
        </w:tc>
        <w:tc>
          <w:tcPr>
            <w:tcW w:w="1665"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eastAsia="en-US"/>
              </w:rPr>
            </w:pPr>
            <w:r w:rsidRPr="001A58B0">
              <w:rPr>
                <w:sz w:val="28"/>
                <w:szCs w:val="28"/>
                <w:lang w:val="uk-UA" w:eastAsia="en-US"/>
              </w:rPr>
              <w:t>р= 0</w:t>
            </w:r>
            <w:r w:rsidRPr="001A58B0">
              <w:rPr>
                <w:sz w:val="28"/>
                <w:szCs w:val="28"/>
                <w:lang w:eastAsia="en-US"/>
              </w:rPr>
              <w:t>,</w:t>
            </w:r>
            <w:r w:rsidRPr="001A58B0">
              <w:rPr>
                <w:sz w:val="28"/>
                <w:szCs w:val="28"/>
                <w:lang w:val="uk-UA" w:eastAsia="en-US"/>
              </w:rPr>
              <w:t>048</w:t>
            </w:r>
          </w:p>
        </w:tc>
      </w:tr>
      <w:tr w:rsidR="001A58B0" w:rsidRPr="001A58B0" w:rsidTr="001A58B0">
        <w:tc>
          <w:tcPr>
            <w:tcW w:w="294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rPr>
                <w:rFonts w:eastAsia="Calibri"/>
                <w:sz w:val="28"/>
                <w:szCs w:val="28"/>
                <w:lang w:eastAsia="en-US"/>
              </w:rPr>
            </w:pPr>
            <w:r w:rsidRPr="001A58B0">
              <w:rPr>
                <w:rStyle w:val="longtext10"/>
                <w:rFonts w:eastAsiaTheme="majorEastAsia"/>
                <w:sz w:val="28"/>
                <w:szCs w:val="28"/>
                <w:lang w:val="uk-UA" w:eastAsia="en-US"/>
              </w:rPr>
              <w:t>ХС ЛПВЩ,</w:t>
            </w:r>
            <w:r w:rsidRPr="001A58B0">
              <w:rPr>
                <w:sz w:val="28"/>
                <w:szCs w:val="28"/>
                <w:lang w:val="uk-UA" w:eastAsia="en-US"/>
              </w:rPr>
              <w:t xml:space="preserve"> ммоль/л</w:t>
            </w:r>
          </w:p>
        </w:tc>
        <w:tc>
          <w:tcPr>
            <w:tcW w:w="255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1,</w:t>
            </w:r>
            <w:r w:rsidRPr="001A58B0">
              <w:rPr>
                <w:sz w:val="28"/>
                <w:szCs w:val="28"/>
                <w:lang w:val="uk-UA" w:eastAsia="en-US"/>
              </w:rPr>
              <w:t>30</w:t>
            </w:r>
            <w:r w:rsidRPr="001A58B0">
              <w:rPr>
                <w:sz w:val="28"/>
                <w:szCs w:val="28"/>
                <w:lang w:eastAsia="en-US"/>
              </w:rPr>
              <w:t>±</w:t>
            </w:r>
            <w:r w:rsidRPr="001A58B0">
              <w:rPr>
                <w:sz w:val="28"/>
                <w:szCs w:val="28"/>
                <w:lang w:val="uk-UA" w:eastAsia="en-US"/>
              </w:rPr>
              <w:t>0,04</w:t>
            </w:r>
          </w:p>
        </w:tc>
        <w:tc>
          <w:tcPr>
            <w:tcW w:w="2411"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1,24±</w:t>
            </w:r>
            <w:r w:rsidRPr="001A58B0">
              <w:rPr>
                <w:sz w:val="28"/>
                <w:szCs w:val="28"/>
                <w:lang w:val="uk-UA" w:eastAsia="en-US"/>
              </w:rPr>
              <w:t>0,06</w:t>
            </w:r>
          </w:p>
        </w:tc>
        <w:tc>
          <w:tcPr>
            <w:tcW w:w="1665"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eastAsia="en-US"/>
              </w:rPr>
            </w:pPr>
            <w:r w:rsidRPr="001A58B0">
              <w:rPr>
                <w:sz w:val="28"/>
                <w:szCs w:val="28"/>
                <w:lang w:val="uk-UA" w:eastAsia="en-US"/>
              </w:rPr>
              <w:t>р&gt;0,05</w:t>
            </w:r>
          </w:p>
        </w:tc>
      </w:tr>
      <w:tr w:rsidR="001A58B0" w:rsidRPr="001A58B0" w:rsidTr="001A58B0">
        <w:tc>
          <w:tcPr>
            <w:tcW w:w="294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rPr>
                <w:rFonts w:eastAsia="Calibri"/>
                <w:sz w:val="28"/>
                <w:szCs w:val="28"/>
                <w:lang w:eastAsia="en-US"/>
              </w:rPr>
            </w:pPr>
            <w:r w:rsidRPr="001A58B0">
              <w:rPr>
                <w:rStyle w:val="longtext10"/>
                <w:rFonts w:eastAsiaTheme="majorEastAsia"/>
                <w:sz w:val="28"/>
                <w:szCs w:val="28"/>
                <w:lang w:val="uk-UA" w:eastAsia="en-US"/>
              </w:rPr>
              <w:t>ХС ЛПНЩ,</w:t>
            </w:r>
            <w:r w:rsidRPr="001A58B0">
              <w:rPr>
                <w:sz w:val="28"/>
                <w:szCs w:val="28"/>
                <w:lang w:val="uk-UA" w:eastAsia="en-US"/>
              </w:rPr>
              <w:t xml:space="preserve"> ммоль/л</w:t>
            </w:r>
          </w:p>
        </w:tc>
        <w:tc>
          <w:tcPr>
            <w:tcW w:w="255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3,5</w:t>
            </w:r>
            <w:r w:rsidRPr="001A58B0">
              <w:rPr>
                <w:sz w:val="28"/>
                <w:szCs w:val="28"/>
                <w:lang w:val="uk-UA" w:eastAsia="en-US"/>
              </w:rPr>
              <w:t>5</w:t>
            </w:r>
            <w:r w:rsidRPr="001A58B0">
              <w:rPr>
                <w:sz w:val="28"/>
                <w:szCs w:val="28"/>
                <w:lang w:eastAsia="en-US"/>
              </w:rPr>
              <w:t>±</w:t>
            </w:r>
            <w:r w:rsidRPr="001A58B0">
              <w:rPr>
                <w:sz w:val="28"/>
                <w:szCs w:val="28"/>
                <w:lang w:val="uk-UA" w:eastAsia="en-US"/>
              </w:rPr>
              <w:t>0,15</w:t>
            </w:r>
          </w:p>
        </w:tc>
        <w:tc>
          <w:tcPr>
            <w:tcW w:w="2411"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3,52</w:t>
            </w:r>
            <w:r w:rsidRPr="001A58B0">
              <w:rPr>
                <w:sz w:val="28"/>
                <w:szCs w:val="28"/>
                <w:lang w:val="uk-UA" w:eastAsia="en-US"/>
              </w:rPr>
              <w:t>±0,17</w:t>
            </w:r>
          </w:p>
        </w:tc>
        <w:tc>
          <w:tcPr>
            <w:tcW w:w="1665"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eastAsia="en-US"/>
              </w:rPr>
            </w:pPr>
            <w:r w:rsidRPr="001A58B0">
              <w:rPr>
                <w:sz w:val="28"/>
                <w:szCs w:val="28"/>
                <w:lang w:val="uk-UA" w:eastAsia="en-US"/>
              </w:rPr>
              <w:t>р&gt;0,05</w:t>
            </w:r>
          </w:p>
        </w:tc>
      </w:tr>
      <w:tr w:rsidR="001A58B0" w:rsidRPr="001A58B0" w:rsidTr="001A58B0">
        <w:tc>
          <w:tcPr>
            <w:tcW w:w="294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rPr>
                <w:rStyle w:val="longtext10"/>
                <w:rFonts w:eastAsia="Calibri"/>
                <w:sz w:val="28"/>
                <w:szCs w:val="28"/>
                <w:lang w:val="uk-UA"/>
              </w:rPr>
            </w:pPr>
            <w:r w:rsidRPr="001A58B0">
              <w:rPr>
                <w:rStyle w:val="longtext10"/>
                <w:rFonts w:eastAsiaTheme="majorEastAsia"/>
                <w:sz w:val="28"/>
                <w:szCs w:val="28"/>
                <w:lang w:val="uk-UA" w:eastAsia="en-US"/>
              </w:rPr>
              <w:t>ХС ЛПДНЩ,</w:t>
            </w:r>
            <w:r w:rsidRPr="001A58B0">
              <w:rPr>
                <w:sz w:val="28"/>
                <w:szCs w:val="28"/>
                <w:lang w:val="uk-UA" w:eastAsia="en-US"/>
              </w:rPr>
              <w:t xml:space="preserve"> ммоль/л</w:t>
            </w:r>
          </w:p>
        </w:tc>
        <w:tc>
          <w:tcPr>
            <w:tcW w:w="2552"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0,</w:t>
            </w:r>
            <w:r w:rsidRPr="001A58B0">
              <w:rPr>
                <w:sz w:val="28"/>
                <w:szCs w:val="28"/>
                <w:lang w:val="uk-UA" w:eastAsia="en-US"/>
              </w:rPr>
              <w:t>81±0,06</w:t>
            </w:r>
          </w:p>
        </w:tc>
        <w:tc>
          <w:tcPr>
            <w:tcW w:w="2411"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Calibri"/>
                <w:sz w:val="28"/>
                <w:szCs w:val="28"/>
                <w:lang w:eastAsia="en-US"/>
              </w:rPr>
            </w:pPr>
            <w:r w:rsidRPr="001A58B0">
              <w:rPr>
                <w:sz w:val="28"/>
                <w:szCs w:val="28"/>
                <w:lang w:eastAsia="en-US"/>
              </w:rPr>
              <w:t>0,9</w:t>
            </w:r>
            <w:r w:rsidRPr="001A58B0">
              <w:rPr>
                <w:sz w:val="28"/>
                <w:szCs w:val="28"/>
                <w:lang w:val="uk-UA" w:eastAsia="en-US"/>
              </w:rPr>
              <w:t>7±0,10</w:t>
            </w:r>
          </w:p>
        </w:tc>
        <w:tc>
          <w:tcPr>
            <w:tcW w:w="1665" w:type="dxa"/>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eastAsia="en-US"/>
              </w:rPr>
            </w:pPr>
            <w:r w:rsidRPr="001A58B0">
              <w:rPr>
                <w:sz w:val="28"/>
                <w:szCs w:val="28"/>
                <w:lang w:val="uk-UA" w:eastAsia="en-US"/>
              </w:rPr>
              <w:t>р&gt;0,05</w:t>
            </w:r>
          </w:p>
        </w:tc>
      </w:tr>
    </w:tbl>
    <w:p w:rsidR="00E3259F" w:rsidRDefault="00E3259F" w:rsidP="00E3259F">
      <w:pPr>
        <w:spacing w:line="360" w:lineRule="auto"/>
        <w:ind w:firstLine="709"/>
        <w:rPr>
          <w:rFonts w:eastAsiaTheme="minorHAnsi"/>
          <w:sz w:val="28"/>
          <w:szCs w:val="28"/>
          <w:lang w:val="uk-UA"/>
        </w:rPr>
      </w:pPr>
    </w:p>
    <w:p w:rsidR="00E3259F" w:rsidRPr="001A58B0" w:rsidRDefault="00E3259F" w:rsidP="001A58B0">
      <w:pPr>
        <w:shd w:val="clear" w:color="auto" w:fill="FFFFFF"/>
        <w:spacing w:line="360" w:lineRule="auto"/>
        <w:ind w:firstLine="709"/>
        <w:jc w:val="both"/>
        <w:outlineLvl w:val="0"/>
        <w:rPr>
          <w:sz w:val="28"/>
          <w:szCs w:val="28"/>
        </w:rPr>
      </w:pPr>
      <w:r w:rsidRPr="001A58B0">
        <w:rPr>
          <w:sz w:val="28"/>
          <w:szCs w:val="28"/>
          <w:lang w:val="uk-UA"/>
        </w:rPr>
        <w:t xml:space="preserve">Було виявлено, що при рівнях ТТГ </w:t>
      </w:r>
      <w:r w:rsidRPr="001A58B0">
        <w:rPr>
          <w:sz w:val="28"/>
          <w:szCs w:val="28"/>
          <w:shd w:val="clear" w:color="auto" w:fill="FFFFFF"/>
          <w:lang w:val="uk-UA"/>
        </w:rPr>
        <w:t>6,1-10,0 мкМОд/мл</w:t>
      </w:r>
      <w:r w:rsidRPr="001A58B0">
        <w:rPr>
          <w:sz w:val="28"/>
          <w:szCs w:val="28"/>
          <w:lang w:val="uk-UA"/>
        </w:rPr>
        <w:t xml:space="preserve"> спостерігалися достовірно більш високі рівні ЗХС (5,88±0,07 ммоль/л проти ±5,70±0,05 ммоль/л, р=0,039) та ТГ (2,28±0,18 ммоль/л проти 1,81±0,15 ммоль/л, р=0,048), що, вказує на більш атерогенну дисліпідемію, ніж при рівнях ТТГ до 6,0</w:t>
      </w:r>
      <w:r w:rsidRPr="001A58B0">
        <w:rPr>
          <w:sz w:val="28"/>
          <w:szCs w:val="28"/>
          <w:shd w:val="clear" w:color="auto" w:fill="FFFFFF"/>
          <w:lang w:val="uk-UA"/>
        </w:rPr>
        <w:t xml:space="preserve"> мкМОд/мл. Рівні </w:t>
      </w:r>
      <w:r w:rsidRPr="001A58B0">
        <w:rPr>
          <w:sz w:val="28"/>
          <w:szCs w:val="28"/>
          <w:lang w:val="uk-UA"/>
        </w:rPr>
        <w:t xml:space="preserve">ХС ЛПДНЩ,  ХС ЛПВЩ  та ХС ЛПНЩ при цьому розподілі практично не відрізнялись (р&gt;0,05).  Наявність більш атерогенної дисліпідемії в пацієнтів з ТТГ &gt; 6,0 мкМОд/мл узгоджується з результатами  робіт, які демонструють більш негативний прогноз щодо розвитку ССЗ та їх ускладнень при СГТ з рівнем ТТГ більш 6 </w:t>
      </w:r>
      <w:r w:rsidRPr="001A58B0">
        <w:rPr>
          <w:sz w:val="28"/>
          <w:szCs w:val="28"/>
          <w:shd w:val="clear" w:color="auto" w:fill="FFFFFF"/>
          <w:lang w:val="uk-UA"/>
        </w:rPr>
        <w:t>мкМОд/мл</w:t>
      </w:r>
      <w:r w:rsidRPr="001A58B0">
        <w:rPr>
          <w:sz w:val="28"/>
          <w:szCs w:val="28"/>
          <w:lang w:val="uk-UA"/>
        </w:rPr>
        <w:t xml:space="preserve"> [18, 279]. Такі результати можна пояснити не тільки тим, що СГТ надає прямий несприятливий вплив на функціональний стан серцево-судинної системи, але й тим, що при цьому ризик розвитку атеросклерозу, ССЗ та їх ускладнень підвищується через зміни метаболізму. Метааналіз 11 проспективних досліджень, у яких було обстежено понад 50 000 осіб, показав, що смертність від ІХС збільшується при рівні ТТГ, що перевищує 7 </w:t>
      </w:r>
      <w:r w:rsidRPr="001A58B0">
        <w:rPr>
          <w:sz w:val="28"/>
          <w:szCs w:val="28"/>
          <w:shd w:val="clear" w:color="auto" w:fill="FFFFFF"/>
          <w:lang w:val="uk-UA"/>
        </w:rPr>
        <w:t>мкМОд/мл</w:t>
      </w:r>
      <w:r w:rsidRPr="001A58B0">
        <w:rPr>
          <w:sz w:val="28"/>
          <w:szCs w:val="28"/>
          <w:lang w:val="uk-UA"/>
        </w:rPr>
        <w:t xml:space="preserve"> [18]. Наявність коморбідної патології в нашому дослідженні здійснює синергічний негативний вплив на метаболічні процеси, що призводить до значних проатерогенних змін ліпідного спектру при менш вираженому підвищенні ТТГ, ніж у метааналізі. </w:t>
      </w:r>
      <w:r w:rsidRPr="001A58B0">
        <w:rPr>
          <w:sz w:val="28"/>
          <w:szCs w:val="28"/>
        </w:rPr>
        <w:t xml:space="preserve">Проведення однофакторного дисперсійного аналізу в </w:t>
      </w:r>
      <w:r w:rsidRPr="001A58B0">
        <w:rPr>
          <w:sz w:val="28"/>
          <w:szCs w:val="28"/>
          <w:lang w:val="uk-UA"/>
        </w:rPr>
        <w:t>3</w:t>
      </w:r>
      <w:r w:rsidRPr="001A58B0">
        <w:rPr>
          <w:sz w:val="28"/>
          <w:szCs w:val="28"/>
        </w:rPr>
        <w:t xml:space="preserve"> групі виявило значущий вплив ТТГ на рівні</w:t>
      </w:r>
      <w:r w:rsidRPr="001A58B0">
        <w:rPr>
          <w:sz w:val="28"/>
          <w:szCs w:val="28"/>
          <w:lang w:val="uk-UA"/>
        </w:rPr>
        <w:t xml:space="preserve"> З</w:t>
      </w:r>
      <w:r w:rsidRPr="001A58B0">
        <w:rPr>
          <w:sz w:val="28"/>
          <w:szCs w:val="28"/>
        </w:rPr>
        <w:t>ХС</w:t>
      </w:r>
      <w:r w:rsidRPr="001A58B0">
        <w:rPr>
          <w:sz w:val="28"/>
          <w:szCs w:val="28"/>
          <w:lang w:val="uk-UA"/>
        </w:rPr>
        <w:t xml:space="preserve"> </w:t>
      </w:r>
      <w:r w:rsidRPr="001A58B0">
        <w:rPr>
          <w:sz w:val="28"/>
          <w:szCs w:val="28"/>
        </w:rPr>
        <w:t>(р=</w:t>
      </w:r>
      <w:r w:rsidRPr="001A58B0">
        <w:rPr>
          <w:sz w:val="28"/>
          <w:szCs w:val="28"/>
          <w:lang w:val="uk-UA"/>
        </w:rPr>
        <w:t>0,</w:t>
      </w:r>
      <w:r w:rsidRPr="001A58B0">
        <w:rPr>
          <w:sz w:val="28"/>
          <w:szCs w:val="28"/>
        </w:rPr>
        <w:t>005), Х</w:t>
      </w:r>
      <w:r w:rsidRPr="001A58B0">
        <w:rPr>
          <w:sz w:val="28"/>
          <w:szCs w:val="28"/>
          <w:lang w:val="uk-UA"/>
        </w:rPr>
        <w:t xml:space="preserve">С </w:t>
      </w:r>
      <w:r w:rsidRPr="001A58B0">
        <w:rPr>
          <w:sz w:val="28"/>
          <w:szCs w:val="28"/>
        </w:rPr>
        <w:t>ЛПН</w:t>
      </w:r>
      <w:r w:rsidRPr="001A58B0">
        <w:rPr>
          <w:sz w:val="28"/>
          <w:szCs w:val="28"/>
          <w:lang w:val="uk-UA"/>
        </w:rPr>
        <w:t xml:space="preserve">Щ </w:t>
      </w:r>
      <w:r w:rsidRPr="001A58B0">
        <w:rPr>
          <w:sz w:val="28"/>
          <w:szCs w:val="28"/>
        </w:rPr>
        <w:t>(р=</w:t>
      </w:r>
      <w:r w:rsidRPr="001A58B0">
        <w:rPr>
          <w:sz w:val="28"/>
          <w:szCs w:val="28"/>
          <w:lang w:val="uk-UA"/>
        </w:rPr>
        <w:t>0,</w:t>
      </w:r>
      <w:r w:rsidRPr="001A58B0">
        <w:rPr>
          <w:sz w:val="28"/>
          <w:szCs w:val="28"/>
        </w:rPr>
        <w:t>005), Х</w:t>
      </w:r>
      <w:r w:rsidRPr="001A58B0">
        <w:rPr>
          <w:sz w:val="28"/>
          <w:szCs w:val="28"/>
          <w:lang w:val="uk-UA"/>
        </w:rPr>
        <w:t xml:space="preserve">С </w:t>
      </w:r>
      <w:r w:rsidRPr="001A58B0">
        <w:rPr>
          <w:sz w:val="28"/>
          <w:szCs w:val="28"/>
        </w:rPr>
        <w:t>ЛПВ</w:t>
      </w:r>
      <w:r w:rsidRPr="001A58B0">
        <w:rPr>
          <w:sz w:val="28"/>
          <w:szCs w:val="28"/>
          <w:lang w:val="uk-UA"/>
        </w:rPr>
        <w:t xml:space="preserve">Щ </w:t>
      </w:r>
      <w:r w:rsidRPr="001A58B0">
        <w:rPr>
          <w:sz w:val="28"/>
          <w:szCs w:val="28"/>
        </w:rPr>
        <w:t>(р=</w:t>
      </w:r>
      <w:r w:rsidRPr="001A58B0">
        <w:rPr>
          <w:sz w:val="28"/>
          <w:szCs w:val="28"/>
          <w:lang w:val="uk-UA"/>
        </w:rPr>
        <w:t>0</w:t>
      </w:r>
      <w:r w:rsidRPr="001A58B0">
        <w:rPr>
          <w:sz w:val="28"/>
          <w:szCs w:val="28"/>
        </w:rPr>
        <w:t>,018).</w:t>
      </w:r>
    </w:p>
    <w:p w:rsidR="00E3259F" w:rsidRPr="001A58B0" w:rsidRDefault="00E3259F" w:rsidP="001A58B0">
      <w:pPr>
        <w:spacing w:line="360" w:lineRule="auto"/>
        <w:ind w:firstLine="709"/>
        <w:jc w:val="both"/>
        <w:rPr>
          <w:bCs/>
          <w:iCs/>
          <w:kern w:val="36"/>
          <w:sz w:val="28"/>
          <w:szCs w:val="28"/>
          <w:lang w:val="uk-UA"/>
        </w:rPr>
      </w:pPr>
      <w:r w:rsidRPr="001A58B0">
        <w:rPr>
          <w:sz w:val="28"/>
          <w:szCs w:val="28"/>
          <w:shd w:val="clear" w:color="auto" w:fill="FFFFFF"/>
          <w:lang w:val="uk-UA"/>
        </w:rPr>
        <w:t>Проведення порівняльного аналізу  в групі пацієнтів з ГХ, ЦД 2 типу та СГТ залежно від статі виявив відсутність достовірних відмінностей між показниками ліпідного профілю у жінок порівняно з чоловіками. Проте,  рівень ЗХС у жінок був на 12,05% вищий за чоловіків, ТГ – на 8,56%, ХС ЛПНЩ – на 8,84%</w:t>
      </w:r>
      <w:r w:rsidRPr="001A58B0">
        <w:rPr>
          <w:rStyle w:val="longtext10"/>
          <w:rFonts w:eastAsiaTheme="majorEastAsia"/>
          <w:sz w:val="28"/>
          <w:szCs w:val="28"/>
          <w:lang w:val="uk-UA"/>
        </w:rPr>
        <w:t xml:space="preserve">. Рівні ХС ЛПВЩ у жінок були на 8,40% вище, ніж у чоловіків.  </w:t>
      </w:r>
      <w:r w:rsidRPr="001A58B0">
        <w:rPr>
          <w:bCs/>
          <w:iCs/>
          <w:kern w:val="36"/>
          <w:sz w:val="28"/>
          <w:szCs w:val="28"/>
          <w:lang w:val="uk-UA"/>
        </w:rPr>
        <w:t>Це свідчить про наявність більш атерогенної дісліпідемії в жінок  порівняно з чоловіками при гіпофункції ЩЗ навіть на субклінічному рівні [</w:t>
      </w:r>
      <w:r w:rsidRPr="001A58B0">
        <w:rPr>
          <w:sz w:val="28"/>
          <w:szCs w:val="28"/>
          <w:lang w:val="uk-UA"/>
        </w:rPr>
        <w:t>162,376</w:t>
      </w:r>
      <w:r w:rsidRPr="001A58B0">
        <w:rPr>
          <w:bCs/>
          <w:iCs/>
          <w:kern w:val="36"/>
          <w:sz w:val="28"/>
          <w:szCs w:val="28"/>
          <w:lang w:val="uk-UA"/>
        </w:rPr>
        <w:t>].</w:t>
      </w:r>
    </w:p>
    <w:p w:rsidR="001A58B0" w:rsidRPr="001A58B0" w:rsidRDefault="00E3259F" w:rsidP="001A58B0">
      <w:pPr>
        <w:spacing w:line="360" w:lineRule="auto"/>
        <w:ind w:firstLine="709"/>
        <w:jc w:val="both"/>
        <w:rPr>
          <w:bCs/>
          <w:iCs/>
          <w:kern w:val="36"/>
          <w:sz w:val="28"/>
          <w:szCs w:val="28"/>
          <w:lang w:val="uk-UA"/>
        </w:rPr>
      </w:pPr>
      <w:r w:rsidRPr="001A58B0">
        <w:rPr>
          <w:bCs/>
          <w:iCs/>
          <w:kern w:val="36"/>
          <w:sz w:val="28"/>
          <w:szCs w:val="28"/>
          <w:lang w:val="uk-UA"/>
        </w:rPr>
        <w:t>З метою уточнення впливу ТТГ на ліпідний обмін як у жінок, так і у чоловіків при коморбідній патології, було проведено порівняльне оцінювання рівнів ліпідів між групами пацієнтів однієї статі без порушення функції ЩЗ та при наявності СГТ (Таблиця 3.3).</w:t>
      </w:r>
      <w:r w:rsidR="001A58B0" w:rsidRPr="001A58B0">
        <w:rPr>
          <w:bCs/>
          <w:iCs/>
          <w:kern w:val="36"/>
          <w:sz w:val="28"/>
          <w:szCs w:val="28"/>
          <w:lang w:val="uk-UA"/>
        </w:rPr>
        <w:t xml:space="preserve"> </w:t>
      </w:r>
    </w:p>
    <w:p w:rsidR="00E3259F" w:rsidRPr="001A58B0" w:rsidRDefault="001A58B0" w:rsidP="001A58B0">
      <w:pPr>
        <w:spacing w:line="360" w:lineRule="auto"/>
        <w:ind w:firstLine="709"/>
        <w:jc w:val="both"/>
        <w:rPr>
          <w:bCs/>
          <w:iCs/>
          <w:kern w:val="36"/>
          <w:sz w:val="28"/>
          <w:szCs w:val="28"/>
          <w:lang w:val="uk-UA"/>
        </w:rPr>
      </w:pPr>
      <w:r w:rsidRPr="001A58B0">
        <w:rPr>
          <w:bCs/>
          <w:iCs/>
          <w:kern w:val="36"/>
          <w:sz w:val="28"/>
          <w:szCs w:val="28"/>
          <w:lang w:val="uk-UA"/>
        </w:rPr>
        <w:t xml:space="preserve">У жінок з ГХ та ЦД 2 типу при супутньому СГТ була виявлена більш виражена дисліпідемія, ніж при відсутності порушення функції ЩЖ, що проявлялося  достовірним збільшенням </w:t>
      </w:r>
      <w:r w:rsidRPr="001A58B0">
        <w:rPr>
          <w:bCs/>
          <w:iCs/>
          <w:color w:val="FF0000"/>
          <w:kern w:val="36"/>
          <w:sz w:val="28"/>
          <w:szCs w:val="28"/>
          <w:lang w:val="uk-UA"/>
        </w:rPr>
        <w:t>у</w:t>
      </w:r>
      <w:r w:rsidRPr="001A58B0">
        <w:rPr>
          <w:bCs/>
          <w:iCs/>
          <w:kern w:val="36"/>
          <w:sz w:val="28"/>
          <w:szCs w:val="28"/>
          <w:lang w:val="uk-UA"/>
        </w:rPr>
        <w:t>сіх атерогенних фракцій ліпідів, хоча достовірні відмінності спостерігалис</w:t>
      </w:r>
      <w:r w:rsidRPr="001A58B0">
        <w:rPr>
          <w:bCs/>
          <w:iCs/>
          <w:color w:val="FF0000"/>
          <w:kern w:val="36"/>
          <w:sz w:val="28"/>
          <w:szCs w:val="28"/>
          <w:lang w:val="uk-UA"/>
        </w:rPr>
        <w:t>я</w:t>
      </w:r>
      <w:r w:rsidRPr="001A58B0">
        <w:rPr>
          <w:bCs/>
          <w:iCs/>
          <w:kern w:val="36"/>
          <w:sz w:val="28"/>
          <w:szCs w:val="28"/>
          <w:lang w:val="uk-UA"/>
        </w:rPr>
        <w:t xml:space="preserve"> лише при порівнянні рівнів ЗХС (р=0,036).</w:t>
      </w:r>
    </w:p>
    <w:p w:rsidR="001A58B0" w:rsidRDefault="001A58B0" w:rsidP="00E3259F">
      <w:pPr>
        <w:spacing w:line="360" w:lineRule="auto"/>
        <w:ind w:firstLine="709"/>
        <w:jc w:val="right"/>
        <w:rPr>
          <w:bCs/>
          <w:iCs/>
          <w:kern w:val="36"/>
          <w:sz w:val="28"/>
          <w:szCs w:val="28"/>
          <w:lang w:val="uk-UA"/>
        </w:rPr>
      </w:pPr>
    </w:p>
    <w:p w:rsidR="00E3259F" w:rsidRDefault="00E3259F" w:rsidP="00E3259F">
      <w:pPr>
        <w:spacing w:line="360" w:lineRule="auto"/>
        <w:ind w:firstLine="709"/>
        <w:jc w:val="right"/>
        <w:rPr>
          <w:bCs/>
          <w:iCs/>
          <w:kern w:val="36"/>
          <w:sz w:val="28"/>
          <w:szCs w:val="28"/>
          <w:lang w:val="uk-UA"/>
        </w:rPr>
      </w:pPr>
      <w:r>
        <w:rPr>
          <w:bCs/>
          <w:iCs/>
          <w:kern w:val="36"/>
          <w:sz w:val="28"/>
          <w:szCs w:val="28"/>
          <w:lang w:val="uk-UA"/>
        </w:rPr>
        <w:t>Таблиця 3.3</w:t>
      </w:r>
    </w:p>
    <w:p w:rsidR="00E3259F" w:rsidRDefault="00E3259F" w:rsidP="00E3259F">
      <w:pPr>
        <w:spacing w:line="360" w:lineRule="auto"/>
        <w:ind w:firstLine="709"/>
        <w:jc w:val="center"/>
        <w:rPr>
          <w:rFonts w:eastAsia="Calibri"/>
          <w:sz w:val="28"/>
          <w:szCs w:val="28"/>
          <w:lang w:val="uk-UA" w:eastAsia="en-US"/>
        </w:rPr>
      </w:pPr>
      <w:r>
        <w:rPr>
          <w:bCs/>
          <w:iCs/>
          <w:kern w:val="36"/>
          <w:sz w:val="28"/>
          <w:szCs w:val="28"/>
          <w:lang w:val="uk-UA"/>
        </w:rPr>
        <w:t xml:space="preserve">Гендерні відмінності показників ліпідного спектру в хворих з коморбідною патологією залежно від функції щитоподібної залози,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r>
        <w:rPr>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0"/>
        <w:gridCol w:w="142"/>
        <w:gridCol w:w="1559"/>
        <w:gridCol w:w="1384"/>
        <w:gridCol w:w="1586"/>
        <w:gridCol w:w="1350"/>
        <w:gridCol w:w="1599"/>
      </w:tblGrid>
      <w:tr w:rsidR="00E3259F" w:rsidRPr="001A58B0" w:rsidTr="00E3259F">
        <w:tc>
          <w:tcPr>
            <w:tcW w:w="1951"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uk-UA" w:eastAsia="en-US"/>
              </w:rPr>
            </w:pPr>
            <w:r w:rsidRPr="001A58B0">
              <w:rPr>
                <w:bCs/>
                <w:iCs/>
                <w:kern w:val="36"/>
                <w:sz w:val="28"/>
                <w:szCs w:val="28"/>
                <w:lang w:val="uk-UA" w:eastAsia="en-US"/>
              </w:rPr>
              <w:t>Показник</w:t>
            </w:r>
          </w:p>
        </w:tc>
        <w:tc>
          <w:tcPr>
            <w:tcW w:w="1701" w:type="dxa"/>
            <w:gridSpan w:val="2"/>
            <w:tcBorders>
              <w:top w:val="single" w:sz="4" w:space="0" w:color="auto"/>
              <w:left w:val="single" w:sz="4" w:space="0" w:color="auto"/>
              <w:bottom w:val="single" w:sz="4" w:space="0" w:color="auto"/>
              <w:right w:val="single" w:sz="4" w:space="0" w:color="auto"/>
            </w:tcBorders>
            <w:hideMark/>
          </w:tcPr>
          <w:p w:rsidR="001A58B0" w:rsidRDefault="00E3259F">
            <w:pPr>
              <w:spacing w:line="360" w:lineRule="auto"/>
              <w:rPr>
                <w:sz w:val="28"/>
                <w:szCs w:val="28"/>
                <w:lang w:val="uk-UA" w:eastAsia="en-US"/>
              </w:rPr>
            </w:pPr>
            <w:r w:rsidRPr="001A58B0">
              <w:rPr>
                <w:sz w:val="28"/>
                <w:szCs w:val="28"/>
                <w:lang w:val="uk-UA" w:eastAsia="en-US"/>
              </w:rPr>
              <w:t xml:space="preserve">ЗХ, </w:t>
            </w:r>
          </w:p>
          <w:p w:rsidR="00E3259F" w:rsidRPr="001A58B0" w:rsidRDefault="00E3259F">
            <w:pPr>
              <w:spacing w:line="360" w:lineRule="auto"/>
              <w:rPr>
                <w:rFonts w:eastAsia="Calibri"/>
                <w:sz w:val="28"/>
                <w:szCs w:val="28"/>
                <w:lang w:val="uk-UA" w:eastAsia="en-US"/>
              </w:rPr>
            </w:pPr>
            <w:r w:rsidRPr="001A58B0">
              <w:rPr>
                <w:sz w:val="28"/>
                <w:szCs w:val="28"/>
                <w:lang w:val="uk-UA" w:eastAsia="en-US"/>
              </w:rPr>
              <w:t>ммоль/л</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uk-UA" w:eastAsia="en-US"/>
              </w:rPr>
            </w:pPr>
            <w:r w:rsidRPr="001A58B0">
              <w:rPr>
                <w:sz w:val="28"/>
                <w:szCs w:val="28"/>
                <w:lang w:eastAsia="en-US"/>
              </w:rPr>
              <w:t>ТГ</w:t>
            </w:r>
            <w:r w:rsidRPr="001A58B0">
              <w:rPr>
                <w:sz w:val="28"/>
                <w:szCs w:val="28"/>
                <w:lang w:val="uk-UA" w:eastAsia="en-US"/>
              </w:rPr>
              <w:t>, ммоль/л</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uk-UA" w:eastAsia="en-US"/>
              </w:rPr>
            </w:pPr>
            <w:r w:rsidRPr="001A58B0">
              <w:rPr>
                <w:sz w:val="28"/>
                <w:szCs w:val="28"/>
                <w:lang w:val="uk-UA" w:eastAsia="en-US"/>
              </w:rPr>
              <w:t xml:space="preserve">ХС </w:t>
            </w:r>
            <w:r w:rsidRPr="001A58B0">
              <w:rPr>
                <w:sz w:val="28"/>
                <w:szCs w:val="28"/>
                <w:lang w:eastAsia="en-US"/>
              </w:rPr>
              <w:t>ЛПВ</w:t>
            </w:r>
            <w:r w:rsidRPr="001A58B0">
              <w:rPr>
                <w:sz w:val="28"/>
                <w:szCs w:val="28"/>
                <w:lang w:val="uk-UA" w:eastAsia="en-US"/>
              </w:rPr>
              <w:t>Щ, ммоль/л</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val="uk-UA" w:eastAsia="en-US"/>
              </w:rPr>
            </w:pPr>
            <w:r w:rsidRPr="001A58B0">
              <w:rPr>
                <w:sz w:val="28"/>
                <w:szCs w:val="28"/>
                <w:lang w:val="uk-UA" w:eastAsia="en-US"/>
              </w:rPr>
              <w:t>ХС ЛПНЩ, ммоль/л</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uk-UA" w:eastAsia="en-US"/>
              </w:rPr>
            </w:pPr>
            <w:r w:rsidRPr="001A58B0">
              <w:rPr>
                <w:sz w:val="28"/>
                <w:szCs w:val="28"/>
                <w:lang w:val="uk-UA" w:eastAsia="en-US"/>
              </w:rPr>
              <w:t>ХС ЛПДНЩ, ммоль/л</w:t>
            </w:r>
          </w:p>
        </w:tc>
      </w:tr>
      <w:tr w:rsidR="00E3259F" w:rsidRPr="001A58B0" w:rsidTr="00E3259F">
        <w:tc>
          <w:tcPr>
            <w:tcW w:w="9571" w:type="dxa"/>
            <w:gridSpan w:val="7"/>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uk-UA" w:eastAsia="en-US"/>
              </w:rPr>
            </w:pPr>
            <w:r w:rsidRPr="001A58B0">
              <w:rPr>
                <w:bCs/>
                <w:iCs/>
                <w:kern w:val="36"/>
                <w:sz w:val="28"/>
                <w:szCs w:val="28"/>
                <w:lang w:val="uk-UA" w:eastAsia="en-US"/>
              </w:rPr>
              <w:t>Жінки</w:t>
            </w:r>
          </w:p>
        </w:tc>
      </w:tr>
      <w:tr w:rsidR="00E3259F" w:rsidRPr="001A58B0" w:rsidTr="00E3259F">
        <w:tc>
          <w:tcPr>
            <w:tcW w:w="2093" w:type="dxa"/>
            <w:gridSpan w:val="2"/>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en-US" w:eastAsia="en-US"/>
              </w:rPr>
            </w:pPr>
            <w:r w:rsidRPr="001A58B0">
              <w:rPr>
                <w:bCs/>
                <w:iCs/>
                <w:kern w:val="36"/>
                <w:sz w:val="28"/>
                <w:szCs w:val="28"/>
                <w:lang w:val="uk-UA" w:eastAsia="en-US"/>
              </w:rPr>
              <w:t>2 група(</w:t>
            </w:r>
            <w:r w:rsidRPr="001A58B0">
              <w:rPr>
                <w:bCs/>
                <w:iCs/>
                <w:kern w:val="36"/>
                <w:sz w:val="28"/>
                <w:szCs w:val="28"/>
                <w:lang w:val="en-US" w:eastAsia="en-US"/>
              </w:rPr>
              <w:t>n=75)</w:t>
            </w:r>
          </w:p>
        </w:tc>
        <w:tc>
          <w:tcPr>
            <w:tcW w:w="155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en-US" w:eastAsia="en-US"/>
              </w:rPr>
            </w:pPr>
            <w:r w:rsidRPr="001A58B0">
              <w:rPr>
                <w:sz w:val="28"/>
                <w:szCs w:val="28"/>
                <w:lang w:eastAsia="en-US"/>
              </w:rPr>
              <w:t>5,</w:t>
            </w:r>
            <w:r w:rsidRPr="001A58B0">
              <w:rPr>
                <w:sz w:val="28"/>
                <w:szCs w:val="28"/>
                <w:lang w:val="en-US" w:eastAsia="en-US"/>
              </w:rPr>
              <w:t>41</w:t>
            </w:r>
            <w:r w:rsidRPr="001A58B0">
              <w:rPr>
                <w:sz w:val="28"/>
                <w:szCs w:val="28"/>
                <w:lang w:val="uk-UA" w:eastAsia="en-US"/>
              </w:rPr>
              <w:t>±0,1</w:t>
            </w:r>
            <w:r w:rsidRPr="001A58B0">
              <w:rPr>
                <w:sz w:val="28"/>
                <w:szCs w:val="28"/>
                <w:lang w:val="en-US" w:eastAsia="en-US"/>
              </w:rPr>
              <w:t>6</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en-US" w:eastAsia="en-US"/>
              </w:rPr>
            </w:pPr>
            <w:r w:rsidRPr="001A58B0">
              <w:rPr>
                <w:sz w:val="28"/>
                <w:szCs w:val="28"/>
                <w:lang w:eastAsia="en-US"/>
              </w:rPr>
              <w:t>1,9</w:t>
            </w:r>
            <w:r w:rsidRPr="001A58B0">
              <w:rPr>
                <w:sz w:val="28"/>
                <w:szCs w:val="28"/>
                <w:lang w:val="en-US" w:eastAsia="en-US"/>
              </w:rPr>
              <w:t>4</w:t>
            </w:r>
            <w:r w:rsidRPr="001A58B0">
              <w:rPr>
                <w:sz w:val="28"/>
                <w:szCs w:val="28"/>
                <w:lang w:val="uk-UA" w:eastAsia="en-US"/>
              </w:rPr>
              <w:t>±0,1</w:t>
            </w:r>
            <w:r w:rsidRPr="001A58B0">
              <w:rPr>
                <w:sz w:val="28"/>
                <w:szCs w:val="28"/>
                <w:lang w:val="en-US" w:eastAsia="en-US"/>
              </w:rPr>
              <w:t>0</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eastAsia="en-US"/>
              </w:rPr>
            </w:pPr>
            <w:r w:rsidRPr="001A58B0">
              <w:rPr>
                <w:sz w:val="28"/>
                <w:szCs w:val="28"/>
                <w:lang w:eastAsia="en-US"/>
              </w:rPr>
              <w:t>1,</w:t>
            </w:r>
            <w:r w:rsidRPr="001A58B0">
              <w:rPr>
                <w:sz w:val="28"/>
                <w:szCs w:val="28"/>
                <w:lang w:val="en-US" w:eastAsia="en-US"/>
              </w:rPr>
              <w:t>26</w:t>
            </w:r>
            <w:r w:rsidRPr="001A58B0">
              <w:rPr>
                <w:sz w:val="28"/>
                <w:szCs w:val="28"/>
                <w:lang w:eastAsia="en-US"/>
              </w:rPr>
              <w:t>±</w:t>
            </w:r>
            <w:r w:rsidRPr="001A58B0">
              <w:rPr>
                <w:sz w:val="28"/>
                <w:szCs w:val="28"/>
                <w:lang w:val="uk-UA" w:eastAsia="en-US"/>
              </w:rPr>
              <w:t>0,</w:t>
            </w:r>
            <w:r w:rsidRPr="001A58B0">
              <w:rPr>
                <w:sz w:val="28"/>
                <w:szCs w:val="28"/>
                <w:lang w:val="en-US" w:eastAsia="en-US"/>
              </w:rPr>
              <w:t>05</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val="en-US" w:eastAsia="en-US"/>
              </w:rPr>
            </w:pPr>
            <w:r w:rsidRPr="001A58B0">
              <w:rPr>
                <w:sz w:val="28"/>
                <w:szCs w:val="28"/>
                <w:lang w:eastAsia="en-US"/>
              </w:rPr>
              <w:t>3,</w:t>
            </w:r>
            <w:r w:rsidRPr="001A58B0">
              <w:rPr>
                <w:sz w:val="28"/>
                <w:szCs w:val="28"/>
                <w:lang w:val="en-US" w:eastAsia="en-US"/>
              </w:rPr>
              <w:t>38</w:t>
            </w:r>
            <w:r w:rsidRPr="001A58B0">
              <w:rPr>
                <w:sz w:val="28"/>
                <w:szCs w:val="28"/>
                <w:lang w:eastAsia="en-US"/>
              </w:rPr>
              <w:t>±</w:t>
            </w:r>
            <w:r w:rsidRPr="001A58B0">
              <w:rPr>
                <w:sz w:val="28"/>
                <w:szCs w:val="28"/>
                <w:lang w:val="uk-UA" w:eastAsia="en-US"/>
              </w:rPr>
              <w:t>0,1</w:t>
            </w:r>
            <w:r w:rsidRPr="001A58B0">
              <w:rPr>
                <w:sz w:val="28"/>
                <w:szCs w:val="28"/>
                <w:lang w:val="en-US" w:eastAsia="en-US"/>
              </w:rPr>
              <w:t>7</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val="en-US" w:eastAsia="en-US"/>
              </w:rPr>
            </w:pPr>
            <w:r w:rsidRPr="001A58B0">
              <w:rPr>
                <w:sz w:val="28"/>
                <w:szCs w:val="28"/>
                <w:lang w:eastAsia="en-US"/>
              </w:rPr>
              <w:t>0,</w:t>
            </w:r>
            <w:r w:rsidRPr="001A58B0">
              <w:rPr>
                <w:sz w:val="28"/>
                <w:szCs w:val="28"/>
                <w:lang w:val="en-US" w:eastAsia="en-US"/>
              </w:rPr>
              <w:t>8</w:t>
            </w:r>
            <w:r w:rsidRPr="001A58B0">
              <w:rPr>
                <w:sz w:val="28"/>
                <w:szCs w:val="28"/>
                <w:lang w:eastAsia="en-US"/>
              </w:rPr>
              <w:t>6±0,0</w:t>
            </w:r>
            <w:r w:rsidRPr="001A58B0">
              <w:rPr>
                <w:sz w:val="28"/>
                <w:szCs w:val="28"/>
                <w:lang w:val="en-US" w:eastAsia="en-US"/>
              </w:rPr>
              <w:t>5</w:t>
            </w:r>
          </w:p>
        </w:tc>
      </w:tr>
      <w:tr w:rsidR="00E3259F" w:rsidRPr="001A58B0" w:rsidTr="00E3259F">
        <w:tc>
          <w:tcPr>
            <w:tcW w:w="2093" w:type="dxa"/>
            <w:gridSpan w:val="2"/>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en-US" w:eastAsia="en-US"/>
              </w:rPr>
            </w:pPr>
            <w:r w:rsidRPr="001A58B0">
              <w:rPr>
                <w:bCs/>
                <w:iCs/>
                <w:kern w:val="36"/>
                <w:sz w:val="28"/>
                <w:szCs w:val="28"/>
                <w:lang w:val="uk-UA" w:eastAsia="en-US"/>
              </w:rPr>
              <w:t>3 група</w:t>
            </w:r>
            <w:r w:rsidRPr="001A58B0">
              <w:rPr>
                <w:bCs/>
                <w:iCs/>
                <w:kern w:val="36"/>
                <w:sz w:val="28"/>
                <w:szCs w:val="28"/>
                <w:lang w:val="en-US" w:eastAsia="en-US"/>
              </w:rPr>
              <w:t>(n=81)</w:t>
            </w:r>
          </w:p>
        </w:tc>
        <w:tc>
          <w:tcPr>
            <w:tcW w:w="155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eastAsia="en-US"/>
              </w:rPr>
            </w:pPr>
            <w:r w:rsidRPr="001A58B0">
              <w:rPr>
                <w:sz w:val="28"/>
                <w:szCs w:val="28"/>
                <w:lang w:eastAsia="en-US"/>
              </w:rPr>
              <w:t>5,86</w:t>
            </w:r>
            <w:r w:rsidRPr="001A58B0">
              <w:rPr>
                <w:sz w:val="28"/>
                <w:szCs w:val="28"/>
                <w:lang w:val="uk-UA" w:eastAsia="en-US"/>
              </w:rPr>
              <w:t>±0,14</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eastAsia="en-US"/>
              </w:rPr>
            </w:pPr>
            <w:r w:rsidRPr="001A58B0">
              <w:rPr>
                <w:sz w:val="28"/>
                <w:szCs w:val="28"/>
                <w:lang w:eastAsia="en-US"/>
              </w:rPr>
              <w:t>2,03±</w:t>
            </w:r>
            <w:r w:rsidRPr="001A58B0">
              <w:rPr>
                <w:sz w:val="28"/>
                <w:szCs w:val="28"/>
                <w:lang w:val="uk-UA" w:eastAsia="en-US"/>
              </w:rPr>
              <w:t>0,14</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en-US" w:eastAsia="en-US"/>
              </w:rPr>
            </w:pPr>
            <w:r w:rsidRPr="001A58B0">
              <w:rPr>
                <w:sz w:val="28"/>
                <w:szCs w:val="28"/>
                <w:lang w:eastAsia="en-US"/>
              </w:rPr>
              <w:t>1,2</w:t>
            </w:r>
            <w:r w:rsidRPr="001A58B0">
              <w:rPr>
                <w:sz w:val="28"/>
                <w:szCs w:val="28"/>
                <w:lang w:val="en-US" w:eastAsia="en-US"/>
              </w:rPr>
              <w:t>9</w:t>
            </w:r>
            <w:r w:rsidRPr="001A58B0">
              <w:rPr>
                <w:sz w:val="28"/>
                <w:szCs w:val="28"/>
                <w:lang w:eastAsia="en-US"/>
              </w:rPr>
              <w:t>±</w:t>
            </w:r>
            <w:r w:rsidRPr="001A58B0">
              <w:rPr>
                <w:sz w:val="28"/>
                <w:szCs w:val="28"/>
                <w:lang w:val="uk-UA" w:eastAsia="en-US"/>
              </w:rPr>
              <w:t>0,</w:t>
            </w:r>
            <w:r w:rsidRPr="001A58B0">
              <w:rPr>
                <w:sz w:val="28"/>
                <w:szCs w:val="28"/>
                <w:lang w:val="en-US" w:eastAsia="en-US"/>
              </w:rPr>
              <w:t>04</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eastAsia="en-US"/>
              </w:rPr>
              <w:t>3,57±</w:t>
            </w:r>
            <w:r w:rsidRPr="001A58B0">
              <w:rPr>
                <w:sz w:val="28"/>
                <w:szCs w:val="28"/>
                <w:lang w:val="uk-UA" w:eastAsia="en-US"/>
              </w:rPr>
              <w:t>0,12</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val="en-US" w:eastAsia="en-US"/>
              </w:rPr>
            </w:pPr>
            <w:r w:rsidRPr="001A58B0">
              <w:rPr>
                <w:sz w:val="28"/>
                <w:szCs w:val="28"/>
                <w:lang w:eastAsia="en-US"/>
              </w:rPr>
              <w:t>0,8</w:t>
            </w:r>
            <w:r w:rsidRPr="001A58B0">
              <w:rPr>
                <w:sz w:val="28"/>
                <w:szCs w:val="28"/>
                <w:lang w:val="en-US" w:eastAsia="en-US"/>
              </w:rPr>
              <w:t>8</w:t>
            </w:r>
            <w:r w:rsidRPr="001A58B0">
              <w:rPr>
                <w:sz w:val="28"/>
                <w:szCs w:val="28"/>
                <w:lang w:eastAsia="en-US"/>
              </w:rPr>
              <w:t>±0,0</w:t>
            </w:r>
            <w:r w:rsidRPr="001A58B0">
              <w:rPr>
                <w:sz w:val="28"/>
                <w:szCs w:val="28"/>
                <w:lang w:val="en-US" w:eastAsia="en-US"/>
              </w:rPr>
              <w:t>6</w:t>
            </w:r>
          </w:p>
        </w:tc>
      </w:tr>
      <w:tr w:rsidR="00E3259F" w:rsidRPr="001A58B0" w:rsidTr="00E3259F">
        <w:tc>
          <w:tcPr>
            <w:tcW w:w="2093" w:type="dxa"/>
            <w:gridSpan w:val="2"/>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uk-UA" w:eastAsia="en-US"/>
              </w:rPr>
            </w:pPr>
            <w:r w:rsidRPr="001A58B0">
              <w:rPr>
                <w:bCs/>
                <w:iCs/>
                <w:kern w:val="36"/>
                <w:sz w:val="28"/>
                <w:szCs w:val="28"/>
                <w:lang w:val="uk-UA" w:eastAsia="en-US"/>
              </w:rPr>
              <w:t>Значимість, р</w:t>
            </w:r>
          </w:p>
        </w:tc>
        <w:tc>
          <w:tcPr>
            <w:tcW w:w="155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en-US" w:eastAsia="en-US"/>
              </w:rPr>
              <w:t>0</w:t>
            </w:r>
            <w:r w:rsidRPr="001A58B0">
              <w:rPr>
                <w:sz w:val="28"/>
                <w:szCs w:val="28"/>
                <w:lang w:eastAsia="en-US"/>
              </w:rPr>
              <w:t>,036</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r>
      <w:tr w:rsidR="00E3259F" w:rsidRPr="001A58B0" w:rsidTr="00E3259F">
        <w:tc>
          <w:tcPr>
            <w:tcW w:w="9571" w:type="dxa"/>
            <w:gridSpan w:val="7"/>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uk-UA" w:eastAsia="en-US"/>
              </w:rPr>
            </w:pPr>
            <w:r w:rsidRPr="001A58B0">
              <w:rPr>
                <w:bCs/>
                <w:iCs/>
                <w:kern w:val="36"/>
                <w:sz w:val="28"/>
                <w:szCs w:val="28"/>
                <w:lang w:val="uk-UA" w:eastAsia="en-US"/>
              </w:rPr>
              <w:t>Чоловіки</w:t>
            </w:r>
          </w:p>
        </w:tc>
      </w:tr>
      <w:tr w:rsidR="00E3259F" w:rsidRPr="001A58B0" w:rsidTr="00E3259F">
        <w:tc>
          <w:tcPr>
            <w:tcW w:w="2093" w:type="dxa"/>
            <w:gridSpan w:val="2"/>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en-US" w:eastAsia="en-US"/>
              </w:rPr>
            </w:pPr>
            <w:r w:rsidRPr="001A58B0">
              <w:rPr>
                <w:bCs/>
                <w:iCs/>
                <w:kern w:val="36"/>
                <w:sz w:val="28"/>
                <w:szCs w:val="28"/>
                <w:lang w:val="uk-UA" w:eastAsia="en-US"/>
              </w:rPr>
              <w:t>2 група(</w:t>
            </w:r>
            <w:r w:rsidRPr="001A58B0">
              <w:rPr>
                <w:bCs/>
                <w:iCs/>
                <w:kern w:val="36"/>
                <w:sz w:val="28"/>
                <w:szCs w:val="28"/>
                <w:lang w:val="en-US" w:eastAsia="en-US"/>
              </w:rPr>
              <w:t>n=81)</w:t>
            </w:r>
          </w:p>
        </w:tc>
        <w:tc>
          <w:tcPr>
            <w:tcW w:w="155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en-US" w:eastAsia="en-US"/>
              </w:rPr>
              <w:t>5</w:t>
            </w:r>
            <w:r w:rsidRPr="001A58B0">
              <w:rPr>
                <w:sz w:val="28"/>
                <w:szCs w:val="28"/>
                <w:lang w:eastAsia="en-US"/>
              </w:rPr>
              <w:t>,</w:t>
            </w:r>
            <w:r w:rsidRPr="001A58B0">
              <w:rPr>
                <w:sz w:val="28"/>
                <w:szCs w:val="28"/>
                <w:lang w:val="en-US" w:eastAsia="en-US"/>
              </w:rPr>
              <w:t>10</w:t>
            </w:r>
            <w:r w:rsidRPr="001A58B0">
              <w:rPr>
                <w:sz w:val="28"/>
                <w:szCs w:val="28"/>
                <w:lang w:val="uk-UA" w:eastAsia="en-US"/>
              </w:rPr>
              <w:t>±0,13</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eastAsia="en-US"/>
              </w:rPr>
              <w:t>1,8</w:t>
            </w:r>
            <w:r w:rsidRPr="001A58B0">
              <w:rPr>
                <w:sz w:val="28"/>
                <w:szCs w:val="28"/>
                <w:lang w:val="en-US" w:eastAsia="en-US"/>
              </w:rPr>
              <w:t>5</w:t>
            </w:r>
            <w:r w:rsidRPr="001A58B0">
              <w:rPr>
                <w:sz w:val="28"/>
                <w:szCs w:val="28"/>
                <w:lang w:val="uk-UA" w:eastAsia="en-US"/>
              </w:rPr>
              <w:t>±0,</w:t>
            </w:r>
            <w:r w:rsidRPr="001A58B0">
              <w:rPr>
                <w:sz w:val="28"/>
                <w:szCs w:val="28"/>
                <w:lang w:val="en-US" w:eastAsia="en-US"/>
              </w:rPr>
              <w:t>10</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val="en-US" w:eastAsia="en-US"/>
              </w:rPr>
            </w:pPr>
            <w:r w:rsidRPr="001A58B0">
              <w:rPr>
                <w:sz w:val="28"/>
                <w:szCs w:val="28"/>
                <w:lang w:eastAsia="en-US"/>
              </w:rPr>
              <w:t>1,1</w:t>
            </w:r>
            <w:r w:rsidRPr="001A58B0">
              <w:rPr>
                <w:sz w:val="28"/>
                <w:szCs w:val="28"/>
                <w:lang w:val="en-US" w:eastAsia="en-US"/>
              </w:rPr>
              <w:t>7</w:t>
            </w:r>
            <w:r w:rsidRPr="001A58B0">
              <w:rPr>
                <w:sz w:val="28"/>
                <w:szCs w:val="28"/>
                <w:lang w:val="uk-UA" w:eastAsia="en-US"/>
              </w:rPr>
              <w:t>±0,0</w:t>
            </w:r>
            <w:r w:rsidRPr="001A58B0">
              <w:rPr>
                <w:sz w:val="28"/>
                <w:szCs w:val="28"/>
                <w:lang w:val="en-US" w:eastAsia="en-US"/>
              </w:rPr>
              <w:t>4</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en-US" w:eastAsia="en-US"/>
              </w:rPr>
              <w:t>3</w:t>
            </w:r>
            <w:r w:rsidRPr="001A58B0">
              <w:rPr>
                <w:sz w:val="28"/>
                <w:szCs w:val="28"/>
                <w:lang w:eastAsia="en-US"/>
              </w:rPr>
              <w:t>,</w:t>
            </w:r>
            <w:r w:rsidRPr="001A58B0">
              <w:rPr>
                <w:sz w:val="28"/>
                <w:szCs w:val="28"/>
                <w:lang w:val="en-US" w:eastAsia="en-US"/>
              </w:rPr>
              <w:t>06</w:t>
            </w:r>
            <w:r w:rsidRPr="001A58B0">
              <w:rPr>
                <w:sz w:val="28"/>
                <w:szCs w:val="28"/>
                <w:lang w:eastAsia="en-US"/>
              </w:rPr>
              <w:t>±0,13</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val="en-US" w:eastAsia="en-US"/>
              </w:rPr>
            </w:pPr>
            <w:r w:rsidRPr="001A58B0">
              <w:rPr>
                <w:sz w:val="28"/>
                <w:szCs w:val="28"/>
                <w:lang w:eastAsia="en-US"/>
              </w:rPr>
              <w:t>0,8</w:t>
            </w:r>
            <w:r w:rsidRPr="001A58B0">
              <w:rPr>
                <w:sz w:val="28"/>
                <w:szCs w:val="28"/>
                <w:lang w:val="en-US" w:eastAsia="en-US"/>
              </w:rPr>
              <w:t>4</w:t>
            </w:r>
            <w:r w:rsidRPr="001A58B0">
              <w:rPr>
                <w:sz w:val="28"/>
                <w:szCs w:val="28"/>
                <w:lang w:eastAsia="en-US"/>
              </w:rPr>
              <w:t>±0,0</w:t>
            </w:r>
            <w:r w:rsidRPr="001A58B0">
              <w:rPr>
                <w:sz w:val="28"/>
                <w:szCs w:val="28"/>
                <w:lang w:val="en-US" w:eastAsia="en-US"/>
              </w:rPr>
              <w:t>7</w:t>
            </w:r>
          </w:p>
        </w:tc>
      </w:tr>
      <w:tr w:rsidR="00E3259F" w:rsidRPr="001A58B0" w:rsidTr="00E3259F">
        <w:tc>
          <w:tcPr>
            <w:tcW w:w="2093" w:type="dxa"/>
            <w:gridSpan w:val="2"/>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en-US" w:eastAsia="en-US"/>
              </w:rPr>
            </w:pPr>
            <w:r w:rsidRPr="001A58B0">
              <w:rPr>
                <w:bCs/>
                <w:iCs/>
                <w:kern w:val="36"/>
                <w:sz w:val="28"/>
                <w:szCs w:val="28"/>
                <w:lang w:val="uk-UA" w:eastAsia="en-US"/>
              </w:rPr>
              <w:t>3 група</w:t>
            </w:r>
            <w:r w:rsidRPr="001A58B0">
              <w:rPr>
                <w:bCs/>
                <w:iCs/>
                <w:kern w:val="36"/>
                <w:sz w:val="28"/>
                <w:szCs w:val="28"/>
                <w:lang w:val="en-US" w:eastAsia="en-US"/>
              </w:rPr>
              <w:t>(n=12)</w:t>
            </w:r>
          </w:p>
        </w:tc>
        <w:tc>
          <w:tcPr>
            <w:tcW w:w="155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eastAsia="en-US"/>
              </w:rPr>
              <w:t>5,23</w:t>
            </w:r>
            <w:r w:rsidRPr="001A58B0">
              <w:rPr>
                <w:sz w:val="28"/>
                <w:szCs w:val="28"/>
                <w:lang w:val="uk-UA" w:eastAsia="en-US"/>
              </w:rPr>
              <w:t>±0,37</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eastAsia="en-US"/>
              </w:rPr>
              <w:t>1,87</w:t>
            </w:r>
            <w:r w:rsidRPr="001A58B0">
              <w:rPr>
                <w:sz w:val="28"/>
                <w:szCs w:val="28"/>
                <w:lang w:val="uk-UA" w:eastAsia="en-US"/>
              </w:rPr>
              <w:t>±0,26</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eastAsia="en-US"/>
              </w:rPr>
              <w:t>1,19±0,06</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eastAsia="en-US"/>
              </w:rPr>
              <w:t>3,29</w:t>
            </w:r>
            <w:r w:rsidRPr="001A58B0">
              <w:rPr>
                <w:sz w:val="28"/>
                <w:szCs w:val="28"/>
                <w:lang w:val="uk-UA" w:eastAsia="en-US"/>
              </w:rPr>
              <w:t>±0,35</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rFonts w:eastAsia="Calibri"/>
                <w:sz w:val="28"/>
                <w:szCs w:val="28"/>
                <w:lang w:eastAsia="en-US"/>
              </w:rPr>
            </w:pPr>
            <w:r w:rsidRPr="001A58B0">
              <w:rPr>
                <w:sz w:val="28"/>
                <w:szCs w:val="28"/>
                <w:lang w:eastAsia="en-US"/>
              </w:rPr>
              <w:t>0,86±0,13</w:t>
            </w:r>
          </w:p>
        </w:tc>
      </w:tr>
      <w:tr w:rsidR="00E3259F" w:rsidRPr="001A58B0" w:rsidTr="00E3259F">
        <w:tc>
          <w:tcPr>
            <w:tcW w:w="2093" w:type="dxa"/>
            <w:gridSpan w:val="2"/>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bCs/>
                <w:iCs/>
                <w:kern w:val="36"/>
                <w:sz w:val="28"/>
                <w:szCs w:val="28"/>
                <w:lang w:val="uk-UA" w:eastAsia="en-US"/>
              </w:rPr>
            </w:pPr>
            <w:r w:rsidRPr="001A58B0">
              <w:rPr>
                <w:bCs/>
                <w:iCs/>
                <w:kern w:val="36"/>
                <w:sz w:val="28"/>
                <w:szCs w:val="28"/>
                <w:lang w:val="uk-UA" w:eastAsia="en-US"/>
              </w:rPr>
              <w:t>Значимість, р</w:t>
            </w:r>
          </w:p>
        </w:tc>
        <w:tc>
          <w:tcPr>
            <w:tcW w:w="155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val="en-US" w:eastAsia="en-US"/>
              </w:rPr>
            </w:pPr>
            <w:r w:rsidRPr="001A58B0">
              <w:rPr>
                <w:sz w:val="28"/>
                <w:szCs w:val="28"/>
                <w:lang w:val="uk-UA" w:eastAsia="en-US"/>
              </w:rPr>
              <w:t>&gt;0,05</w:t>
            </w:r>
          </w:p>
        </w:tc>
        <w:tc>
          <w:tcPr>
            <w:tcW w:w="1384"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c>
          <w:tcPr>
            <w:tcW w:w="1586"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c>
          <w:tcPr>
            <w:tcW w:w="1350"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c>
          <w:tcPr>
            <w:tcW w:w="1599" w:type="dxa"/>
            <w:tcBorders>
              <w:top w:val="single" w:sz="4" w:space="0" w:color="auto"/>
              <w:left w:val="single" w:sz="4" w:space="0" w:color="auto"/>
              <w:bottom w:val="single" w:sz="4" w:space="0" w:color="auto"/>
              <w:right w:val="single" w:sz="4" w:space="0" w:color="auto"/>
            </w:tcBorders>
            <w:hideMark/>
          </w:tcPr>
          <w:p w:rsidR="00E3259F" w:rsidRPr="001A58B0" w:rsidRDefault="00E3259F">
            <w:pPr>
              <w:spacing w:line="360" w:lineRule="auto"/>
              <w:rPr>
                <w:sz w:val="28"/>
                <w:szCs w:val="28"/>
                <w:lang w:eastAsia="en-US"/>
              </w:rPr>
            </w:pPr>
            <w:r w:rsidRPr="001A58B0">
              <w:rPr>
                <w:sz w:val="28"/>
                <w:szCs w:val="28"/>
                <w:lang w:val="uk-UA" w:eastAsia="en-US"/>
              </w:rPr>
              <w:t>&gt;0,05</w:t>
            </w:r>
          </w:p>
        </w:tc>
      </w:tr>
    </w:tbl>
    <w:p w:rsidR="00E3259F" w:rsidRDefault="00E3259F" w:rsidP="00E3259F">
      <w:pPr>
        <w:spacing w:line="360" w:lineRule="auto"/>
        <w:ind w:firstLine="709"/>
        <w:jc w:val="both"/>
        <w:rPr>
          <w:bCs/>
          <w:iCs/>
          <w:kern w:val="36"/>
          <w:sz w:val="28"/>
          <w:szCs w:val="28"/>
          <w:lang w:val="uk-UA"/>
        </w:rPr>
      </w:pPr>
    </w:p>
    <w:p w:rsidR="00E3259F" w:rsidRPr="001A58B0" w:rsidRDefault="00E3259F" w:rsidP="001A58B0">
      <w:pPr>
        <w:spacing w:line="360" w:lineRule="auto"/>
        <w:ind w:firstLine="709"/>
        <w:jc w:val="both"/>
        <w:rPr>
          <w:bCs/>
          <w:iCs/>
          <w:kern w:val="36"/>
          <w:sz w:val="28"/>
          <w:szCs w:val="28"/>
          <w:lang w:val="uk-UA"/>
        </w:rPr>
      </w:pPr>
      <w:r w:rsidRPr="001A58B0">
        <w:rPr>
          <w:bCs/>
          <w:iCs/>
          <w:kern w:val="36"/>
          <w:sz w:val="28"/>
          <w:szCs w:val="28"/>
          <w:lang w:val="uk-UA"/>
        </w:rPr>
        <w:t>У чоловіків при міжгруповому порівнянні достовірних відмінностей рівнів атерогенних фракцій ліпідів виявлено не було (</w:t>
      </w:r>
      <w:r w:rsidRPr="001A58B0">
        <w:rPr>
          <w:sz w:val="28"/>
          <w:szCs w:val="28"/>
          <w:lang w:val="uk-UA"/>
        </w:rPr>
        <w:t>р&gt;0,05 для всіх показників ліпідного обміну).</w:t>
      </w:r>
      <w:r w:rsidRPr="001A58B0">
        <w:rPr>
          <w:bCs/>
          <w:iCs/>
          <w:kern w:val="36"/>
          <w:sz w:val="28"/>
          <w:szCs w:val="28"/>
          <w:lang w:val="uk-UA"/>
        </w:rPr>
        <w:t xml:space="preserve"> </w:t>
      </w:r>
    </w:p>
    <w:p w:rsidR="00E3259F" w:rsidRPr="001A58B0" w:rsidRDefault="00E3259F" w:rsidP="001A58B0">
      <w:pPr>
        <w:spacing w:line="360" w:lineRule="auto"/>
        <w:ind w:firstLine="709"/>
        <w:jc w:val="both"/>
        <w:rPr>
          <w:bCs/>
          <w:iCs/>
          <w:kern w:val="36"/>
          <w:sz w:val="28"/>
          <w:szCs w:val="28"/>
          <w:lang w:val="uk-UA"/>
        </w:rPr>
      </w:pPr>
      <w:r w:rsidRPr="001A58B0">
        <w:rPr>
          <w:bCs/>
          <w:iCs/>
          <w:kern w:val="36"/>
          <w:sz w:val="28"/>
          <w:szCs w:val="28"/>
          <w:lang w:val="uk-UA"/>
        </w:rPr>
        <w:t xml:space="preserve">Таким чином, у пацієнтів з коморбідною патологією, яка включає ГХ та ЦД 2 типу, наявність СГТ призводило до більш вираженої дисліпідемії  порівняно з особами без порушення функції ЩЗ. Субклінічний рівень ТТГ 6,0 </w:t>
      </w:r>
      <w:r w:rsidRPr="001A58B0">
        <w:rPr>
          <w:sz w:val="28"/>
          <w:szCs w:val="28"/>
          <w:shd w:val="clear" w:color="auto" w:fill="FFFFFF"/>
          <w:lang w:val="uk-UA"/>
        </w:rPr>
        <w:t xml:space="preserve">мкМОд/мл розцінено як пороговий, що </w:t>
      </w:r>
      <w:r w:rsidRPr="001A58B0">
        <w:rPr>
          <w:bCs/>
          <w:iCs/>
          <w:kern w:val="36"/>
          <w:sz w:val="28"/>
          <w:szCs w:val="28"/>
          <w:lang w:val="uk-UA"/>
        </w:rPr>
        <w:t>супроводжується більш значущими проатерогенними змінами ліпідного профілю, що необхідно враховувати при оцінці прогнозу. Мають місце гендерні відмінності ліпідного спектра в пацієнтів з коморбідною патологією та субклінічною гіпофункцією ЩЗ: у жінок спостерігалися  вищі рівні проатерогенних фракцій ліпідів. У чоловіків вплив СГТ на показники ліпідного обміну залишається спірним.</w:t>
      </w:r>
    </w:p>
    <w:p w:rsidR="00E3259F" w:rsidRPr="001A58B0" w:rsidRDefault="00E3259F" w:rsidP="001A58B0">
      <w:pPr>
        <w:spacing w:line="360" w:lineRule="auto"/>
        <w:ind w:firstLine="709"/>
        <w:jc w:val="both"/>
        <w:rPr>
          <w:b/>
          <w:sz w:val="28"/>
          <w:szCs w:val="28"/>
          <w:lang w:val="uk-UA"/>
        </w:rPr>
      </w:pPr>
      <w:r w:rsidRPr="001A58B0">
        <w:rPr>
          <w:sz w:val="28"/>
          <w:szCs w:val="28"/>
          <w:shd w:val="clear" w:color="auto" w:fill="FFFFFF"/>
          <w:lang w:val="uk-UA"/>
        </w:rPr>
        <w:t>Серед хворих групи 2 та 3 н</w:t>
      </w:r>
      <w:r w:rsidRPr="001A58B0">
        <w:rPr>
          <w:sz w:val="28"/>
          <w:szCs w:val="28"/>
          <w:lang w:val="uk-UA"/>
        </w:rPr>
        <w:t xml:space="preserve">аявність стадії компенсації ЦД 2 типу (рівень </w:t>
      </w:r>
      <w:r w:rsidRPr="001A58B0">
        <w:rPr>
          <w:sz w:val="28"/>
          <w:szCs w:val="28"/>
        </w:rPr>
        <w:t>НbА1с&lt;</w:t>
      </w:r>
      <w:r w:rsidRPr="001A58B0">
        <w:rPr>
          <w:sz w:val="28"/>
          <w:szCs w:val="28"/>
          <w:lang w:val="uk-UA"/>
        </w:rPr>
        <w:t>7,0%) [</w:t>
      </w:r>
      <w:bookmarkStart w:id="13" w:name="_Hlk43583881"/>
      <w:r w:rsidRPr="001A58B0">
        <w:rPr>
          <w:sz w:val="28"/>
          <w:szCs w:val="28"/>
          <w:lang w:val="uk-UA"/>
        </w:rPr>
        <w:t>50</w:t>
      </w:r>
      <w:bookmarkEnd w:id="13"/>
      <w:r w:rsidRPr="001A58B0">
        <w:rPr>
          <w:sz w:val="28"/>
          <w:szCs w:val="28"/>
          <w:lang w:val="uk-UA"/>
        </w:rPr>
        <w:t xml:space="preserve">] спостерігалась у 40,38±3,93% пацієнтів  групи 2 та у  50,54±5,18% - групи 3. </w:t>
      </w:r>
      <w:r w:rsidRPr="001A58B0">
        <w:rPr>
          <w:rStyle w:val="afa"/>
          <w:b w:val="0"/>
          <w:sz w:val="28"/>
          <w:szCs w:val="28"/>
          <w:lang w:val="uk-UA"/>
        </w:rPr>
        <w:t>Серед пацієнтів групи 2 компенсація ЦД спостерігалась у 44,00±5,78% жінок та у 36,58±5,32% чоловіків. Компенсація ЦД в групі 3 спостерігалась у 56,79±5,50% жінок та у 33,33±13,61% чоловіків.</w:t>
      </w:r>
    </w:p>
    <w:p w:rsidR="00E3259F" w:rsidRPr="001A58B0" w:rsidRDefault="00E3259F" w:rsidP="001A58B0">
      <w:pPr>
        <w:spacing w:line="360" w:lineRule="auto"/>
        <w:ind w:firstLine="709"/>
        <w:jc w:val="both"/>
        <w:rPr>
          <w:rStyle w:val="tlid-translation"/>
          <w:rFonts w:eastAsiaTheme="majorEastAsia"/>
        </w:rPr>
      </w:pPr>
      <w:r w:rsidRPr="001A58B0">
        <w:rPr>
          <w:rStyle w:val="tlid-translation"/>
          <w:rFonts w:eastAsiaTheme="majorEastAsia"/>
          <w:sz w:val="28"/>
          <w:szCs w:val="28"/>
          <w:lang w:val="uk-UA"/>
        </w:rPr>
        <w:t>При порівняльному аналізі вуглеводного обміну в</w:t>
      </w:r>
      <w:r w:rsidRPr="001A58B0">
        <w:rPr>
          <w:sz w:val="28"/>
          <w:szCs w:val="28"/>
          <w:lang w:val="uk-UA"/>
        </w:rPr>
        <w:t xml:space="preserve"> групі ізольованої ГХ, незважаючи на рівні показників вуглеводного обміну в рамках референсних значень, спостерігалися достовірні відмінності порівняно з групою контролю за всіма показниками, що є підтвердженням щодо інсулінорезистентності як важливого механізму формування ГХ </w:t>
      </w:r>
      <w:r w:rsidRPr="001A58B0">
        <w:rPr>
          <w:rStyle w:val="tlid-translation"/>
          <w:rFonts w:eastAsiaTheme="majorEastAsia"/>
          <w:sz w:val="28"/>
          <w:szCs w:val="28"/>
          <w:lang w:val="uk-UA"/>
        </w:rPr>
        <w:t xml:space="preserve">(табл. 3.4). Наявність ЦД 2 типу очікувано супроводжувалася вірогідно більш високими показниками вуглеводного обміну, ніж у хворих з ізольованою ГХ та групою контролю. </w:t>
      </w:r>
    </w:p>
    <w:p w:rsidR="001A58B0" w:rsidRDefault="001A58B0" w:rsidP="00E3259F">
      <w:pPr>
        <w:spacing w:line="360" w:lineRule="auto"/>
        <w:ind w:firstLine="709"/>
        <w:jc w:val="right"/>
        <w:rPr>
          <w:sz w:val="28"/>
          <w:szCs w:val="28"/>
          <w:lang w:val="uk-UA"/>
        </w:rPr>
      </w:pPr>
    </w:p>
    <w:p w:rsidR="00E3259F" w:rsidRPr="001A58B0" w:rsidRDefault="00E3259F" w:rsidP="00E3259F">
      <w:pPr>
        <w:spacing w:line="360" w:lineRule="auto"/>
        <w:ind w:firstLine="709"/>
        <w:jc w:val="right"/>
      </w:pPr>
      <w:r w:rsidRPr="001A58B0">
        <w:rPr>
          <w:sz w:val="28"/>
          <w:szCs w:val="28"/>
        </w:rPr>
        <w:t>Таблиц</w:t>
      </w:r>
      <w:r w:rsidRPr="001A58B0">
        <w:rPr>
          <w:sz w:val="28"/>
          <w:szCs w:val="28"/>
          <w:lang w:val="uk-UA"/>
        </w:rPr>
        <w:t>я 3.4</w:t>
      </w:r>
    </w:p>
    <w:p w:rsidR="00E3259F" w:rsidRPr="001A58B0" w:rsidRDefault="00E3259F" w:rsidP="00E3259F">
      <w:pPr>
        <w:spacing w:line="360" w:lineRule="auto"/>
        <w:ind w:firstLine="709"/>
        <w:jc w:val="center"/>
        <w:rPr>
          <w:sz w:val="28"/>
          <w:szCs w:val="28"/>
          <w:lang w:val="uk-UA"/>
        </w:rPr>
      </w:pPr>
      <w:r w:rsidRPr="001A58B0">
        <w:rPr>
          <w:sz w:val="28"/>
          <w:szCs w:val="28"/>
          <w:lang w:val="uk-UA"/>
        </w:rPr>
        <w:t>П</w:t>
      </w:r>
      <w:r w:rsidRPr="001A58B0">
        <w:rPr>
          <w:sz w:val="28"/>
          <w:szCs w:val="28"/>
        </w:rPr>
        <w:t>оказник</w:t>
      </w:r>
      <w:r w:rsidRPr="001A58B0">
        <w:rPr>
          <w:sz w:val="28"/>
          <w:szCs w:val="28"/>
          <w:lang w:val="uk-UA"/>
        </w:rPr>
        <w:t>и вуглеводного обміну в</w:t>
      </w:r>
      <w:r w:rsidRPr="001A58B0">
        <w:rPr>
          <w:sz w:val="28"/>
          <w:szCs w:val="28"/>
        </w:rPr>
        <w:t xml:space="preserve"> досліджуваних групах (</w:t>
      </w:r>
      <w:r w:rsidRPr="001A58B0">
        <w:rPr>
          <w:sz w:val="28"/>
          <w:szCs w:val="28"/>
          <w:lang w:val="en-US"/>
        </w:rPr>
        <w:t>M</w:t>
      </w:r>
      <w:r w:rsidRPr="001A58B0">
        <w:rPr>
          <w:sz w:val="28"/>
          <w:szCs w:val="28"/>
        </w:rPr>
        <w:t>±</w:t>
      </w:r>
      <w:r w:rsidRPr="001A58B0">
        <w:rPr>
          <w:sz w:val="28"/>
          <w:szCs w:val="28"/>
          <w:lang w:val="en-US"/>
        </w:rPr>
        <w:t>m</w:t>
      </w:r>
      <w:r w:rsidRPr="001A58B0">
        <w:rPr>
          <w:sz w:val="28"/>
          <w:szCs w:val="28"/>
          <w:lang w:val="uk-UA"/>
        </w:rPr>
        <w:t>)</w:t>
      </w:r>
    </w:p>
    <w:tbl>
      <w:tblPr>
        <w:tblW w:w="5000" w:type="pct"/>
        <w:tblLook w:val="04A0" w:firstRow="1" w:lastRow="0" w:firstColumn="1" w:lastColumn="0" w:noHBand="0" w:noVBand="1"/>
      </w:tblPr>
      <w:tblGrid>
        <w:gridCol w:w="1376"/>
        <w:gridCol w:w="1637"/>
        <w:gridCol w:w="1630"/>
        <w:gridCol w:w="1631"/>
        <w:gridCol w:w="1631"/>
        <w:gridCol w:w="1665"/>
      </w:tblGrid>
      <w:tr w:rsidR="001A58B0" w:rsidRPr="001A58B0" w:rsidTr="001A58B0">
        <w:tc>
          <w:tcPr>
            <w:tcW w:w="718"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center"/>
              <w:rPr>
                <w:rFonts w:eastAsiaTheme="minorEastAsia"/>
                <w:sz w:val="28"/>
                <w:szCs w:val="28"/>
                <w:lang w:val="uk-UA" w:eastAsia="en-US"/>
              </w:rPr>
            </w:pPr>
            <w:r w:rsidRPr="001A58B0">
              <w:rPr>
                <w:sz w:val="28"/>
                <w:szCs w:val="28"/>
                <w:lang w:eastAsia="en-US"/>
              </w:rPr>
              <w:t>Показник</w:t>
            </w:r>
          </w:p>
        </w:tc>
        <w:tc>
          <w:tcPr>
            <w:tcW w:w="855"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val="uk-UA" w:eastAsia="en-US"/>
              </w:rPr>
            </w:pPr>
            <w:r w:rsidRPr="001A58B0">
              <w:rPr>
                <w:sz w:val="28"/>
                <w:szCs w:val="28"/>
                <w:lang w:val="uk-UA" w:eastAsia="en-US"/>
              </w:rPr>
              <w:t>Контрольна група</w:t>
            </w:r>
          </w:p>
          <w:p w:rsidR="00E3259F" w:rsidRPr="001A58B0" w:rsidRDefault="00E3259F" w:rsidP="001A58B0">
            <w:pPr>
              <w:spacing w:line="360" w:lineRule="auto"/>
              <w:jc w:val="center"/>
              <w:rPr>
                <w:sz w:val="28"/>
                <w:szCs w:val="28"/>
                <w:lang w:val="uk-UA" w:eastAsia="en-US"/>
              </w:rPr>
            </w:pPr>
            <w:r w:rsidRPr="001A58B0">
              <w:rPr>
                <w:sz w:val="28"/>
                <w:szCs w:val="28"/>
                <w:lang w:val="en-US" w:eastAsia="en-US"/>
              </w:rPr>
              <w:t>(n=30)</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Theme="minorEastAsia"/>
                <w:sz w:val="28"/>
                <w:szCs w:val="28"/>
                <w:lang w:val="uk-UA" w:eastAsia="en-US"/>
              </w:rPr>
            </w:pPr>
            <w:r w:rsidRPr="001A58B0">
              <w:rPr>
                <w:sz w:val="28"/>
                <w:szCs w:val="28"/>
                <w:lang w:eastAsia="en-US"/>
              </w:rPr>
              <w:t>1 група</w:t>
            </w:r>
          </w:p>
          <w:p w:rsidR="00E3259F" w:rsidRPr="001A58B0" w:rsidRDefault="00E3259F" w:rsidP="001A58B0">
            <w:pPr>
              <w:widowControl w:val="0"/>
              <w:autoSpaceDE w:val="0"/>
              <w:autoSpaceDN w:val="0"/>
              <w:adjustRightInd w:val="0"/>
              <w:spacing w:line="360" w:lineRule="auto"/>
              <w:jc w:val="center"/>
              <w:rPr>
                <w:rFonts w:eastAsiaTheme="minorEastAsia"/>
                <w:sz w:val="28"/>
                <w:szCs w:val="28"/>
                <w:lang w:val="uk-UA" w:eastAsia="en-US"/>
              </w:rPr>
            </w:pPr>
            <w:r w:rsidRPr="001A58B0">
              <w:rPr>
                <w:sz w:val="28"/>
                <w:szCs w:val="28"/>
                <w:lang w:val="uk-UA" w:eastAsia="en-US"/>
              </w:rPr>
              <w:t>(</w:t>
            </w:r>
            <w:r w:rsidRPr="001A58B0">
              <w:rPr>
                <w:sz w:val="28"/>
                <w:szCs w:val="28"/>
                <w:lang w:val="en-US" w:eastAsia="en-US"/>
              </w:rPr>
              <w:t>n</w:t>
            </w:r>
            <w:r w:rsidRPr="001A58B0">
              <w:rPr>
                <w:sz w:val="28"/>
                <w:szCs w:val="28"/>
                <w:lang w:val="uk-UA" w:eastAsia="en-US"/>
              </w:rPr>
              <w:t>=106)</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Theme="minorEastAsia"/>
                <w:sz w:val="28"/>
                <w:szCs w:val="28"/>
                <w:lang w:val="uk-UA" w:eastAsia="en-US"/>
              </w:rPr>
            </w:pPr>
            <w:r w:rsidRPr="001A58B0">
              <w:rPr>
                <w:sz w:val="28"/>
                <w:szCs w:val="28"/>
                <w:lang w:eastAsia="en-US"/>
              </w:rPr>
              <w:t>2 група</w:t>
            </w:r>
          </w:p>
          <w:p w:rsidR="00E3259F" w:rsidRPr="001A58B0" w:rsidRDefault="00E3259F" w:rsidP="001A58B0">
            <w:pPr>
              <w:widowControl w:val="0"/>
              <w:autoSpaceDE w:val="0"/>
              <w:autoSpaceDN w:val="0"/>
              <w:adjustRightInd w:val="0"/>
              <w:spacing w:line="360" w:lineRule="auto"/>
              <w:jc w:val="center"/>
              <w:rPr>
                <w:rFonts w:eastAsiaTheme="minorEastAsia"/>
                <w:sz w:val="28"/>
                <w:szCs w:val="28"/>
                <w:lang w:val="uk-UA" w:eastAsia="en-US"/>
              </w:rPr>
            </w:pPr>
            <w:r w:rsidRPr="001A58B0">
              <w:rPr>
                <w:sz w:val="28"/>
                <w:szCs w:val="28"/>
                <w:lang w:val="uk-UA" w:eastAsia="en-US"/>
              </w:rPr>
              <w:t>(</w:t>
            </w:r>
            <w:r w:rsidRPr="001A58B0">
              <w:rPr>
                <w:sz w:val="28"/>
                <w:szCs w:val="28"/>
                <w:lang w:val="en-US" w:eastAsia="en-US"/>
              </w:rPr>
              <w:t>n</w:t>
            </w:r>
            <w:r w:rsidRPr="001A58B0">
              <w:rPr>
                <w:sz w:val="28"/>
                <w:szCs w:val="28"/>
                <w:lang w:val="uk-UA" w:eastAsia="en-US"/>
              </w:rPr>
              <w:t>=156)</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rFonts w:eastAsiaTheme="minorEastAsia"/>
                <w:sz w:val="28"/>
                <w:szCs w:val="28"/>
                <w:lang w:val="uk-UA" w:eastAsia="en-US"/>
              </w:rPr>
            </w:pPr>
            <w:r w:rsidRPr="001A58B0">
              <w:rPr>
                <w:sz w:val="28"/>
                <w:szCs w:val="28"/>
                <w:lang w:eastAsia="en-US"/>
              </w:rPr>
              <w:t>3 група</w:t>
            </w:r>
          </w:p>
          <w:p w:rsidR="00E3259F" w:rsidRPr="001A58B0" w:rsidRDefault="00E3259F" w:rsidP="001A58B0">
            <w:pPr>
              <w:widowControl w:val="0"/>
              <w:autoSpaceDE w:val="0"/>
              <w:autoSpaceDN w:val="0"/>
              <w:adjustRightInd w:val="0"/>
              <w:spacing w:line="360" w:lineRule="auto"/>
              <w:jc w:val="center"/>
              <w:rPr>
                <w:rFonts w:eastAsiaTheme="minorEastAsia"/>
                <w:sz w:val="28"/>
                <w:szCs w:val="28"/>
                <w:lang w:val="uk-UA" w:eastAsia="en-US"/>
              </w:rPr>
            </w:pPr>
            <w:r w:rsidRPr="001A58B0">
              <w:rPr>
                <w:sz w:val="28"/>
                <w:szCs w:val="28"/>
                <w:lang w:val="uk-UA" w:eastAsia="en-US"/>
              </w:rPr>
              <w:t>(</w:t>
            </w:r>
            <w:r w:rsidRPr="001A58B0">
              <w:rPr>
                <w:sz w:val="28"/>
                <w:szCs w:val="28"/>
                <w:lang w:val="en-US" w:eastAsia="en-US"/>
              </w:rPr>
              <w:t>n</w:t>
            </w:r>
            <w:r w:rsidRPr="001A58B0">
              <w:rPr>
                <w:sz w:val="28"/>
                <w:szCs w:val="28"/>
                <w:lang w:val="uk-UA" w:eastAsia="en-US"/>
              </w:rPr>
              <w:t>=93)</w:t>
            </w:r>
          </w:p>
        </w:tc>
        <w:tc>
          <w:tcPr>
            <w:tcW w:w="870"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center"/>
              <w:rPr>
                <w:sz w:val="28"/>
                <w:szCs w:val="28"/>
                <w:lang w:val="uk-UA" w:eastAsia="en-US"/>
              </w:rPr>
            </w:pPr>
            <w:r w:rsidRPr="001A58B0">
              <w:rPr>
                <w:sz w:val="28"/>
                <w:szCs w:val="28"/>
                <w:lang w:val="uk-UA" w:eastAsia="en-US"/>
              </w:rPr>
              <w:t>Значимість, (р)</w:t>
            </w:r>
          </w:p>
        </w:tc>
      </w:tr>
      <w:tr w:rsidR="001A58B0" w:rsidRPr="001A58B0" w:rsidTr="001A58B0">
        <w:tc>
          <w:tcPr>
            <w:tcW w:w="718"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val="uk-UA" w:eastAsia="en-US"/>
              </w:rPr>
            </w:pPr>
            <w:r w:rsidRPr="001A58B0">
              <w:rPr>
                <w:sz w:val="28"/>
                <w:szCs w:val="28"/>
                <w:lang w:eastAsia="en-US"/>
              </w:rPr>
              <w:t>Глюкоза</w:t>
            </w:r>
            <w:r w:rsidRPr="001A58B0">
              <w:rPr>
                <w:sz w:val="28"/>
                <w:szCs w:val="28"/>
                <w:lang w:val="uk-UA" w:eastAsia="en-US"/>
              </w:rPr>
              <w:t xml:space="preserve"> натще, ммоль/л</w:t>
            </w:r>
          </w:p>
        </w:tc>
        <w:tc>
          <w:tcPr>
            <w:tcW w:w="855"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sz w:val="28"/>
                <w:szCs w:val="28"/>
                <w:lang w:val="uk-UA" w:eastAsia="en-US"/>
              </w:rPr>
            </w:pPr>
            <w:r w:rsidRPr="001A58B0">
              <w:rPr>
                <w:sz w:val="28"/>
                <w:szCs w:val="28"/>
                <w:lang w:eastAsia="en-US"/>
              </w:rPr>
              <w:t>4,2</w:t>
            </w:r>
            <w:r w:rsidRPr="001A58B0">
              <w:rPr>
                <w:sz w:val="28"/>
                <w:szCs w:val="28"/>
                <w:lang w:val="uk-UA" w:eastAsia="en-US"/>
              </w:rPr>
              <w:t>8</w:t>
            </w:r>
            <w:r w:rsidRPr="001A58B0">
              <w:rPr>
                <w:sz w:val="28"/>
                <w:szCs w:val="28"/>
                <w:lang w:eastAsia="en-US"/>
              </w:rPr>
              <w:t>±</w:t>
            </w:r>
            <w:r w:rsidRPr="001A58B0">
              <w:rPr>
                <w:sz w:val="28"/>
                <w:szCs w:val="28"/>
                <w:lang w:val="uk-UA" w:eastAsia="en-US"/>
              </w:rPr>
              <w:t>0</w:t>
            </w:r>
            <w:r w:rsidRPr="001A58B0">
              <w:rPr>
                <w:sz w:val="28"/>
                <w:szCs w:val="28"/>
                <w:lang w:eastAsia="en-US"/>
              </w:rPr>
              <w:t>,0</w:t>
            </w:r>
            <w:r w:rsidRPr="001A58B0">
              <w:rPr>
                <w:sz w:val="28"/>
                <w:szCs w:val="28"/>
                <w:lang w:val="uk-UA" w:eastAsia="en-US"/>
              </w:rPr>
              <w:t>5</w:t>
            </w:r>
          </w:p>
        </w:tc>
        <w:tc>
          <w:tcPr>
            <w:tcW w:w="852" w:type="pct"/>
            <w:tcBorders>
              <w:top w:val="single" w:sz="4" w:space="0" w:color="auto"/>
              <w:left w:val="single" w:sz="4" w:space="0" w:color="auto"/>
              <w:bottom w:val="single" w:sz="4" w:space="0" w:color="auto"/>
              <w:right w:val="single" w:sz="4" w:space="0" w:color="auto"/>
            </w:tcBorders>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5,4</w:t>
            </w:r>
            <w:r w:rsidRPr="001A58B0">
              <w:rPr>
                <w:sz w:val="28"/>
                <w:szCs w:val="28"/>
                <w:lang w:val="uk-UA" w:eastAsia="en-US"/>
              </w:rPr>
              <w:t>1</w:t>
            </w:r>
            <w:r w:rsidRPr="001A58B0">
              <w:rPr>
                <w:sz w:val="28"/>
                <w:szCs w:val="28"/>
                <w:lang w:eastAsia="en-US"/>
              </w:rPr>
              <w:t>±0,</w:t>
            </w:r>
            <w:r w:rsidRPr="001A58B0">
              <w:rPr>
                <w:sz w:val="28"/>
                <w:szCs w:val="28"/>
                <w:lang w:val="uk-UA" w:eastAsia="en-US"/>
              </w:rPr>
              <w:t>06*</w:t>
            </w:r>
          </w:p>
          <w:p w:rsidR="00E3259F" w:rsidRPr="001A58B0" w:rsidRDefault="00E3259F" w:rsidP="001A58B0">
            <w:pPr>
              <w:widowControl w:val="0"/>
              <w:autoSpaceDE w:val="0"/>
              <w:autoSpaceDN w:val="0"/>
              <w:adjustRightInd w:val="0"/>
              <w:spacing w:line="360" w:lineRule="auto"/>
              <w:jc w:val="both"/>
              <w:rPr>
                <w:rFonts w:eastAsiaTheme="minorEastAsia"/>
                <w:sz w:val="28"/>
                <w:szCs w:val="28"/>
                <w:lang w:val="uk-UA" w:eastAsia="en-US"/>
              </w:rPr>
            </w:pP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8,</w:t>
            </w:r>
            <w:r w:rsidRPr="001A58B0">
              <w:rPr>
                <w:sz w:val="28"/>
                <w:szCs w:val="28"/>
                <w:lang w:val="uk-UA" w:eastAsia="en-US"/>
              </w:rPr>
              <w:t>67</w:t>
            </w:r>
            <w:r w:rsidRPr="001A58B0">
              <w:rPr>
                <w:sz w:val="28"/>
                <w:szCs w:val="28"/>
                <w:lang w:eastAsia="en-US"/>
              </w:rPr>
              <w:t>±0,</w:t>
            </w:r>
            <w:r w:rsidRPr="001A58B0">
              <w:rPr>
                <w:sz w:val="28"/>
                <w:szCs w:val="28"/>
                <w:lang w:val="uk-UA" w:eastAsia="en-US"/>
              </w:rPr>
              <w:t>25*</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6,9</w:t>
            </w:r>
            <w:r w:rsidRPr="001A58B0">
              <w:rPr>
                <w:sz w:val="28"/>
                <w:szCs w:val="28"/>
                <w:lang w:val="uk-UA" w:eastAsia="en-US"/>
              </w:rPr>
              <w:t>8</w:t>
            </w:r>
            <w:r w:rsidRPr="001A58B0">
              <w:rPr>
                <w:sz w:val="28"/>
                <w:szCs w:val="28"/>
                <w:lang w:eastAsia="en-US"/>
              </w:rPr>
              <w:t>±0,</w:t>
            </w:r>
            <w:r w:rsidRPr="001A58B0">
              <w:rPr>
                <w:sz w:val="28"/>
                <w:szCs w:val="28"/>
                <w:lang w:val="uk-UA" w:eastAsia="en-US"/>
              </w:rPr>
              <w:t>22*</w:t>
            </w:r>
          </w:p>
        </w:tc>
        <w:tc>
          <w:tcPr>
            <w:tcW w:w="870"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1-2</w:t>
            </w:r>
            <w:r w:rsidRPr="001A58B0">
              <w:rPr>
                <w:sz w:val="28"/>
                <w:szCs w:val="28"/>
                <w:lang w:val="uk-UA" w:eastAsia="en-US"/>
              </w:rPr>
              <w:t>=0</w:t>
            </w:r>
            <w:r w:rsidRPr="001A58B0">
              <w:rPr>
                <w:sz w:val="28"/>
                <w:szCs w:val="28"/>
                <w:lang w:eastAsia="en-US"/>
              </w:rPr>
              <w:t>,00</w:t>
            </w:r>
            <w:r w:rsidRPr="001A58B0">
              <w:rPr>
                <w:sz w:val="28"/>
                <w:szCs w:val="28"/>
                <w:lang w:val="uk-UA" w:eastAsia="en-US"/>
              </w:rPr>
              <w:t xml:space="preserve">1 </w:t>
            </w:r>
          </w:p>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1-3</w:t>
            </w:r>
            <w:r w:rsidRPr="001A58B0">
              <w:rPr>
                <w:sz w:val="28"/>
                <w:szCs w:val="28"/>
                <w:lang w:val="uk-UA" w:eastAsia="en-US"/>
              </w:rPr>
              <w:t xml:space="preserve"> &lt;0</w:t>
            </w:r>
            <w:r w:rsidRPr="001A58B0">
              <w:rPr>
                <w:sz w:val="28"/>
                <w:szCs w:val="28"/>
                <w:lang w:eastAsia="en-US"/>
              </w:rPr>
              <w:t>,00</w:t>
            </w:r>
            <w:r w:rsidRPr="001A58B0">
              <w:rPr>
                <w:sz w:val="28"/>
                <w:szCs w:val="28"/>
                <w:lang w:val="uk-UA" w:eastAsia="en-US"/>
              </w:rPr>
              <w:t xml:space="preserve">1 </w:t>
            </w:r>
          </w:p>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2-3</w:t>
            </w:r>
            <w:r w:rsidRPr="001A58B0">
              <w:rPr>
                <w:sz w:val="28"/>
                <w:szCs w:val="28"/>
                <w:lang w:val="uk-UA" w:eastAsia="en-US"/>
              </w:rPr>
              <w:t xml:space="preserve"> =0</w:t>
            </w:r>
            <w:r w:rsidRPr="001A58B0">
              <w:rPr>
                <w:sz w:val="28"/>
                <w:szCs w:val="28"/>
                <w:lang w:eastAsia="en-US"/>
              </w:rPr>
              <w:t>,001</w:t>
            </w:r>
          </w:p>
        </w:tc>
      </w:tr>
      <w:tr w:rsidR="001A58B0" w:rsidRPr="001A58B0" w:rsidTr="001A58B0">
        <w:trPr>
          <w:trHeight w:val="537"/>
        </w:trPr>
        <w:tc>
          <w:tcPr>
            <w:tcW w:w="718"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val="uk-UA" w:eastAsia="en-US"/>
              </w:rPr>
            </w:pPr>
            <w:r w:rsidRPr="001A58B0">
              <w:rPr>
                <w:sz w:val="28"/>
                <w:szCs w:val="28"/>
                <w:lang w:eastAsia="en-US"/>
              </w:rPr>
              <w:t>HbA1с</w:t>
            </w:r>
            <w:r w:rsidRPr="001A58B0">
              <w:rPr>
                <w:sz w:val="28"/>
                <w:szCs w:val="28"/>
                <w:lang w:val="uk-UA" w:eastAsia="en-US"/>
              </w:rPr>
              <w:t>, %</w:t>
            </w:r>
          </w:p>
        </w:tc>
        <w:tc>
          <w:tcPr>
            <w:tcW w:w="855"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sz w:val="28"/>
                <w:szCs w:val="28"/>
                <w:lang w:eastAsia="en-US"/>
              </w:rPr>
            </w:pPr>
            <w:r w:rsidRPr="001A58B0">
              <w:rPr>
                <w:sz w:val="28"/>
                <w:szCs w:val="28"/>
                <w:lang w:val="uk-UA" w:eastAsia="en-US"/>
              </w:rPr>
              <w:t>4</w:t>
            </w:r>
            <w:r w:rsidRPr="001A58B0">
              <w:rPr>
                <w:sz w:val="28"/>
                <w:szCs w:val="28"/>
                <w:lang w:eastAsia="en-US"/>
              </w:rPr>
              <w:t>,</w:t>
            </w:r>
            <w:r w:rsidRPr="001A58B0">
              <w:rPr>
                <w:sz w:val="28"/>
                <w:szCs w:val="28"/>
                <w:lang w:val="uk-UA" w:eastAsia="en-US"/>
              </w:rPr>
              <w:t>24</w:t>
            </w:r>
            <w:r w:rsidRPr="001A58B0">
              <w:rPr>
                <w:sz w:val="28"/>
                <w:szCs w:val="28"/>
                <w:lang w:eastAsia="en-US"/>
              </w:rPr>
              <w:t>±</w:t>
            </w:r>
            <w:r w:rsidRPr="001A58B0">
              <w:rPr>
                <w:sz w:val="28"/>
                <w:szCs w:val="28"/>
                <w:lang w:val="uk-UA" w:eastAsia="en-US"/>
              </w:rPr>
              <w:t>0</w:t>
            </w:r>
            <w:r w:rsidRPr="001A58B0">
              <w:rPr>
                <w:sz w:val="28"/>
                <w:szCs w:val="28"/>
                <w:lang w:eastAsia="en-US"/>
              </w:rPr>
              <w:t>,</w:t>
            </w:r>
            <w:r w:rsidRPr="001A58B0">
              <w:rPr>
                <w:sz w:val="28"/>
                <w:szCs w:val="28"/>
                <w:lang w:val="uk-UA" w:eastAsia="en-US"/>
              </w:rPr>
              <w:t>08</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eastAsia="en-US"/>
              </w:rPr>
            </w:pPr>
            <w:r w:rsidRPr="001A58B0">
              <w:rPr>
                <w:sz w:val="28"/>
                <w:szCs w:val="28"/>
                <w:lang w:eastAsia="en-US"/>
              </w:rPr>
              <w:t>6,1</w:t>
            </w:r>
            <w:r w:rsidRPr="001A58B0">
              <w:rPr>
                <w:sz w:val="28"/>
                <w:szCs w:val="28"/>
                <w:lang w:val="uk-UA" w:eastAsia="en-US"/>
              </w:rPr>
              <w:t>1</w:t>
            </w:r>
            <w:r w:rsidRPr="001A58B0">
              <w:rPr>
                <w:sz w:val="28"/>
                <w:szCs w:val="28"/>
                <w:lang w:eastAsia="en-US"/>
              </w:rPr>
              <w:t>±0,</w:t>
            </w:r>
            <w:r w:rsidRPr="001A58B0">
              <w:rPr>
                <w:sz w:val="28"/>
                <w:szCs w:val="28"/>
                <w:lang w:val="uk-UA" w:eastAsia="en-US"/>
              </w:rPr>
              <w:t>07*</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7,</w:t>
            </w:r>
            <w:r w:rsidRPr="001A58B0">
              <w:rPr>
                <w:sz w:val="28"/>
                <w:szCs w:val="28"/>
                <w:lang w:val="uk-UA" w:eastAsia="en-US"/>
              </w:rPr>
              <w:t>57</w:t>
            </w:r>
            <w:r w:rsidRPr="001A58B0">
              <w:rPr>
                <w:sz w:val="28"/>
                <w:szCs w:val="28"/>
                <w:lang w:eastAsia="en-US"/>
              </w:rPr>
              <w:t>±0,</w:t>
            </w:r>
            <w:r w:rsidRPr="001A58B0">
              <w:rPr>
                <w:sz w:val="28"/>
                <w:szCs w:val="28"/>
                <w:lang w:val="uk-UA" w:eastAsia="en-US"/>
              </w:rPr>
              <w:t>11*</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7,19±0,1</w:t>
            </w:r>
            <w:r w:rsidRPr="001A58B0">
              <w:rPr>
                <w:sz w:val="28"/>
                <w:szCs w:val="28"/>
                <w:lang w:val="uk-UA" w:eastAsia="en-US"/>
              </w:rPr>
              <w:t>1*</w:t>
            </w:r>
          </w:p>
        </w:tc>
        <w:tc>
          <w:tcPr>
            <w:tcW w:w="870"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1-2</w:t>
            </w:r>
            <w:r w:rsidRPr="001A58B0">
              <w:rPr>
                <w:sz w:val="28"/>
                <w:szCs w:val="28"/>
                <w:lang w:val="uk-UA" w:eastAsia="en-US"/>
              </w:rPr>
              <w:t>&lt;0</w:t>
            </w:r>
            <w:r w:rsidRPr="001A58B0">
              <w:rPr>
                <w:sz w:val="28"/>
                <w:szCs w:val="28"/>
                <w:lang w:eastAsia="en-US"/>
              </w:rPr>
              <w:t>,00</w:t>
            </w:r>
            <w:r w:rsidRPr="001A58B0">
              <w:rPr>
                <w:sz w:val="28"/>
                <w:szCs w:val="28"/>
                <w:lang w:val="uk-UA" w:eastAsia="en-US"/>
              </w:rPr>
              <w:t xml:space="preserve">1 </w:t>
            </w:r>
          </w:p>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1-3</w:t>
            </w:r>
            <w:r w:rsidRPr="001A58B0">
              <w:rPr>
                <w:sz w:val="28"/>
                <w:szCs w:val="28"/>
                <w:lang w:val="uk-UA" w:eastAsia="en-US"/>
              </w:rPr>
              <w:t xml:space="preserve"> &lt;0</w:t>
            </w:r>
            <w:r w:rsidRPr="001A58B0">
              <w:rPr>
                <w:sz w:val="28"/>
                <w:szCs w:val="28"/>
                <w:lang w:eastAsia="en-US"/>
              </w:rPr>
              <w:t>,00</w:t>
            </w:r>
            <w:r w:rsidRPr="001A58B0">
              <w:rPr>
                <w:sz w:val="28"/>
                <w:szCs w:val="28"/>
                <w:lang w:val="uk-UA" w:eastAsia="en-US"/>
              </w:rPr>
              <w:t>1</w:t>
            </w:r>
          </w:p>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2-3</w:t>
            </w:r>
            <w:r w:rsidRPr="001A58B0">
              <w:rPr>
                <w:sz w:val="28"/>
                <w:szCs w:val="28"/>
                <w:lang w:val="uk-UA" w:eastAsia="en-US"/>
              </w:rPr>
              <w:t xml:space="preserve"> =0</w:t>
            </w:r>
            <w:r w:rsidRPr="001A58B0">
              <w:rPr>
                <w:sz w:val="28"/>
                <w:szCs w:val="28"/>
                <w:lang w:eastAsia="en-US"/>
              </w:rPr>
              <w:t>,</w:t>
            </w:r>
            <w:r w:rsidRPr="001A58B0">
              <w:rPr>
                <w:sz w:val="28"/>
                <w:szCs w:val="28"/>
                <w:lang w:val="uk-UA" w:eastAsia="en-US"/>
              </w:rPr>
              <w:t>0</w:t>
            </w:r>
            <w:r w:rsidRPr="001A58B0">
              <w:rPr>
                <w:sz w:val="28"/>
                <w:szCs w:val="28"/>
                <w:lang w:eastAsia="en-US"/>
              </w:rPr>
              <w:t>1</w:t>
            </w:r>
            <w:r w:rsidRPr="001A58B0">
              <w:rPr>
                <w:sz w:val="28"/>
                <w:szCs w:val="28"/>
                <w:lang w:val="uk-UA" w:eastAsia="en-US"/>
              </w:rPr>
              <w:t>1</w:t>
            </w:r>
          </w:p>
        </w:tc>
      </w:tr>
      <w:tr w:rsidR="001A58B0" w:rsidRPr="001A58B0" w:rsidTr="00E3259F">
        <w:tc>
          <w:tcPr>
            <w:tcW w:w="719"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val="uk-UA" w:eastAsia="en-US"/>
              </w:rPr>
            </w:pPr>
            <w:r w:rsidRPr="001A58B0">
              <w:rPr>
                <w:sz w:val="28"/>
                <w:szCs w:val="28"/>
                <w:lang w:val="uk-UA" w:eastAsia="en-US"/>
              </w:rPr>
              <w:t>І</w:t>
            </w:r>
            <w:r w:rsidRPr="001A58B0">
              <w:rPr>
                <w:sz w:val="28"/>
                <w:szCs w:val="28"/>
                <w:lang w:eastAsia="en-US"/>
              </w:rPr>
              <w:t>нсул</w:t>
            </w:r>
            <w:r w:rsidRPr="001A58B0">
              <w:rPr>
                <w:sz w:val="28"/>
                <w:szCs w:val="28"/>
                <w:lang w:val="uk-UA" w:eastAsia="en-US"/>
              </w:rPr>
              <w:t>і</w:t>
            </w:r>
            <w:r w:rsidRPr="001A58B0">
              <w:rPr>
                <w:sz w:val="28"/>
                <w:szCs w:val="28"/>
                <w:lang w:eastAsia="en-US"/>
              </w:rPr>
              <w:t xml:space="preserve">н </w:t>
            </w:r>
            <w:r w:rsidRPr="001A58B0">
              <w:rPr>
                <w:sz w:val="28"/>
                <w:szCs w:val="28"/>
                <w:lang w:val="uk-UA" w:eastAsia="en-US"/>
              </w:rPr>
              <w:t>натще</w:t>
            </w:r>
            <w:r w:rsidRPr="001A58B0">
              <w:rPr>
                <w:sz w:val="28"/>
                <w:szCs w:val="28"/>
                <w:lang w:eastAsia="en-US"/>
              </w:rPr>
              <w:t>, мкМ</w:t>
            </w:r>
            <w:r w:rsidRPr="001A58B0">
              <w:rPr>
                <w:sz w:val="28"/>
                <w:szCs w:val="28"/>
                <w:lang w:val="uk-UA" w:eastAsia="en-US"/>
              </w:rPr>
              <w:t>О</w:t>
            </w:r>
            <w:r w:rsidRPr="001A58B0">
              <w:rPr>
                <w:sz w:val="28"/>
                <w:szCs w:val="28"/>
                <w:lang w:eastAsia="en-US"/>
              </w:rPr>
              <w:t>/мл</w:t>
            </w:r>
          </w:p>
        </w:tc>
        <w:tc>
          <w:tcPr>
            <w:tcW w:w="855"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sz w:val="28"/>
                <w:szCs w:val="28"/>
                <w:lang w:eastAsia="en-US"/>
              </w:rPr>
            </w:pPr>
            <w:r w:rsidRPr="001A58B0">
              <w:rPr>
                <w:sz w:val="28"/>
                <w:szCs w:val="28"/>
                <w:lang w:eastAsia="en-US"/>
              </w:rPr>
              <w:t>9,</w:t>
            </w:r>
            <w:r w:rsidRPr="001A58B0">
              <w:rPr>
                <w:sz w:val="28"/>
                <w:szCs w:val="28"/>
                <w:lang w:val="uk-UA" w:eastAsia="en-US"/>
              </w:rPr>
              <w:t>44</w:t>
            </w:r>
            <w:r w:rsidRPr="001A58B0">
              <w:rPr>
                <w:sz w:val="28"/>
                <w:szCs w:val="28"/>
                <w:lang w:eastAsia="en-US"/>
              </w:rPr>
              <w:t>±</w:t>
            </w:r>
            <w:r w:rsidRPr="001A58B0">
              <w:rPr>
                <w:sz w:val="28"/>
                <w:szCs w:val="28"/>
                <w:lang w:val="uk-UA" w:eastAsia="en-US"/>
              </w:rPr>
              <w:t>0</w:t>
            </w:r>
            <w:r w:rsidRPr="001A58B0">
              <w:rPr>
                <w:sz w:val="28"/>
                <w:szCs w:val="28"/>
                <w:lang w:eastAsia="en-US"/>
              </w:rPr>
              <w:t>,</w:t>
            </w:r>
            <w:r w:rsidRPr="001A58B0">
              <w:rPr>
                <w:sz w:val="28"/>
                <w:szCs w:val="28"/>
                <w:lang w:val="uk-UA" w:eastAsia="en-US"/>
              </w:rPr>
              <w:t>39</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eastAsia="en-US"/>
              </w:rPr>
            </w:pPr>
            <w:r w:rsidRPr="001A58B0">
              <w:rPr>
                <w:sz w:val="28"/>
                <w:szCs w:val="28"/>
                <w:lang w:eastAsia="en-US"/>
              </w:rPr>
              <w:t>17,</w:t>
            </w:r>
            <w:r w:rsidRPr="001A58B0">
              <w:rPr>
                <w:sz w:val="28"/>
                <w:szCs w:val="28"/>
                <w:lang w:val="uk-UA" w:eastAsia="en-US"/>
              </w:rPr>
              <w:t>96</w:t>
            </w:r>
            <w:r w:rsidRPr="001A58B0">
              <w:rPr>
                <w:sz w:val="28"/>
                <w:szCs w:val="28"/>
                <w:lang w:eastAsia="en-US"/>
              </w:rPr>
              <w:t>±1,</w:t>
            </w:r>
            <w:r w:rsidRPr="001A58B0">
              <w:rPr>
                <w:sz w:val="28"/>
                <w:szCs w:val="28"/>
                <w:lang w:val="uk-UA" w:eastAsia="en-US"/>
              </w:rPr>
              <w:t>07*</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eastAsia="en-US"/>
              </w:rPr>
            </w:pPr>
            <w:r w:rsidRPr="001A58B0">
              <w:rPr>
                <w:sz w:val="28"/>
                <w:szCs w:val="28"/>
                <w:lang w:eastAsia="en-US"/>
              </w:rPr>
              <w:t>2</w:t>
            </w:r>
            <w:r w:rsidRPr="001A58B0">
              <w:rPr>
                <w:sz w:val="28"/>
                <w:szCs w:val="28"/>
                <w:lang w:val="uk-UA" w:eastAsia="en-US"/>
              </w:rPr>
              <w:t>2</w:t>
            </w:r>
            <w:r w:rsidRPr="001A58B0">
              <w:rPr>
                <w:sz w:val="28"/>
                <w:szCs w:val="28"/>
                <w:lang w:eastAsia="en-US"/>
              </w:rPr>
              <w:t>,</w:t>
            </w:r>
            <w:r w:rsidRPr="001A58B0">
              <w:rPr>
                <w:sz w:val="28"/>
                <w:szCs w:val="28"/>
                <w:lang w:val="uk-UA" w:eastAsia="en-US"/>
              </w:rPr>
              <w:t>64</w:t>
            </w:r>
            <w:r w:rsidRPr="001A58B0">
              <w:rPr>
                <w:sz w:val="28"/>
                <w:szCs w:val="28"/>
                <w:lang w:eastAsia="en-US"/>
              </w:rPr>
              <w:t>±</w:t>
            </w:r>
            <w:r w:rsidRPr="001A58B0">
              <w:rPr>
                <w:sz w:val="28"/>
                <w:szCs w:val="28"/>
                <w:lang w:val="uk-UA" w:eastAsia="en-US"/>
              </w:rPr>
              <w:t>1</w:t>
            </w:r>
            <w:r w:rsidRPr="001A58B0">
              <w:rPr>
                <w:sz w:val="28"/>
                <w:szCs w:val="28"/>
                <w:lang w:eastAsia="en-US"/>
              </w:rPr>
              <w:t>,</w:t>
            </w:r>
            <w:r w:rsidRPr="001A58B0">
              <w:rPr>
                <w:sz w:val="28"/>
                <w:szCs w:val="28"/>
                <w:lang w:val="uk-UA" w:eastAsia="en-US"/>
              </w:rPr>
              <w:t>19*</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eastAsia="en-US"/>
              </w:rPr>
            </w:pPr>
            <w:r w:rsidRPr="001A58B0">
              <w:rPr>
                <w:sz w:val="28"/>
                <w:szCs w:val="28"/>
                <w:lang w:eastAsia="en-US"/>
              </w:rPr>
              <w:t>20,</w:t>
            </w:r>
            <w:r w:rsidRPr="001A58B0">
              <w:rPr>
                <w:sz w:val="28"/>
                <w:szCs w:val="28"/>
                <w:lang w:val="uk-UA" w:eastAsia="en-US"/>
              </w:rPr>
              <w:t>30</w:t>
            </w:r>
            <w:r w:rsidRPr="001A58B0">
              <w:rPr>
                <w:sz w:val="28"/>
                <w:szCs w:val="28"/>
                <w:lang w:eastAsia="en-US"/>
              </w:rPr>
              <w:t>±1,</w:t>
            </w:r>
            <w:r w:rsidRPr="001A58B0">
              <w:rPr>
                <w:sz w:val="28"/>
                <w:szCs w:val="28"/>
                <w:lang w:val="uk-UA" w:eastAsia="en-US"/>
              </w:rPr>
              <w:t>0</w:t>
            </w:r>
            <w:r w:rsidRPr="001A58B0">
              <w:rPr>
                <w:sz w:val="28"/>
                <w:szCs w:val="28"/>
                <w:lang w:eastAsia="en-US"/>
              </w:rPr>
              <w:t>3</w:t>
            </w:r>
            <w:r w:rsidRPr="001A58B0">
              <w:rPr>
                <w:sz w:val="28"/>
                <w:szCs w:val="28"/>
                <w:lang w:val="uk-UA" w:eastAsia="en-US"/>
              </w:rPr>
              <w:t>*</w:t>
            </w:r>
          </w:p>
        </w:tc>
        <w:tc>
          <w:tcPr>
            <w:tcW w:w="870"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1-2</w:t>
            </w:r>
            <w:r w:rsidRPr="001A58B0">
              <w:rPr>
                <w:sz w:val="28"/>
                <w:szCs w:val="28"/>
                <w:lang w:val="uk-UA" w:eastAsia="en-US"/>
              </w:rPr>
              <w:t>=0</w:t>
            </w:r>
            <w:r w:rsidRPr="001A58B0">
              <w:rPr>
                <w:sz w:val="28"/>
                <w:szCs w:val="28"/>
                <w:lang w:eastAsia="en-US"/>
              </w:rPr>
              <w:t>,</w:t>
            </w:r>
            <w:r w:rsidRPr="001A58B0">
              <w:rPr>
                <w:sz w:val="28"/>
                <w:szCs w:val="28"/>
                <w:lang w:val="uk-UA" w:eastAsia="en-US"/>
              </w:rPr>
              <w:t>004</w:t>
            </w:r>
          </w:p>
          <w:p w:rsidR="00E3259F" w:rsidRPr="001A58B0" w:rsidRDefault="00E3259F" w:rsidP="001A58B0">
            <w:pPr>
              <w:widowControl w:val="0"/>
              <w:autoSpaceDE w:val="0"/>
              <w:autoSpaceDN w:val="0"/>
              <w:adjustRightInd w:val="0"/>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1-3</w:t>
            </w:r>
            <w:r w:rsidRPr="001A58B0">
              <w:rPr>
                <w:sz w:val="28"/>
                <w:szCs w:val="28"/>
                <w:lang w:val="uk-UA" w:eastAsia="en-US"/>
              </w:rPr>
              <w:t>&gt;0,05</w:t>
            </w:r>
          </w:p>
          <w:p w:rsidR="00E3259F" w:rsidRPr="001A58B0" w:rsidRDefault="00E3259F" w:rsidP="001A58B0">
            <w:pPr>
              <w:widowControl w:val="0"/>
              <w:autoSpaceDE w:val="0"/>
              <w:autoSpaceDN w:val="0"/>
              <w:adjustRightInd w:val="0"/>
              <w:spacing w:line="360" w:lineRule="auto"/>
              <w:jc w:val="both"/>
              <w:rPr>
                <w:sz w:val="28"/>
                <w:szCs w:val="28"/>
                <w:lang w:eastAsia="en-US"/>
              </w:rPr>
            </w:pPr>
            <w:r w:rsidRPr="001A58B0">
              <w:rPr>
                <w:sz w:val="28"/>
                <w:szCs w:val="28"/>
                <w:lang w:val="uk-UA" w:eastAsia="en-US"/>
              </w:rPr>
              <w:t>р</w:t>
            </w:r>
            <w:r w:rsidRPr="001A58B0">
              <w:rPr>
                <w:sz w:val="28"/>
                <w:szCs w:val="28"/>
                <w:vertAlign w:val="subscript"/>
                <w:lang w:val="uk-UA" w:eastAsia="en-US"/>
              </w:rPr>
              <w:t>2-3</w:t>
            </w:r>
            <w:r w:rsidRPr="001A58B0">
              <w:rPr>
                <w:sz w:val="28"/>
                <w:szCs w:val="28"/>
                <w:lang w:val="uk-UA" w:eastAsia="en-US"/>
              </w:rPr>
              <w:t>&gt;0,05</w:t>
            </w:r>
          </w:p>
        </w:tc>
      </w:tr>
      <w:tr w:rsidR="001A58B0" w:rsidRPr="001A58B0" w:rsidTr="00E3259F">
        <w:tc>
          <w:tcPr>
            <w:tcW w:w="719"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val="en-US" w:eastAsia="en-US"/>
              </w:rPr>
            </w:pPr>
            <w:r w:rsidRPr="001A58B0">
              <w:rPr>
                <w:sz w:val="28"/>
                <w:szCs w:val="28"/>
                <w:lang w:eastAsia="en-US"/>
              </w:rPr>
              <w:t>НОМА</w:t>
            </w:r>
            <w:r w:rsidRPr="001A58B0">
              <w:rPr>
                <w:sz w:val="28"/>
                <w:szCs w:val="28"/>
                <w:lang w:val="en-US" w:eastAsia="en-US"/>
              </w:rPr>
              <w:t>-IR</w:t>
            </w:r>
          </w:p>
        </w:tc>
        <w:tc>
          <w:tcPr>
            <w:tcW w:w="855"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sz w:val="28"/>
                <w:szCs w:val="28"/>
                <w:lang w:eastAsia="en-US"/>
              </w:rPr>
            </w:pPr>
            <w:r w:rsidRPr="001A58B0">
              <w:rPr>
                <w:sz w:val="28"/>
                <w:szCs w:val="28"/>
                <w:lang w:eastAsia="en-US"/>
              </w:rPr>
              <w:t>1,</w:t>
            </w:r>
            <w:r w:rsidRPr="001A58B0">
              <w:rPr>
                <w:sz w:val="28"/>
                <w:szCs w:val="28"/>
                <w:lang w:val="uk-UA" w:eastAsia="en-US"/>
              </w:rPr>
              <w:t>81</w:t>
            </w:r>
            <w:r w:rsidRPr="001A58B0">
              <w:rPr>
                <w:sz w:val="28"/>
                <w:szCs w:val="28"/>
                <w:lang w:eastAsia="en-US"/>
              </w:rPr>
              <w:t>±</w:t>
            </w:r>
            <w:r w:rsidRPr="001A58B0">
              <w:rPr>
                <w:sz w:val="28"/>
                <w:szCs w:val="28"/>
                <w:lang w:val="uk-UA" w:eastAsia="en-US"/>
              </w:rPr>
              <w:t>0</w:t>
            </w:r>
            <w:r w:rsidRPr="001A58B0">
              <w:rPr>
                <w:sz w:val="28"/>
                <w:szCs w:val="28"/>
                <w:lang w:eastAsia="en-US"/>
              </w:rPr>
              <w:t>,1</w:t>
            </w:r>
            <w:r w:rsidRPr="001A58B0">
              <w:rPr>
                <w:sz w:val="28"/>
                <w:szCs w:val="28"/>
                <w:lang w:val="uk-UA" w:eastAsia="en-US"/>
              </w:rPr>
              <w:t>3</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widowControl w:val="0"/>
              <w:autoSpaceDE w:val="0"/>
              <w:autoSpaceDN w:val="0"/>
              <w:adjustRightInd w:val="0"/>
              <w:spacing w:line="360" w:lineRule="auto"/>
              <w:jc w:val="both"/>
              <w:rPr>
                <w:rFonts w:eastAsiaTheme="minorEastAsia"/>
                <w:sz w:val="28"/>
                <w:szCs w:val="28"/>
                <w:lang w:eastAsia="en-US"/>
              </w:rPr>
            </w:pPr>
            <w:r w:rsidRPr="001A58B0">
              <w:rPr>
                <w:sz w:val="28"/>
                <w:szCs w:val="28"/>
                <w:lang w:eastAsia="en-US"/>
              </w:rPr>
              <w:t>4,</w:t>
            </w:r>
            <w:r w:rsidRPr="001A58B0">
              <w:rPr>
                <w:sz w:val="28"/>
                <w:szCs w:val="28"/>
                <w:lang w:val="uk-UA" w:eastAsia="en-US"/>
              </w:rPr>
              <w:t>36</w:t>
            </w:r>
            <w:r w:rsidRPr="001A58B0">
              <w:rPr>
                <w:sz w:val="28"/>
                <w:szCs w:val="28"/>
                <w:lang w:eastAsia="en-US"/>
              </w:rPr>
              <w:t>±0,</w:t>
            </w:r>
            <w:r w:rsidRPr="001A58B0">
              <w:rPr>
                <w:sz w:val="28"/>
                <w:szCs w:val="28"/>
                <w:lang w:val="uk-UA" w:eastAsia="en-US"/>
              </w:rPr>
              <w:t>28*</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8,</w:t>
            </w:r>
            <w:r w:rsidRPr="001A58B0">
              <w:rPr>
                <w:sz w:val="28"/>
                <w:szCs w:val="28"/>
                <w:lang w:val="uk-UA" w:eastAsia="en-US"/>
              </w:rPr>
              <w:t>26</w:t>
            </w:r>
            <w:r w:rsidRPr="001A58B0">
              <w:rPr>
                <w:sz w:val="28"/>
                <w:szCs w:val="28"/>
                <w:lang w:eastAsia="en-US"/>
              </w:rPr>
              <w:t>±0,</w:t>
            </w:r>
            <w:r w:rsidRPr="001A58B0">
              <w:rPr>
                <w:sz w:val="28"/>
                <w:szCs w:val="28"/>
                <w:lang w:val="uk-UA" w:eastAsia="en-US"/>
              </w:rPr>
              <w:t>35*</w:t>
            </w:r>
          </w:p>
        </w:tc>
        <w:tc>
          <w:tcPr>
            <w:tcW w:w="852"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rFonts w:eastAsiaTheme="minorEastAsia"/>
                <w:sz w:val="28"/>
                <w:szCs w:val="28"/>
                <w:lang w:val="uk-UA" w:eastAsia="en-US"/>
              </w:rPr>
            </w:pPr>
            <w:r w:rsidRPr="001A58B0">
              <w:rPr>
                <w:sz w:val="28"/>
                <w:szCs w:val="28"/>
                <w:lang w:eastAsia="en-US"/>
              </w:rPr>
              <w:t>6,</w:t>
            </w:r>
            <w:r w:rsidRPr="001A58B0">
              <w:rPr>
                <w:sz w:val="28"/>
                <w:szCs w:val="28"/>
                <w:lang w:val="uk-UA" w:eastAsia="en-US"/>
              </w:rPr>
              <w:t>42</w:t>
            </w:r>
            <w:r w:rsidRPr="001A58B0">
              <w:rPr>
                <w:sz w:val="28"/>
                <w:szCs w:val="28"/>
                <w:lang w:eastAsia="en-US"/>
              </w:rPr>
              <w:t>±0,</w:t>
            </w:r>
            <w:r w:rsidRPr="001A58B0">
              <w:rPr>
                <w:sz w:val="28"/>
                <w:szCs w:val="28"/>
                <w:lang w:val="uk-UA" w:eastAsia="en-US"/>
              </w:rPr>
              <w:t>4</w:t>
            </w:r>
            <w:r w:rsidRPr="001A58B0">
              <w:rPr>
                <w:sz w:val="28"/>
                <w:szCs w:val="28"/>
                <w:lang w:eastAsia="en-US"/>
              </w:rPr>
              <w:t>3</w:t>
            </w:r>
            <w:r w:rsidRPr="001A58B0">
              <w:rPr>
                <w:sz w:val="28"/>
                <w:szCs w:val="28"/>
                <w:lang w:val="uk-UA" w:eastAsia="en-US"/>
              </w:rPr>
              <w:t>*</w:t>
            </w:r>
          </w:p>
        </w:tc>
        <w:tc>
          <w:tcPr>
            <w:tcW w:w="870" w:type="pct"/>
            <w:tcBorders>
              <w:top w:val="single" w:sz="4" w:space="0" w:color="auto"/>
              <w:left w:val="single" w:sz="4" w:space="0" w:color="auto"/>
              <w:bottom w:val="single" w:sz="4" w:space="0" w:color="auto"/>
              <w:right w:val="single" w:sz="4" w:space="0" w:color="auto"/>
            </w:tcBorders>
            <w:hideMark/>
          </w:tcPr>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1-2</w:t>
            </w:r>
            <w:r w:rsidRPr="001A58B0">
              <w:rPr>
                <w:sz w:val="28"/>
                <w:szCs w:val="28"/>
                <w:lang w:val="uk-UA" w:eastAsia="en-US"/>
              </w:rPr>
              <w:t xml:space="preserve"> &lt;0</w:t>
            </w:r>
            <w:r w:rsidRPr="001A58B0">
              <w:rPr>
                <w:sz w:val="28"/>
                <w:szCs w:val="28"/>
                <w:lang w:eastAsia="en-US"/>
              </w:rPr>
              <w:t>,00</w:t>
            </w:r>
            <w:r w:rsidRPr="001A58B0">
              <w:rPr>
                <w:sz w:val="28"/>
                <w:szCs w:val="28"/>
                <w:lang w:val="uk-UA" w:eastAsia="en-US"/>
              </w:rPr>
              <w:t xml:space="preserve">1 </w:t>
            </w:r>
          </w:p>
          <w:p w:rsidR="00E3259F" w:rsidRPr="001A58B0" w:rsidRDefault="00E3259F" w:rsidP="001A58B0">
            <w:pPr>
              <w:spacing w:line="360" w:lineRule="auto"/>
              <w:jc w:val="both"/>
              <w:rPr>
                <w:sz w:val="28"/>
                <w:szCs w:val="28"/>
                <w:lang w:val="uk-UA" w:eastAsia="en-US"/>
              </w:rPr>
            </w:pPr>
            <w:r w:rsidRPr="001A58B0">
              <w:rPr>
                <w:sz w:val="28"/>
                <w:szCs w:val="28"/>
                <w:lang w:val="uk-UA" w:eastAsia="en-US"/>
              </w:rPr>
              <w:t>р</w:t>
            </w:r>
            <w:r w:rsidRPr="001A58B0">
              <w:rPr>
                <w:sz w:val="28"/>
                <w:szCs w:val="28"/>
                <w:vertAlign w:val="subscript"/>
                <w:lang w:val="uk-UA" w:eastAsia="en-US"/>
              </w:rPr>
              <w:t>1-3</w:t>
            </w:r>
            <w:r w:rsidRPr="001A58B0">
              <w:rPr>
                <w:sz w:val="28"/>
                <w:szCs w:val="28"/>
                <w:lang w:val="uk-UA" w:eastAsia="en-US"/>
              </w:rPr>
              <w:t xml:space="preserve"> =0</w:t>
            </w:r>
            <w:r w:rsidRPr="001A58B0">
              <w:rPr>
                <w:sz w:val="28"/>
                <w:szCs w:val="28"/>
                <w:lang w:eastAsia="en-US"/>
              </w:rPr>
              <w:t>,00</w:t>
            </w:r>
            <w:r w:rsidRPr="001A58B0">
              <w:rPr>
                <w:sz w:val="28"/>
                <w:szCs w:val="28"/>
                <w:lang w:val="uk-UA" w:eastAsia="en-US"/>
              </w:rPr>
              <w:t>1</w:t>
            </w:r>
          </w:p>
          <w:p w:rsidR="00E3259F" w:rsidRPr="001A58B0" w:rsidRDefault="00E3259F" w:rsidP="001A58B0">
            <w:pPr>
              <w:spacing w:line="360" w:lineRule="auto"/>
              <w:jc w:val="both"/>
              <w:rPr>
                <w:sz w:val="28"/>
                <w:szCs w:val="28"/>
                <w:lang w:eastAsia="en-US"/>
              </w:rPr>
            </w:pPr>
            <w:r w:rsidRPr="001A58B0">
              <w:rPr>
                <w:sz w:val="28"/>
                <w:szCs w:val="28"/>
                <w:lang w:val="uk-UA" w:eastAsia="en-US"/>
              </w:rPr>
              <w:t>р</w:t>
            </w:r>
            <w:r w:rsidRPr="001A58B0">
              <w:rPr>
                <w:sz w:val="28"/>
                <w:szCs w:val="28"/>
                <w:vertAlign w:val="subscript"/>
                <w:lang w:val="uk-UA" w:eastAsia="en-US"/>
              </w:rPr>
              <w:t>2-3</w:t>
            </w:r>
            <w:r w:rsidRPr="001A58B0">
              <w:rPr>
                <w:sz w:val="28"/>
                <w:szCs w:val="28"/>
                <w:lang w:val="uk-UA" w:eastAsia="en-US"/>
              </w:rPr>
              <w:t xml:space="preserve"> =0,001</w:t>
            </w:r>
          </w:p>
        </w:tc>
      </w:tr>
    </w:tbl>
    <w:p w:rsidR="00E3259F" w:rsidRDefault="00E3259F" w:rsidP="00E3259F">
      <w:pPr>
        <w:spacing w:line="360" w:lineRule="auto"/>
        <w:ind w:firstLine="709"/>
        <w:jc w:val="both"/>
        <w:rPr>
          <w:rFonts w:asciiTheme="minorHAnsi" w:hAnsiTheme="minorHAnsi" w:cstheme="minorBidi"/>
          <w:sz w:val="28"/>
          <w:szCs w:val="28"/>
          <w:lang w:val="uk-UA" w:eastAsia="en-US"/>
        </w:rPr>
      </w:pPr>
      <w:r w:rsidRPr="00132FA6">
        <w:rPr>
          <w:sz w:val="28"/>
          <w:szCs w:val="28"/>
          <w:lang w:val="uk-UA"/>
        </w:rPr>
        <w:t>Примітка: * - р&lt;0,05</w:t>
      </w:r>
      <w:r w:rsidRPr="00132FA6">
        <w:rPr>
          <w:sz w:val="28"/>
          <w:szCs w:val="28"/>
        </w:rPr>
        <w:t xml:space="preserve"> – </w:t>
      </w:r>
      <w:r w:rsidRPr="00132FA6">
        <w:rPr>
          <w:sz w:val="28"/>
          <w:szCs w:val="28"/>
          <w:lang w:val="uk-UA"/>
        </w:rPr>
        <w:t>рівень значущості відмінностей порівняно з контрольною групою, р</w:t>
      </w:r>
      <w:r w:rsidRPr="00132FA6">
        <w:rPr>
          <w:sz w:val="28"/>
          <w:szCs w:val="28"/>
          <w:vertAlign w:val="subscript"/>
          <w:lang w:val="uk-UA"/>
        </w:rPr>
        <w:t>1-2 -</w:t>
      </w:r>
      <w:r w:rsidRPr="00132FA6">
        <w:rPr>
          <w:sz w:val="28"/>
          <w:szCs w:val="28"/>
          <w:lang w:val="uk-UA"/>
        </w:rPr>
        <w:t xml:space="preserve">  рівень значущості відмінностей при порівнянні  групи 1 та 2, р</w:t>
      </w:r>
      <w:r w:rsidRPr="00132FA6">
        <w:rPr>
          <w:sz w:val="28"/>
          <w:szCs w:val="28"/>
          <w:vertAlign w:val="subscript"/>
          <w:lang w:val="uk-UA"/>
        </w:rPr>
        <w:t xml:space="preserve">1-3 - </w:t>
      </w:r>
      <w:r w:rsidRPr="00132FA6">
        <w:rPr>
          <w:sz w:val="28"/>
          <w:szCs w:val="28"/>
          <w:lang w:val="uk-UA"/>
        </w:rPr>
        <w:t>рівень значущості відмінностей при порівнянні  групи 1 та 3, р</w:t>
      </w:r>
      <w:r w:rsidRPr="00132FA6">
        <w:rPr>
          <w:sz w:val="28"/>
          <w:szCs w:val="28"/>
          <w:vertAlign w:val="subscript"/>
          <w:lang w:val="uk-UA"/>
        </w:rPr>
        <w:t>2-3</w:t>
      </w:r>
      <w:r w:rsidRPr="00132FA6">
        <w:rPr>
          <w:sz w:val="28"/>
          <w:szCs w:val="28"/>
          <w:lang w:val="uk-UA"/>
        </w:rPr>
        <w:t xml:space="preserve"> - рівень значущості відмінностей при порівнянні  групи групи 2 та 3</w:t>
      </w:r>
    </w:p>
    <w:p w:rsidR="00E3259F" w:rsidRDefault="00E3259F" w:rsidP="00E3259F">
      <w:pPr>
        <w:spacing w:line="360" w:lineRule="auto"/>
        <w:ind w:firstLine="709"/>
        <w:jc w:val="both"/>
        <w:rPr>
          <w:rStyle w:val="tlid-translation"/>
          <w:rFonts w:eastAsiaTheme="majorEastAsia"/>
        </w:rPr>
      </w:pPr>
    </w:p>
    <w:p w:rsidR="00E3259F" w:rsidRPr="00132FA6" w:rsidRDefault="00E3259F" w:rsidP="00E3259F">
      <w:pPr>
        <w:spacing w:line="360" w:lineRule="auto"/>
        <w:ind w:firstLine="709"/>
        <w:jc w:val="both"/>
        <w:rPr>
          <w:lang w:val="uk-UA"/>
        </w:rPr>
      </w:pPr>
      <w:r w:rsidRPr="00132FA6">
        <w:rPr>
          <w:rStyle w:val="tlid-translation"/>
          <w:rFonts w:eastAsiaTheme="majorEastAsia"/>
          <w:sz w:val="28"/>
          <w:szCs w:val="28"/>
          <w:lang w:val="uk-UA"/>
        </w:rPr>
        <w:t>Присутність СГТ у хворих на ГХ та ЦД 2 типу характеризувалася вірогідно нижчими показниками рівня глюкози натще (</w:t>
      </w:r>
      <w:r w:rsidRPr="00132FA6">
        <w:rPr>
          <w:sz w:val="28"/>
          <w:szCs w:val="28"/>
          <w:lang w:val="uk-UA"/>
        </w:rPr>
        <w:t>р=0,001)</w:t>
      </w:r>
      <w:r w:rsidRPr="00132FA6">
        <w:rPr>
          <w:rStyle w:val="tlid-translation"/>
          <w:rFonts w:eastAsiaTheme="majorEastAsia"/>
          <w:sz w:val="28"/>
          <w:szCs w:val="28"/>
          <w:lang w:val="uk-UA"/>
        </w:rPr>
        <w:t>, глікованого гемоглобіну  (</w:t>
      </w:r>
      <w:r w:rsidRPr="00132FA6">
        <w:rPr>
          <w:sz w:val="28"/>
          <w:szCs w:val="28"/>
          <w:lang w:val="uk-UA"/>
        </w:rPr>
        <w:t>р</w:t>
      </w:r>
      <w:r w:rsidRPr="00132FA6">
        <w:rPr>
          <w:sz w:val="28"/>
          <w:szCs w:val="28"/>
          <w:vertAlign w:val="subscript"/>
          <w:lang w:val="uk-UA"/>
        </w:rPr>
        <w:t>2-3</w:t>
      </w:r>
      <w:r w:rsidRPr="00132FA6">
        <w:rPr>
          <w:sz w:val="28"/>
          <w:szCs w:val="28"/>
          <w:lang w:val="uk-UA"/>
        </w:rPr>
        <w:t xml:space="preserve">=0,011) порівняно з хворими з коморбідністю ГХ та ЦД 2 типу без порушення функції ЩЗ. </w:t>
      </w:r>
    </w:p>
    <w:p w:rsidR="00E3259F" w:rsidRPr="00132FA6" w:rsidRDefault="00E3259F" w:rsidP="00E3259F">
      <w:pPr>
        <w:spacing w:line="360" w:lineRule="auto"/>
        <w:ind w:firstLine="709"/>
        <w:jc w:val="both"/>
        <w:rPr>
          <w:rFonts w:eastAsiaTheme="minorHAnsi"/>
          <w:sz w:val="28"/>
          <w:szCs w:val="28"/>
          <w:lang w:val="uk-UA"/>
        </w:rPr>
      </w:pPr>
      <w:r w:rsidRPr="00132FA6">
        <w:rPr>
          <w:sz w:val="28"/>
          <w:szCs w:val="28"/>
          <w:lang w:val="uk-UA"/>
        </w:rPr>
        <w:t xml:space="preserve">Проведення однофакторного дисперсійного аналізу виявило значимий вплив рівня ТТГ на рівень глюкози натще (р=0,001) у пацієнтів з поєднаним перебігом ГХ, ЦД 2 типу та СГТ. Ці дані співпадають з результатами останніх років, які вказують на зниження рівня глюкози при підвищених рівнях ТТГ за рахунок стимуляції глюконеогенезу та симпатичної стимуляції печінки [180].  </w:t>
      </w:r>
    </w:p>
    <w:p w:rsidR="00E3259F" w:rsidRPr="00132FA6" w:rsidRDefault="00E3259F" w:rsidP="00E3259F">
      <w:pPr>
        <w:shd w:val="clear" w:color="auto" w:fill="FFFFFF"/>
        <w:spacing w:line="360" w:lineRule="auto"/>
        <w:ind w:firstLine="709"/>
        <w:jc w:val="both"/>
        <w:rPr>
          <w:sz w:val="28"/>
          <w:szCs w:val="28"/>
          <w:lang w:val="uk-UA"/>
        </w:rPr>
      </w:pPr>
      <w:r w:rsidRPr="00132FA6">
        <w:rPr>
          <w:sz w:val="28"/>
          <w:szCs w:val="28"/>
          <w:shd w:val="clear" w:color="auto" w:fill="FFFFFF"/>
          <w:lang w:val="uk-UA"/>
        </w:rPr>
        <w:t>Встановлено, що як маніфестний, так і СГТ призводять до підвищення резистентності до інсуліну, що пов'язано з порушенням засвоєння глюкози в периферичних тканинах [</w:t>
      </w:r>
      <w:r w:rsidRPr="00132FA6">
        <w:rPr>
          <w:sz w:val="28"/>
          <w:szCs w:val="28"/>
          <w:lang w:val="uk-UA"/>
        </w:rPr>
        <w:t>134,136,387</w:t>
      </w:r>
      <w:r w:rsidRPr="00132FA6">
        <w:rPr>
          <w:sz w:val="28"/>
          <w:szCs w:val="28"/>
          <w:shd w:val="clear" w:color="auto" w:fill="FFFFFF"/>
          <w:lang w:val="uk-UA"/>
        </w:rPr>
        <w:t>]. Проте, незважаючи на явну очевидність, є роботи, у яких не було виявлено зв'язку між гіпотиреозом, зокрема субклінічним, та інсулінорезистентністю [</w:t>
      </w:r>
      <w:bookmarkStart w:id="14" w:name="_Hlk43585075"/>
      <w:r w:rsidRPr="00132FA6">
        <w:rPr>
          <w:sz w:val="28"/>
          <w:szCs w:val="28"/>
          <w:lang w:val="uk-UA"/>
        </w:rPr>
        <w:t>17,1</w:t>
      </w:r>
      <w:bookmarkEnd w:id="14"/>
      <w:r w:rsidRPr="00132FA6">
        <w:rPr>
          <w:sz w:val="28"/>
          <w:szCs w:val="28"/>
          <w:lang w:val="uk-UA"/>
        </w:rPr>
        <w:t>63</w:t>
      </w:r>
      <w:r w:rsidRPr="00132FA6">
        <w:rPr>
          <w:sz w:val="28"/>
          <w:szCs w:val="28"/>
          <w:shd w:val="clear" w:color="auto" w:fill="FFFFFF"/>
          <w:lang w:val="uk-UA"/>
        </w:rPr>
        <w:t xml:space="preserve">]. </w:t>
      </w:r>
      <w:r w:rsidRPr="00132FA6">
        <w:rPr>
          <w:rStyle w:val="tlid-translation"/>
          <w:rFonts w:eastAsiaTheme="majorEastAsia"/>
          <w:sz w:val="28"/>
          <w:szCs w:val="28"/>
          <w:lang w:val="uk-UA"/>
        </w:rPr>
        <w:t xml:space="preserve"> У цій роботі індекс НОМА-IR достовірно відрізнявся між групами з поєднаною патологією та ізольованою ГХ </w:t>
      </w:r>
      <w:r w:rsidRPr="00132FA6">
        <w:rPr>
          <w:bCs/>
          <w:iCs/>
          <w:kern w:val="36"/>
          <w:sz w:val="28"/>
          <w:szCs w:val="28"/>
          <w:lang w:val="uk-UA"/>
        </w:rPr>
        <w:t>(</w:t>
      </w:r>
      <w:r w:rsidRPr="00132FA6">
        <w:rPr>
          <w:sz w:val="28"/>
          <w:szCs w:val="28"/>
          <w:lang w:val="uk-UA"/>
        </w:rPr>
        <w:t>р</w:t>
      </w:r>
      <w:r w:rsidRPr="00132FA6">
        <w:rPr>
          <w:sz w:val="28"/>
          <w:szCs w:val="28"/>
          <w:vertAlign w:val="subscript"/>
          <w:lang w:val="uk-UA"/>
        </w:rPr>
        <w:t>1-2</w:t>
      </w:r>
      <w:r w:rsidRPr="00132FA6">
        <w:rPr>
          <w:sz w:val="28"/>
          <w:szCs w:val="28"/>
          <w:lang w:val="uk-UA"/>
        </w:rPr>
        <w:t>&lt;0</w:t>
      </w:r>
      <w:r w:rsidRPr="00132FA6">
        <w:rPr>
          <w:sz w:val="28"/>
          <w:szCs w:val="28"/>
        </w:rPr>
        <w:t>,00</w:t>
      </w:r>
      <w:r w:rsidRPr="00132FA6">
        <w:rPr>
          <w:sz w:val="28"/>
          <w:szCs w:val="28"/>
          <w:lang w:val="uk-UA"/>
        </w:rPr>
        <w:t>1, р</w:t>
      </w:r>
      <w:r w:rsidRPr="00132FA6">
        <w:rPr>
          <w:sz w:val="28"/>
          <w:szCs w:val="28"/>
          <w:vertAlign w:val="subscript"/>
          <w:lang w:val="uk-UA"/>
        </w:rPr>
        <w:t>1-3</w:t>
      </w:r>
      <w:r w:rsidRPr="00132FA6">
        <w:rPr>
          <w:sz w:val="28"/>
          <w:szCs w:val="28"/>
          <w:lang w:val="uk-UA"/>
        </w:rPr>
        <w:t>=0</w:t>
      </w:r>
      <w:r w:rsidRPr="00132FA6">
        <w:rPr>
          <w:sz w:val="28"/>
          <w:szCs w:val="28"/>
        </w:rPr>
        <w:t>,00</w:t>
      </w:r>
      <w:r w:rsidRPr="00132FA6">
        <w:rPr>
          <w:sz w:val="28"/>
          <w:szCs w:val="28"/>
          <w:lang w:val="uk-UA"/>
        </w:rPr>
        <w:t>1</w:t>
      </w:r>
      <w:r w:rsidRPr="00132FA6">
        <w:rPr>
          <w:bCs/>
          <w:iCs/>
          <w:kern w:val="36"/>
          <w:sz w:val="28"/>
          <w:szCs w:val="28"/>
          <w:lang w:val="uk-UA"/>
        </w:rPr>
        <w:t>)</w:t>
      </w:r>
      <w:r w:rsidRPr="00132FA6">
        <w:rPr>
          <w:rStyle w:val="tlid-translation"/>
          <w:rFonts w:eastAsiaTheme="majorEastAsia"/>
          <w:sz w:val="28"/>
          <w:szCs w:val="28"/>
          <w:lang w:val="uk-UA"/>
        </w:rPr>
        <w:t>. С</w:t>
      </w:r>
      <w:r w:rsidRPr="00132FA6">
        <w:rPr>
          <w:sz w:val="28"/>
          <w:szCs w:val="28"/>
          <w:lang w:val="uk-UA"/>
        </w:rPr>
        <w:t>инергічний негативний вплив метаболічних процесів</w:t>
      </w:r>
      <w:r w:rsidRPr="00132FA6">
        <w:rPr>
          <w:rStyle w:val="tlid-translation"/>
          <w:rFonts w:eastAsiaTheme="majorEastAsia"/>
          <w:sz w:val="28"/>
          <w:szCs w:val="28"/>
          <w:lang w:val="uk-UA"/>
        </w:rPr>
        <w:t xml:space="preserve"> при </w:t>
      </w:r>
      <w:r w:rsidRPr="00132FA6">
        <w:rPr>
          <w:sz w:val="28"/>
          <w:szCs w:val="28"/>
          <w:lang w:val="uk-UA"/>
        </w:rPr>
        <w:t xml:space="preserve">коморбідній патології призводить також і до прогресування ІР.  Наявність СГТ у пацієнтів  групи 3 супроводжується достовірно нижчими значеннями індексу </w:t>
      </w:r>
      <w:r w:rsidRPr="00132FA6">
        <w:rPr>
          <w:sz w:val="28"/>
          <w:szCs w:val="28"/>
          <w:lang w:eastAsia="en-US"/>
        </w:rPr>
        <w:t>НОМА-</w:t>
      </w:r>
      <w:r w:rsidRPr="00132FA6">
        <w:rPr>
          <w:sz w:val="28"/>
          <w:szCs w:val="28"/>
          <w:lang w:val="en-US" w:eastAsia="en-US"/>
        </w:rPr>
        <w:t>IR</w:t>
      </w:r>
      <w:r w:rsidRPr="00132FA6">
        <w:rPr>
          <w:sz w:val="28"/>
          <w:szCs w:val="28"/>
          <w:lang w:val="uk-UA"/>
        </w:rPr>
        <w:t xml:space="preserve"> порівняно з  групою 2 пацієнтів (р=0,001). Припускається, що це пов'язано з тим, що тиреоїдні гормони мають двоякий вплив на вуглеводний обмін, оскільки вони є не тільки антагоністами інсуліну і виявляють контринсулярну дію, але й за своїм впливом на периферичні тканини  є ще й синергістами інсуліну та сприяють транспорту та утилізації глюкози. </w:t>
      </w:r>
    </w:p>
    <w:p w:rsidR="00E3259F" w:rsidRPr="00132FA6" w:rsidRDefault="00E3259F" w:rsidP="00E3259F">
      <w:pPr>
        <w:shd w:val="clear" w:color="auto" w:fill="FFFFFF"/>
        <w:spacing w:line="360" w:lineRule="auto"/>
        <w:ind w:firstLine="709"/>
        <w:jc w:val="both"/>
        <w:rPr>
          <w:rStyle w:val="tlid-translation"/>
          <w:rFonts w:eastAsiaTheme="majorEastAsia"/>
          <w:lang w:val="uk-UA"/>
        </w:rPr>
      </w:pPr>
      <w:r w:rsidRPr="00132FA6">
        <w:rPr>
          <w:rStyle w:val="tlid-translation"/>
          <w:rFonts w:eastAsiaTheme="majorEastAsia"/>
          <w:sz w:val="28"/>
          <w:szCs w:val="28"/>
          <w:lang w:val="uk-UA"/>
        </w:rPr>
        <w:t xml:space="preserve">В останні роки з'явилася значна кількість робіт, у яких вказується на позитивний вплив метформіну не тільки на вуглеводний обмін, а й на тиреоїдний </w:t>
      </w:r>
      <w:r w:rsidRPr="00132FA6">
        <w:rPr>
          <w:rStyle w:val="tlid-translation"/>
          <w:sz w:val="28"/>
          <w:szCs w:val="28"/>
          <w:lang w:val="uk-UA"/>
        </w:rPr>
        <w:t>[</w:t>
      </w:r>
      <w:r w:rsidRPr="00132FA6">
        <w:rPr>
          <w:sz w:val="28"/>
          <w:szCs w:val="28"/>
          <w:lang w:val="uk-UA"/>
        </w:rPr>
        <w:t>197,199,308</w:t>
      </w:r>
      <w:r w:rsidRPr="00132FA6">
        <w:rPr>
          <w:rStyle w:val="tlid-translation"/>
          <w:sz w:val="28"/>
          <w:szCs w:val="28"/>
          <w:lang w:val="uk-UA"/>
        </w:rPr>
        <w:t>],</w:t>
      </w:r>
      <w:r w:rsidRPr="00132FA6">
        <w:rPr>
          <w:rStyle w:val="tlid-translation"/>
          <w:rFonts w:eastAsiaTheme="majorEastAsia"/>
          <w:sz w:val="28"/>
          <w:szCs w:val="28"/>
          <w:lang w:val="uk-UA"/>
        </w:rPr>
        <w:t xml:space="preserve"> що може більшою мірою позитивно впливати на ступінь інсулінорезистентності в групі 3, ніж при порушенні тільки вуглеводного обміну, що спостерігається в  групі 2.  Таким чином, наявність достовірно більш низьких значень індексу НОМА-IR у групі 3 може пояснюватися зокрема й сприятливим впливом метформіну, який приймали всі учасники дослідження з ЦД. </w:t>
      </w:r>
    </w:p>
    <w:p w:rsidR="00E3259F" w:rsidRPr="00132FA6" w:rsidRDefault="00E3259F" w:rsidP="00E3259F">
      <w:pPr>
        <w:spacing w:line="360" w:lineRule="auto"/>
        <w:ind w:firstLine="709"/>
        <w:jc w:val="both"/>
        <w:rPr>
          <w:lang w:val="uk-UA"/>
        </w:rPr>
      </w:pPr>
      <w:r w:rsidRPr="00132FA6">
        <w:rPr>
          <w:rStyle w:val="tlid-translation"/>
          <w:rFonts w:eastAsiaTheme="majorEastAsia"/>
          <w:sz w:val="28"/>
          <w:szCs w:val="28"/>
          <w:lang w:val="uk-UA"/>
        </w:rPr>
        <w:t>Для підтвердження позитивного впливу метоформіну на вуглеводно-тиреоїдний обмін у групі 3 були проаналізовані показники ІР та рівні ТТГ при різних рівнях компенсації ЦД на тлі антидіабетичної терапії. Так, при компенсації ЦД 2 типу (рівень HbA1с ≤ 7,0%) порівняно з пацієнтами, які не були компенсовані по ЦД, спостерігалися достовірно більш низькі значення НОМА-IR (4,75±0,89 та 8,63±1,02, р=0,001, відповідно) при відсутності достовірних відмінностей рівнів ТТГ (5,48±0,96</w:t>
      </w:r>
      <w:r w:rsidRPr="00132FA6">
        <w:rPr>
          <w:sz w:val="28"/>
          <w:szCs w:val="28"/>
          <w:lang w:val="uk-UA"/>
        </w:rPr>
        <w:t xml:space="preserve"> </w:t>
      </w:r>
      <w:r w:rsidRPr="00132FA6">
        <w:rPr>
          <w:sz w:val="28"/>
          <w:szCs w:val="28"/>
          <w:shd w:val="clear" w:color="auto" w:fill="FFFFFF"/>
          <w:lang w:val="uk-UA"/>
        </w:rPr>
        <w:t>мкМОд/мл</w:t>
      </w:r>
      <w:r w:rsidRPr="00132FA6">
        <w:rPr>
          <w:rStyle w:val="tlid-translation"/>
          <w:rFonts w:eastAsiaTheme="majorEastAsia"/>
          <w:sz w:val="28"/>
          <w:szCs w:val="28"/>
          <w:lang w:val="uk-UA"/>
        </w:rPr>
        <w:t xml:space="preserve"> та 6,23±1,17</w:t>
      </w:r>
      <w:r w:rsidRPr="00132FA6">
        <w:rPr>
          <w:sz w:val="28"/>
          <w:szCs w:val="28"/>
          <w:lang w:val="uk-UA"/>
        </w:rPr>
        <w:t xml:space="preserve"> </w:t>
      </w:r>
      <w:r w:rsidRPr="00132FA6">
        <w:rPr>
          <w:sz w:val="28"/>
          <w:szCs w:val="28"/>
          <w:shd w:val="clear" w:color="auto" w:fill="FFFFFF"/>
          <w:lang w:val="uk-UA"/>
        </w:rPr>
        <w:t>мкМОд / мл</w:t>
      </w:r>
      <w:r w:rsidRPr="00132FA6">
        <w:rPr>
          <w:rStyle w:val="tlid-translation"/>
          <w:rFonts w:eastAsiaTheme="majorEastAsia"/>
          <w:sz w:val="28"/>
          <w:szCs w:val="28"/>
          <w:lang w:val="uk-UA"/>
        </w:rPr>
        <w:t>, р&gt;0,05, відповідно).</w:t>
      </w:r>
    </w:p>
    <w:p w:rsidR="00E3259F" w:rsidRPr="00132FA6" w:rsidRDefault="00E3259F" w:rsidP="00E3259F">
      <w:pPr>
        <w:shd w:val="clear" w:color="auto" w:fill="FFFFFF"/>
        <w:spacing w:line="360" w:lineRule="auto"/>
        <w:ind w:firstLine="284"/>
        <w:jc w:val="both"/>
        <w:outlineLvl w:val="0"/>
        <w:rPr>
          <w:sz w:val="28"/>
          <w:szCs w:val="28"/>
          <w:lang w:val="uk-UA"/>
        </w:rPr>
      </w:pPr>
      <w:r w:rsidRPr="00132FA6">
        <w:rPr>
          <w:rStyle w:val="tlid-translation"/>
          <w:rFonts w:eastAsiaTheme="majorEastAsia"/>
          <w:sz w:val="28"/>
          <w:szCs w:val="28"/>
          <w:lang w:val="uk-UA"/>
        </w:rPr>
        <w:t>Аналіз впливу ТТГ на ступінь ІР у хворих  групи 3 виявив порогове значення ТТГ, після якого має місце достовірне збільшення індексу ІР - 6,5</w:t>
      </w:r>
      <w:r w:rsidRPr="00132FA6">
        <w:rPr>
          <w:sz w:val="28"/>
          <w:szCs w:val="28"/>
          <w:shd w:val="clear" w:color="auto" w:fill="FFFFFF"/>
          <w:lang w:val="uk-UA"/>
        </w:rPr>
        <w:t xml:space="preserve"> мкМОд/мл</w:t>
      </w:r>
      <w:r w:rsidRPr="00132FA6">
        <w:rPr>
          <w:rStyle w:val="tlid-translation"/>
          <w:rFonts w:eastAsiaTheme="majorEastAsia"/>
          <w:sz w:val="28"/>
          <w:szCs w:val="28"/>
          <w:lang w:val="uk-UA"/>
        </w:rPr>
        <w:t xml:space="preserve"> (НОМА-IR при рівняхТТГ 4,1-6,5</w:t>
      </w:r>
      <w:r w:rsidRPr="00132FA6">
        <w:rPr>
          <w:sz w:val="28"/>
          <w:szCs w:val="28"/>
          <w:shd w:val="clear" w:color="auto" w:fill="FFFFFF"/>
          <w:lang w:val="uk-UA"/>
        </w:rPr>
        <w:t xml:space="preserve"> мкМОд/мл</w:t>
      </w:r>
      <w:r w:rsidRPr="00132FA6">
        <w:rPr>
          <w:rStyle w:val="tlid-translation"/>
          <w:rFonts w:eastAsiaTheme="majorEastAsia"/>
          <w:sz w:val="28"/>
          <w:szCs w:val="28"/>
          <w:lang w:val="uk-UA"/>
        </w:rPr>
        <w:t xml:space="preserve"> - 5</w:t>
      </w:r>
      <w:r w:rsidRPr="00132FA6">
        <w:rPr>
          <w:sz w:val="28"/>
          <w:szCs w:val="28"/>
          <w:lang w:val="uk-UA"/>
        </w:rPr>
        <w:t xml:space="preserve">,92±0,24, при рівнях ТТГ більше 6,5 </w:t>
      </w:r>
      <w:r w:rsidRPr="00132FA6">
        <w:rPr>
          <w:sz w:val="28"/>
          <w:szCs w:val="28"/>
          <w:shd w:val="clear" w:color="auto" w:fill="FFFFFF"/>
          <w:lang w:val="uk-UA"/>
        </w:rPr>
        <w:t>мкМОд/мл - 7</w:t>
      </w:r>
      <w:r w:rsidRPr="00132FA6">
        <w:rPr>
          <w:sz w:val="28"/>
          <w:szCs w:val="28"/>
          <w:lang w:val="uk-UA"/>
        </w:rPr>
        <w:t xml:space="preserve">,79±0,91, р=0,049),  приймаючи за порогове значення  ТТГ 7,0 </w:t>
      </w:r>
      <w:r w:rsidRPr="00132FA6">
        <w:rPr>
          <w:sz w:val="28"/>
          <w:szCs w:val="28"/>
          <w:shd w:val="clear" w:color="auto" w:fill="FFFFFF"/>
          <w:lang w:val="uk-UA"/>
        </w:rPr>
        <w:t xml:space="preserve">мкМОд/мл різниця значень </w:t>
      </w:r>
      <w:r w:rsidRPr="00132FA6">
        <w:rPr>
          <w:rStyle w:val="tlid-translation"/>
          <w:rFonts w:eastAsiaTheme="majorEastAsia"/>
          <w:sz w:val="28"/>
          <w:szCs w:val="28"/>
          <w:lang w:val="uk-UA"/>
        </w:rPr>
        <w:t>НОМА-IR була ще більш вираженою (НОМА-IR при рівнях ТГ 4,1-7,0</w:t>
      </w:r>
      <w:r w:rsidRPr="00132FA6">
        <w:rPr>
          <w:sz w:val="28"/>
          <w:szCs w:val="28"/>
          <w:shd w:val="clear" w:color="auto" w:fill="FFFFFF"/>
          <w:lang w:val="uk-UA"/>
        </w:rPr>
        <w:t xml:space="preserve"> мкМОд/мл</w:t>
      </w:r>
      <w:r w:rsidRPr="00132FA6">
        <w:rPr>
          <w:rStyle w:val="tlid-translation"/>
          <w:rFonts w:eastAsiaTheme="majorEastAsia"/>
          <w:sz w:val="28"/>
          <w:szCs w:val="28"/>
          <w:lang w:val="uk-UA"/>
        </w:rPr>
        <w:t xml:space="preserve"> - 5</w:t>
      </w:r>
      <w:r w:rsidRPr="00132FA6">
        <w:rPr>
          <w:sz w:val="28"/>
          <w:szCs w:val="28"/>
          <w:lang w:val="uk-UA"/>
        </w:rPr>
        <w:t xml:space="preserve">,96±0,31,  при рівняхТТГ більше 7,0 </w:t>
      </w:r>
      <w:r w:rsidRPr="00132FA6">
        <w:rPr>
          <w:sz w:val="28"/>
          <w:szCs w:val="28"/>
          <w:shd w:val="clear" w:color="auto" w:fill="FFFFFF"/>
          <w:lang w:val="uk-UA"/>
        </w:rPr>
        <w:t>мкМОд/мл - 7</w:t>
      </w:r>
      <w:r w:rsidRPr="00132FA6">
        <w:rPr>
          <w:sz w:val="28"/>
          <w:szCs w:val="28"/>
          <w:lang w:val="uk-UA"/>
        </w:rPr>
        <w:t>,99±0,95, р=0,045). При пороговому значенні рівня ТТГ 6,0</w:t>
      </w:r>
      <w:r w:rsidRPr="00132FA6">
        <w:rPr>
          <w:sz w:val="28"/>
          <w:szCs w:val="28"/>
          <w:shd w:val="clear" w:color="auto" w:fill="FFFFFF"/>
          <w:lang w:val="uk-UA"/>
        </w:rPr>
        <w:t xml:space="preserve"> мкМОд/ мл</w:t>
      </w:r>
      <w:r w:rsidRPr="00132FA6">
        <w:rPr>
          <w:sz w:val="28"/>
          <w:szCs w:val="28"/>
          <w:lang w:val="uk-UA"/>
        </w:rPr>
        <w:t xml:space="preserve"> достовірних відмінностей отримано не було (</w:t>
      </w:r>
      <w:r w:rsidRPr="00132FA6">
        <w:rPr>
          <w:rStyle w:val="tlid-translation"/>
          <w:rFonts w:eastAsiaTheme="majorEastAsia"/>
          <w:sz w:val="28"/>
          <w:szCs w:val="28"/>
          <w:lang w:val="uk-UA"/>
        </w:rPr>
        <w:t>НОМА-IR при рівняхТТГ 4,1- 6,0</w:t>
      </w:r>
      <w:r w:rsidRPr="00132FA6">
        <w:rPr>
          <w:sz w:val="28"/>
          <w:szCs w:val="28"/>
          <w:shd w:val="clear" w:color="auto" w:fill="FFFFFF"/>
          <w:lang w:val="uk-UA"/>
        </w:rPr>
        <w:t xml:space="preserve"> мкМОд/мл</w:t>
      </w:r>
      <w:r w:rsidRPr="00132FA6">
        <w:rPr>
          <w:rStyle w:val="tlid-translation"/>
          <w:rFonts w:eastAsiaTheme="majorEastAsia"/>
          <w:sz w:val="28"/>
          <w:szCs w:val="28"/>
          <w:lang w:val="uk-UA"/>
        </w:rPr>
        <w:t xml:space="preserve"> - 5</w:t>
      </w:r>
      <w:r w:rsidRPr="00132FA6">
        <w:rPr>
          <w:sz w:val="28"/>
          <w:szCs w:val="28"/>
        </w:rPr>
        <w:t>,</w:t>
      </w:r>
      <w:r w:rsidRPr="00132FA6">
        <w:rPr>
          <w:sz w:val="28"/>
          <w:szCs w:val="28"/>
          <w:lang w:val="uk-UA"/>
        </w:rPr>
        <w:t>84</w:t>
      </w:r>
      <w:r w:rsidRPr="00132FA6">
        <w:rPr>
          <w:sz w:val="28"/>
          <w:szCs w:val="28"/>
        </w:rPr>
        <w:t>±</w:t>
      </w:r>
      <w:r w:rsidRPr="00132FA6">
        <w:rPr>
          <w:sz w:val="28"/>
          <w:szCs w:val="28"/>
          <w:lang w:val="uk-UA"/>
        </w:rPr>
        <w:t>0</w:t>
      </w:r>
      <w:r w:rsidRPr="00132FA6">
        <w:rPr>
          <w:sz w:val="28"/>
          <w:szCs w:val="28"/>
        </w:rPr>
        <w:t>,</w:t>
      </w:r>
      <w:r w:rsidRPr="00132FA6">
        <w:rPr>
          <w:sz w:val="28"/>
          <w:szCs w:val="28"/>
          <w:lang w:val="uk-UA"/>
        </w:rPr>
        <w:t xml:space="preserve">48, при рівнях ТТГ більше 6,0 </w:t>
      </w:r>
      <w:r w:rsidRPr="00132FA6">
        <w:rPr>
          <w:sz w:val="28"/>
          <w:szCs w:val="28"/>
          <w:shd w:val="clear" w:color="auto" w:fill="FFFFFF"/>
          <w:lang w:val="uk-UA"/>
        </w:rPr>
        <w:t xml:space="preserve">мкМОд/мл - </w:t>
      </w:r>
      <w:r w:rsidRPr="00132FA6">
        <w:rPr>
          <w:sz w:val="28"/>
          <w:szCs w:val="28"/>
        </w:rPr>
        <w:t>7,</w:t>
      </w:r>
      <w:r w:rsidRPr="00132FA6">
        <w:rPr>
          <w:sz w:val="28"/>
          <w:szCs w:val="28"/>
          <w:lang w:val="uk-UA"/>
        </w:rPr>
        <w:t>15</w:t>
      </w:r>
      <w:r w:rsidRPr="00132FA6">
        <w:rPr>
          <w:sz w:val="28"/>
          <w:szCs w:val="28"/>
        </w:rPr>
        <w:t>±</w:t>
      </w:r>
      <w:r w:rsidRPr="00132FA6">
        <w:rPr>
          <w:sz w:val="28"/>
          <w:szCs w:val="28"/>
          <w:lang w:val="uk-UA"/>
        </w:rPr>
        <w:t>0</w:t>
      </w:r>
      <w:r w:rsidRPr="00132FA6">
        <w:rPr>
          <w:sz w:val="28"/>
          <w:szCs w:val="28"/>
        </w:rPr>
        <w:t>,</w:t>
      </w:r>
      <w:r w:rsidRPr="00132FA6">
        <w:rPr>
          <w:sz w:val="28"/>
          <w:szCs w:val="28"/>
          <w:lang w:val="uk-UA"/>
        </w:rPr>
        <w:t>76, р</w:t>
      </w:r>
      <w:r w:rsidRPr="00132FA6">
        <w:rPr>
          <w:sz w:val="28"/>
          <w:szCs w:val="28"/>
          <w:lang w:val="uk-UA" w:eastAsia="en-US"/>
        </w:rPr>
        <w:t>&gt;0,05</w:t>
      </w:r>
      <w:r w:rsidRPr="00132FA6">
        <w:rPr>
          <w:sz w:val="28"/>
          <w:szCs w:val="28"/>
          <w:lang w:val="uk-UA"/>
        </w:rPr>
        <w:t>). Незважаючи на те, що п</w:t>
      </w:r>
      <w:r w:rsidRPr="00132FA6">
        <w:rPr>
          <w:rStyle w:val="tlid-translation"/>
          <w:rFonts w:eastAsiaTheme="majorEastAsia"/>
          <w:sz w:val="28"/>
          <w:szCs w:val="28"/>
          <w:lang w:val="uk-UA"/>
        </w:rPr>
        <w:t>роведення кореляційного аналізу не виявило достовірного зв'язку між рівнями ТТГ та індексом НОМА-IR у досліджуваних групах, ц</w:t>
      </w:r>
      <w:r w:rsidRPr="00132FA6">
        <w:rPr>
          <w:sz w:val="28"/>
          <w:szCs w:val="28"/>
          <w:lang w:val="uk-UA"/>
        </w:rPr>
        <w:t xml:space="preserve">і дані співпадають з думкою ряду авторів, які розцінюють рівні ТТГ у межах 6-7 </w:t>
      </w:r>
      <w:r w:rsidRPr="00132FA6">
        <w:rPr>
          <w:sz w:val="28"/>
          <w:szCs w:val="28"/>
          <w:shd w:val="clear" w:color="auto" w:fill="FFFFFF"/>
          <w:lang w:val="uk-UA"/>
        </w:rPr>
        <w:t>мкМОд / мл</w:t>
      </w:r>
      <w:r w:rsidRPr="00132FA6">
        <w:rPr>
          <w:sz w:val="28"/>
          <w:szCs w:val="28"/>
          <w:lang w:val="uk-UA"/>
        </w:rPr>
        <w:t xml:space="preserve">, як порогові з точки зору серцево-судинного ризику [18]. </w:t>
      </w:r>
    </w:p>
    <w:p w:rsidR="00E3259F" w:rsidRDefault="00E3259F" w:rsidP="00132FA6">
      <w:pPr>
        <w:shd w:val="clear" w:color="auto" w:fill="FFFFFF"/>
        <w:spacing w:line="360" w:lineRule="auto"/>
        <w:ind w:firstLine="284"/>
        <w:jc w:val="both"/>
        <w:outlineLvl w:val="0"/>
        <w:rPr>
          <w:color w:val="000000"/>
          <w:sz w:val="28"/>
          <w:szCs w:val="28"/>
          <w:shd w:val="clear" w:color="auto" w:fill="FFFFFF"/>
          <w:lang w:val="uk-UA"/>
        </w:rPr>
      </w:pPr>
      <w:r w:rsidRPr="00132FA6">
        <w:rPr>
          <w:color w:val="000000"/>
          <w:sz w:val="28"/>
          <w:szCs w:val="28"/>
          <w:shd w:val="clear" w:color="auto" w:fill="FFFFFF"/>
          <w:lang w:val="uk-UA"/>
        </w:rPr>
        <w:t xml:space="preserve">Аналіз показників вуглеводного обміну у пацієнтів з поєднаним перебігом ГХ, ЦД 2 типу та СГТ залежно від рівня ТТГ продемонстрував (Таблиця 3.5) достовірно вищі показники рівня глюкози (р&lt;0,001), глікованого гемоглобіну (р=0,022) </w:t>
      </w:r>
      <w:r w:rsidRPr="00132FA6">
        <w:rPr>
          <w:sz w:val="28"/>
          <w:szCs w:val="28"/>
          <w:lang w:val="uk-UA" w:eastAsia="en-US"/>
        </w:rPr>
        <w:t xml:space="preserve">у пацієнтів з рівнем ТТГ від 6,1 до 10,0 мкМО/мл порівняно з пацієнтами з рівнем ТТГ&lt;6,0 мкМО/мл. Не було виявлено статистично значущіх відмінностей рівнів інсуліну (р&gt;0,05) та </w:t>
      </w:r>
      <w:r w:rsidRPr="00132FA6">
        <w:rPr>
          <w:color w:val="000000"/>
          <w:sz w:val="28"/>
          <w:szCs w:val="28"/>
          <w:shd w:val="clear" w:color="auto" w:fill="FFFFFF"/>
          <w:lang w:val="uk-UA"/>
        </w:rPr>
        <w:t xml:space="preserve">значення </w:t>
      </w:r>
      <w:r w:rsidRPr="00132FA6">
        <w:rPr>
          <w:sz w:val="28"/>
          <w:szCs w:val="28"/>
          <w:lang w:val="uk-UA" w:eastAsia="en-US"/>
        </w:rPr>
        <w:t>НОМА-</w:t>
      </w:r>
      <w:r w:rsidRPr="00132FA6">
        <w:rPr>
          <w:sz w:val="28"/>
          <w:szCs w:val="28"/>
          <w:lang w:val="en-US" w:eastAsia="en-US"/>
        </w:rPr>
        <w:t>IR</w:t>
      </w:r>
      <w:r w:rsidRPr="00132FA6">
        <w:rPr>
          <w:sz w:val="28"/>
          <w:szCs w:val="28"/>
          <w:lang w:val="uk-UA" w:eastAsia="en-US"/>
        </w:rPr>
        <w:t xml:space="preserve"> (р&gt;0,05) залежно від рівня ТТГ. </w:t>
      </w:r>
      <w:r w:rsidRPr="00132FA6">
        <w:rPr>
          <w:color w:val="000000"/>
          <w:sz w:val="28"/>
          <w:szCs w:val="28"/>
          <w:shd w:val="clear" w:color="auto" w:fill="FFFFFF"/>
          <w:lang w:val="uk-UA"/>
        </w:rPr>
        <w:t xml:space="preserve"> </w:t>
      </w:r>
      <w:r w:rsidRPr="00132FA6">
        <w:rPr>
          <w:sz w:val="28"/>
          <w:szCs w:val="28"/>
          <w:lang w:val="uk-UA" w:eastAsia="en-US"/>
        </w:rPr>
        <w:t>Отримані дані свідчать, що, незважаючи на прийом антидіабетичної терапії, рівні ТТГ, навіть у субклінічному діапазоні, мають суттєвий негативний вплив на показники вуглеводного обміну, підвищуючи загальний КВР при цій коморбідності.</w:t>
      </w:r>
      <w:r>
        <w:rPr>
          <w:sz w:val="28"/>
          <w:szCs w:val="28"/>
          <w:lang w:val="uk-UA" w:eastAsia="en-US"/>
        </w:rPr>
        <w:t xml:space="preserve"> </w:t>
      </w:r>
    </w:p>
    <w:p w:rsidR="00E3259F" w:rsidRDefault="00E3259F" w:rsidP="00E3259F">
      <w:pPr>
        <w:spacing w:line="360" w:lineRule="auto"/>
        <w:ind w:firstLine="709"/>
        <w:jc w:val="right"/>
        <w:rPr>
          <w:sz w:val="28"/>
          <w:szCs w:val="28"/>
          <w:lang w:val="uk-UA"/>
        </w:rPr>
      </w:pPr>
      <w:r>
        <w:rPr>
          <w:sz w:val="28"/>
          <w:szCs w:val="28"/>
          <w:lang w:val="uk-UA"/>
        </w:rPr>
        <w:t>Таблиця 3.5</w:t>
      </w:r>
    </w:p>
    <w:p w:rsidR="00E3259F" w:rsidRDefault="00E3259F" w:rsidP="00E3259F">
      <w:pPr>
        <w:spacing w:line="360" w:lineRule="auto"/>
        <w:ind w:firstLine="709"/>
        <w:jc w:val="center"/>
        <w:rPr>
          <w:sz w:val="28"/>
          <w:szCs w:val="28"/>
          <w:lang w:val="uk-UA"/>
        </w:rPr>
      </w:pPr>
      <w:r>
        <w:rPr>
          <w:sz w:val="28"/>
          <w:szCs w:val="28"/>
          <w:lang w:val="uk-UA"/>
        </w:rPr>
        <w:t>Порівняльна характеристика показників вуглеводного обміну між пацієнтами  на гіпертонічну хворобу, цукровий діабет 2 типу та субклінічний гіпотиреоз з урахуванням рівня ТТГ (</w:t>
      </w:r>
      <w:r>
        <w:rPr>
          <w:sz w:val="28"/>
          <w:szCs w:val="28"/>
          <w:lang w:val="en-US"/>
        </w:rPr>
        <w:t>M</w:t>
      </w:r>
      <w:r>
        <w:rPr>
          <w:sz w:val="28"/>
          <w:szCs w:val="28"/>
          <w:lang w:val="uk-UA"/>
        </w:rPr>
        <w:t>±</w:t>
      </w:r>
      <w:r>
        <w:rPr>
          <w:sz w:val="28"/>
          <w:szCs w:val="28"/>
          <w:lang w:val="en-US"/>
        </w:rPr>
        <w:t>m</w:t>
      </w:r>
      <w:r>
        <w:rPr>
          <w:sz w:val="28"/>
          <w:szCs w:val="28"/>
          <w:lang w:val="uk-UA"/>
        </w:rPr>
        <w:t>)</w:t>
      </w:r>
    </w:p>
    <w:tbl>
      <w:tblPr>
        <w:tblW w:w="0" w:type="auto"/>
        <w:tblLook w:val="04A0" w:firstRow="1" w:lastRow="0" w:firstColumn="1" w:lastColumn="0" w:noHBand="0" w:noVBand="1"/>
      </w:tblPr>
      <w:tblGrid>
        <w:gridCol w:w="3874"/>
        <w:gridCol w:w="1972"/>
        <w:gridCol w:w="1994"/>
        <w:gridCol w:w="1730"/>
      </w:tblGrid>
      <w:tr w:rsidR="00E3259F" w:rsidRPr="00132FA6" w:rsidTr="00E3259F">
        <w:tc>
          <w:tcPr>
            <w:tcW w:w="3875"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jc w:val="center"/>
              <w:rPr>
                <w:rFonts w:eastAsia="Calibri"/>
                <w:sz w:val="28"/>
                <w:szCs w:val="28"/>
                <w:lang w:val="uk-UA" w:eastAsia="en-US"/>
              </w:rPr>
            </w:pPr>
            <w:r w:rsidRPr="00132FA6">
              <w:rPr>
                <w:sz w:val="28"/>
                <w:szCs w:val="28"/>
                <w:lang w:val="uk-UA" w:eastAsia="en-US"/>
              </w:rPr>
              <w:t>Показник</w:t>
            </w:r>
          </w:p>
        </w:tc>
        <w:tc>
          <w:tcPr>
            <w:tcW w:w="1972"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jc w:val="center"/>
              <w:rPr>
                <w:sz w:val="28"/>
                <w:szCs w:val="28"/>
                <w:lang w:val="uk-UA" w:eastAsia="en-US"/>
              </w:rPr>
            </w:pPr>
            <w:r w:rsidRPr="00132FA6">
              <w:rPr>
                <w:sz w:val="28"/>
                <w:szCs w:val="28"/>
                <w:lang w:val="uk-UA" w:eastAsia="en-US"/>
              </w:rPr>
              <w:t>3а група</w:t>
            </w:r>
          </w:p>
          <w:p w:rsidR="00E3259F" w:rsidRPr="00132FA6" w:rsidRDefault="00E3259F" w:rsidP="00132FA6">
            <w:pPr>
              <w:spacing w:line="360" w:lineRule="auto"/>
              <w:jc w:val="center"/>
              <w:rPr>
                <w:rFonts w:eastAsia="Calibri"/>
                <w:sz w:val="28"/>
                <w:szCs w:val="28"/>
                <w:lang w:eastAsia="en-US"/>
              </w:rPr>
            </w:pPr>
            <w:r w:rsidRPr="00132FA6">
              <w:rPr>
                <w:sz w:val="28"/>
                <w:szCs w:val="28"/>
                <w:lang w:val="uk-UA" w:eastAsia="en-US"/>
              </w:rPr>
              <w:t>(рівень ТТГ від 4,0 до 6,0 мкМОд/мл)</w:t>
            </w:r>
          </w:p>
          <w:p w:rsidR="00E3259F" w:rsidRPr="00132FA6" w:rsidRDefault="00E3259F" w:rsidP="00132FA6">
            <w:pPr>
              <w:spacing w:line="360" w:lineRule="auto"/>
              <w:jc w:val="center"/>
              <w:rPr>
                <w:rFonts w:eastAsia="Calibri"/>
                <w:sz w:val="28"/>
                <w:szCs w:val="28"/>
                <w:lang w:val="uk-UA" w:eastAsia="en-US"/>
              </w:rPr>
            </w:pPr>
            <w:r w:rsidRPr="00132FA6">
              <w:rPr>
                <w:sz w:val="28"/>
                <w:szCs w:val="28"/>
                <w:shd w:val="clear" w:color="auto" w:fill="FFFFFF"/>
                <w:lang w:val="uk-UA" w:eastAsia="en-US"/>
              </w:rPr>
              <w:t>(</w:t>
            </w:r>
            <w:r w:rsidRPr="00132FA6">
              <w:rPr>
                <w:sz w:val="28"/>
                <w:szCs w:val="28"/>
                <w:shd w:val="clear" w:color="auto" w:fill="FFFFFF"/>
                <w:lang w:val="en-US" w:eastAsia="en-US"/>
              </w:rPr>
              <w:t>n</w:t>
            </w:r>
            <w:r w:rsidRPr="00132FA6">
              <w:rPr>
                <w:sz w:val="28"/>
                <w:szCs w:val="28"/>
                <w:shd w:val="clear" w:color="auto" w:fill="FFFFFF"/>
                <w:lang w:val="uk-UA" w:eastAsia="en-US"/>
              </w:rPr>
              <w:t>=52)</w:t>
            </w:r>
          </w:p>
        </w:tc>
        <w:tc>
          <w:tcPr>
            <w:tcW w:w="199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jc w:val="center"/>
              <w:rPr>
                <w:sz w:val="28"/>
                <w:szCs w:val="28"/>
                <w:lang w:val="uk-UA" w:eastAsia="en-US"/>
              </w:rPr>
            </w:pPr>
            <w:r w:rsidRPr="00132FA6">
              <w:rPr>
                <w:sz w:val="28"/>
                <w:szCs w:val="28"/>
                <w:lang w:val="uk-UA" w:eastAsia="en-US"/>
              </w:rPr>
              <w:t>3б група</w:t>
            </w:r>
          </w:p>
          <w:p w:rsidR="00E3259F" w:rsidRPr="00132FA6" w:rsidRDefault="00E3259F" w:rsidP="00132FA6">
            <w:pPr>
              <w:spacing w:line="360" w:lineRule="auto"/>
              <w:jc w:val="center"/>
              <w:rPr>
                <w:rFonts w:eastAsia="Calibri"/>
                <w:sz w:val="28"/>
                <w:szCs w:val="28"/>
                <w:lang w:eastAsia="en-US"/>
              </w:rPr>
            </w:pPr>
            <w:r w:rsidRPr="00132FA6">
              <w:rPr>
                <w:sz w:val="28"/>
                <w:szCs w:val="28"/>
                <w:lang w:val="uk-UA" w:eastAsia="en-US"/>
              </w:rPr>
              <w:t>(рівень ТТГ від 6,1 до 10 мкМОд/мл)</w:t>
            </w:r>
          </w:p>
          <w:p w:rsidR="00E3259F" w:rsidRPr="00132FA6" w:rsidRDefault="00E3259F" w:rsidP="00132FA6">
            <w:pPr>
              <w:spacing w:line="360" w:lineRule="auto"/>
              <w:jc w:val="center"/>
              <w:rPr>
                <w:rFonts w:eastAsia="Calibri"/>
                <w:sz w:val="28"/>
                <w:szCs w:val="28"/>
                <w:lang w:eastAsia="en-US"/>
              </w:rPr>
            </w:pPr>
            <w:r w:rsidRPr="00132FA6">
              <w:rPr>
                <w:sz w:val="28"/>
                <w:szCs w:val="28"/>
                <w:shd w:val="clear" w:color="auto" w:fill="FFFFFF"/>
                <w:lang w:val="uk-UA" w:eastAsia="en-US"/>
              </w:rPr>
              <w:t>(</w:t>
            </w:r>
            <w:r w:rsidRPr="00132FA6">
              <w:rPr>
                <w:sz w:val="28"/>
                <w:szCs w:val="28"/>
                <w:shd w:val="clear" w:color="auto" w:fill="FFFFFF"/>
                <w:lang w:val="en-US" w:eastAsia="en-US"/>
              </w:rPr>
              <w:t>n</w:t>
            </w:r>
            <w:r w:rsidRPr="00132FA6">
              <w:rPr>
                <w:sz w:val="28"/>
                <w:szCs w:val="28"/>
                <w:shd w:val="clear" w:color="auto" w:fill="FFFFFF"/>
                <w:lang w:val="uk-UA" w:eastAsia="en-US"/>
              </w:rPr>
              <w:t>=41)</w:t>
            </w:r>
          </w:p>
        </w:tc>
        <w:tc>
          <w:tcPr>
            <w:tcW w:w="173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uk-UA" w:eastAsia="en-US"/>
              </w:rPr>
            </w:pPr>
            <w:r w:rsidRPr="00132FA6">
              <w:rPr>
                <w:sz w:val="28"/>
                <w:szCs w:val="28"/>
                <w:lang w:val="uk-UA" w:eastAsia="en-US"/>
              </w:rPr>
              <w:t>Значимість,</w:t>
            </w:r>
          </w:p>
          <w:p w:rsidR="00E3259F" w:rsidRPr="00132FA6" w:rsidRDefault="00E3259F" w:rsidP="00132FA6">
            <w:pPr>
              <w:spacing w:line="360" w:lineRule="auto"/>
              <w:jc w:val="center"/>
              <w:rPr>
                <w:sz w:val="28"/>
                <w:szCs w:val="28"/>
                <w:lang w:val="uk-UA" w:eastAsia="en-US"/>
              </w:rPr>
            </w:pPr>
            <w:r w:rsidRPr="00132FA6">
              <w:rPr>
                <w:sz w:val="28"/>
                <w:szCs w:val="28"/>
                <w:lang w:val="uk-UA" w:eastAsia="en-US"/>
              </w:rPr>
              <w:t>р</w:t>
            </w:r>
          </w:p>
        </w:tc>
      </w:tr>
      <w:tr w:rsidR="00E3259F" w:rsidRPr="00132FA6" w:rsidTr="00E3259F">
        <w:tc>
          <w:tcPr>
            <w:tcW w:w="3875"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Глюкоза</w:t>
            </w:r>
            <w:r w:rsidRPr="00132FA6">
              <w:rPr>
                <w:sz w:val="28"/>
                <w:szCs w:val="28"/>
                <w:lang w:val="uk-UA" w:eastAsia="en-US"/>
              </w:rPr>
              <w:t xml:space="preserve"> натще, ммоль/л</w:t>
            </w:r>
          </w:p>
        </w:tc>
        <w:tc>
          <w:tcPr>
            <w:tcW w:w="1972"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6,3</w:t>
            </w:r>
            <w:r w:rsidRPr="00132FA6">
              <w:rPr>
                <w:sz w:val="28"/>
                <w:szCs w:val="28"/>
                <w:lang w:val="en-US" w:eastAsia="en-US"/>
              </w:rPr>
              <w:t>1</w:t>
            </w:r>
            <w:r w:rsidRPr="00132FA6">
              <w:rPr>
                <w:sz w:val="28"/>
                <w:szCs w:val="28"/>
                <w:lang w:eastAsia="en-US"/>
              </w:rPr>
              <w:t>±</w:t>
            </w:r>
            <w:r w:rsidRPr="00132FA6">
              <w:rPr>
                <w:sz w:val="28"/>
                <w:szCs w:val="28"/>
                <w:lang w:val="en-US" w:eastAsia="en-US"/>
              </w:rPr>
              <w:t>0</w:t>
            </w:r>
            <w:r w:rsidRPr="00132FA6">
              <w:rPr>
                <w:sz w:val="28"/>
                <w:szCs w:val="28"/>
                <w:lang w:eastAsia="en-US"/>
              </w:rPr>
              <w:t>,2</w:t>
            </w:r>
            <w:r w:rsidRPr="00132FA6">
              <w:rPr>
                <w:sz w:val="28"/>
                <w:szCs w:val="28"/>
                <w:lang w:val="en-US" w:eastAsia="en-US"/>
              </w:rPr>
              <w:t>4</w:t>
            </w:r>
          </w:p>
        </w:tc>
        <w:tc>
          <w:tcPr>
            <w:tcW w:w="199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7,82±</w:t>
            </w:r>
            <w:r w:rsidRPr="00132FA6">
              <w:rPr>
                <w:sz w:val="28"/>
                <w:szCs w:val="28"/>
                <w:lang w:val="en-US" w:eastAsia="en-US"/>
              </w:rPr>
              <w:t>0</w:t>
            </w:r>
            <w:r w:rsidRPr="00132FA6">
              <w:rPr>
                <w:sz w:val="28"/>
                <w:szCs w:val="28"/>
                <w:lang w:eastAsia="en-US"/>
              </w:rPr>
              <w:t>,3</w:t>
            </w:r>
            <w:r w:rsidRPr="00132FA6">
              <w:rPr>
                <w:sz w:val="28"/>
                <w:szCs w:val="28"/>
                <w:lang w:val="en-US" w:eastAsia="en-US"/>
              </w:rPr>
              <w:t>6</w:t>
            </w:r>
          </w:p>
        </w:tc>
        <w:tc>
          <w:tcPr>
            <w:tcW w:w="173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uk-UA" w:eastAsia="en-US"/>
              </w:rPr>
            </w:pPr>
            <w:r w:rsidRPr="00132FA6">
              <w:rPr>
                <w:sz w:val="28"/>
                <w:szCs w:val="28"/>
                <w:lang w:val="uk-UA" w:eastAsia="en-US"/>
              </w:rPr>
              <w:t>р&lt;0</w:t>
            </w:r>
            <w:r w:rsidRPr="00132FA6">
              <w:rPr>
                <w:sz w:val="28"/>
                <w:szCs w:val="28"/>
                <w:lang w:eastAsia="en-US"/>
              </w:rPr>
              <w:t>,</w:t>
            </w:r>
            <w:r w:rsidRPr="00132FA6">
              <w:rPr>
                <w:sz w:val="28"/>
                <w:szCs w:val="28"/>
                <w:lang w:val="en-US" w:eastAsia="en-US"/>
              </w:rPr>
              <w:t>001</w:t>
            </w:r>
          </w:p>
        </w:tc>
      </w:tr>
      <w:tr w:rsidR="00E3259F" w:rsidRPr="00132FA6" w:rsidTr="00E3259F">
        <w:tc>
          <w:tcPr>
            <w:tcW w:w="3875"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val="uk-UA" w:eastAsia="en-US"/>
              </w:rPr>
            </w:pPr>
            <w:r w:rsidRPr="00132FA6">
              <w:rPr>
                <w:sz w:val="28"/>
                <w:szCs w:val="28"/>
                <w:lang w:eastAsia="en-US"/>
              </w:rPr>
              <w:t>HbA1с</w:t>
            </w:r>
            <w:r w:rsidRPr="00132FA6">
              <w:rPr>
                <w:sz w:val="28"/>
                <w:szCs w:val="28"/>
                <w:lang w:val="uk-UA" w:eastAsia="en-US"/>
              </w:rPr>
              <w:t>, %</w:t>
            </w:r>
          </w:p>
        </w:tc>
        <w:tc>
          <w:tcPr>
            <w:tcW w:w="1972"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6,9</w:t>
            </w:r>
            <w:r w:rsidRPr="00132FA6">
              <w:rPr>
                <w:sz w:val="28"/>
                <w:szCs w:val="28"/>
                <w:lang w:val="en-US" w:eastAsia="en-US"/>
              </w:rPr>
              <w:t>8</w:t>
            </w:r>
            <w:r w:rsidRPr="00132FA6">
              <w:rPr>
                <w:sz w:val="28"/>
                <w:szCs w:val="28"/>
                <w:lang w:eastAsia="en-US"/>
              </w:rPr>
              <w:t>±</w:t>
            </w:r>
            <w:r w:rsidRPr="00132FA6">
              <w:rPr>
                <w:sz w:val="28"/>
                <w:szCs w:val="28"/>
                <w:lang w:val="en-US" w:eastAsia="en-US"/>
              </w:rPr>
              <w:t>0</w:t>
            </w:r>
            <w:r w:rsidRPr="00132FA6">
              <w:rPr>
                <w:sz w:val="28"/>
                <w:szCs w:val="28"/>
                <w:lang w:eastAsia="en-US"/>
              </w:rPr>
              <w:t>,14</w:t>
            </w:r>
          </w:p>
        </w:tc>
        <w:tc>
          <w:tcPr>
            <w:tcW w:w="199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7,4</w:t>
            </w:r>
            <w:r w:rsidRPr="00132FA6">
              <w:rPr>
                <w:sz w:val="28"/>
                <w:szCs w:val="28"/>
                <w:lang w:val="en-US" w:eastAsia="en-US"/>
              </w:rPr>
              <w:t>6</w:t>
            </w:r>
            <w:r w:rsidRPr="00132FA6">
              <w:rPr>
                <w:sz w:val="28"/>
                <w:szCs w:val="28"/>
                <w:lang w:eastAsia="en-US"/>
              </w:rPr>
              <w:t>±</w:t>
            </w:r>
            <w:r w:rsidRPr="00132FA6">
              <w:rPr>
                <w:sz w:val="28"/>
                <w:szCs w:val="28"/>
                <w:lang w:val="en-US" w:eastAsia="en-US"/>
              </w:rPr>
              <w:t>0</w:t>
            </w:r>
            <w:r w:rsidRPr="00132FA6">
              <w:rPr>
                <w:sz w:val="28"/>
                <w:szCs w:val="28"/>
                <w:lang w:eastAsia="en-US"/>
              </w:rPr>
              <w:t>,1</w:t>
            </w:r>
            <w:r w:rsidRPr="00132FA6">
              <w:rPr>
                <w:sz w:val="28"/>
                <w:szCs w:val="28"/>
                <w:lang w:val="en-US" w:eastAsia="en-US"/>
              </w:rPr>
              <w:t>5</w:t>
            </w:r>
          </w:p>
        </w:tc>
        <w:tc>
          <w:tcPr>
            <w:tcW w:w="173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р= 0</w:t>
            </w:r>
            <w:r w:rsidRPr="00132FA6">
              <w:rPr>
                <w:sz w:val="28"/>
                <w:szCs w:val="28"/>
                <w:lang w:eastAsia="en-US"/>
              </w:rPr>
              <w:t>,</w:t>
            </w:r>
            <w:r w:rsidRPr="00132FA6">
              <w:rPr>
                <w:sz w:val="28"/>
                <w:szCs w:val="28"/>
                <w:lang w:val="en-US" w:eastAsia="en-US"/>
              </w:rPr>
              <w:t>022</w:t>
            </w:r>
          </w:p>
        </w:tc>
      </w:tr>
      <w:tr w:rsidR="00E3259F" w:rsidRPr="00132FA6" w:rsidTr="00E3259F">
        <w:tc>
          <w:tcPr>
            <w:tcW w:w="3875"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val="uk-UA" w:eastAsia="en-US"/>
              </w:rPr>
              <w:t>І</w:t>
            </w:r>
            <w:r w:rsidRPr="00132FA6">
              <w:rPr>
                <w:sz w:val="28"/>
                <w:szCs w:val="28"/>
                <w:lang w:eastAsia="en-US"/>
              </w:rPr>
              <w:t>нсул</w:t>
            </w:r>
            <w:r w:rsidRPr="00132FA6">
              <w:rPr>
                <w:sz w:val="28"/>
                <w:szCs w:val="28"/>
                <w:lang w:val="uk-UA" w:eastAsia="en-US"/>
              </w:rPr>
              <w:t>і</w:t>
            </w:r>
            <w:r w:rsidRPr="00132FA6">
              <w:rPr>
                <w:sz w:val="28"/>
                <w:szCs w:val="28"/>
                <w:lang w:eastAsia="en-US"/>
              </w:rPr>
              <w:t xml:space="preserve">н </w:t>
            </w:r>
            <w:r w:rsidRPr="00132FA6">
              <w:rPr>
                <w:sz w:val="28"/>
                <w:szCs w:val="28"/>
                <w:lang w:val="uk-UA" w:eastAsia="en-US"/>
              </w:rPr>
              <w:t>натще</w:t>
            </w:r>
            <w:r w:rsidRPr="00132FA6">
              <w:rPr>
                <w:sz w:val="28"/>
                <w:szCs w:val="28"/>
                <w:lang w:eastAsia="en-US"/>
              </w:rPr>
              <w:t>, мкМ</w:t>
            </w:r>
            <w:r w:rsidRPr="00132FA6">
              <w:rPr>
                <w:sz w:val="28"/>
                <w:szCs w:val="28"/>
                <w:lang w:val="uk-UA" w:eastAsia="en-US"/>
              </w:rPr>
              <w:t>О</w:t>
            </w:r>
            <w:r w:rsidRPr="00132FA6">
              <w:rPr>
                <w:sz w:val="28"/>
                <w:szCs w:val="28"/>
                <w:lang w:eastAsia="en-US"/>
              </w:rPr>
              <w:t>/мл</w:t>
            </w:r>
          </w:p>
        </w:tc>
        <w:tc>
          <w:tcPr>
            <w:tcW w:w="1972"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19,98±1,17</w:t>
            </w:r>
          </w:p>
        </w:tc>
        <w:tc>
          <w:tcPr>
            <w:tcW w:w="199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20,70±1,83</w:t>
            </w:r>
          </w:p>
        </w:tc>
        <w:tc>
          <w:tcPr>
            <w:tcW w:w="173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р &gt;0,05</w:t>
            </w:r>
          </w:p>
        </w:tc>
      </w:tr>
      <w:tr w:rsidR="00E3259F" w:rsidRPr="00132FA6" w:rsidTr="00E3259F">
        <w:tc>
          <w:tcPr>
            <w:tcW w:w="3875"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val="en-US" w:eastAsia="en-US"/>
              </w:rPr>
            </w:pPr>
            <w:r w:rsidRPr="00132FA6">
              <w:rPr>
                <w:sz w:val="28"/>
                <w:szCs w:val="28"/>
                <w:lang w:eastAsia="en-US"/>
              </w:rPr>
              <w:t>НОМА</w:t>
            </w:r>
            <w:r w:rsidRPr="00132FA6">
              <w:rPr>
                <w:sz w:val="28"/>
                <w:szCs w:val="28"/>
                <w:lang w:val="en-US" w:eastAsia="en-US"/>
              </w:rPr>
              <w:t>-IR</w:t>
            </w:r>
          </w:p>
        </w:tc>
        <w:tc>
          <w:tcPr>
            <w:tcW w:w="1972"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5,84±</w:t>
            </w:r>
            <w:r w:rsidRPr="00132FA6">
              <w:rPr>
                <w:sz w:val="28"/>
                <w:szCs w:val="28"/>
                <w:lang w:val="en-US" w:eastAsia="en-US"/>
              </w:rPr>
              <w:t>0</w:t>
            </w:r>
            <w:r w:rsidRPr="00132FA6">
              <w:rPr>
                <w:sz w:val="28"/>
                <w:szCs w:val="28"/>
                <w:lang w:eastAsia="en-US"/>
              </w:rPr>
              <w:t>,4</w:t>
            </w:r>
            <w:r w:rsidRPr="00132FA6">
              <w:rPr>
                <w:sz w:val="28"/>
                <w:szCs w:val="28"/>
                <w:lang w:val="en-US" w:eastAsia="en-US"/>
              </w:rPr>
              <w:t>8</w:t>
            </w:r>
          </w:p>
        </w:tc>
        <w:tc>
          <w:tcPr>
            <w:tcW w:w="199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7,1</w:t>
            </w:r>
            <w:r w:rsidRPr="00132FA6">
              <w:rPr>
                <w:sz w:val="28"/>
                <w:szCs w:val="28"/>
                <w:lang w:val="en-US" w:eastAsia="en-US"/>
              </w:rPr>
              <w:t>5</w:t>
            </w:r>
            <w:r w:rsidRPr="00132FA6">
              <w:rPr>
                <w:sz w:val="28"/>
                <w:szCs w:val="28"/>
                <w:lang w:eastAsia="en-US"/>
              </w:rPr>
              <w:t>±</w:t>
            </w:r>
            <w:r w:rsidRPr="00132FA6">
              <w:rPr>
                <w:sz w:val="28"/>
                <w:szCs w:val="28"/>
                <w:lang w:val="en-US" w:eastAsia="en-US"/>
              </w:rPr>
              <w:t>0</w:t>
            </w:r>
            <w:r w:rsidRPr="00132FA6">
              <w:rPr>
                <w:sz w:val="28"/>
                <w:szCs w:val="28"/>
                <w:lang w:eastAsia="en-US"/>
              </w:rPr>
              <w:t>,76</w:t>
            </w:r>
          </w:p>
        </w:tc>
        <w:tc>
          <w:tcPr>
            <w:tcW w:w="173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р &gt;0,05</w:t>
            </w:r>
          </w:p>
        </w:tc>
      </w:tr>
    </w:tbl>
    <w:p w:rsidR="00E3259F" w:rsidRDefault="00E3259F" w:rsidP="00E3259F">
      <w:pPr>
        <w:spacing w:line="360" w:lineRule="auto"/>
        <w:ind w:firstLine="709"/>
        <w:rPr>
          <w:rFonts w:eastAsiaTheme="minorHAnsi"/>
          <w:sz w:val="28"/>
          <w:szCs w:val="28"/>
          <w:lang w:val="en-US"/>
        </w:rPr>
      </w:pPr>
    </w:p>
    <w:p w:rsidR="00E3259F" w:rsidRPr="00132FA6" w:rsidRDefault="00E3259F" w:rsidP="00E3259F">
      <w:pPr>
        <w:spacing w:line="360" w:lineRule="auto"/>
        <w:ind w:firstLine="709"/>
        <w:jc w:val="both"/>
        <w:rPr>
          <w:bCs/>
          <w:iCs/>
          <w:kern w:val="36"/>
          <w:sz w:val="28"/>
          <w:szCs w:val="28"/>
          <w:lang w:val="uk-UA"/>
        </w:rPr>
      </w:pPr>
      <w:r w:rsidRPr="00132FA6">
        <w:rPr>
          <w:bCs/>
          <w:iCs/>
          <w:kern w:val="36"/>
          <w:sz w:val="28"/>
          <w:szCs w:val="28"/>
          <w:lang w:val="uk-UA"/>
        </w:rPr>
        <w:t xml:space="preserve">Гендерний аналіз вуглеводного обміну та ІР у пацієнтів з коморбідною патологією з урахуванням функціонального стану ЩЗ  </w:t>
      </w:r>
      <w:r w:rsidRPr="00132FA6">
        <w:rPr>
          <w:sz w:val="28"/>
          <w:szCs w:val="28"/>
          <w:lang w:val="uk-UA"/>
        </w:rPr>
        <w:t xml:space="preserve">виявив, що наявність СГТ супроводжувалася меншим порушенням вуглеводного обміну незалежно від статі, але в жінок ця тенденція була більш вираженою, що проявлялося наявністю достовірно нижчих рівнів глюкози натще (р=0,001). </w:t>
      </w:r>
      <w:r w:rsidRPr="00132FA6">
        <w:rPr>
          <w:bCs/>
          <w:iCs/>
          <w:kern w:val="36"/>
          <w:sz w:val="28"/>
          <w:szCs w:val="28"/>
          <w:lang w:val="uk-UA"/>
        </w:rPr>
        <w:t>(Таблиця 3.6).</w:t>
      </w:r>
      <w:r w:rsidRPr="00132FA6">
        <w:rPr>
          <w:sz w:val="28"/>
          <w:szCs w:val="28"/>
          <w:lang w:val="uk-UA"/>
        </w:rPr>
        <w:t xml:space="preserve"> </w:t>
      </w:r>
    </w:p>
    <w:p w:rsidR="00E3259F" w:rsidRDefault="00E3259F" w:rsidP="00132FA6">
      <w:pPr>
        <w:spacing w:line="360" w:lineRule="auto"/>
        <w:jc w:val="right"/>
        <w:rPr>
          <w:bCs/>
          <w:iCs/>
          <w:kern w:val="36"/>
          <w:sz w:val="28"/>
          <w:szCs w:val="28"/>
          <w:lang w:val="uk-UA"/>
        </w:rPr>
      </w:pPr>
      <w:r>
        <w:rPr>
          <w:bCs/>
          <w:iCs/>
          <w:kern w:val="36"/>
          <w:sz w:val="28"/>
          <w:szCs w:val="28"/>
          <w:lang w:val="uk-UA"/>
        </w:rPr>
        <w:t>Таблиця 3.6.</w:t>
      </w:r>
    </w:p>
    <w:p w:rsidR="00E3259F" w:rsidRDefault="00E3259F" w:rsidP="00132FA6">
      <w:pPr>
        <w:spacing w:line="360" w:lineRule="auto"/>
        <w:jc w:val="center"/>
        <w:rPr>
          <w:rFonts w:eastAsia="Calibri"/>
          <w:sz w:val="28"/>
          <w:szCs w:val="28"/>
          <w:lang w:val="uk-UA" w:eastAsia="en-US"/>
        </w:rPr>
      </w:pPr>
      <w:r>
        <w:rPr>
          <w:bCs/>
          <w:iCs/>
          <w:kern w:val="36"/>
          <w:sz w:val="28"/>
          <w:szCs w:val="28"/>
          <w:lang w:val="uk-UA"/>
        </w:rPr>
        <w:t xml:space="preserve">Гендерні відмінності показників вуглеводного обміну та інсулінорезистентності у хворих з коморбідною патологією в залежності від функції щитоподібної залози,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r>
        <w:rPr>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126"/>
        <w:gridCol w:w="1418"/>
        <w:gridCol w:w="1984"/>
        <w:gridCol w:w="1950"/>
      </w:tblGrid>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uk-UA" w:eastAsia="en-US"/>
              </w:rPr>
            </w:pPr>
            <w:r w:rsidRPr="00132FA6">
              <w:rPr>
                <w:bCs/>
                <w:iCs/>
                <w:kern w:val="36"/>
                <w:sz w:val="28"/>
                <w:szCs w:val="28"/>
                <w:lang w:val="uk-UA" w:eastAsia="en-US"/>
              </w:rPr>
              <w:t>Показник</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b/>
                <w:sz w:val="28"/>
                <w:szCs w:val="28"/>
                <w:lang w:val="uk-UA" w:eastAsia="en-US"/>
              </w:rPr>
            </w:pPr>
            <w:r w:rsidRPr="00132FA6">
              <w:rPr>
                <w:sz w:val="28"/>
                <w:szCs w:val="28"/>
                <w:lang w:eastAsia="en-US"/>
              </w:rPr>
              <w:t>Глюкоза</w:t>
            </w:r>
            <w:r w:rsidRPr="00132FA6">
              <w:rPr>
                <w:sz w:val="28"/>
                <w:szCs w:val="28"/>
                <w:lang w:val="uk-UA" w:eastAsia="en-US"/>
              </w:rPr>
              <w:t xml:space="preserve"> натще, ммоль/л</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b/>
                <w:sz w:val="28"/>
                <w:szCs w:val="28"/>
                <w:lang w:val="uk-UA" w:eastAsia="en-US"/>
              </w:rPr>
            </w:pPr>
            <w:r w:rsidRPr="00132FA6">
              <w:rPr>
                <w:sz w:val="28"/>
                <w:szCs w:val="28"/>
                <w:lang w:eastAsia="en-US"/>
              </w:rPr>
              <w:t>HbA1</w:t>
            </w:r>
            <w:r w:rsidRPr="00132FA6">
              <w:rPr>
                <w:sz w:val="28"/>
                <w:szCs w:val="28"/>
                <w:lang w:val="uk-UA" w:eastAsia="en-US"/>
              </w:rPr>
              <w:t>с,%</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b/>
                <w:sz w:val="28"/>
                <w:szCs w:val="28"/>
                <w:lang w:val="uk-UA" w:eastAsia="en-US"/>
              </w:rPr>
            </w:pPr>
            <w:r w:rsidRPr="00132FA6">
              <w:rPr>
                <w:sz w:val="28"/>
                <w:szCs w:val="28"/>
                <w:lang w:val="uk-UA" w:eastAsia="en-US"/>
              </w:rPr>
              <w:t>І</w:t>
            </w:r>
            <w:r w:rsidRPr="00132FA6">
              <w:rPr>
                <w:sz w:val="28"/>
                <w:szCs w:val="28"/>
                <w:lang w:eastAsia="en-US"/>
              </w:rPr>
              <w:t>нсул</w:t>
            </w:r>
            <w:r w:rsidRPr="00132FA6">
              <w:rPr>
                <w:sz w:val="28"/>
                <w:szCs w:val="28"/>
                <w:lang w:val="uk-UA" w:eastAsia="en-US"/>
              </w:rPr>
              <w:t>і</w:t>
            </w:r>
            <w:r w:rsidRPr="00132FA6">
              <w:rPr>
                <w:sz w:val="28"/>
                <w:szCs w:val="28"/>
                <w:lang w:eastAsia="en-US"/>
              </w:rPr>
              <w:t xml:space="preserve">н </w:t>
            </w:r>
            <w:r w:rsidRPr="00132FA6">
              <w:rPr>
                <w:sz w:val="28"/>
                <w:szCs w:val="28"/>
                <w:lang w:val="uk-UA" w:eastAsia="en-US"/>
              </w:rPr>
              <w:t>натще</w:t>
            </w:r>
            <w:r w:rsidRPr="00132FA6">
              <w:rPr>
                <w:sz w:val="28"/>
                <w:szCs w:val="28"/>
                <w:lang w:eastAsia="en-US"/>
              </w:rPr>
              <w:t>, мкМ</w:t>
            </w:r>
            <w:r w:rsidRPr="00132FA6">
              <w:rPr>
                <w:sz w:val="28"/>
                <w:szCs w:val="28"/>
                <w:lang w:val="uk-UA" w:eastAsia="en-US"/>
              </w:rPr>
              <w:t>О</w:t>
            </w:r>
            <w:r w:rsidRPr="00132FA6">
              <w:rPr>
                <w:sz w:val="28"/>
                <w:szCs w:val="28"/>
                <w:lang w:eastAsia="en-US"/>
              </w:rPr>
              <w:t>/мл</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b/>
                <w:sz w:val="28"/>
                <w:szCs w:val="28"/>
                <w:lang w:val="uk-UA" w:eastAsia="en-US"/>
              </w:rPr>
            </w:pPr>
            <w:r w:rsidRPr="00132FA6">
              <w:rPr>
                <w:sz w:val="28"/>
                <w:szCs w:val="28"/>
                <w:lang w:eastAsia="en-US"/>
              </w:rPr>
              <w:t>НОМА</w:t>
            </w:r>
            <w:r w:rsidRPr="00132FA6">
              <w:rPr>
                <w:sz w:val="28"/>
                <w:szCs w:val="28"/>
                <w:lang w:val="uk-UA" w:eastAsia="en-US"/>
              </w:rPr>
              <w:t xml:space="preserve">- </w:t>
            </w:r>
            <w:r w:rsidRPr="00132FA6">
              <w:rPr>
                <w:sz w:val="28"/>
                <w:szCs w:val="28"/>
                <w:lang w:val="en-US" w:eastAsia="en-US"/>
              </w:rPr>
              <w:t>IR</w:t>
            </w:r>
          </w:p>
        </w:tc>
      </w:tr>
      <w:tr w:rsidR="00E3259F" w:rsidRPr="00132FA6" w:rsidTr="00E3259F">
        <w:tc>
          <w:tcPr>
            <w:tcW w:w="9571" w:type="dxa"/>
            <w:gridSpan w:val="5"/>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uk-UA" w:eastAsia="en-US"/>
              </w:rPr>
            </w:pPr>
            <w:r w:rsidRPr="00132FA6">
              <w:rPr>
                <w:bCs/>
                <w:iCs/>
                <w:kern w:val="36"/>
                <w:sz w:val="28"/>
                <w:szCs w:val="28"/>
                <w:lang w:val="uk-UA" w:eastAsia="en-US"/>
              </w:rPr>
              <w:t>Жінки</w:t>
            </w:r>
          </w:p>
        </w:tc>
      </w:tr>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en-US" w:eastAsia="en-US"/>
              </w:rPr>
            </w:pPr>
            <w:r w:rsidRPr="00132FA6">
              <w:rPr>
                <w:bCs/>
                <w:iCs/>
                <w:kern w:val="36"/>
                <w:sz w:val="28"/>
                <w:szCs w:val="28"/>
                <w:lang w:val="uk-UA" w:eastAsia="en-US"/>
              </w:rPr>
              <w:t>2 група(</w:t>
            </w:r>
            <w:r w:rsidRPr="00132FA6">
              <w:rPr>
                <w:bCs/>
                <w:iCs/>
                <w:kern w:val="36"/>
                <w:sz w:val="28"/>
                <w:szCs w:val="28"/>
                <w:lang w:val="en-US" w:eastAsia="en-US"/>
              </w:rPr>
              <w:t>n=75)</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val="en-US" w:eastAsia="en-US"/>
              </w:rPr>
            </w:pPr>
            <w:r w:rsidRPr="00132FA6">
              <w:rPr>
                <w:sz w:val="28"/>
                <w:szCs w:val="28"/>
                <w:lang w:eastAsia="en-US"/>
              </w:rPr>
              <w:t>8,4</w:t>
            </w:r>
            <w:r w:rsidRPr="00132FA6">
              <w:rPr>
                <w:sz w:val="28"/>
                <w:szCs w:val="28"/>
                <w:lang w:val="uk-UA" w:eastAsia="en-US"/>
              </w:rPr>
              <w:t>5</w:t>
            </w:r>
            <w:r w:rsidRPr="00132FA6">
              <w:rPr>
                <w:sz w:val="28"/>
                <w:szCs w:val="28"/>
                <w:lang w:eastAsia="en-US"/>
              </w:rPr>
              <w:t>±</w:t>
            </w:r>
            <w:r w:rsidRPr="00132FA6">
              <w:rPr>
                <w:sz w:val="28"/>
                <w:szCs w:val="28"/>
                <w:lang w:val="uk-UA" w:eastAsia="en-US"/>
              </w:rPr>
              <w:t>0</w:t>
            </w:r>
            <w:r w:rsidRPr="00132FA6">
              <w:rPr>
                <w:sz w:val="28"/>
                <w:szCs w:val="28"/>
                <w:lang w:eastAsia="en-US"/>
              </w:rPr>
              <w:t>,34</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val="en-US" w:eastAsia="en-US"/>
              </w:rPr>
            </w:pPr>
            <w:r w:rsidRPr="00132FA6">
              <w:rPr>
                <w:sz w:val="28"/>
                <w:szCs w:val="28"/>
                <w:lang w:eastAsia="en-US"/>
              </w:rPr>
              <w:t>7,4</w:t>
            </w:r>
            <w:r w:rsidRPr="00132FA6">
              <w:rPr>
                <w:sz w:val="28"/>
                <w:szCs w:val="28"/>
                <w:lang w:val="uk-UA" w:eastAsia="en-US"/>
              </w:rPr>
              <w:t>5</w:t>
            </w:r>
            <w:r w:rsidRPr="00132FA6">
              <w:rPr>
                <w:sz w:val="28"/>
                <w:szCs w:val="28"/>
                <w:lang w:eastAsia="en-US"/>
              </w:rPr>
              <w:t>±</w:t>
            </w:r>
            <w:r w:rsidRPr="00132FA6">
              <w:rPr>
                <w:sz w:val="28"/>
                <w:szCs w:val="28"/>
                <w:lang w:val="uk-UA" w:eastAsia="en-US"/>
              </w:rPr>
              <w:t>0</w:t>
            </w:r>
            <w:r w:rsidRPr="00132FA6">
              <w:rPr>
                <w:sz w:val="28"/>
                <w:szCs w:val="28"/>
                <w:lang w:eastAsia="en-US"/>
              </w:rPr>
              <w:t>,14</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23,5</w:t>
            </w:r>
            <w:r w:rsidRPr="00132FA6">
              <w:rPr>
                <w:sz w:val="28"/>
                <w:szCs w:val="28"/>
                <w:lang w:val="uk-UA" w:eastAsia="en-US"/>
              </w:rPr>
              <w:t>6</w:t>
            </w:r>
            <w:r w:rsidRPr="00132FA6">
              <w:rPr>
                <w:sz w:val="28"/>
                <w:szCs w:val="28"/>
                <w:lang w:eastAsia="en-US"/>
              </w:rPr>
              <w:t>±1,7</w:t>
            </w:r>
            <w:r w:rsidRPr="00132FA6">
              <w:rPr>
                <w:sz w:val="28"/>
                <w:szCs w:val="28"/>
                <w:lang w:val="uk-UA" w:eastAsia="en-US"/>
              </w:rPr>
              <w:t>1</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en-US" w:eastAsia="en-US"/>
              </w:rPr>
            </w:pPr>
            <w:r w:rsidRPr="00132FA6">
              <w:rPr>
                <w:sz w:val="28"/>
                <w:szCs w:val="28"/>
                <w:lang w:eastAsia="en-US"/>
              </w:rPr>
              <w:t>8,4</w:t>
            </w:r>
            <w:r w:rsidRPr="00132FA6">
              <w:rPr>
                <w:sz w:val="28"/>
                <w:szCs w:val="28"/>
                <w:lang w:val="uk-UA" w:eastAsia="en-US"/>
              </w:rPr>
              <w:t>9</w:t>
            </w:r>
            <w:r w:rsidRPr="00132FA6">
              <w:rPr>
                <w:sz w:val="28"/>
                <w:szCs w:val="28"/>
                <w:lang w:eastAsia="en-US"/>
              </w:rPr>
              <w:t>±</w:t>
            </w:r>
            <w:r w:rsidRPr="00132FA6">
              <w:rPr>
                <w:sz w:val="28"/>
                <w:szCs w:val="28"/>
                <w:lang w:val="uk-UA" w:eastAsia="en-US"/>
              </w:rPr>
              <w:t>0</w:t>
            </w:r>
            <w:r w:rsidRPr="00132FA6">
              <w:rPr>
                <w:sz w:val="28"/>
                <w:szCs w:val="28"/>
                <w:lang w:eastAsia="en-US"/>
              </w:rPr>
              <w:t>,53</w:t>
            </w:r>
          </w:p>
        </w:tc>
      </w:tr>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en-US" w:eastAsia="en-US"/>
              </w:rPr>
            </w:pPr>
            <w:r w:rsidRPr="00132FA6">
              <w:rPr>
                <w:bCs/>
                <w:iCs/>
                <w:kern w:val="36"/>
                <w:sz w:val="28"/>
                <w:szCs w:val="28"/>
                <w:lang w:val="uk-UA" w:eastAsia="en-US"/>
              </w:rPr>
              <w:t>3 група</w:t>
            </w:r>
            <w:r w:rsidRPr="00132FA6">
              <w:rPr>
                <w:bCs/>
                <w:iCs/>
                <w:kern w:val="36"/>
                <w:sz w:val="28"/>
                <w:szCs w:val="28"/>
                <w:lang w:val="en-US" w:eastAsia="en-US"/>
              </w:rPr>
              <w:t>(n=81)</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6,7</w:t>
            </w:r>
            <w:r w:rsidRPr="00132FA6">
              <w:rPr>
                <w:sz w:val="28"/>
                <w:szCs w:val="28"/>
                <w:lang w:val="uk-UA" w:eastAsia="en-US"/>
              </w:rPr>
              <w:t>7</w:t>
            </w:r>
            <w:r w:rsidRPr="00132FA6">
              <w:rPr>
                <w:sz w:val="28"/>
                <w:szCs w:val="28"/>
                <w:lang w:eastAsia="en-US"/>
              </w:rPr>
              <w:t>±</w:t>
            </w:r>
            <w:r w:rsidRPr="00132FA6">
              <w:rPr>
                <w:sz w:val="28"/>
                <w:szCs w:val="28"/>
                <w:lang w:val="uk-UA" w:eastAsia="en-US"/>
              </w:rPr>
              <w:t>0</w:t>
            </w:r>
            <w:r w:rsidRPr="00132FA6">
              <w:rPr>
                <w:sz w:val="28"/>
                <w:szCs w:val="28"/>
                <w:lang w:eastAsia="en-US"/>
              </w:rPr>
              <w:t>,2</w:t>
            </w:r>
            <w:r w:rsidRPr="00132FA6">
              <w:rPr>
                <w:sz w:val="28"/>
                <w:szCs w:val="28"/>
                <w:lang w:val="uk-UA" w:eastAsia="en-US"/>
              </w:rPr>
              <w:t>3</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7,13±</w:t>
            </w:r>
            <w:r w:rsidRPr="00132FA6">
              <w:rPr>
                <w:sz w:val="28"/>
                <w:szCs w:val="28"/>
                <w:lang w:val="uk-UA" w:eastAsia="en-US"/>
              </w:rPr>
              <w:t>0</w:t>
            </w:r>
            <w:r w:rsidRPr="00132FA6">
              <w:rPr>
                <w:sz w:val="28"/>
                <w:szCs w:val="28"/>
                <w:lang w:eastAsia="en-US"/>
              </w:rPr>
              <w:t>,1</w:t>
            </w:r>
            <w:r w:rsidRPr="00132FA6">
              <w:rPr>
                <w:sz w:val="28"/>
                <w:szCs w:val="28"/>
                <w:lang w:val="uk-UA" w:eastAsia="en-US"/>
              </w:rPr>
              <w:t>2</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val="en-US" w:eastAsia="en-US"/>
              </w:rPr>
            </w:pPr>
            <w:r w:rsidRPr="00132FA6">
              <w:rPr>
                <w:sz w:val="28"/>
                <w:szCs w:val="28"/>
                <w:lang w:eastAsia="en-US"/>
              </w:rPr>
              <w:t>20,67±1,17</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en-US" w:eastAsia="en-US"/>
              </w:rPr>
            </w:pPr>
            <w:r w:rsidRPr="00132FA6">
              <w:rPr>
                <w:sz w:val="28"/>
                <w:szCs w:val="28"/>
                <w:lang w:eastAsia="en-US"/>
              </w:rPr>
              <w:t>6,37±</w:t>
            </w:r>
            <w:r w:rsidRPr="00132FA6">
              <w:rPr>
                <w:sz w:val="28"/>
                <w:szCs w:val="28"/>
                <w:lang w:val="uk-UA" w:eastAsia="en-US"/>
              </w:rPr>
              <w:t>0</w:t>
            </w:r>
            <w:r w:rsidRPr="00132FA6">
              <w:rPr>
                <w:sz w:val="28"/>
                <w:szCs w:val="28"/>
                <w:lang w:eastAsia="en-US"/>
              </w:rPr>
              <w:t>,48</w:t>
            </w:r>
          </w:p>
        </w:tc>
      </w:tr>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uk-UA" w:eastAsia="en-US"/>
              </w:rPr>
            </w:pPr>
            <w:r w:rsidRPr="00132FA6">
              <w:rPr>
                <w:bCs/>
                <w:iCs/>
                <w:kern w:val="36"/>
                <w:sz w:val="28"/>
                <w:szCs w:val="28"/>
                <w:lang w:val="uk-UA" w:eastAsia="en-US"/>
              </w:rPr>
              <w:t>Значимість, р</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uk-UA" w:eastAsia="en-US"/>
              </w:rPr>
            </w:pPr>
            <w:r w:rsidRPr="00132FA6">
              <w:rPr>
                <w:sz w:val="28"/>
                <w:szCs w:val="28"/>
                <w:lang w:val="uk-UA" w:eastAsia="en-US"/>
              </w:rPr>
              <w:t>0</w:t>
            </w:r>
            <w:r w:rsidRPr="00132FA6">
              <w:rPr>
                <w:sz w:val="28"/>
                <w:szCs w:val="28"/>
                <w:lang w:eastAsia="en-US"/>
              </w:rPr>
              <w:t>,00</w:t>
            </w:r>
            <w:r w:rsidRPr="00132FA6">
              <w:rPr>
                <w:sz w:val="28"/>
                <w:szCs w:val="28"/>
                <w:lang w:val="uk-UA" w:eastAsia="en-US"/>
              </w:rPr>
              <w:t>1</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&gt;0,05</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&gt;0,05</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0</w:t>
            </w:r>
            <w:r w:rsidRPr="00132FA6">
              <w:rPr>
                <w:sz w:val="28"/>
                <w:szCs w:val="28"/>
                <w:lang w:eastAsia="en-US"/>
              </w:rPr>
              <w:t>,004</w:t>
            </w:r>
          </w:p>
        </w:tc>
      </w:tr>
      <w:tr w:rsidR="00E3259F" w:rsidRPr="00132FA6" w:rsidTr="00E3259F">
        <w:tc>
          <w:tcPr>
            <w:tcW w:w="9571" w:type="dxa"/>
            <w:gridSpan w:val="5"/>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uk-UA" w:eastAsia="en-US"/>
              </w:rPr>
            </w:pPr>
            <w:r w:rsidRPr="00132FA6">
              <w:rPr>
                <w:bCs/>
                <w:iCs/>
                <w:kern w:val="36"/>
                <w:sz w:val="28"/>
                <w:szCs w:val="28"/>
                <w:lang w:val="uk-UA" w:eastAsia="en-US"/>
              </w:rPr>
              <w:t>Чоловіки</w:t>
            </w:r>
          </w:p>
        </w:tc>
      </w:tr>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en-US" w:eastAsia="en-US"/>
              </w:rPr>
            </w:pPr>
            <w:r w:rsidRPr="00132FA6">
              <w:rPr>
                <w:bCs/>
                <w:iCs/>
                <w:kern w:val="36"/>
                <w:sz w:val="28"/>
                <w:szCs w:val="28"/>
                <w:lang w:val="uk-UA" w:eastAsia="en-US"/>
              </w:rPr>
              <w:t>2 група(</w:t>
            </w:r>
            <w:r w:rsidRPr="00132FA6">
              <w:rPr>
                <w:bCs/>
                <w:iCs/>
                <w:kern w:val="36"/>
                <w:sz w:val="28"/>
                <w:szCs w:val="28"/>
                <w:lang w:val="en-US" w:eastAsia="en-US"/>
              </w:rPr>
              <w:t>n=81)</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eastAsia="en-US"/>
              </w:rPr>
              <w:t>8,84±</w:t>
            </w:r>
            <w:r w:rsidRPr="00132FA6">
              <w:rPr>
                <w:sz w:val="28"/>
                <w:szCs w:val="28"/>
                <w:lang w:val="uk-UA" w:eastAsia="en-US"/>
              </w:rPr>
              <w:t>0</w:t>
            </w:r>
            <w:r w:rsidRPr="00132FA6">
              <w:rPr>
                <w:sz w:val="28"/>
                <w:szCs w:val="28"/>
                <w:lang w:eastAsia="en-US"/>
              </w:rPr>
              <w:t>,3</w:t>
            </w:r>
            <w:r w:rsidRPr="00132FA6">
              <w:rPr>
                <w:sz w:val="28"/>
                <w:szCs w:val="28"/>
                <w:lang w:val="uk-UA" w:eastAsia="en-US"/>
              </w:rPr>
              <w:t>7</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eastAsia="en-US"/>
              </w:rPr>
              <w:t>7,69±</w:t>
            </w:r>
            <w:r w:rsidRPr="00132FA6">
              <w:rPr>
                <w:sz w:val="28"/>
                <w:szCs w:val="28"/>
                <w:lang w:val="uk-UA" w:eastAsia="en-US"/>
              </w:rPr>
              <w:t>0</w:t>
            </w:r>
            <w:r w:rsidRPr="00132FA6">
              <w:rPr>
                <w:sz w:val="28"/>
                <w:szCs w:val="28"/>
                <w:lang w:eastAsia="en-US"/>
              </w:rPr>
              <w:t>,15</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en-US" w:eastAsia="en-US"/>
              </w:rPr>
            </w:pPr>
            <w:r w:rsidRPr="00132FA6">
              <w:rPr>
                <w:sz w:val="28"/>
                <w:szCs w:val="28"/>
                <w:lang w:eastAsia="en-US"/>
              </w:rPr>
              <w:t>21,7</w:t>
            </w:r>
            <w:r w:rsidRPr="00132FA6">
              <w:rPr>
                <w:sz w:val="28"/>
                <w:szCs w:val="28"/>
                <w:lang w:val="uk-UA" w:eastAsia="en-US"/>
              </w:rPr>
              <w:t>9</w:t>
            </w:r>
            <w:r w:rsidRPr="00132FA6">
              <w:rPr>
                <w:sz w:val="28"/>
                <w:szCs w:val="28"/>
                <w:lang w:eastAsia="en-US"/>
              </w:rPr>
              <w:t>±1,6</w:t>
            </w:r>
            <w:r w:rsidRPr="00132FA6">
              <w:rPr>
                <w:sz w:val="28"/>
                <w:szCs w:val="28"/>
                <w:lang w:val="uk-UA" w:eastAsia="en-US"/>
              </w:rPr>
              <w:t>6</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val="en-US" w:eastAsia="en-US"/>
              </w:rPr>
            </w:pPr>
            <w:r w:rsidRPr="00132FA6">
              <w:rPr>
                <w:sz w:val="28"/>
                <w:szCs w:val="28"/>
                <w:lang w:eastAsia="en-US"/>
              </w:rPr>
              <w:t>8,04±</w:t>
            </w:r>
            <w:r w:rsidRPr="00132FA6">
              <w:rPr>
                <w:sz w:val="28"/>
                <w:szCs w:val="28"/>
                <w:lang w:val="uk-UA" w:eastAsia="en-US"/>
              </w:rPr>
              <w:t>0</w:t>
            </w:r>
            <w:r w:rsidRPr="00132FA6">
              <w:rPr>
                <w:sz w:val="28"/>
                <w:szCs w:val="28"/>
                <w:lang w:eastAsia="en-US"/>
              </w:rPr>
              <w:t>,47</w:t>
            </w:r>
          </w:p>
        </w:tc>
      </w:tr>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en-US" w:eastAsia="en-US"/>
              </w:rPr>
            </w:pPr>
            <w:r w:rsidRPr="00132FA6">
              <w:rPr>
                <w:bCs/>
                <w:iCs/>
                <w:kern w:val="36"/>
                <w:sz w:val="28"/>
                <w:szCs w:val="28"/>
                <w:lang w:val="uk-UA" w:eastAsia="en-US"/>
              </w:rPr>
              <w:t>3 група</w:t>
            </w:r>
            <w:r w:rsidRPr="00132FA6">
              <w:rPr>
                <w:bCs/>
                <w:iCs/>
                <w:kern w:val="36"/>
                <w:sz w:val="28"/>
                <w:szCs w:val="28"/>
                <w:lang w:val="en-US" w:eastAsia="en-US"/>
              </w:rPr>
              <w:t>(n=12)</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eastAsia="en-US"/>
              </w:rPr>
              <w:t>8,</w:t>
            </w:r>
            <w:r w:rsidRPr="00132FA6">
              <w:rPr>
                <w:sz w:val="28"/>
                <w:szCs w:val="28"/>
                <w:lang w:val="uk-UA" w:eastAsia="en-US"/>
              </w:rPr>
              <w:t>40</w:t>
            </w:r>
            <w:r w:rsidRPr="00132FA6">
              <w:rPr>
                <w:sz w:val="28"/>
                <w:szCs w:val="28"/>
                <w:lang w:eastAsia="en-US"/>
              </w:rPr>
              <w:t>±</w:t>
            </w:r>
            <w:r w:rsidRPr="00132FA6">
              <w:rPr>
                <w:sz w:val="28"/>
                <w:szCs w:val="28"/>
                <w:lang w:val="uk-UA" w:eastAsia="en-US"/>
              </w:rPr>
              <w:t>0</w:t>
            </w:r>
            <w:r w:rsidRPr="00132FA6">
              <w:rPr>
                <w:sz w:val="28"/>
                <w:szCs w:val="28"/>
                <w:lang w:eastAsia="en-US"/>
              </w:rPr>
              <w:t>,57</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eastAsia="en-US"/>
              </w:rPr>
              <w:t>7,59±</w:t>
            </w:r>
            <w:r w:rsidRPr="00132FA6">
              <w:rPr>
                <w:sz w:val="28"/>
                <w:szCs w:val="28"/>
                <w:lang w:val="uk-UA" w:eastAsia="en-US"/>
              </w:rPr>
              <w:t>0</w:t>
            </w:r>
            <w:r w:rsidRPr="00132FA6">
              <w:rPr>
                <w:sz w:val="28"/>
                <w:szCs w:val="28"/>
                <w:lang w:eastAsia="en-US"/>
              </w:rPr>
              <w:t>,20</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eastAsia="en-US"/>
              </w:rPr>
              <w:t>17,7</w:t>
            </w:r>
            <w:r w:rsidRPr="00132FA6">
              <w:rPr>
                <w:sz w:val="28"/>
                <w:szCs w:val="28"/>
                <w:lang w:val="uk-UA" w:eastAsia="en-US"/>
              </w:rPr>
              <w:t>8</w:t>
            </w:r>
            <w:r w:rsidRPr="00132FA6">
              <w:rPr>
                <w:sz w:val="28"/>
                <w:szCs w:val="28"/>
                <w:lang w:eastAsia="en-US"/>
              </w:rPr>
              <w:t>±</w:t>
            </w:r>
            <w:r w:rsidRPr="00132FA6">
              <w:rPr>
                <w:sz w:val="28"/>
                <w:szCs w:val="28"/>
                <w:lang w:val="uk-UA" w:eastAsia="en-US"/>
              </w:rPr>
              <w:t>0</w:t>
            </w:r>
            <w:r w:rsidRPr="00132FA6">
              <w:rPr>
                <w:sz w:val="28"/>
                <w:szCs w:val="28"/>
                <w:lang w:eastAsia="en-US"/>
              </w:rPr>
              <w:t>,9</w:t>
            </w:r>
            <w:r w:rsidRPr="00132FA6">
              <w:rPr>
                <w:sz w:val="28"/>
                <w:szCs w:val="28"/>
                <w:lang w:val="uk-UA" w:eastAsia="en-US"/>
              </w:rPr>
              <w:t>9</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rFonts w:eastAsia="Calibri"/>
                <w:sz w:val="28"/>
                <w:szCs w:val="28"/>
                <w:lang w:eastAsia="en-US"/>
              </w:rPr>
            </w:pPr>
            <w:r w:rsidRPr="00132FA6">
              <w:rPr>
                <w:sz w:val="28"/>
                <w:szCs w:val="28"/>
                <w:lang w:eastAsia="en-US"/>
              </w:rPr>
              <w:t>6,7</w:t>
            </w:r>
            <w:r w:rsidRPr="00132FA6">
              <w:rPr>
                <w:sz w:val="28"/>
                <w:szCs w:val="28"/>
                <w:lang w:val="uk-UA" w:eastAsia="en-US"/>
              </w:rPr>
              <w:t>2</w:t>
            </w:r>
            <w:r w:rsidRPr="00132FA6">
              <w:rPr>
                <w:sz w:val="28"/>
                <w:szCs w:val="28"/>
                <w:lang w:eastAsia="en-US"/>
              </w:rPr>
              <w:t>±</w:t>
            </w:r>
            <w:r w:rsidRPr="00132FA6">
              <w:rPr>
                <w:sz w:val="28"/>
                <w:szCs w:val="28"/>
                <w:lang w:val="uk-UA" w:eastAsia="en-US"/>
              </w:rPr>
              <w:t>0</w:t>
            </w:r>
            <w:r w:rsidRPr="00132FA6">
              <w:rPr>
                <w:sz w:val="28"/>
                <w:szCs w:val="28"/>
                <w:lang w:eastAsia="en-US"/>
              </w:rPr>
              <w:t>,78</w:t>
            </w:r>
          </w:p>
        </w:tc>
      </w:tr>
      <w:tr w:rsidR="00E3259F" w:rsidRPr="00132FA6"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bCs/>
                <w:iCs/>
                <w:kern w:val="36"/>
                <w:sz w:val="28"/>
                <w:szCs w:val="28"/>
                <w:lang w:val="uk-UA" w:eastAsia="en-US"/>
              </w:rPr>
            </w:pPr>
            <w:r w:rsidRPr="00132FA6">
              <w:rPr>
                <w:bCs/>
                <w:iCs/>
                <w:kern w:val="36"/>
                <w:sz w:val="28"/>
                <w:szCs w:val="28"/>
                <w:lang w:val="uk-UA" w:eastAsia="en-US"/>
              </w:rPr>
              <w:t>Значимість, р</w:t>
            </w:r>
          </w:p>
        </w:tc>
        <w:tc>
          <w:tcPr>
            <w:tcW w:w="2126"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val="en-US" w:eastAsia="en-US"/>
              </w:rPr>
            </w:pPr>
            <w:r w:rsidRPr="00132FA6">
              <w:rPr>
                <w:sz w:val="28"/>
                <w:szCs w:val="28"/>
                <w:lang w:val="uk-UA" w:eastAsia="en-US"/>
              </w:rPr>
              <w:t>&gt;0,05</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&gt;0,05</w:t>
            </w:r>
          </w:p>
        </w:tc>
        <w:tc>
          <w:tcPr>
            <w:tcW w:w="1984"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&gt;0,05</w:t>
            </w:r>
          </w:p>
        </w:tc>
        <w:tc>
          <w:tcPr>
            <w:tcW w:w="1950" w:type="dxa"/>
            <w:tcBorders>
              <w:top w:val="single" w:sz="4" w:space="0" w:color="auto"/>
              <w:left w:val="single" w:sz="4" w:space="0" w:color="auto"/>
              <w:bottom w:val="single" w:sz="4" w:space="0" w:color="auto"/>
              <w:right w:val="single" w:sz="4" w:space="0" w:color="auto"/>
            </w:tcBorders>
            <w:hideMark/>
          </w:tcPr>
          <w:p w:rsidR="00E3259F" w:rsidRPr="00132FA6" w:rsidRDefault="00E3259F" w:rsidP="00132FA6">
            <w:pPr>
              <w:spacing w:line="360" w:lineRule="auto"/>
              <w:rPr>
                <w:sz w:val="28"/>
                <w:szCs w:val="28"/>
                <w:lang w:eastAsia="en-US"/>
              </w:rPr>
            </w:pPr>
            <w:r w:rsidRPr="00132FA6">
              <w:rPr>
                <w:sz w:val="28"/>
                <w:szCs w:val="28"/>
                <w:lang w:val="uk-UA" w:eastAsia="en-US"/>
              </w:rPr>
              <w:t>&gt;0,05</w:t>
            </w:r>
          </w:p>
        </w:tc>
      </w:tr>
    </w:tbl>
    <w:p w:rsidR="00E3259F" w:rsidRDefault="00E3259F" w:rsidP="00E3259F">
      <w:pPr>
        <w:spacing w:line="360" w:lineRule="auto"/>
        <w:ind w:firstLine="709"/>
        <w:jc w:val="both"/>
        <w:rPr>
          <w:bCs/>
          <w:iCs/>
          <w:kern w:val="36"/>
          <w:sz w:val="28"/>
          <w:szCs w:val="28"/>
          <w:lang w:val="uk-UA"/>
        </w:rPr>
      </w:pPr>
    </w:p>
    <w:p w:rsidR="00E3259F" w:rsidRPr="00132FA6" w:rsidRDefault="00E3259F" w:rsidP="00132FA6">
      <w:pPr>
        <w:shd w:val="clear" w:color="auto" w:fill="FFFFFF"/>
        <w:spacing w:line="360" w:lineRule="auto"/>
        <w:ind w:firstLine="709"/>
        <w:jc w:val="both"/>
        <w:outlineLvl w:val="0"/>
        <w:rPr>
          <w:sz w:val="28"/>
          <w:szCs w:val="28"/>
          <w:lang w:val="uk-UA" w:eastAsia="en-US"/>
        </w:rPr>
      </w:pPr>
      <w:r w:rsidRPr="00132FA6">
        <w:rPr>
          <w:sz w:val="28"/>
          <w:szCs w:val="28"/>
          <w:lang w:val="uk-UA"/>
        </w:rPr>
        <w:t xml:space="preserve">Індекс </w:t>
      </w:r>
      <w:r w:rsidRPr="00132FA6">
        <w:rPr>
          <w:sz w:val="28"/>
          <w:szCs w:val="28"/>
          <w:lang w:val="uk-UA" w:eastAsia="en-US"/>
        </w:rPr>
        <w:t xml:space="preserve">НОМА- </w:t>
      </w:r>
      <w:r w:rsidRPr="00132FA6">
        <w:rPr>
          <w:sz w:val="28"/>
          <w:szCs w:val="28"/>
          <w:lang w:val="en-US" w:eastAsia="en-US"/>
        </w:rPr>
        <w:t>IR</w:t>
      </w:r>
      <w:r w:rsidRPr="00132FA6">
        <w:rPr>
          <w:sz w:val="28"/>
          <w:szCs w:val="28"/>
          <w:lang w:val="uk-UA" w:eastAsia="en-US"/>
        </w:rPr>
        <w:t xml:space="preserve"> у жінок з ГХ, ЦД 2 типу та СГТ був достовірно нижчий, ніж при відсутності порушення функції ЩЗ (р=0,004). У чоловіків вірогідних відмінностей знайдено не було.</w:t>
      </w:r>
    </w:p>
    <w:p w:rsidR="00E3259F" w:rsidRPr="00132FA6" w:rsidRDefault="00E3259F" w:rsidP="00132FA6">
      <w:pPr>
        <w:shd w:val="clear" w:color="auto" w:fill="FFFFFF"/>
        <w:spacing w:line="360" w:lineRule="auto"/>
        <w:ind w:firstLine="709"/>
        <w:jc w:val="both"/>
        <w:outlineLvl w:val="0"/>
        <w:rPr>
          <w:sz w:val="28"/>
          <w:szCs w:val="28"/>
          <w:lang w:val="uk-UA"/>
        </w:rPr>
      </w:pPr>
      <w:r w:rsidRPr="00132FA6">
        <w:rPr>
          <w:sz w:val="28"/>
          <w:szCs w:val="28"/>
          <w:lang w:val="uk-UA"/>
        </w:rPr>
        <w:t>При  гендерному аналізі показників вуглеводного обміну та ІР в групі з поєднаним перебігом ГХ, ЦД 2 типу та СГТ  було виявлено, що у чоловіків спостеріались достовірно вищі рівні глюкози натще (р=0,012), ніж у жінок. Між останніми показниками достовірних відмінностей знайдено не було.</w:t>
      </w:r>
    </w:p>
    <w:p w:rsidR="00E3259F" w:rsidRPr="00132FA6" w:rsidRDefault="00E3259F" w:rsidP="00132FA6">
      <w:pPr>
        <w:shd w:val="clear" w:color="auto" w:fill="FFFFFF"/>
        <w:spacing w:line="360" w:lineRule="auto"/>
        <w:ind w:firstLine="709"/>
        <w:jc w:val="both"/>
        <w:outlineLvl w:val="0"/>
        <w:rPr>
          <w:sz w:val="28"/>
          <w:szCs w:val="28"/>
          <w:lang w:val="uk-UA"/>
        </w:rPr>
      </w:pPr>
      <w:r w:rsidRPr="00132FA6">
        <w:rPr>
          <w:sz w:val="28"/>
          <w:szCs w:val="28"/>
          <w:lang w:val="uk-UA"/>
        </w:rPr>
        <w:t>Проведення однофакторного дисперсійного аналізу виявило достовірний вплив статі на рівень глюкози натще (р=0,012) у пацієнтів при коморбідному перебігу ГХ, ЦД 2 типу та СГТ.</w:t>
      </w:r>
    </w:p>
    <w:p w:rsidR="00E3259F" w:rsidRDefault="00E3259F" w:rsidP="00132FA6">
      <w:pPr>
        <w:spacing w:line="360" w:lineRule="auto"/>
        <w:ind w:firstLine="709"/>
        <w:jc w:val="both"/>
        <w:outlineLvl w:val="0"/>
        <w:rPr>
          <w:sz w:val="28"/>
          <w:szCs w:val="28"/>
          <w:lang w:val="uk-UA"/>
        </w:rPr>
      </w:pPr>
      <w:r w:rsidRPr="00132FA6">
        <w:rPr>
          <w:sz w:val="28"/>
          <w:szCs w:val="28"/>
          <w:lang w:val="uk-UA"/>
        </w:rPr>
        <w:t xml:space="preserve">З метою визначення особливостей антропометричних та метаболічних показників залежно від віку був проведений аналіз досліджуваних показників  залежно від вікової підгрупи (Таблиця 3.7). </w:t>
      </w:r>
      <w:r>
        <w:rPr>
          <w:sz w:val="28"/>
          <w:szCs w:val="28"/>
          <w:lang w:val="uk-UA"/>
        </w:rPr>
        <w:t xml:space="preserve"> </w:t>
      </w:r>
    </w:p>
    <w:p w:rsidR="00132FA6" w:rsidRDefault="00132FA6" w:rsidP="00E3259F">
      <w:pPr>
        <w:spacing w:line="360" w:lineRule="auto"/>
        <w:ind w:firstLine="709"/>
        <w:jc w:val="right"/>
        <w:outlineLvl w:val="0"/>
        <w:rPr>
          <w:sz w:val="28"/>
          <w:szCs w:val="28"/>
          <w:lang w:val="uk-UA"/>
        </w:rPr>
      </w:pPr>
    </w:p>
    <w:p w:rsidR="00132FA6" w:rsidRDefault="00132FA6" w:rsidP="00E3259F">
      <w:pPr>
        <w:spacing w:line="360" w:lineRule="auto"/>
        <w:ind w:firstLine="709"/>
        <w:jc w:val="right"/>
        <w:outlineLvl w:val="0"/>
        <w:rPr>
          <w:sz w:val="28"/>
          <w:szCs w:val="28"/>
          <w:lang w:val="uk-UA"/>
        </w:rPr>
      </w:pPr>
    </w:p>
    <w:p w:rsidR="00E3259F" w:rsidRDefault="00E3259F" w:rsidP="00E3259F">
      <w:pPr>
        <w:spacing w:line="360" w:lineRule="auto"/>
        <w:ind w:firstLine="709"/>
        <w:jc w:val="right"/>
        <w:outlineLvl w:val="0"/>
        <w:rPr>
          <w:sz w:val="28"/>
          <w:szCs w:val="28"/>
          <w:lang w:val="uk-UA"/>
        </w:rPr>
      </w:pPr>
      <w:r>
        <w:rPr>
          <w:sz w:val="28"/>
          <w:szCs w:val="28"/>
          <w:lang w:val="uk-UA"/>
        </w:rPr>
        <w:t>Таблиця 3.7</w:t>
      </w:r>
    </w:p>
    <w:p w:rsidR="00E3259F" w:rsidRDefault="00E3259F" w:rsidP="00E3259F">
      <w:pPr>
        <w:spacing w:line="360" w:lineRule="auto"/>
        <w:ind w:firstLine="709"/>
        <w:jc w:val="center"/>
        <w:rPr>
          <w:b/>
          <w:sz w:val="28"/>
          <w:szCs w:val="28"/>
          <w:lang w:val="uk-UA"/>
        </w:rPr>
      </w:pPr>
      <w:r>
        <w:rPr>
          <w:sz w:val="28"/>
          <w:szCs w:val="28"/>
          <w:lang w:val="uk-UA"/>
        </w:rPr>
        <w:t xml:space="preserve">Антропометричні та метаболічні показникі згідно вікової підгрупи, </w:t>
      </w:r>
      <w:r>
        <w:rPr>
          <w:b/>
          <w:sz w:val="28"/>
          <w:szCs w:val="28"/>
          <w:lang w:val="uk-UA"/>
        </w:rPr>
        <w:t>(</w:t>
      </w:r>
      <w:r>
        <w:rPr>
          <w:sz w:val="28"/>
          <w:szCs w:val="28"/>
          <w:lang w:val="en-US"/>
        </w:rPr>
        <w:t>M</w:t>
      </w:r>
      <w:r>
        <w:rPr>
          <w:sz w:val="28"/>
          <w:szCs w:val="28"/>
          <w:lang w:val="uk-UA"/>
        </w:rPr>
        <w:t>±</w:t>
      </w:r>
      <w:r>
        <w:rPr>
          <w:sz w:val="28"/>
          <w:szCs w:val="28"/>
          <w:lang w:val="en-US"/>
        </w:rPr>
        <w:t>m</w:t>
      </w:r>
      <w:r>
        <w:rPr>
          <w:b/>
          <w:sz w:val="28"/>
          <w:szCs w:val="28"/>
          <w:lang w:val="uk-UA"/>
        </w:rPr>
        <w:t>)</w:t>
      </w:r>
    </w:p>
    <w:tbl>
      <w:tblPr>
        <w:tblW w:w="9570" w:type="dxa"/>
        <w:tblLayout w:type="fixed"/>
        <w:tblLook w:val="04A0" w:firstRow="1" w:lastRow="0" w:firstColumn="1" w:lastColumn="0" w:noHBand="0" w:noVBand="1"/>
      </w:tblPr>
      <w:tblGrid>
        <w:gridCol w:w="1241"/>
        <w:gridCol w:w="1560"/>
        <w:gridCol w:w="1417"/>
        <w:gridCol w:w="1418"/>
        <w:gridCol w:w="1416"/>
        <w:gridCol w:w="1259"/>
        <w:gridCol w:w="1259"/>
      </w:tblGrid>
      <w:tr w:rsidR="00132FA6" w:rsidRPr="00132FA6" w:rsidTr="00132FA6">
        <w:tc>
          <w:tcPr>
            <w:tcW w:w="1241" w:type="dxa"/>
            <w:vMerge w:val="restart"/>
            <w:tcBorders>
              <w:top w:val="single" w:sz="4" w:space="0" w:color="auto"/>
              <w:left w:val="single" w:sz="4" w:space="0" w:color="auto"/>
              <w:right w:val="single" w:sz="4" w:space="0" w:color="auto"/>
            </w:tcBorders>
          </w:tcPr>
          <w:p w:rsidR="00132FA6" w:rsidRPr="00132FA6" w:rsidRDefault="00132FA6" w:rsidP="00A02531">
            <w:pPr>
              <w:spacing w:line="360" w:lineRule="auto"/>
              <w:rPr>
                <w:color w:val="000000"/>
                <w:lang w:val="uk-UA" w:eastAsia="en-US"/>
              </w:rPr>
            </w:pPr>
            <w:r w:rsidRPr="00132FA6">
              <w:rPr>
                <w:color w:val="000000"/>
                <w:lang w:val="uk-UA" w:eastAsia="en-US"/>
              </w:rPr>
              <w:t>Показник/підгрупа</w:t>
            </w:r>
          </w:p>
        </w:tc>
        <w:tc>
          <w:tcPr>
            <w:tcW w:w="2977" w:type="dxa"/>
            <w:gridSpan w:val="2"/>
            <w:tcBorders>
              <w:top w:val="single" w:sz="4" w:space="0" w:color="auto"/>
              <w:left w:val="single" w:sz="4" w:space="0" w:color="auto"/>
              <w:bottom w:val="single" w:sz="4" w:space="0" w:color="auto"/>
              <w:right w:val="single" w:sz="4" w:space="0" w:color="auto"/>
            </w:tcBorders>
          </w:tcPr>
          <w:p w:rsidR="00132FA6" w:rsidRPr="00132FA6" w:rsidRDefault="00132FA6">
            <w:pPr>
              <w:spacing w:line="276" w:lineRule="auto"/>
              <w:jc w:val="center"/>
              <w:rPr>
                <w:lang w:val="uk-UA" w:eastAsia="en-US"/>
              </w:rPr>
            </w:pPr>
            <w:r w:rsidRPr="00132FA6">
              <w:rPr>
                <w:lang w:val="uk-UA" w:eastAsia="en-US"/>
              </w:rPr>
              <w:t>Група 1</w:t>
            </w:r>
          </w:p>
          <w:p w:rsidR="00132FA6" w:rsidRPr="00132FA6" w:rsidRDefault="00132FA6">
            <w:pPr>
              <w:spacing w:line="276" w:lineRule="auto"/>
              <w:jc w:val="center"/>
              <w:rPr>
                <w:lang w:val="en-US" w:eastAsia="en-US"/>
              </w:rPr>
            </w:pPr>
            <w:r w:rsidRPr="00132FA6">
              <w:rPr>
                <w:lang w:val="uk-UA" w:eastAsia="en-US"/>
              </w:rPr>
              <w:t>(</w:t>
            </w:r>
            <w:r w:rsidRPr="00132FA6">
              <w:rPr>
                <w:lang w:val="en-US" w:eastAsia="en-US"/>
              </w:rPr>
              <w:t>n=106)</w:t>
            </w:r>
          </w:p>
          <w:p w:rsidR="00132FA6" w:rsidRPr="00132FA6" w:rsidRDefault="00132FA6">
            <w:pPr>
              <w:spacing w:line="276" w:lineRule="auto"/>
              <w:jc w:val="center"/>
              <w:rPr>
                <w:color w:val="000000"/>
                <w:lang w:eastAsia="en-US"/>
              </w:rPr>
            </w:pPr>
          </w:p>
        </w:tc>
        <w:tc>
          <w:tcPr>
            <w:tcW w:w="2834" w:type="dxa"/>
            <w:gridSpan w:val="2"/>
            <w:tcBorders>
              <w:top w:val="single" w:sz="4" w:space="0" w:color="auto"/>
              <w:left w:val="single" w:sz="4" w:space="0" w:color="auto"/>
              <w:bottom w:val="single" w:sz="4" w:space="0" w:color="auto"/>
              <w:right w:val="single" w:sz="4" w:space="0" w:color="auto"/>
            </w:tcBorders>
          </w:tcPr>
          <w:p w:rsidR="00132FA6" w:rsidRPr="00132FA6" w:rsidRDefault="00132FA6">
            <w:pPr>
              <w:spacing w:line="276" w:lineRule="auto"/>
              <w:jc w:val="center"/>
              <w:rPr>
                <w:lang w:val="uk-UA" w:eastAsia="en-US"/>
              </w:rPr>
            </w:pPr>
            <w:r w:rsidRPr="00132FA6">
              <w:rPr>
                <w:lang w:val="uk-UA" w:eastAsia="en-US"/>
              </w:rPr>
              <w:t>Група 2</w:t>
            </w:r>
          </w:p>
          <w:p w:rsidR="00132FA6" w:rsidRPr="00132FA6" w:rsidRDefault="00132FA6">
            <w:pPr>
              <w:spacing w:line="276" w:lineRule="auto"/>
              <w:jc w:val="center"/>
              <w:rPr>
                <w:lang w:val="en-US" w:eastAsia="en-US"/>
              </w:rPr>
            </w:pPr>
            <w:r w:rsidRPr="00132FA6">
              <w:rPr>
                <w:lang w:val="uk-UA" w:eastAsia="en-US"/>
              </w:rPr>
              <w:t xml:space="preserve">( </w:t>
            </w:r>
            <w:r w:rsidRPr="00132FA6">
              <w:rPr>
                <w:lang w:val="en-US" w:eastAsia="en-US"/>
              </w:rPr>
              <w:t>n=156)</w:t>
            </w:r>
          </w:p>
          <w:p w:rsidR="00132FA6" w:rsidRPr="00132FA6" w:rsidRDefault="00132FA6">
            <w:pPr>
              <w:spacing w:line="276" w:lineRule="auto"/>
              <w:jc w:val="center"/>
              <w:rPr>
                <w:color w:val="000000"/>
                <w:lang w:eastAsia="en-US"/>
              </w:rPr>
            </w:pPr>
          </w:p>
        </w:tc>
        <w:tc>
          <w:tcPr>
            <w:tcW w:w="2518" w:type="dxa"/>
            <w:gridSpan w:val="2"/>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276" w:lineRule="auto"/>
              <w:jc w:val="center"/>
              <w:rPr>
                <w:lang w:val="uk-UA" w:eastAsia="en-US"/>
              </w:rPr>
            </w:pPr>
            <w:r w:rsidRPr="00132FA6">
              <w:rPr>
                <w:lang w:val="uk-UA" w:eastAsia="en-US"/>
              </w:rPr>
              <w:t>Група 3</w:t>
            </w:r>
          </w:p>
          <w:p w:rsidR="00132FA6" w:rsidRPr="00132FA6" w:rsidRDefault="00132FA6">
            <w:pPr>
              <w:spacing w:line="276" w:lineRule="auto"/>
              <w:jc w:val="center"/>
              <w:rPr>
                <w:color w:val="000000"/>
                <w:lang w:eastAsia="en-US"/>
              </w:rPr>
            </w:pPr>
            <w:r w:rsidRPr="00132FA6">
              <w:rPr>
                <w:lang w:val="uk-UA" w:eastAsia="en-US"/>
              </w:rPr>
              <w:t xml:space="preserve">( </w:t>
            </w:r>
            <w:r w:rsidRPr="00132FA6">
              <w:rPr>
                <w:lang w:val="en-US" w:eastAsia="en-US"/>
              </w:rPr>
              <w:t>n</w:t>
            </w:r>
            <w:r w:rsidRPr="00132FA6">
              <w:rPr>
                <w:lang w:eastAsia="en-US"/>
              </w:rPr>
              <w:t>=93)</w:t>
            </w:r>
          </w:p>
        </w:tc>
      </w:tr>
      <w:tr w:rsidR="00132FA6" w:rsidRPr="00132FA6" w:rsidTr="00132FA6">
        <w:tc>
          <w:tcPr>
            <w:tcW w:w="1241" w:type="dxa"/>
            <w:vMerge/>
            <w:tcBorders>
              <w:left w:val="single" w:sz="4" w:space="0" w:color="auto"/>
              <w:bottom w:val="single" w:sz="4" w:space="0" w:color="auto"/>
              <w:right w:val="single" w:sz="4" w:space="0" w:color="auto"/>
            </w:tcBorders>
            <w:hideMark/>
          </w:tcPr>
          <w:p w:rsidR="00132FA6" w:rsidRPr="00132FA6" w:rsidRDefault="00132FA6">
            <w:pPr>
              <w:spacing w:line="360" w:lineRule="auto"/>
              <w:rPr>
                <w:color w:val="000000"/>
                <w:lang w:val="uk-UA" w:eastAsia="en-US"/>
              </w:rPr>
            </w:pPr>
          </w:p>
        </w:tc>
        <w:tc>
          <w:tcPr>
            <w:tcW w:w="1560" w:type="dxa"/>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360" w:lineRule="auto"/>
              <w:rPr>
                <w:spacing w:val="-6"/>
                <w:lang w:val="uk-UA" w:eastAsia="en-US"/>
              </w:rPr>
            </w:pPr>
            <w:r w:rsidRPr="00132FA6">
              <w:rPr>
                <w:spacing w:val="-6"/>
                <w:lang w:val="uk-UA" w:eastAsia="en-US"/>
              </w:rPr>
              <w:t>Підгрупа 1-І</w:t>
            </w:r>
          </w:p>
          <w:p w:rsidR="00132FA6" w:rsidRPr="00132FA6" w:rsidRDefault="00132FA6">
            <w:pPr>
              <w:spacing w:line="360" w:lineRule="auto"/>
              <w:rPr>
                <w:spacing w:val="-6"/>
                <w:lang w:val="uk-UA" w:eastAsia="en-US"/>
              </w:rPr>
            </w:pPr>
            <w:r w:rsidRPr="00132FA6">
              <w:rPr>
                <w:spacing w:val="-6"/>
                <w:lang w:val="uk-UA" w:eastAsia="en-US"/>
              </w:rPr>
              <w:t>(44-</w:t>
            </w:r>
            <w:r w:rsidRPr="00132FA6">
              <w:rPr>
                <w:spacing w:val="-6"/>
                <w:lang w:eastAsia="en-US"/>
              </w:rPr>
              <w:t xml:space="preserve"> 60 </w:t>
            </w:r>
            <w:r w:rsidRPr="00132FA6">
              <w:rPr>
                <w:spacing w:val="-6"/>
                <w:lang w:val="uk-UA" w:eastAsia="en-US"/>
              </w:rPr>
              <w:t>років,</w:t>
            </w:r>
          </w:p>
          <w:p w:rsidR="00132FA6" w:rsidRPr="00132FA6" w:rsidRDefault="00132FA6">
            <w:pPr>
              <w:spacing w:line="360" w:lineRule="auto"/>
              <w:rPr>
                <w:color w:val="000000"/>
                <w:spacing w:val="-6"/>
                <w:lang w:eastAsia="en-US"/>
              </w:rPr>
            </w:pPr>
            <w:r w:rsidRPr="00132FA6">
              <w:rPr>
                <w:spacing w:val="-6"/>
                <w:lang w:val="en-US" w:eastAsia="en-US"/>
              </w:rPr>
              <w:t>n</w:t>
            </w:r>
            <w:r w:rsidRPr="00132FA6">
              <w:rPr>
                <w:spacing w:val="-6"/>
                <w:lang w:eastAsia="en-US"/>
              </w:rPr>
              <w:t>=</w:t>
            </w:r>
            <w:r w:rsidRPr="00132FA6">
              <w:rPr>
                <w:spacing w:val="-6"/>
                <w:lang w:val="uk-UA" w:eastAsia="en-US"/>
              </w:rPr>
              <w:t>49</w:t>
            </w:r>
            <w:r w:rsidRPr="00132FA6">
              <w:rPr>
                <w:spacing w:val="-6"/>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360" w:lineRule="auto"/>
              <w:rPr>
                <w:spacing w:val="-6"/>
                <w:lang w:val="uk-UA" w:eastAsia="en-US"/>
              </w:rPr>
            </w:pPr>
            <w:r w:rsidRPr="00132FA6">
              <w:rPr>
                <w:spacing w:val="-6"/>
                <w:lang w:val="uk-UA" w:eastAsia="en-US"/>
              </w:rPr>
              <w:t>Підгрупа 1-ІІ</w:t>
            </w:r>
          </w:p>
          <w:p w:rsidR="00132FA6" w:rsidRPr="00132FA6" w:rsidRDefault="00132FA6">
            <w:pPr>
              <w:spacing w:line="360" w:lineRule="auto"/>
              <w:rPr>
                <w:color w:val="000000"/>
                <w:spacing w:val="-6"/>
                <w:lang w:eastAsia="en-US"/>
              </w:rPr>
            </w:pPr>
            <w:r w:rsidRPr="00132FA6">
              <w:rPr>
                <w:spacing w:val="-6"/>
                <w:lang w:val="uk-UA" w:eastAsia="en-US"/>
              </w:rPr>
              <w:t>(</w:t>
            </w:r>
            <w:r w:rsidRPr="00132FA6">
              <w:rPr>
                <w:spacing w:val="-6"/>
                <w:lang w:eastAsia="en-US"/>
              </w:rPr>
              <w:t>6</w:t>
            </w:r>
            <w:r w:rsidRPr="00132FA6">
              <w:rPr>
                <w:spacing w:val="-6"/>
                <w:lang w:val="uk-UA" w:eastAsia="en-US"/>
              </w:rPr>
              <w:t xml:space="preserve">1-75 років, </w:t>
            </w:r>
            <w:r w:rsidRPr="00132FA6">
              <w:rPr>
                <w:spacing w:val="-6"/>
                <w:lang w:val="en-US" w:eastAsia="en-US"/>
              </w:rPr>
              <w:t>n</w:t>
            </w:r>
            <w:r w:rsidRPr="00132FA6">
              <w:rPr>
                <w:spacing w:val="-6"/>
                <w:lang w:eastAsia="en-US"/>
              </w:rPr>
              <w:t>=</w:t>
            </w:r>
            <w:r w:rsidRPr="00132FA6">
              <w:rPr>
                <w:spacing w:val="-6"/>
                <w:lang w:val="uk-UA" w:eastAsia="en-US"/>
              </w:rPr>
              <w:t>57</w:t>
            </w:r>
            <w:r w:rsidRPr="00132FA6">
              <w:rPr>
                <w:spacing w:val="-6"/>
                <w:lang w:eastAsia="en-US"/>
              </w:rPr>
              <w:t>)</w:t>
            </w:r>
          </w:p>
        </w:tc>
        <w:tc>
          <w:tcPr>
            <w:tcW w:w="1418" w:type="dxa"/>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360" w:lineRule="auto"/>
              <w:rPr>
                <w:spacing w:val="-6"/>
                <w:lang w:val="uk-UA" w:eastAsia="en-US"/>
              </w:rPr>
            </w:pPr>
            <w:r w:rsidRPr="00132FA6">
              <w:rPr>
                <w:spacing w:val="-6"/>
                <w:lang w:val="uk-UA" w:eastAsia="en-US"/>
              </w:rPr>
              <w:t>Підгрупа 2-І</w:t>
            </w:r>
          </w:p>
          <w:p w:rsidR="00132FA6" w:rsidRPr="00132FA6" w:rsidRDefault="00132FA6">
            <w:pPr>
              <w:spacing w:line="360" w:lineRule="auto"/>
              <w:rPr>
                <w:color w:val="000000"/>
                <w:spacing w:val="-6"/>
                <w:lang w:eastAsia="en-US"/>
              </w:rPr>
            </w:pPr>
            <w:r w:rsidRPr="00132FA6">
              <w:rPr>
                <w:spacing w:val="-6"/>
                <w:lang w:val="uk-UA" w:eastAsia="en-US"/>
              </w:rPr>
              <w:t>(44-</w:t>
            </w:r>
            <w:r w:rsidRPr="00132FA6">
              <w:rPr>
                <w:spacing w:val="-6"/>
                <w:lang w:eastAsia="en-US"/>
              </w:rPr>
              <w:t xml:space="preserve"> 60 </w:t>
            </w:r>
            <w:r w:rsidRPr="00132FA6">
              <w:rPr>
                <w:spacing w:val="-6"/>
                <w:lang w:val="uk-UA" w:eastAsia="en-US"/>
              </w:rPr>
              <w:t xml:space="preserve">років, </w:t>
            </w:r>
            <w:r w:rsidRPr="00132FA6">
              <w:rPr>
                <w:spacing w:val="-6"/>
                <w:lang w:val="en-US" w:eastAsia="en-US"/>
              </w:rPr>
              <w:t>n</w:t>
            </w:r>
            <w:r w:rsidRPr="00132FA6">
              <w:rPr>
                <w:spacing w:val="-6"/>
                <w:lang w:eastAsia="en-US"/>
              </w:rPr>
              <w:t>=</w:t>
            </w:r>
            <w:r w:rsidRPr="00132FA6">
              <w:rPr>
                <w:spacing w:val="-6"/>
                <w:lang w:val="uk-UA" w:eastAsia="en-US"/>
              </w:rPr>
              <w:t>56</w:t>
            </w:r>
            <w:r w:rsidRPr="00132FA6">
              <w:rPr>
                <w:spacing w:val="-6"/>
                <w:lang w:eastAsia="en-US"/>
              </w:rPr>
              <w:t>)</w:t>
            </w:r>
          </w:p>
        </w:tc>
        <w:tc>
          <w:tcPr>
            <w:tcW w:w="1416" w:type="dxa"/>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360" w:lineRule="auto"/>
              <w:rPr>
                <w:spacing w:val="-6"/>
                <w:lang w:val="uk-UA" w:eastAsia="en-US"/>
              </w:rPr>
            </w:pPr>
            <w:r w:rsidRPr="00132FA6">
              <w:rPr>
                <w:spacing w:val="-6"/>
                <w:lang w:val="uk-UA" w:eastAsia="en-US"/>
              </w:rPr>
              <w:t>Підгрупа 2-ІІ</w:t>
            </w:r>
          </w:p>
          <w:p w:rsidR="00132FA6" w:rsidRPr="00132FA6" w:rsidRDefault="00132FA6">
            <w:pPr>
              <w:spacing w:line="360" w:lineRule="auto"/>
              <w:rPr>
                <w:spacing w:val="-6"/>
                <w:lang w:val="uk-UA" w:eastAsia="en-US"/>
              </w:rPr>
            </w:pPr>
            <w:r w:rsidRPr="00132FA6">
              <w:rPr>
                <w:spacing w:val="-6"/>
                <w:lang w:val="uk-UA" w:eastAsia="en-US"/>
              </w:rPr>
              <w:t>(</w:t>
            </w:r>
            <w:r w:rsidRPr="00132FA6">
              <w:rPr>
                <w:spacing w:val="-6"/>
                <w:lang w:eastAsia="en-US"/>
              </w:rPr>
              <w:t>6</w:t>
            </w:r>
            <w:r w:rsidRPr="00132FA6">
              <w:rPr>
                <w:spacing w:val="-6"/>
                <w:lang w:val="uk-UA" w:eastAsia="en-US"/>
              </w:rPr>
              <w:t>1-75 рокв,</w:t>
            </w:r>
          </w:p>
          <w:p w:rsidR="00132FA6" w:rsidRPr="00132FA6" w:rsidRDefault="00132FA6">
            <w:pPr>
              <w:spacing w:line="360" w:lineRule="auto"/>
              <w:rPr>
                <w:color w:val="000000"/>
                <w:spacing w:val="-6"/>
                <w:lang w:eastAsia="en-US"/>
              </w:rPr>
            </w:pPr>
            <w:r w:rsidRPr="00132FA6">
              <w:rPr>
                <w:spacing w:val="-6"/>
                <w:lang w:val="en-US" w:eastAsia="en-US"/>
              </w:rPr>
              <w:t>n</w:t>
            </w:r>
            <w:r w:rsidRPr="00132FA6">
              <w:rPr>
                <w:spacing w:val="-6"/>
                <w:lang w:eastAsia="en-US"/>
              </w:rPr>
              <w:t>=</w:t>
            </w:r>
            <w:r w:rsidRPr="00132FA6">
              <w:rPr>
                <w:spacing w:val="-6"/>
                <w:lang w:val="uk-UA" w:eastAsia="en-US"/>
              </w:rPr>
              <w:t>100</w:t>
            </w:r>
            <w:r w:rsidRPr="00132FA6">
              <w:rPr>
                <w:spacing w:val="-6"/>
                <w:lang w:eastAsia="en-US"/>
              </w:rPr>
              <w:t>)</w:t>
            </w:r>
          </w:p>
        </w:tc>
        <w:tc>
          <w:tcPr>
            <w:tcW w:w="1259" w:type="dxa"/>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360" w:lineRule="auto"/>
              <w:rPr>
                <w:spacing w:val="-6"/>
                <w:lang w:val="uk-UA" w:eastAsia="en-US"/>
              </w:rPr>
            </w:pPr>
            <w:r w:rsidRPr="00132FA6">
              <w:rPr>
                <w:spacing w:val="-6"/>
                <w:lang w:val="uk-UA" w:eastAsia="en-US"/>
              </w:rPr>
              <w:t>Підгрупа 3-І</w:t>
            </w:r>
          </w:p>
          <w:p w:rsidR="00132FA6" w:rsidRPr="00132FA6" w:rsidRDefault="00132FA6">
            <w:pPr>
              <w:spacing w:line="360" w:lineRule="auto"/>
              <w:rPr>
                <w:spacing w:val="-6"/>
                <w:lang w:val="uk-UA" w:eastAsia="en-US"/>
              </w:rPr>
            </w:pPr>
            <w:r w:rsidRPr="00132FA6">
              <w:rPr>
                <w:spacing w:val="-6"/>
                <w:lang w:val="uk-UA" w:eastAsia="en-US"/>
              </w:rPr>
              <w:t>(44-</w:t>
            </w:r>
            <w:r w:rsidRPr="00132FA6">
              <w:rPr>
                <w:spacing w:val="-6"/>
                <w:lang w:eastAsia="en-US"/>
              </w:rPr>
              <w:t xml:space="preserve"> 60 </w:t>
            </w:r>
            <w:r w:rsidRPr="00132FA6">
              <w:rPr>
                <w:spacing w:val="-6"/>
                <w:lang w:val="uk-UA" w:eastAsia="en-US"/>
              </w:rPr>
              <w:t>років,</w:t>
            </w:r>
          </w:p>
          <w:p w:rsidR="00132FA6" w:rsidRPr="00132FA6" w:rsidRDefault="00132FA6">
            <w:pPr>
              <w:spacing w:line="360" w:lineRule="auto"/>
              <w:rPr>
                <w:color w:val="000000"/>
                <w:spacing w:val="-6"/>
                <w:lang w:eastAsia="en-US"/>
              </w:rPr>
            </w:pPr>
            <w:r w:rsidRPr="00132FA6">
              <w:rPr>
                <w:spacing w:val="-6"/>
                <w:lang w:val="en-US" w:eastAsia="en-US"/>
              </w:rPr>
              <w:t>n</w:t>
            </w:r>
            <w:r w:rsidRPr="00132FA6">
              <w:rPr>
                <w:spacing w:val="-6"/>
                <w:lang w:eastAsia="en-US"/>
              </w:rPr>
              <w:t>=</w:t>
            </w:r>
            <w:r w:rsidRPr="00132FA6">
              <w:rPr>
                <w:spacing w:val="-6"/>
                <w:lang w:val="uk-UA" w:eastAsia="en-US"/>
              </w:rPr>
              <w:t>37</w:t>
            </w:r>
            <w:r w:rsidRPr="00132FA6">
              <w:rPr>
                <w:spacing w:val="-6"/>
                <w:lang w:eastAsia="en-US"/>
              </w:rPr>
              <w:t>)</w:t>
            </w:r>
          </w:p>
        </w:tc>
        <w:tc>
          <w:tcPr>
            <w:tcW w:w="1259" w:type="dxa"/>
            <w:tcBorders>
              <w:top w:val="single" w:sz="4" w:space="0" w:color="auto"/>
              <w:left w:val="single" w:sz="4" w:space="0" w:color="auto"/>
              <w:bottom w:val="single" w:sz="4" w:space="0" w:color="auto"/>
              <w:right w:val="single" w:sz="4" w:space="0" w:color="auto"/>
            </w:tcBorders>
            <w:hideMark/>
          </w:tcPr>
          <w:p w:rsidR="00132FA6" w:rsidRPr="00132FA6" w:rsidRDefault="00132FA6">
            <w:pPr>
              <w:spacing w:line="360" w:lineRule="auto"/>
              <w:rPr>
                <w:spacing w:val="-6"/>
                <w:lang w:val="uk-UA" w:eastAsia="en-US"/>
              </w:rPr>
            </w:pPr>
            <w:r w:rsidRPr="00132FA6">
              <w:rPr>
                <w:spacing w:val="-6"/>
                <w:lang w:val="uk-UA" w:eastAsia="en-US"/>
              </w:rPr>
              <w:t>Підгрупа 3-ІІ</w:t>
            </w:r>
          </w:p>
          <w:p w:rsidR="00132FA6" w:rsidRPr="00132FA6" w:rsidRDefault="00132FA6">
            <w:pPr>
              <w:spacing w:line="360" w:lineRule="auto"/>
              <w:rPr>
                <w:spacing w:val="-6"/>
                <w:lang w:val="uk-UA" w:eastAsia="en-US"/>
              </w:rPr>
            </w:pPr>
            <w:r w:rsidRPr="00132FA6">
              <w:rPr>
                <w:spacing w:val="-6"/>
                <w:lang w:val="uk-UA" w:eastAsia="en-US"/>
              </w:rPr>
              <w:t>(</w:t>
            </w:r>
            <w:r w:rsidRPr="00132FA6">
              <w:rPr>
                <w:spacing w:val="-6"/>
                <w:lang w:eastAsia="en-US"/>
              </w:rPr>
              <w:t>6</w:t>
            </w:r>
            <w:r w:rsidRPr="00132FA6">
              <w:rPr>
                <w:spacing w:val="-6"/>
                <w:lang w:val="uk-UA" w:eastAsia="en-US"/>
              </w:rPr>
              <w:t>1-75 рокв,</w:t>
            </w:r>
          </w:p>
          <w:p w:rsidR="00132FA6" w:rsidRPr="00132FA6" w:rsidRDefault="00132FA6">
            <w:pPr>
              <w:spacing w:line="360" w:lineRule="auto"/>
              <w:rPr>
                <w:color w:val="000000"/>
                <w:spacing w:val="-6"/>
                <w:lang w:eastAsia="en-US"/>
              </w:rPr>
            </w:pPr>
            <w:r w:rsidRPr="00132FA6">
              <w:rPr>
                <w:spacing w:val="-6"/>
                <w:lang w:val="en-US" w:eastAsia="en-US"/>
              </w:rPr>
              <w:t>n</w:t>
            </w:r>
            <w:r w:rsidRPr="00132FA6">
              <w:rPr>
                <w:spacing w:val="-6"/>
                <w:lang w:eastAsia="en-US"/>
              </w:rPr>
              <w:t>=</w:t>
            </w:r>
            <w:r w:rsidRPr="00132FA6">
              <w:rPr>
                <w:spacing w:val="-6"/>
                <w:lang w:val="uk-UA" w:eastAsia="en-US"/>
              </w:rPr>
              <w:t>56</w:t>
            </w:r>
            <w:r w:rsidRPr="00132FA6">
              <w:rPr>
                <w:spacing w:val="-6"/>
                <w:lang w:eastAsia="en-US"/>
              </w:rPr>
              <w:t>)</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color w:val="000000"/>
                <w:lang w:val="uk-UA" w:eastAsia="en-US"/>
              </w:rPr>
            </w:pPr>
            <w:r w:rsidRPr="00132FA6">
              <w:rPr>
                <w:color w:val="000000"/>
                <w:lang w:val="uk-UA" w:eastAsia="en-US"/>
              </w:rPr>
              <w:t>Вік, роки</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w:t>
            </w:r>
            <w:r w:rsidRPr="00132FA6">
              <w:rPr>
                <w:spacing w:val="-6"/>
                <w:lang w:val="uk-UA" w:eastAsia="en-US"/>
              </w:rPr>
              <w:t>3</w:t>
            </w:r>
            <w:r w:rsidRPr="00132FA6">
              <w:rPr>
                <w:spacing w:val="-6"/>
                <w:lang w:eastAsia="en-US"/>
              </w:rPr>
              <w:t>,</w:t>
            </w:r>
            <w:r w:rsidRPr="00132FA6">
              <w:rPr>
                <w:spacing w:val="-6"/>
                <w:lang w:val="uk-UA" w:eastAsia="en-US"/>
              </w:rPr>
              <w:t>02</w:t>
            </w:r>
            <w:r w:rsidRPr="00132FA6">
              <w:rPr>
                <w:spacing w:val="-6"/>
                <w:lang w:eastAsia="en-US"/>
              </w:rPr>
              <w:t xml:space="preserve"> ±</w:t>
            </w:r>
            <w:r w:rsidRPr="00132FA6">
              <w:rPr>
                <w:spacing w:val="-6"/>
                <w:lang w:val="uk-UA" w:eastAsia="en-US"/>
              </w:rPr>
              <w:t>0</w:t>
            </w:r>
            <w:r w:rsidRPr="00132FA6">
              <w:rPr>
                <w:spacing w:val="-6"/>
                <w:lang w:eastAsia="en-US"/>
              </w:rPr>
              <w:t>,</w:t>
            </w:r>
            <w:r w:rsidRPr="00132FA6">
              <w:rPr>
                <w:spacing w:val="-6"/>
                <w:lang w:val="uk-UA" w:eastAsia="en-US"/>
              </w:rPr>
              <w:t>74</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6</w:t>
            </w:r>
            <w:r w:rsidRPr="00132FA6">
              <w:rPr>
                <w:spacing w:val="-6"/>
                <w:lang w:val="uk-UA" w:eastAsia="en-US"/>
              </w:rPr>
              <w:t>6</w:t>
            </w:r>
            <w:r w:rsidRPr="00132FA6">
              <w:rPr>
                <w:spacing w:val="-6"/>
                <w:lang w:eastAsia="en-US"/>
              </w:rPr>
              <w:t>,</w:t>
            </w:r>
            <w:r w:rsidRPr="00132FA6">
              <w:rPr>
                <w:spacing w:val="-6"/>
                <w:lang w:val="uk-UA" w:eastAsia="en-US"/>
              </w:rPr>
              <w:t>54</w:t>
            </w:r>
            <w:r w:rsidRPr="00132FA6">
              <w:rPr>
                <w:spacing w:val="-6"/>
                <w:lang w:eastAsia="en-US"/>
              </w:rPr>
              <w:t>±0,</w:t>
            </w:r>
            <w:r w:rsidRPr="00132FA6">
              <w:rPr>
                <w:spacing w:val="-6"/>
                <w:lang w:val="uk-UA" w:eastAsia="en-US"/>
              </w:rPr>
              <w:t>49</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5</w:t>
            </w:r>
            <w:r w:rsidRPr="00132FA6">
              <w:rPr>
                <w:spacing w:val="-6"/>
                <w:lang w:val="uk-UA" w:eastAsia="en-US"/>
              </w:rPr>
              <w:t>6</w:t>
            </w:r>
            <w:r w:rsidRPr="00132FA6">
              <w:rPr>
                <w:spacing w:val="-6"/>
                <w:lang w:eastAsia="en-US"/>
              </w:rPr>
              <w:t>,</w:t>
            </w:r>
            <w:r w:rsidRPr="00132FA6">
              <w:rPr>
                <w:spacing w:val="-6"/>
                <w:lang w:val="uk-UA" w:eastAsia="en-US"/>
              </w:rPr>
              <w:t>64</w:t>
            </w:r>
            <w:r w:rsidRPr="00132FA6">
              <w:rPr>
                <w:spacing w:val="-6"/>
                <w:lang w:eastAsia="en-US"/>
              </w:rPr>
              <w:t>±1,0</w:t>
            </w:r>
            <w:r w:rsidRPr="00132FA6">
              <w:rPr>
                <w:spacing w:val="-6"/>
                <w:lang w:val="uk-UA" w:eastAsia="en-US"/>
              </w:rPr>
              <w:t>0</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6</w:t>
            </w:r>
            <w:r w:rsidRPr="00132FA6">
              <w:rPr>
                <w:spacing w:val="-6"/>
                <w:lang w:val="uk-UA" w:eastAsia="en-US"/>
              </w:rPr>
              <w:t>5</w:t>
            </w:r>
            <w:r w:rsidRPr="00132FA6">
              <w:rPr>
                <w:spacing w:val="-6"/>
                <w:lang w:eastAsia="en-US"/>
              </w:rPr>
              <w:t>,</w:t>
            </w:r>
            <w:r w:rsidRPr="00132FA6">
              <w:rPr>
                <w:spacing w:val="-6"/>
                <w:lang w:val="uk-UA" w:eastAsia="en-US"/>
              </w:rPr>
              <w:t>17</w:t>
            </w:r>
            <w:r w:rsidRPr="00132FA6">
              <w:rPr>
                <w:spacing w:val="-6"/>
                <w:lang w:eastAsia="en-US"/>
              </w:rPr>
              <w:t>±0,</w:t>
            </w:r>
            <w:r w:rsidRPr="00132FA6">
              <w:rPr>
                <w:spacing w:val="-6"/>
                <w:lang w:val="uk-UA" w:eastAsia="en-US"/>
              </w:rPr>
              <w:t>67</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52,8</w:t>
            </w:r>
            <w:r w:rsidRPr="00132FA6">
              <w:rPr>
                <w:spacing w:val="-6"/>
                <w:lang w:val="uk-UA" w:eastAsia="en-US"/>
              </w:rPr>
              <w:t>9</w:t>
            </w:r>
            <w:r w:rsidRPr="00132FA6">
              <w:rPr>
                <w:spacing w:val="-6"/>
                <w:lang w:eastAsia="en-US"/>
              </w:rPr>
              <w:t>±</w:t>
            </w:r>
            <w:r w:rsidRPr="00132FA6">
              <w:rPr>
                <w:spacing w:val="-6"/>
                <w:lang w:val="uk-UA" w:eastAsia="en-US"/>
              </w:rPr>
              <w:t>0</w:t>
            </w:r>
            <w:r w:rsidRPr="00132FA6">
              <w:rPr>
                <w:spacing w:val="-6"/>
                <w:lang w:eastAsia="en-US"/>
              </w:rPr>
              <w:t>,</w:t>
            </w:r>
            <w:r w:rsidRPr="00132FA6">
              <w:rPr>
                <w:spacing w:val="-6"/>
                <w:lang w:val="uk-UA" w:eastAsia="en-US"/>
              </w:rPr>
              <w:t>79</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67,</w:t>
            </w:r>
            <w:r w:rsidRPr="00132FA6">
              <w:rPr>
                <w:spacing w:val="-6"/>
                <w:lang w:val="uk-UA" w:eastAsia="en-US"/>
              </w:rPr>
              <w:t>54</w:t>
            </w:r>
            <w:r w:rsidRPr="00132FA6">
              <w:rPr>
                <w:spacing w:val="-6"/>
                <w:lang w:eastAsia="en-US"/>
              </w:rPr>
              <w:t>±0,5</w:t>
            </w:r>
            <w:r w:rsidRPr="00132FA6">
              <w:rPr>
                <w:spacing w:val="-6"/>
                <w:lang w:val="uk-UA" w:eastAsia="en-US"/>
              </w:rPr>
              <w:t>4</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color w:val="000000"/>
                <w:lang w:val="uk-UA" w:eastAsia="en-US"/>
              </w:rPr>
            </w:pPr>
            <w:r w:rsidRPr="00132FA6">
              <w:rPr>
                <w:lang w:eastAsia="en-US"/>
              </w:rPr>
              <w:t>МТ</w:t>
            </w:r>
            <w:r w:rsidRPr="00132FA6">
              <w:rPr>
                <w:lang w:val="uk-UA" w:eastAsia="en-US"/>
              </w:rPr>
              <w:t>,кг</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8</w:t>
            </w:r>
            <w:r w:rsidRPr="00132FA6">
              <w:rPr>
                <w:spacing w:val="-6"/>
                <w:lang w:val="uk-UA" w:eastAsia="en-US"/>
              </w:rPr>
              <w:t>4</w:t>
            </w:r>
            <w:r w:rsidRPr="00132FA6">
              <w:rPr>
                <w:spacing w:val="-6"/>
                <w:lang w:eastAsia="en-US"/>
              </w:rPr>
              <w:t>,</w:t>
            </w:r>
            <w:r w:rsidRPr="00132FA6">
              <w:rPr>
                <w:spacing w:val="-6"/>
                <w:lang w:val="uk-UA" w:eastAsia="en-US"/>
              </w:rPr>
              <w:t>43</w:t>
            </w:r>
            <w:r w:rsidRPr="00132FA6">
              <w:rPr>
                <w:spacing w:val="-6"/>
                <w:lang w:eastAsia="en-US"/>
              </w:rPr>
              <w:t xml:space="preserve"> ±</w:t>
            </w:r>
            <w:r w:rsidRPr="00132FA6">
              <w:rPr>
                <w:spacing w:val="-6"/>
                <w:lang w:val="uk-UA" w:eastAsia="en-US"/>
              </w:rPr>
              <w:t>1</w:t>
            </w:r>
            <w:r w:rsidRPr="00132FA6">
              <w:rPr>
                <w:spacing w:val="-6"/>
                <w:lang w:eastAsia="en-US"/>
              </w:rPr>
              <w:t>,3</w:t>
            </w:r>
            <w:r w:rsidRPr="00132FA6">
              <w:rPr>
                <w:spacing w:val="-6"/>
                <w:lang w:val="uk-UA" w:eastAsia="en-US"/>
              </w:rPr>
              <w:t>1</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8</w:t>
            </w:r>
            <w:r w:rsidRPr="00132FA6">
              <w:rPr>
                <w:spacing w:val="-6"/>
                <w:lang w:val="uk-UA" w:eastAsia="en-US"/>
              </w:rPr>
              <w:t>3</w:t>
            </w:r>
            <w:r w:rsidRPr="00132FA6">
              <w:rPr>
                <w:spacing w:val="-6"/>
                <w:lang w:eastAsia="en-US"/>
              </w:rPr>
              <w:t>,7</w:t>
            </w:r>
            <w:r w:rsidRPr="00132FA6">
              <w:rPr>
                <w:spacing w:val="-6"/>
                <w:lang w:val="uk-UA" w:eastAsia="en-US"/>
              </w:rPr>
              <w:t>8</w:t>
            </w:r>
            <w:r w:rsidRPr="00132FA6">
              <w:rPr>
                <w:spacing w:val="-6"/>
                <w:lang w:eastAsia="en-US"/>
              </w:rPr>
              <w:t>±</w:t>
            </w:r>
            <w:r w:rsidRPr="00132FA6">
              <w:rPr>
                <w:spacing w:val="-6"/>
                <w:lang w:val="uk-UA" w:eastAsia="en-US"/>
              </w:rPr>
              <w:t>1</w:t>
            </w:r>
            <w:r w:rsidRPr="00132FA6">
              <w:rPr>
                <w:spacing w:val="-6"/>
                <w:lang w:eastAsia="en-US"/>
              </w:rPr>
              <w:t>,</w:t>
            </w:r>
            <w:r w:rsidRPr="00132FA6">
              <w:rPr>
                <w:spacing w:val="-6"/>
                <w:lang w:val="uk-UA" w:eastAsia="en-US"/>
              </w:rPr>
              <w:t>11</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9</w:t>
            </w:r>
            <w:r w:rsidRPr="00132FA6">
              <w:rPr>
                <w:spacing w:val="-6"/>
                <w:lang w:val="uk-UA" w:eastAsia="en-US"/>
              </w:rPr>
              <w:t>0</w:t>
            </w:r>
            <w:r w:rsidRPr="00132FA6">
              <w:rPr>
                <w:spacing w:val="-6"/>
                <w:lang w:eastAsia="en-US"/>
              </w:rPr>
              <w:t>,</w:t>
            </w:r>
            <w:r w:rsidRPr="00132FA6">
              <w:rPr>
                <w:spacing w:val="-6"/>
                <w:lang w:val="uk-UA" w:eastAsia="en-US"/>
              </w:rPr>
              <w:t>86</w:t>
            </w:r>
            <w:r w:rsidRPr="00132FA6">
              <w:rPr>
                <w:spacing w:val="-6"/>
                <w:lang w:eastAsia="en-US"/>
              </w:rPr>
              <w:t>±</w:t>
            </w:r>
            <w:r w:rsidRPr="00132FA6">
              <w:rPr>
                <w:spacing w:val="-6"/>
                <w:lang w:val="uk-UA" w:eastAsia="en-US"/>
              </w:rPr>
              <w:t>1</w:t>
            </w:r>
            <w:r w:rsidRPr="00132FA6">
              <w:rPr>
                <w:spacing w:val="-6"/>
                <w:lang w:eastAsia="en-US"/>
              </w:rPr>
              <w:t>,</w:t>
            </w:r>
            <w:r w:rsidRPr="00132FA6">
              <w:rPr>
                <w:spacing w:val="-6"/>
                <w:lang w:val="uk-UA" w:eastAsia="en-US"/>
              </w:rPr>
              <w:t>39</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val="uk-UA" w:eastAsia="en-US"/>
              </w:rPr>
              <w:t>86</w:t>
            </w:r>
            <w:r w:rsidRPr="00132FA6">
              <w:rPr>
                <w:spacing w:val="-6"/>
                <w:lang w:eastAsia="en-US"/>
              </w:rPr>
              <w:t>,</w:t>
            </w:r>
            <w:r w:rsidRPr="00132FA6">
              <w:rPr>
                <w:spacing w:val="-6"/>
                <w:lang w:val="uk-UA" w:eastAsia="en-US"/>
              </w:rPr>
              <w:t>68</w:t>
            </w:r>
            <w:r w:rsidRPr="00132FA6">
              <w:rPr>
                <w:spacing w:val="-6"/>
                <w:lang w:eastAsia="en-US"/>
              </w:rPr>
              <w:t>±1,</w:t>
            </w:r>
            <w:r w:rsidRPr="00132FA6">
              <w:rPr>
                <w:spacing w:val="-6"/>
                <w:lang w:val="uk-UA" w:eastAsia="en-US"/>
              </w:rPr>
              <w:t>13</w:t>
            </w:r>
          </w:p>
          <w:p w:rsidR="00E3259F" w:rsidRPr="00132FA6" w:rsidRDefault="00E3259F">
            <w:pPr>
              <w:spacing w:line="360" w:lineRule="auto"/>
              <w:rPr>
                <w:spacing w:val="-6"/>
                <w:lang w:val="uk-UA" w:eastAsia="en-US"/>
              </w:rPr>
            </w:pPr>
            <w:r w:rsidRPr="00132FA6">
              <w:rPr>
                <w:spacing w:val="-6"/>
                <w:lang w:val="uk-UA" w:eastAsia="en-US"/>
              </w:rPr>
              <w:t>р=0,024</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val="uk-UA" w:eastAsia="en-US"/>
              </w:rPr>
              <w:t>80</w:t>
            </w:r>
            <w:r w:rsidRPr="00132FA6">
              <w:rPr>
                <w:spacing w:val="-6"/>
                <w:lang w:eastAsia="en-US"/>
              </w:rPr>
              <w:t>,</w:t>
            </w:r>
            <w:r w:rsidRPr="00132FA6">
              <w:rPr>
                <w:spacing w:val="-6"/>
                <w:lang w:val="uk-UA" w:eastAsia="en-US"/>
              </w:rPr>
              <w:t>89</w:t>
            </w:r>
            <w:r w:rsidRPr="00132FA6">
              <w:rPr>
                <w:spacing w:val="-6"/>
                <w:lang w:eastAsia="en-US"/>
              </w:rPr>
              <w:t>±</w:t>
            </w:r>
            <w:r w:rsidRPr="00132FA6">
              <w:rPr>
                <w:spacing w:val="-6"/>
                <w:lang w:val="uk-UA" w:eastAsia="en-US"/>
              </w:rPr>
              <w:t>1</w:t>
            </w:r>
            <w:r w:rsidRPr="00132FA6">
              <w:rPr>
                <w:spacing w:val="-6"/>
                <w:lang w:eastAsia="en-US"/>
              </w:rPr>
              <w:t>,</w:t>
            </w:r>
            <w:r w:rsidRPr="00132FA6">
              <w:rPr>
                <w:spacing w:val="-6"/>
                <w:lang w:val="uk-UA" w:eastAsia="en-US"/>
              </w:rPr>
              <w:t>83</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81,6</w:t>
            </w:r>
            <w:r w:rsidRPr="00132FA6">
              <w:rPr>
                <w:spacing w:val="-6"/>
                <w:lang w:val="uk-UA" w:eastAsia="en-US"/>
              </w:rPr>
              <w:t>6</w:t>
            </w:r>
            <w:r w:rsidRPr="00132FA6">
              <w:rPr>
                <w:spacing w:val="-6"/>
                <w:lang w:eastAsia="en-US"/>
              </w:rPr>
              <w:t>±1,</w:t>
            </w:r>
            <w:r w:rsidRPr="00132FA6">
              <w:rPr>
                <w:spacing w:val="-6"/>
                <w:lang w:val="uk-UA" w:eastAsia="en-US"/>
              </w:rPr>
              <w:t>39</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color w:val="000000"/>
                <w:lang w:val="uk-UA" w:eastAsia="en-US"/>
              </w:rPr>
            </w:pPr>
            <w:r w:rsidRPr="00132FA6">
              <w:rPr>
                <w:lang w:val="uk-UA" w:eastAsia="en-US"/>
              </w:rPr>
              <w:t>І</w:t>
            </w:r>
            <w:r w:rsidRPr="00132FA6">
              <w:rPr>
                <w:lang w:eastAsia="en-US"/>
              </w:rPr>
              <w:t>МТ</w:t>
            </w:r>
            <w:r w:rsidRPr="00132FA6">
              <w:rPr>
                <w:lang w:val="uk-UA" w:eastAsia="en-US"/>
              </w:rPr>
              <w:t>,кг</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val="uk-UA" w:eastAsia="en-US"/>
              </w:rPr>
              <w:t>29</w:t>
            </w:r>
            <w:r w:rsidRPr="00132FA6">
              <w:rPr>
                <w:spacing w:val="-6"/>
                <w:lang w:eastAsia="en-US"/>
              </w:rPr>
              <w:t>,</w:t>
            </w:r>
            <w:r w:rsidRPr="00132FA6">
              <w:rPr>
                <w:spacing w:val="-6"/>
                <w:lang w:val="uk-UA" w:eastAsia="en-US"/>
              </w:rPr>
              <w:t>58</w:t>
            </w:r>
            <w:r w:rsidRPr="00132FA6">
              <w:rPr>
                <w:spacing w:val="-6"/>
                <w:lang w:eastAsia="en-US"/>
              </w:rPr>
              <w:t xml:space="preserve"> ±</w:t>
            </w:r>
            <w:r w:rsidRPr="00132FA6">
              <w:rPr>
                <w:spacing w:val="-6"/>
                <w:lang w:val="uk-UA" w:eastAsia="en-US"/>
              </w:rPr>
              <w:t>0</w:t>
            </w:r>
            <w:r w:rsidRPr="00132FA6">
              <w:rPr>
                <w:spacing w:val="-6"/>
                <w:lang w:eastAsia="en-US"/>
              </w:rPr>
              <w:t>,</w:t>
            </w:r>
            <w:r w:rsidRPr="00132FA6">
              <w:rPr>
                <w:spacing w:val="-6"/>
                <w:lang w:val="uk-UA" w:eastAsia="en-US"/>
              </w:rPr>
              <w:t>50</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2</w:t>
            </w:r>
            <w:r w:rsidRPr="00132FA6">
              <w:rPr>
                <w:spacing w:val="-6"/>
                <w:lang w:val="uk-UA" w:eastAsia="en-US"/>
              </w:rPr>
              <w:t>9</w:t>
            </w:r>
            <w:r w:rsidRPr="00132FA6">
              <w:rPr>
                <w:spacing w:val="-6"/>
                <w:lang w:eastAsia="en-US"/>
              </w:rPr>
              <w:t>,1</w:t>
            </w:r>
            <w:r w:rsidRPr="00132FA6">
              <w:rPr>
                <w:spacing w:val="-6"/>
                <w:lang w:val="uk-UA" w:eastAsia="en-US"/>
              </w:rPr>
              <w:t>8</w:t>
            </w:r>
            <w:r w:rsidRPr="00132FA6">
              <w:rPr>
                <w:spacing w:val="-6"/>
                <w:lang w:eastAsia="en-US"/>
              </w:rPr>
              <w:t>±</w:t>
            </w:r>
            <w:r w:rsidRPr="00132FA6">
              <w:rPr>
                <w:spacing w:val="-6"/>
                <w:lang w:val="uk-UA" w:eastAsia="en-US"/>
              </w:rPr>
              <w:t>0</w:t>
            </w:r>
            <w:r w:rsidRPr="00132FA6">
              <w:rPr>
                <w:spacing w:val="-6"/>
                <w:lang w:eastAsia="en-US"/>
              </w:rPr>
              <w:t>,</w:t>
            </w:r>
            <w:r w:rsidRPr="00132FA6">
              <w:rPr>
                <w:spacing w:val="-6"/>
                <w:lang w:val="uk-UA" w:eastAsia="en-US"/>
              </w:rPr>
              <w:t>39</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3</w:t>
            </w:r>
            <w:r w:rsidRPr="00132FA6">
              <w:rPr>
                <w:spacing w:val="-6"/>
                <w:lang w:val="uk-UA" w:eastAsia="en-US"/>
              </w:rPr>
              <w:t>0</w:t>
            </w:r>
            <w:r w:rsidRPr="00132FA6">
              <w:rPr>
                <w:spacing w:val="-6"/>
                <w:lang w:eastAsia="en-US"/>
              </w:rPr>
              <w:t>,</w:t>
            </w:r>
            <w:r w:rsidRPr="00132FA6">
              <w:rPr>
                <w:spacing w:val="-6"/>
                <w:lang w:val="uk-UA" w:eastAsia="en-US"/>
              </w:rPr>
              <w:t>90</w:t>
            </w:r>
            <w:r w:rsidRPr="00132FA6">
              <w:rPr>
                <w:spacing w:val="-6"/>
                <w:lang w:eastAsia="en-US"/>
              </w:rPr>
              <w:t>±</w:t>
            </w:r>
            <w:r w:rsidRPr="00132FA6">
              <w:rPr>
                <w:spacing w:val="-6"/>
                <w:lang w:val="uk-UA" w:eastAsia="en-US"/>
              </w:rPr>
              <w:t>0</w:t>
            </w:r>
            <w:r w:rsidRPr="00132FA6">
              <w:rPr>
                <w:spacing w:val="-6"/>
                <w:lang w:eastAsia="en-US"/>
              </w:rPr>
              <w:t>,</w:t>
            </w:r>
            <w:r w:rsidRPr="00132FA6">
              <w:rPr>
                <w:spacing w:val="-6"/>
                <w:lang w:val="uk-UA" w:eastAsia="en-US"/>
              </w:rPr>
              <w:t>51</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val="uk-UA" w:eastAsia="en-US"/>
              </w:rPr>
              <w:t>29</w:t>
            </w:r>
            <w:r w:rsidRPr="00132FA6">
              <w:rPr>
                <w:spacing w:val="-6"/>
                <w:lang w:eastAsia="en-US"/>
              </w:rPr>
              <w:t>,</w:t>
            </w:r>
            <w:r w:rsidRPr="00132FA6">
              <w:rPr>
                <w:spacing w:val="-6"/>
                <w:lang w:val="uk-UA" w:eastAsia="en-US"/>
              </w:rPr>
              <w:t>98</w:t>
            </w:r>
            <w:r w:rsidRPr="00132FA6">
              <w:rPr>
                <w:spacing w:val="-6"/>
                <w:lang w:eastAsia="en-US"/>
              </w:rPr>
              <w:t>±0,</w:t>
            </w:r>
            <w:r w:rsidRPr="00132FA6">
              <w:rPr>
                <w:spacing w:val="-6"/>
                <w:lang w:val="uk-UA" w:eastAsia="en-US"/>
              </w:rPr>
              <w:t>38</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27,</w:t>
            </w:r>
            <w:r w:rsidRPr="00132FA6">
              <w:rPr>
                <w:spacing w:val="-6"/>
                <w:lang w:val="uk-UA" w:eastAsia="en-US"/>
              </w:rPr>
              <w:t>86</w:t>
            </w:r>
            <w:r w:rsidRPr="00132FA6">
              <w:rPr>
                <w:spacing w:val="-6"/>
                <w:lang w:eastAsia="en-US"/>
              </w:rPr>
              <w:t>±0,</w:t>
            </w:r>
            <w:r w:rsidRPr="00132FA6">
              <w:rPr>
                <w:spacing w:val="-6"/>
                <w:lang w:val="uk-UA" w:eastAsia="en-US"/>
              </w:rPr>
              <w:t>45</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2</w:t>
            </w:r>
            <w:r w:rsidRPr="00132FA6">
              <w:rPr>
                <w:spacing w:val="-6"/>
                <w:lang w:val="uk-UA" w:eastAsia="en-US"/>
              </w:rPr>
              <w:t>9</w:t>
            </w:r>
            <w:r w:rsidRPr="00132FA6">
              <w:rPr>
                <w:spacing w:val="-6"/>
                <w:lang w:eastAsia="en-US"/>
              </w:rPr>
              <w:t>,</w:t>
            </w:r>
            <w:r w:rsidRPr="00132FA6">
              <w:rPr>
                <w:spacing w:val="-6"/>
                <w:lang w:val="uk-UA" w:eastAsia="en-US"/>
              </w:rPr>
              <w:t>00</w:t>
            </w:r>
            <w:r w:rsidRPr="00132FA6">
              <w:rPr>
                <w:spacing w:val="-6"/>
                <w:lang w:eastAsia="en-US"/>
              </w:rPr>
              <w:t>±0,</w:t>
            </w:r>
            <w:r w:rsidRPr="00132FA6">
              <w:rPr>
                <w:spacing w:val="-6"/>
                <w:lang w:val="uk-UA" w:eastAsia="en-US"/>
              </w:rPr>
              <w:t>39</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lang w:val="uk-UA" w:eastAsia="en-US"/>
              </w:rPr>
            </w:pPr>
            <w:r w:rsidRPr="00132FA6">
              <w:rPr>
                <w:lang w:val="uk-UA" w:eastAsia="en-US"/>
              </w:rPr>
              <w:t>ЗХС,</w:t>
            </w:r>
          </w:p>
          <w:p w:rsidR="00E3259F" w:rsidRPr="00132FA6" w:rsidRDefault="00E3259F">
            <w:pPr>
              <w:spacing w:line="360" w:lineRule="auto"/>
              <w:rPr>
                <w:color w:val="000000"/>
                <w:lang w:val="uk-UA" w:eastAsia="en-US"/>
              </w:rPr>
            </w:pPr>
            <w:r w:rsidRPr="00132FA6">
              <w:rPr>
                <w:lang w:val="uk-UA" w:eastAsia="en-US"/>
              </w:rPr>
              <w:t>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w:t>
            </w:r>
            <w:r w:rsidRPr="00132FA6">
              <w:rPr>
                <w:spacing w:val="-6"/>
                <w:lang w:val="uk-UA" w:eastAsia="en-US"/>
              </w:rPr>
              <w:t xml:space="preserve">86 </w:t>
            </w:r>
            <w:r w:rsidRPr="00132FA6">
              <w:rPr>
                <w:spacing w:val="-6"/>
                <w:lang w:eastAsia="en-US"/>
              </w:rPr>
              <w:t>±0,</w:t>
            </w:r>
            <w:r w:rsidRPr="00132FA6">
              <w:rPr>
                <w:spacing w:val="-6"/>
                <w:lang w:val="uk-UA" w:eastAsia="en-US"/>
              </w:rPr>
              <w:t>19</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6,0</w:t>
            </w:r>
            <w:r w:rsidRPr="00132FA6">
              <w:rPr>
                <w:spacing w:val="-6"/>
                <w:lang w:val="uk-UA" w:eastAsia="en-US"/>
              </w:rPr>
              <w:t>5</w:t>
            </w:r>
            <w:r w:rsidRPr="00132FA6">
              <w:rPr>
                <w:spacing w:val="-6"/>
                <w:lang w:eastAsia="en-US"/>
              </w:rPr>
              <w:t>±0,</w:t>
            </w:r>
            <w:r w:rsidRPr="00132FA6">
              <w:rPr>
                <w:spacing w:val="-6"/>
                <w:lang w:val="uk-UA" w:eastAsia="en-US"/>
              </w:rPr>
              <w:t>21</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5,23±0,</w:t>
            </w:r>
            <w:r w:rsidRPr="00132FA6">
              <w:rPr>
                <w:spacing w:val="-6"/>
                <w:lang w:val="uk-UA" w:eastAsia="en-US"/>
              </w:rPr>
              <w:t>14</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w:t>
            </w:r>
            <w:r w:rsidRPr="00132FA6">
              <w:rPr>
                <w:spacing w:val="-6"/>
                <w:lang w:val="uk-UA" w:eastAsia="en-US"/>
              </w:rPr>
              <w:t>26</w:t>
            </w:r>
            <w:r w:rsidRPr="00132FA6">
              <w:rPr>
                <w:spacing w:val="-6"/>
                <w:lang w:eastAsia="en-US"/>
              </w:rPr>
              <w:t>±0,</w:t>
            </w:r>
            <w:r w:rsidRPr="00132FA6">
              <w:rPr>
                <w:spacing w:val="-6"/>
                <w:lang w:val="uk-UA" w:eastAsia="en-US"/>
              </w:rPr>
              <w:t>14</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5,97±0,</w:t>
            </w:r>
            <w:r w:rsidRPr="00132FA6">
              <w:rPr>
                <w:spacing w:val="-6"/>
                <w:lang w:val="uk-UA" w:eastAsia="en-US"/>
              </w:rPr>
              <w:t>20</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5,</w:t>
            </w:r>
            <w:r w:rsidRPr="00132FA6">
              <w:rPr>
                <w:spacing w:val="-6"/>
                <w:lang w:val="uk-UA" w:eastAsia="en-US"/>
              </w:rPr>
              <w:t>65</w:t>
            </w:r>
            <w:r w:rsidRPr="00132FA6">
              <w:rPr>
                <w:spacing w:val="-6"/>
                <w:lang w:eastAsia="en-US"/>
              </w:rPr>
              <w:t>±0,</w:t>
            </w:r>
            <w:r w:rsidRPr="00132FA6">
              <w:rPr>
                <w:spacing w:val="-6"/>
                <w:lang w:val="uk-UA" w:eastAsia="en-US"/>
              </w:rPr>
              <w:t>18</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color w:val="000000"/>
                <w:lang w:val="uk-UA" w:eastAsia="en-US"/>
              </w:rPr>
            </w:pPr>
            <w:r w:rsidRPr="00132FA6">
              <w:rPr>
                <w:lang w:eastAsia="en-US"/>
              </w:rPr>
              <w:t>ТГ</w:t>
            </w:r>
            <w:r w:rsidRPr="00132FA6">
              <w:rPr>
                <w:lang w:val="uk-UA" w:eastAsia="en-US"/>
              </w:rPr>
              <w:t>,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1,6</w:t>
            </w:r>
            <w:r w:rsidRPr="00132FA6">
              <w:rPr>
                <w:spacing w:val="-6"/>
                <w:lang w:val="uk-UA" w:eastAsia="en-US"/>
              </w:rPr>
              <w:t>0</w:t>
            </w:r>
            <w:r w:rsidRPr="00132FA6">
              <w:rPr>
                <w:spacing w:val="-6"/>
                <w:lang w:eastAsia="en-US"/>
              </w:rPr>
              <w:t xml:space="preserve"> ±0,</w:t>
            </w:r>
            <w:r w:rsidRPr="00132FA6">
              <w:rPr>
                <w:spacing w:val="-6"/>
                <w:lang w:val="uk-UA" w:eastAsia="en-US"/>
              </w:rPr>
              <w:t>11</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w:t>
            </w:r>
            <w:r w:rsidRPr="00132FA6">
              <w:rPr>
                <w:spacing w:val="-6"/>
                <w:lang w:val="uk-UA" w:eastAsia="en-US"/>
              </w:rPr>
              <w:t>56</w:t>
            </w:r>
            <w:r w:rsidRPr="00132FA6">
              <w:rPr>
                <w:spacing w:val="-6"/>
                <w:lang w:eastAsia="en-US"/>
              </w:rPr>
              <w:t>±0,1</w:t>
            </w:r>
            <w:r w:rsidRPr="00132FA6">
              <w:rPr>
                <w:spacing w:val="-6"/>
                <w:lang w:val="uk-UA" w:eastAsia="en-US"/>
              </w:rPr>
              <w:t>1</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2,1</w:t>
            </w:r>
            <w:r w:rsidRPr="00132FA6">
              <w:rPr>
                <w:spacing w:val="-6"/>
                <w:lang w:val="uk-UA" w:eastAsia="en-US"/>
              </w:rPr>
              <w:t>5</w:t>
            </w:r>
            <w:r w:rsidRPr="00132FA6">
              <w:rPr>
                <w:spacing w:val="-6"/>
                <w:lang w:eastAsia="en-US"/>
              </w:rPr>
              <w:t>±0,</w:t>
            </w:r>
            <w:r w:rsidRPr="00132FA6">
              <w:rPr>
                <w:spacing w:val="-6"/>
                <w:lang w:val="uk-UA" w:eastAsia="en-US"/>
              </w:rPr>
              <w:t>09</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1,7</w:t>
            </w:r>
            <w:r w:rsidRPr="00132FA6">
              <w:rPr>
                <w:spacing w:val="-6"/>
                <w:lang w:val="uk-UA" w:eastAsia="en-US"/>
              </w:rPr>
              <w:t>5</w:t>
            </w:r>
            <w:r w:rsidRPr="00132FA6">
              <w:rPr>
                <w:spacing w:val="-6"/>
                <w:lang w:eastAsia="en-US"/>
              </w:rPr>
              <w:t>±0,1</w:t>
            </w:r>
            <w:r w:rsidRPr="00132FA6">
              <w:rPr>
                <w:spacing w:val="-6"/>
                <w:lang w:val="uk-UA" w:eastAsia="en-US"/>
              </w:rPr>
              <w:t>0</w:t>
            </w:r>
          </w:p>
          <w:p w:rsidR="00E3259F" w:rsidRPr="00132FA6" w:rsidRDefault="00E3259F">
            <w:pPr>
              <w:spacing w:line="360" w:lineRule="auto"/>
              <w:rPr>
                <w:spacing w:val="-6"/>
                <w:lang w:val="uk-UA" w:eastAsia="en-US"/>
              </w:rPr>
            </w:pPr>
            <w:r w:rsidRPr="00132FA6">
              <w:rPr>
                <w:spacing w:val="-6"/>
                <w:lang w:val="uk-UA" w:eastAsia="en-US"/>
              </w:rPr>
              <w:t>р=0,008</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2,</w:t>
            </w:r>
            <w:r w:rsidRPr="00132FA6">
              <w:rPr>
                <w:spacing w:val="-6"/>
                <w:lang w:val="uk-UA" w:eastAsia="en-US"/>
              </w:rPr>
              <w:t>10</w:t>
            </w:r>
            <w:r w:rsidRPr="00132FA6">
              <w:rPr>
                <w:spacing w:val="-6"/>
                <w:lang w:eastAsia="en-US"/>
              </w:rPr>
              <w:t>±0,</w:t>
            </w:r>
            <w:r w:rsidRPr="00132FA6">
              <w:rPr>
                <w:spacing w:val="-6"/>
                <w:lang w:val="uk-UA" w:eastAsia="en-US"/>
              </w:rPr>
              <w:t>19</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1,9</w:t>
            </w:r>
            <w:r w:rsidRPr="00132FA6">
              <w:rPr>
                <w:spacing w:val="-6"/>
                <w:lang w:val="uk-UA" w:eastAsia="en-US"/>
              </w:rPr>
              <w:t>5</w:t>
            </w:r>
            <w:r w:rsidRPr="00132FA6">
              <w:rPr>
                <w:spacing w:val="-6"/>
                <w:lang w:eastAsia="en-US"/>
              </w:rPr>
              <w:t>±0,</w:t>
            </w:r>
            <w:r w:rsidRPr="00132FA6">
              <w:rPr>
                <w:spacing w:val="-6"/>
                <w:lang w:val="uk-UA" w:eastAsia="en-US"/>
              </w:rPr>
              <w:t>18</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color w:val="000000"/>
                <w:lang w:val="uk-UA" w:eastAsia="en-US"/>
              </w:rPr>
            </w:pPr>
            <w:r w:rsidRPr="00132FA6">
              <w:rPr>
                <w:lang w:val="uk-UA" w:eastAsia="en-US"/>
              </w:rPr>
              <w:t>ХС ЛПДНЩ,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val="uk-UA" w:eastAsia="en-US"/>
              </w:rPr>
              <w:t>0,71±0,05</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val="uk-UA" w:eastAsia="en-US"/>
              </w:rPr>
              <w:t>0,68±0,05</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1,0</w:t>
            </w:r>
            <w:r w:rsidRPr="00132FA6">
              <w:rPr>
                <w:spacing w:val="-6"/>
                <w:lang w:val="uk-UA" w:eastAsia="en-US"/>
              </w:rPr>
              <w:t>8±0</w:t>
            </w:r>
            <w:r w:rsidRPr="00132FA6">
              <w:rPr>
                <w:spacing w:val="-6"/>
                <w:lang w:eastAsia="en-US"/>
              </w:rPr>
              <w:t>,</w:t>
            </w:r>
            <w:r w:rsidRPr="00132FA6">
              <w:rPr>
                <w:spacing w:val="-6"/>
                <w:lang w:val="uk-UA" w:eastAsia="en-US"/>
              </w:rPr>
              <w:t>10</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val="uk-UA" w:eastAsia="en-US"/>
              </w:rPr>
              <w:t>0</w:t>
            </w:r>
            <w:r w:rsidRPr="00132FA6">
              <w:rPr>
                <w:spacing w:val="-6"/>
                <w:lang w:eastAsia="en-US"/>
              </w:rPr>
              <w:t>,72±</w:t>
            </w:r>
            <w:r w:rsidRPr="00132FA6">
              <w:rPr>
                <w:spacing w:val="-6"/>
                <w:lang w:val="uk-UA" w:eastAsia="en-US"/>
              </w:rPr>
              <w:t>0</w:t>
            </w:r>
            <w:r w:rsidRPr="00132FA6">
              <w:rPr>
                <w:spacing w:val="-6"/>
                <w:lang w:eastAsia="en-US"/>
              </w:rPr>
              <w:t>,03</w:t>
            </w:r>
          </w:p>
          <w:p w:rsidR="00E3259F" w:rsidRPr="00132FA6" w:rsidRDefault="00E3259F">
            <w:pPr>
              <w:spacing w:line="360" w:lineRule="auto"/>
              <w:rPr>
                <w:spacing w:val="-6"/>
                <w:lang w:val="uk-UA" w:eastAsia="en-US"/>
              </w:rPr>
            </w:pPr>
            <w:r w:rsidRPr="00132FA6">
              <w:rPr>
                <w:spacing w:val="-6"/>
                <w:lang w:val="uk-UA" w:eastAsia="en-US"/>
              </w:rPr>
              <w:t>р=0,001</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val="uk-UA" w:eastAsia="en-US"/>
              </w:rPr>
              <w:t>0</w:t>
            </w:r>
            <w:r w:rsidRPr="00132FA6">
              <w:rPr>
                <w:spacing w:val="-6"/>
                <w:lang w:eastAsia="en-US"/>
              </w:rPr>
              <w:t>,8</w:t>
            </w:r>
            <w:r w:rsidRPr="00132FA6">
              <w:rPr>
                <w:spacing w:val="-6"/>
                <w:lang w:val="uk-UA" w:eastAsia="en-US"/>
              </w:rPr>
              <w:t>5</w:t>
            </w:r>
            <w:r w:rsidRPr="00132FA6">
              <w:rPr>
                <w:spacing w:val="-6"/>
                <w:lang w:eastAsia="en-US"/>
              </w:rPr>
              <w:t>±</w:t>
            </w:r>
            <w:r w:rsidRPr="00132FA6">
              <w:rPr>
                <w:spacing w:val="-6"/>
                <w:lang w:val="uk-UA" w:eastAsia="en-US"/>
              </w:rPr>
              <w:t>0</w:t>
            </w:r>
            <w:r w:rsidRPr="00132FA6">
              <w:rPr>
                <w:spacing w:val="-6"/>
                <w:lang w:eastAsia="en-US"/>
              </w:rPr>
              <w:t>,0</w:t>
            </w:r>
            <w:r w:rsidRPr="00132FA6">
              <w:rPr>
                <w:spacing w:val="-6"/>
                <w:lang w:val="uk-UA" w:eastAsia="en-US"/>
              </w:rPr>
              <w:t>6</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val="uk-UA" w:eastAsia="en-US"/>
              </w:rPr>
              <w:t>0</w:t>
            </w:r>
            <w:r w:rsidRPr="00132FA6">
              <w:rPr>
                <w:spacing w:val="-6"/>
                <w:lang w:eastAsia="en-US"/>
              </w:rPr>
              <w:t>,</w:t>
            </w:r>
            <w:r w:rsidRPr="00132FA6">
              <w:rPr>
                <w:spacing w:val="-6"/>
                <w:lang w:val="uk-UA" w:eastAsia="en-US"/>
              </w:rPr>
              <w:t>90</w:t>
            </w:r>
            <w:r w:rsidRPr="00132FA6">
              <w:rPr>
                <w:spacing w:val="-6"/>
                <w:lang w:eastAsia="en-US"/>
              </w:rPr>
              <w:t>±</w:t>
            </w:r>
            <w:r w:rsidRPr="00132FA6">
              <w:rPr>
                <w:spacing w:val="-6"/>
                <w:lang w:val="uk-UA" w:eastAsia="en-US"/>
              </w:rPr>
              <w:t>0</w:t>
            </w:r>
            <w:r w:rsidRPr="00132FA6">
              <w:rPr>
                <w:spacing w:val="-6"/>
                <w:lang w:eastAsia="en-US"/>
              </w:rPr>
              <w:t>,08</w:t>
            </w:r>
          </w:p>
        </w:tc>
      </w:tr>
      <w:tr w:rsidR="00E3259F" w:rsidRPr="00132FA6" w:rsidTr="00132FA6">
        <w:tc>
          <w:tcPr>
            <w:tcW w:w="1241"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color w:val="000000"/>
                <w:lang w:val="uk-UA" w:eastAsia="en-US"/>
              </w:rPr>
            </w:pPr>
            <w:r w:rsidRPr="00132FA6">
              <w:rPr>
                <w:lang w:val="uk-UA" w:eastAsia="en-US"/>
              </w:rPr>
              <w:t>ХС ЛПВЩ,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1,4</w:t>
            </w:r>
            <w:r w:rsidRPr="00132FA6">
              <w:rPr>
                <w:spacing w:val="-6"/>
                <w:lang w:val="uk-UA" w:eastAsia="en-US"/>
              </w:rPr>
              <w:t>2</w:t>
            </w:r>
            <w:r w:rsidRPr="00132FA6">
              <w:rPr>
                <w:spacing w:val="-6"/>
                <w:lang w:eastAsia="en-US"/>
              </w:rPr>
              <w:t>±0,0</w:t>
            </w:r>
            <w:r w:rsidRPr="00132FA6">
              <w:rPr>
                <w:spacing w:val="-6"/>
                <w:lang w:val="uk-UA" w:eastAsia="en-US"/>
              </w:rPr>
              <w:t>5</w:t>
            </w:r>
          </w:p>
        </w:tc>
        <w:tc>
          <w:tcPr>
            <w:tcW w:w="1417"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w:t>
            </w:r>
            <w:r w:rsidRPr="00132FA6">
              <w:rPr>
                <w:spacing w:val="-6"/>
                <w:lang w:val="uk-UA" w:eastAsia="en-US"/>
              </w:rPr>
              <w:t>41</w:t>
            </w:r>
            <w:r w:rsidRPr="00132FA6">
              <w:rPr>
                <w:spacing w:val="-6"/>
                <w:lang w:eastAsia="en-US"/>
              </w:rPr>
              <w:t>±0,0</w:t>
            </w:r>
            <w:r w:rsidRPr="00132FA6">
              <w:rPr>
                <w:spacing w:val="-6"/>
                <w:lang w:val="uk-UA" w:eastAsia="en-US"/>
              </w:rPr>
              <w:t>6</w:t>
            </w:r>
          </w:p>
        </w:tc>
        <w:tc>
          <w:tcPr>
            <w:tcW w:w="1418"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w:t>
            </w:r>
            <w:r w:rsidRPr="00132FA6">
              <w:rPr>
                <w:spacing w:val="-6"/>
                <w:lang w:val="uk-UA" w:eastAsia="en-US"/>
              </w:rPr>
              <w:t>10</w:t>
            </w:r>
            <w:r w:rsidRPr="00132FA6">
              <w:rPr>
                <w:spacing w:val="-6"/>
                <w:lang w:eastAsia="en-US"/>
              </w:rPr>
              <w:t>±0,0</w:t>
            </w:r>
            <w:r w:rsidRPr="00132FA6">
              <w:rPr>
                <w:spacing w:val="-6"/>
                <w:lang w:val="uk-UA" w:eastAsia="en-US"/>
              </w:rPr>
              <w:t>2</w:t>
            </w:r>
          </w:p>
        </w:tc>
        <w:tc>
          <w:tcPr>
            <w:tcW w:w="1416"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val="uk-UA" w:eastAsia="en-US"/>
              </w:rPr>
            </w:pPr>
            <w:r w:rsidRPr="00132FA6">
              <w:rPr>
                <w:spacing w:val="-6"/>
                <w:lang w:eastAsia="en-US"/>
              </w:rPr>
              <w:t>1,</w:t>
            </w:r>
            <w:r w:rsidRPr="00132FA6">
              <w:rPr>
                <w:spacing w:val="-6"/>
                <w:lang w:val="uk-UA" w:eastAsia="en-US"/>
              </w:rPr>
              <w:t>28</w:t>
            </w:r>
            <w:r w:rsidRPr="00132FA6">
              <w:rPr>
                <w:spacing w:val="-6"/>
                <w:lang w:eastAsia="en-US"/>
              </w:rPr>
              <w:t>±0,0</w:t>
            </w:r>
            <w:r w:rsidRPr="00132FA6">
              <w:rPr>
                <w:spacing w:val="-6"/>
                <w:lang w:val="uk-UA" w:eastAsia="en-US"/>
              </w:rPr>
              <w:t>4</w:t>
            </w:r>
          </w:p>
          <w:p w:rsidR="00E3259F" w:rsidRPr="00132FA6" w:rsidRDefault="00E3259F">
            <w:pPr>
              <w:spacing w:line="360" w:lineRule="auto"/>
              <w:rPr>
                <w:spacing w:val="-6"/>
                <w:lang w:val="uk-UA" w:eastAsia="en-US"/>
              </w:rPr>
            </w:pPr>
            <w:r w:rsidRPr="00132FA6">
              <w:rPr>
                <w:spacing w:val="-6"/>
                <w:lang w:val="uk-UA" w:eastAsia="en-US"/>
              </w:rPr>
              <w:t>р=0,001</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1,</w:t>
            </w:r>
            <w:r w:rsidRPr="00132FA6">
              <w:rPr>
                <w:spacing w:val="-6"/>
                <w:lang w:val="uk-UA" w:eastAsia="en-US"/>
              </w:rPr>
              <w:t>34</w:t>
            </w:r>
            <w:r w:rsidRPr="00132FA6">
              <w:rPr>
                <w:spacing w:val="-6"/>
                <w:lang w:eastAsia="en-US"/>
              </w:rPr>
              <w:t>±0,</w:t>
            </w:r>
            <w:r w:rsidRPr="00132FA6">
              <w:rPr>
                <w:spacing w:val="-6"/>
                <w:lang w:val="uk-UA" w:eastAsia="en-US"/>
              </w:rPr>
              <w:t>07</w:t>
            </w:r>
          </w:p>
        </w:tc>
        <w:tc>
          <w:tcPr>
            <w:tcW w:w="1259" w:type="dxa"/>
            <w:tcBorders>
              <w:top w:val="single" w:sz="4" w:space="0" w:color="auto"/>
              <w:left w:val="single" w:sz="4" w:space="0" w:color="auto"/>
              <w:bottom w:val="single" w:sz="4" w:space="0" w:color="auto"/>
              <w:right w:val="single" w:sz="4" w:space="0" w:color="auto"/>
            </w:tcBorders>
            <w:hideMark/>
          </w:tcPr>
          <w:p w:rsidR="00E3259F" w:rsidRPr="00132FA6" w:rsidRDefault="00E3259F">
            <w:pPr>
              <w:spacing w:line="360" w:lineRule="auto"/>
              <w:rPr>
                <w:spacing w:val="-6"/>
                <w:lang w:eastAsia="en-US"/>
              </w:rPr>
            </w:pPr>
            <w:r w:rsidRPr="00132FA6">
              <w:rPr>
                <w:spacing w:val="-6"/>
                <w:lang w:eastAsia="en-US"/>
              </w:rPr>
              <w:t>1,2</w:t>
            </w:r>
            <w:r w:rsidRPr="00132FA6">
              <w:rPr>
                <w:spacing w:val="-6"/>
                <w:lang w:val="uk-UA" w:eastAsia="en-US"/>
              </w:rPr>
              <w:t>3</w:t>
            </w:r>
            <w:r w:rsidRPr="00132FA6">
              <w:rPr>
                <w:spacing w:val="-6"/>
                <w:lang w:eastAsia="en-US"/>
              </w:rPr>
              <w:t>±0,04</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val="uk-UA" w:eastAsia="en-US"/>
              </w:rPr>
              <w:t>ХС ЛПНЩ,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3,</w:t>
            </w:r>
            <w:r>
              <w:rPr>
                <w:spacing w:val="-6"/>
                <w:lang w:val="uk-UA" w:eastAsia="en-US"/>
              </w:rPr>
              <w:t>6</w:t>
            </w:r>
            <w:r>
              <w:rPr>
                <w:spacing w:val="-6"/>
                <w:lang w:eastAsia="en-US"/>
              </w:rPr>
              <w:t>7 ±0,</w:t>
            </w:r>
            <w:r>
              <w:rPr>
                <w:spacing w:val="-6"/>
                <w:lang w:val="uk-UA" w:eastAsia="en-US"/>
              </w:rPr>
              <w:t>19</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3,</w:t>
            </w:r>
            <w:r>
              <w:rPr>
                <w:spacing w:val="-6"/>
                <w:lang w:val="uk-UA" w:eastAsia="en-US"/>
              </w:rPr>
              <w:t>87</w:t>
            </w:r>
            <w:r>
              <w:rPr>
                <w:spacing w:val="-6"/>
                <w:lang w:eastAsia="en-US"/>
              </w:rPr>
              <w:t>±0,</w:t>
            </w:r>
            <w:r>
              <w:rPr>
                <w:spacing w:val="-6"/>
                <w:lang w:val="uk-UA" w:eastAsia="en-US"/>
              </w:rPr>
              <w:t>21</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3,0</w:t>
            </w:r>
            <w:r>
              <w:rPr>
                <w:spacing w:val="-6"/>
                <w:lang w:val="uk-UA" w:eastAsia="en-US"/>
              </w:rPr>
              <w:t>1</w:t>
            </w:r>
            <w:r>
              <w:rPr>
                <w:spacing w:val="-6"/>
                <w:lang w:eastAsia="en-US"/>
              </w:rPr>
              <w:t>±0,</w:t>
            </w:r>
            <w:r>
              <w:rPr>
                <w:spacing w:val="-6"/>
                <w:lang w:val="uk-UA" w:eastAsia="en-US"/>
              </w:rPr>
              <w:t>13</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3,</w:t>
            </w:r>
            <w:r>
              <w:rPr>
                <w:spacing w:val="-6"/>
                <w:lang w:val="uk-UA" w:eastAsia="en-US"/>
              </w:rPr>
              <w:t>33</w:t>
            </w:r>
            <w:r>
              <w:rPr>
                <w:spacing w:val="-6"/>
                <w:lang w:eastAsia="en-US"/>
              </w:rPr>
              <w:t>±</w:t>
            </w:r>
            <w:r>
              <w:rPr>
                <w:spacing w:val="-6"/>
                <w:lang w:val="uk-UA" w:eastAsia="en-US"/>
              </w:rPr>
              <w:t>0</w:t>
            </w:r>
            <w:r>
              <w:rPr>
                <w:spacing w:val="-6"/>
                <w:lang w:eastAsia="en-US"/>
              </w:rPr>
              <w:t>,</w:t>
            </w:r>
            <w:r>
              <w:rPr>
                <w:spacing w:val="-6"/>
                <w:lang w:val="uk-UA" w:eastAsia="en-US"/>
              </w:rPr>
              <w:t>15</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3,</w:t>
            </w:r>
            <w:r>
              <w:rPr>
                <w:spacing w:val="-6"/>
                <w:lang w:val="uk-UA" w:eastAsia="en-US"/>
              </w:rPr>
              <w:t>56</w:t>
            </w:r>
            <w:r>
              <w:rPr>
                <w:spacing w:val="-6"/>
                <w:lang w:eastAsia="en-US"/>
              </w:rPr>
              <w:t>±0,</w:t>
            </w:r>
            <w:r>
              <w:rPr>
                <w:spacing w:val="-6"/>
                <w:lang w:val="uk-UA" w:eastAsia="en-US"/>
              </w:rPr>
              <w:t>18</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3,5</w:t>
            </w:r>
            <w:r>
              <w:rPr>
                <w:spacing w:val="-6"/>
                <w:lang w:val="uk-UA" w:eastAsia="en-US"/>
              </w:rPr>
              <w:t>2</w:t>
            </w:r>
            <w:r>
              <w:rPr>
                <w:spacing w:val="-6"/>
                <w:lang w:eastAsia="en-US"/>
              </w:rPr>
              <w:t>±0,1</w:t>
            </w:r>
            <w:r>
              <w:rPr>
                <w:spacing w:val="-6"/>
                <w:lang w:val="uk-UA" w:eastAsia="en-US"/>
              </w:rPr>
              <w:t>4</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Глюкоза</w:t>
            </w:r>
            <w:r>
              <w:rPr>
                <w:lang w:val="uk-UA" w:eastAsia="en-US"/>
              </w:rPr>
              <w:t xml:space="preserve"> натще, ммоль/л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5,</w:t>
            </w:r>
            <w:r>
              <w:rPr>
                <w:spacing w:val="-6"/>
                <w:lang w:val="uk-UA" w:eastAsia="en-US"/>
              </w:rPr>
              <w:t>41</w:t>
            </w:r>
            <w:r>
              <w:rPr>
                <w:spacing w:val="-6"/>
                <w:lang w:eastAsia="en-US"/>
              </w:rPr>
              <w:t>±0,</w:t>
            </w:r>
            <w:r>
              <w:rPr>
                <w:spacing w:val="-6"/>
                <w:lang w:val="uk-UA" w:eastAsia="en-US"/>
              </w:rPr>
              <w:t>10</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5,</w:t>
            </w:r>
            <w:r>
              <w:rPr>
                <w:spacing w:val="-6"/>
                <w:lang w:val="uk-UA" w:eastAsia="en-US"/>
              </w:rPr>
              <w:t>41</w:t>
            </w:r>
            <w:r>
              <w:rPr>
                <w:spacing w:val="-6"/>
                <w:lang w:eastAsia="en-US"/>
              </w:rPr>
              <w:t>±0,</w:t>
            </w:r>
            <w:r>
              <w:rPr>
                <w:spacing w:val="-6"/>
                <w:lang w:val="uk-UA" w:eastAsia="en-US"/>
              </w:rPr>
              <w:t>08</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8,</w:t>
            </w:r>
            <w:r>
              <w:rPr>
                <w:spacing w:val="-6"/>
                <w:lang w:val="uk-UA" w:eastAsia="en-US"/>
              </w:rPr>
              <w:t>24</w:t>
            </w:r>
            <w:r>
              <w:rPr>
                <w:spacing w:val="-6"/>
                <w:lang w:eastAsia="en-US"/>
              </w:rPr>
              <w:t>±0,</w:t>
            </w:r>
            <w:r>
              <w:rPr>
                <w:spacing w:val="-6"/>
                <w:lang w:val="uk-UA" w:eastAsia="en-US"/>
              </w:rPr>
              <w:t>37</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8</w:t>
            </w:r>
            <w:r>
              <w:rPr>
                <w:spacing w:val="-6"/>
                <w:lang w:eastAsia="en-US"/>
              </w:rPr>
              <w:t>,</w:t>
            </w:r>
            <w:r>
              <w:rPr>
                <w:spacing w:val="-6"/>
                <w:lang w:val="uk-UA" w:eastAsia="en-US"/>
              </w:rPr>
              <w:t>91</w:t>
            </w:r>
            <w:r>
              <w:rPr>
                <w:spacing w:val="-6"/>
                <w:lang w:eastAsia="en-US"/>
              </w:rPr>
              <w:t>±0,</w:t>
            </w:r>
            <w:r>
              <w:rPr>
                <w:spacing w:val="-6"/>
                <w:lang w:val="uk-UA" w:eastAsia="en-US"/>
              </w:rPr>
              <w:t>33</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6,</w:t>
            </w:r>
            <w:r>
              <w:rPr>
                <w:spacing w:val="-6"/>
                <w:lang w:val="uk-UA" w:eastAsia="en-US"/>
              </w:rPr>
              <w:t>75</w:t>
            </w:r>
            <w:r>
              <w:rPr>
                <w:spacing w:val="-6"/>
                <w:lang w:eastAsia="en-US"/>
              </w:rPr>
              <w:t>±0,</w:t>
            </w:r>
            <w:r>
              <w:rPr>
                <w:spacing w:val="-6"/>
                <w:lang w:val="uk-UA" w:eastAsia="en-US"/>
              </w:rPr>
              <w:t>34</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val="uk-UA" w:eastAsia="en-US"/>
              </w:rPr>
              <w:t>7</w:t>
            </w:r>
            <w:r>
              <w:rPr>
                <w:spacing w:val="-6"/>
                <w:lang w:eastAsia="en-US"/>
              </w:rPr>
              <w:t>,</w:t>
            </w:r>
            <w:r>
              <w:rPr>
                <w:spacing w:val="-6"/>
                <w:lang w:val="uk-UA" w:eastAsia="en-US"/>
              </w:rPr>
              <w:t>12</w:t>
            </w:r>
            <w:r>
              <w:rPr>
                <w:spacing w:val="-6"/>
                <w:lang w:eastAsia="en-US"/>
              </w:rPr>
              <w:t>±0,3</w:t>
            </w:r>
            <w:r>
              <w:rPr>
                <w:spacing w:val="-6"/>
                <w:lang w:val="uk-UA" w:eastAsia="en-US"/>
              </w:rPr>
              <w:t>0</w:t>
            </w:r>
          </w:p>
        </w:tc>
      </w:tr>
      <w:tr w:rsidR="00E3259F" w:rsidTr="00132FA6">
        <w:trPr>
          <w:trHeight w:val="613"/>
        </w:trPr>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HbA1</w:t>
            </w:r>
            <w:r>
              <w:rPr>
                <w:lang w:val="uk-UA" w:eastAsia="en-US"/>
              </w:rPr>
              <w:t>с,%</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6,</w:t>
            </w:r>
            <w:r>
              <w:rPr>
                <w:spacing w:val="-6"/>
                <w:lang w:val="uk-UA" w:eastAsia="en-US"/>
              </w:rPr>
              <w:t>20</w:t>
            </w:r>
            <w:r>
              <w:rPr>
                <w:spacing w:val="-6"/>
                <w:lang w:eastAsia="en-US"/>
              </w:rPr>
              <w:t>±0,</w:t>
            </w:r>
            <w:r>
              <w:rPr>
                <w:spacing w:val="-6"/>
                <w:lang w:val="uk-UA" w:eastAsia="en-US"/>
              </w:rPr>
              <w:t>10</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6,02±0,</w:t>
            </w:r>
            <w:r>
              <w:rPr>
                <w:spacing w:val="-6"/>
                <w:lang w:val="uk-UA" w:eastAsia="en-US"/>
              </w:rPr>
              <w:t>09</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7,</w:t>
            </w:r>
            <w:r>
              <w:rPr>
                <w:spacing w:val="-6"/>
                <w:lang w:val="uk-UA" w:eastAsia="en-US"/>
              </w:rPr>
              <w:t>41</w:t>
            </w:r>
            <w:r>
              <w:rPr>
                <w:spacing w:val="-6"/>
                <w:lang w:eastAsia="en-US"/>
              </w:rPr>
              <w:t>±0,</w:t>
            </w:r>
            <w:r>
              <w:rPr>
                <w:spacing w:val="-6"/>
                <w:lang w:val="uk-UA" w:eastAsia="en-US"/>
              </w:rPr>
              <w:t>16</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7,6</w:t>
            </w:r>
            <w:r>
              <w:rPr>
                <w:spacing w:val="-6"/>
                <w:lang w:val="uk-UA" w:eastAsia="en-US"/>
              </w:rPr>
              <w:t>6</w:t>
            </w:r>
            <w:r>
              <w:rPr>
                <w:spacing w:val="-6"/>
                <w:lang w:eastAsia="en-US"/>
              </w:rPr>
              <w:t>±</w:t>
            </w:r>
            <w:r>
              <w:rPr>
                <w:spacing w:val="-6"/>
                <w:lang w:val="uk-UA" w:eastAsia="en-US"/>
              </w:rPr>
              <w:t>0</w:t>
            </w:r>
            <w:r>
              <w:rPr>
                <w:spacing w:val="-6"/>
                <w:lang w:eastAsia="en-US"/>
              </w:rPr>
              <w:t>,</w:t>
            </w:r>
            <w:r>
              <w:rPr>
                <w:spacing w:val="-6"/>
                <w:lang w:val="uk-UA" w:eastAsia="en-US"/>
              </w:rPr>
              <w:t>14</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7,1</w:t>
            </w:r>
            <w:r>
              <w:rPr>
                <w:spacing w:val="-6"/>
                <w:lang w:val="uk-UA" w:eastAsia="en-US"/>
              </w:rPr>
              <w:t>1</w:t>
            </w:r>
            <w:r>
              <w:rPr>
                <w:spacing w:val="-6"/>
                <w:lang w:eastAsia="en-US"/>
              </w:rPr>
              <w:t>±0,</w:t>
            </w:r>
            <w:r>
              <w:rPr>
                <w:spacing w:val="-6"/>
                <w:lang w:val="uk-UA" w:eastAsia="en-US"/>
              </w:rPr>
              <w:t>18</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7,2</w:t>
            </w:r>
            <w:r>
              <w:rPr>
                <w:spacing w:val="-6"/>
                <w:lang w:val="uk-UA" w:eastAsia="en-US"/>
              </w:rPr>
              <w:t>4</w:t>
            </w:r>
            <w:r>
              <w:rPr>
                <w:spacing w:val="-6"/>
                <w:lang w:eastAsia="en-US"/>
              </w:rPr>
              <w:t>±0,1</w:t>
            </w:r>
            <w:r>
              <w:rPr>
                <w:spacing w:val="-6"/>
                <w:lang w:val="uk-UA" w:eastAsia="en-US"/>
              </w:rPr>
              <w:t>3</w:t>
            </w:r>
          </w:p>
        </w:tc>
      </w:tr>
    </w:tbl>
    <w:p w:rsidR="00132FA6" w:rsidRDefault="00132FA6">
      <w:pPr>
        <w:rPr>
          <w:lang w:val="uk-UA"/>
        </w:rPr>
      </w:pPr>
    </w:p>
    <w:p w:rsidR="00132FA6" w:rsidRDefault="00132FA6">
      <w:pPr>
        <w:rPr>
          <w:lang w:val="uk-UA"/>
        </w:rPr>
      </w:pPr>
    </w:p>
    <w:p w:rsidR="00132FA6" w:rsidRDefault="00132FA6">
      <w:pPr>
        <w:rPr>
          <w:lang w:val="uk-UA"/>
        </w:rPr>
      </w:pPr>
    </w:p>
    <w:p w:rsidR="00132FA6" w:rsidRPr="00132FA6" w:rsidRDefault="00132FA6" w:rsidP="00132FA6">
      <w:pPr>
        <w:jc w:val="right"/>
        <w:rPr>
          <w:lang w:val="uk-UA"/>
        </w:rPr>
      </w:pPr>
      <w:r>
        <w:rPr>
          <w:i/>
          <w:spacing w:val="-2"/>
          <w:sz w:val="28"/>
          <w:szCs w:val="28"/>
        </w:rPr>
        <w:t>Продовження табл. 3.</w:t>
      </w:r>
      <w:r>
        <w:rPr>
          <w:i/>
          <w:spacing w:val="-2"/>
          <w:sz w:val="28"/>
          <w:szCs w:val="28"/>
          <w:lang w:val="uk-UA"/>
        </w:rPr>
        <w:t>7</w:t>
      </w:r>
    </w:p>
    <w:tbl>
      <w:tblPr>
        <w:tblW w:w="9570" w:type="dxa"/>
        <w:tblLayout w:type="fixed"/>
        <w:tblLook w:val="04A0" w:firstRow="1" w:lastRow="0" w:firstColumn="1" w:lastColumn="0" w:noHBand="0" w:noVBand="1"/>
      </w:tblPr>
      <w:tblGrid>
        <w:gridCol w:w="1241"/>
        <w:gridCol w:w="1560"/>
        <w:gridCol w:w="1417"/>
        <w:gridCol w:w="1418"/>
        <w:gridCol w:w="1416"/>
        <w:gridCol w:w="1259"/>
        <w:gridCol w:w="1259"/>
      </w:tblGrid>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val="uk-UA" w:eastAsia="en-US"/>
              </w:rPr>
              <w:t>І</w:t>
            </w:r>
            <w:r>
              <w:rPr>
                <w:lang w:eastAsia="en-US"/>
              </w:rPr>
              <w:t>нсул</w:t>
            </w:r>
            <w:r>
              <w:rPr>
                <w:lang w:val="uk-UA" w:eastAsia="en-US"/>
              </w:rPr>
              <w:t>і</w:t>
            </w:r>
            <w:r>
              <w:rPr>
                <w:lang w:eastAsia="en-US"/>
              </w:rPr>
              <w:t xml:space="preserve">н </w:t>
            </w:r>
            <w:r>
              <w:rPr>
                <w:lang w:val="uk-UA" w:eastAsia="en-US"/>
              </w:rPr>
              <w:t>натще</w:t>
            </w:r>
            <w:r>
              <w:rPr>
                <w:lang w:eastAsia="en-US"/>
              </w:rPr>
              <w:t>, мкМ</w:t>
            </w:r>
            <w:r>
              <w:rPr>
                <w:lang w:val="uk-UA" w:eastAsia="en-US"/>
              </w:rPr>
              <w:t>О</w:t>
            </w:r>
            <w:r>
              <w:rPr>
                <w:lang w:eastAsia="en-US"/>
              </w:rPr>
              <w:t>/мл</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19</w:t>
            </w:r>
            <w:r>
              <w:rPr>
                <w:spacing w:val="-6"/>
                <w:lang w:eastAsia="en-US"/>
              </w:rPr>
              <w:t>,</w:t>
            </w:r>
            <w:r>
              <w:rPr>
                <w:spacing w:val="-6"/>
                <w:lang w:val="uk-UA" w:eastAsia="en-US"/>
              </w:rPr>
              <w:t>05</w:t>
            </w:r>
            <w:r>
              <w:rPr>
                <w:spacing w:val="-6"/>
                <w:lang w:eastAsia="en-US"/>
              </w:rPr>
              <w:t>±</w:t>
            </w:r>
            <w:r>
              <w:rPr>
                <w:spacing w:val="-6"/>
                <w:lang w:val="uk-UA" w:eastAsia="en-US"/>
              </w:rPr>
              <w:t>1</w:t>
            </w:r>
            <w:r>
              <w:rPr>
                <w:spacing w:val="-6"/>
                <w:lang w:eastAsia="en-US"/>
              </w:rPr>
              <w:t>,</w:t>
            </w:r>
            <w:r>
              <w:rPr>
                <w:spacing w:val="-6"/>
                <w:lang w:val="uk-UA" w:eastAsia="en-US"/>
              </w:rPr>
              <w:t>92</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1</w:t>
            </w:r>
            <w:r>
              <w:rPr>
                <w:spacing w:val="-6"/>
                <w:lang w:val="uk-UA" w:eastAsia="en-US"/>
              </w:rPr>
              <w:t>7</w:t>
            </w:r>
            <w:r>
              <w:rPr>
                <w:spacing w:val="-6"/>
                <w:lang w:eastAsia="en-US"/>
              </w:rPr>
              <w:t>,</w:t>
            </w:r>
            <w:r>
              <w:rPr>
                <w:spacing w:val="-6"/>
                <w:lang w:val="uk-UA" w:eastAsia="en-US"/>
              </w:rPr>
              <w:t>02</w:t>
            </w:r>
            <w:r>
              <w:rPr>
                <w:spacing w:val="-6"/>
                <w:lang w:eastAsia="en-US"/>
              </w:rPr>
              <w:t>±</w:t>
            </w:r>
            <w:r>
              <w:rPr>
                <w:spacing w:val="-6"/>
                <w:lang w:val="uk-UA" w:eastAsia="en-US"/>
              </w:rPr>
              <w:t>1</w:t>
            </w:r>
            <w:r>
              <w:rPr>
                <w:spacing w:val="-6"/>
                <w:lang w:eastAsia="en-US"/>
              </w:rPr>
              <w:t>,</w:t>
            </w:r>
            <w:r>
              <w:rPr>
                <w:spacing w:val="-6"/>
                <w:lang w:val="uk-UA" w:eastAsia="en-US"/>
              </w:rPr>
              <w:t>12</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2</w:t>
            </w:r>
            <w:r>
              <w:rPr>
                <w:spacing w:val="-6"/>
                <w:lang w:val="uk-UA" w:eastAsia="en-US"/>
              </w:rPr>
              <w:t>6</w:t>
            </w:r>
            <w:r>
              <w:rPr>
                <w:spacing w:val="-6"/>
                <w:lang w:eastAsia="en-US"/>
              </w:rPr>
              <w:t>,</w:t>
            </w:r>
            <w:r>
              <w:rPr>
                <w:spacing w:val="-6"/>
                <w:lang w:val="uk-UA" w:eastAsia="en-US"/>
              </w:rPr>
              <w:t>38</w:t>
            </w:r>
            <w:r>
              <w:rPr>
                <w:spacing w:val="-6"/>
                <w:lang w:eastAsia="en-US"/>
              </w:rPr>
              <w:t>±</w:t>
            </w:r>
            <w:r>
              <w:rPr>
                <w:spacing w:val="-6"/>
                <w:lang w:val="uk-UA" w:eastAsia="en-US"/>
              </w:rPr>
              <w:t>2</w:t>
            </w:r>
            <w:r>
              <w:rPr>
                <w:spacing w:val="-6"/>
                <w:lang w:eastAsia="en-US"/>
              </w:rPr>
              <w:t>,</w:t>
            </w:r>
            <w:r>
              <w:rPr>
                <w:spacing w:val="-6"/>
                <w:lang w:val="uk-UA" w:eastAsia="en-US"/>
              </w:rPr>
              <w:t>41</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val="uk-UA" w:eastAsia="en-US"/>
              </w:rPr>
              <w:t>20</w:t>
            </w:r>
            <w:r>
              <w:rPr>
                <w:spacing w:val="-6"/>
                <w:lang w:eastAsia="en-US"/>
              </w:rPr>
              <w:t>,</w:t>
            </w:r>
            <w:r>
              <w:rPr>
                <w:spacing w:val="-6"/>
                <w:lang w:val="uk-UA" w:eastAsia="en-US"/>
              </w:rPr>
              <w:t>55</w:t>
            </w:r>
            <w:r>
              <w:rPr>
                <w:spacing w:val="-6"/>
                <w:lang w:eastAsia="en-US"/>
              </w:rPr>
              <w:t>±</w:t>
            </w:r>
            <w:r>
              <w:rPr>
                <w:spacing w:val="-6"/>
                <w:lang w:val="uk-UA" w:eastAsia="en-US"/>
              </w:rPr>
              <w:t>1</w:t>
            </w:r>
            <w:r>
              <w:rPr>
                <w:spacing w:val="-6"/>
                <w:lang w:eastAsia="en-US"/>
              </w:rPr>
              <w:t>,</w:t>
            </w:r>
            <w:r>
              <w:rPr>
                <w:spacing w:val="-6"/>
                <w:lang w:val="uk-UA" w:eastAsia="en-US"/>
              </w:rPr>
              <w:t>23</w:t>
            </w:r>
          </w:p>
          <w:p w:rsidR="00E3259F" w:rsidRDefault="00E3259F">
            <w:pPr>
              <w:spacing w:line="360" w:lineRule="auto"/>
              <w:rPr>
                <w:spacing w:val="-6"/>
                <w:lang w:val="uk-UA" w:eastAsia="en-US"/>
              </w:rPr>
            </w:pPr>
            <w:r>
              <w:rPr>
                <w:spacing w:val="-6"/>
                <w:lang w:val="uk-UA" w:eastAsia="en-US"/>
              </w:rPr>
              <w:t>р=0,034</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19,</w:t>
            </w:r>
            <w:r>
              <w:rPr>
                <w:spacing w:val="-6"/>
                <w:lang w:val="uk-UA" w:eastAsia="en-US"/>
              </w:rPr>
              <w:t>71</w:t>
            </w:r>
            <w:r>
              <w:rPr>
                <w:spacing w:val="-6"/>
                <w:lang w:eastAsia="en-US"/>
              </w:rPr>
              <w:t>±1,</w:t>
            </w:r>
            <w:r>
              <w:rPr>
                <w:spacing w:val="-6"/>
                <w:lang w:val="uk-UA" w:eastAsia="en-US"/>
              </w:rPr>
              <w:t>23</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20,</w:t>
            </w:r>
            <w:r>
              <w:rPr>
                <w:spacing w:val="-6"/>
                <w:lang w:val="uk-UA" w:eastAsia="en-US"/>
              </w:rPr>
              <w:t>69</w:t>
            </w:r>
            <w:r>
              <w:rPr>
                <w:spacing w:val="-6"/>
                <w:lang w:eastAsia="en-US"/>
              </w:rPr>
              <w:t>±</w:t>
            </w:r>
            <w:r>
              <w:rPr>
                <w:spacing w:val="-6"/>
                <w:lang w:val="uk-UA" w:eastAsia="en-US"/>
              </w:rPr>
              <w:t>1</w:t>
            </w:r>
            <w:r>
              <w:rPr>
                <w:spacing w:val="-6"/>
                <w:lang w:eastAsia="en-US"/>
              </w:rPr>
              <w:t>,</w:t>
            </w:r>
            <w:r>
              <w:rPr>
                <w:spacing w:val="-6"/>
                <w:lang w:val="uk-UA" w:eastAsia="en-US"/>
              </w:rPr>
              <w:t>52</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НОМА</w:t>
            </w:r>
            <w:r>
              <w:rPr>
                <w:lang w:val="uk-UA" w:eastAsia="en-US"/>
              </w:rPr>
              <w:t xml:space="preserve">- </w:t>
            </w:r>
            <w:r>
              <w:rPr>
                <w:lang w:val="en-US" w:eastAsia="en-US"/>
              </w:rPr>
              <w:t>IR</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4</w:t>
            </w:r>
            <w:r>
              <w:rPr>
                <w:spacing w:val="-6"/>
                <w:lang w:eastAsia="en-US"/>
              </w:rPr>
              <w:t>,</w:t>
            </w:r>
            <w:r>
              <w:rPr>
                <w:spacing w:val="-6"/>
                <w:lang w:val="uk-UA" w:eastAsia="en-US"/>
              </w:rPr>
              <w:t>65</w:t>
            </w:r>
            <w:r>
              <w:rPr>
                <w:spacing w:val="-6"/>
                <w:lang w:eastAsia="en-US"/>
              </w:rPr>
              <w:t>±</w:t>
            </w:r>
            <w:r>
              <w:rPr>
                <w:spacing w:val="-6"/>
                <w:lang w:val="uk-UA" w:eastAsia="en-US"/>
              </w:rPr>
              <w:t>0</w:t>
            </w:r>
            <w:r>
              <w:rPr>
                <w:spacing w:val="-6"/>
                <w:lang w:eastAsia="en-US"/>
              </w:rPr>
              <w:t>,</w:t>
            </w:r>
            <w:r>
              <w:rPr>
                <w:spacing w:val="-6"/>
                <w:lang w:val="uk-UA" w:eastAsia="en-US"/>
              </w:rPr>
              <w:t>51</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4</w:t>
            </w:r>
            <w:r>
              <w:rPr>
                <w:spacing w:val="-6"/>
                <w:lang w:eastAsia="en-US"/>
              </w:rPr>
              <w:t>,</w:t>
            </w:r>
            <w:r>
              <w:rPr>
                <w:spacing w:val="-6"/>
                <w:lang w:val="uk-UA" w:eastAsia="en-US"/>
              </w:rPr>
              <w:t>10</w:t>
            </w:r>
            <w:r>
              <w:rPr>
                <w:spacing w:val="-6"/>
                <w:lang w:eastAsia="en-US"/>
              </w:rPr>
              <w:t>±0,</w:t>
            </w:r>
            <w:r>
              <w:rPr>
                <w:spacing w:val="-6"/>
                <w:lang w:val="uk-UA" w:eastAsia="en-US"/>
              </w:rPr>
              <w:t>30</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8,88±</w:t>
            </w:r>
            <w:r>
              <w:rPr>
                <w:spacing w:val="-6"/>
                <w:lang w:val="uk-UA" w:eastAsia="en-US"/>
              </w:rPr>
              <w:t>0</w:t>
            </w:r>
            <w:r>
              <w:rPr>
                <w:spacing w:val="-6"/>
                <w:lang w:eastAsia="en-US"/>
              </w:rPr>
              <w:t>,</w:t>
            </w:r>
            <w:r>
              <w:rPr>
                <w:spacing w:val="-6"/>
                <w:lang w:val="uk-UA" w:eastAsia="en-US"/>
              </w:rPr>
              <w:t>64</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7,9</w:t>
            </w:r>
            <w:r>
              <w:rPr>
                <w:spacing w:val="-6"/>
                <w:lang w:val="uk-UA" w:eastAsia="en-US"/>
              </w:rPr>
              <w:t>1</w:t>
            </w:r>
            <w:r>
              <w:rPr>
                <w:spacing w:val="-6"/>
                <w:lang w:eastAsia="en-US"/>
              </w:rPr>
              <w:t>±0,</w:t>
            </w:r>
            <w:r>
              <w:rPr>
                <w:spacing w:val="-6"/>
                <w:lang w:val="uk-UA" w:eastAsia="en-US"/>
              </w:rPr>
              <w:t>42</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val="uk-UA" w:eastAsia="en-US"/>
              </w:rPr>
              <w:t>5</w:t>
            </w:r>
            <w:r>
              <w:rPr>
                <w:spacing w:val="-6"/>
                <w:lang w:eastAsia="en-US"/>
              </w:rPr>
              <w:t>,</w:t>
            </w:r>
            <w:r>
              <w:rPr>
                <w:spacing w:val="-6"/>
                <w:lang w:val="uk-UA" w:eastAsia="en-US"/>
              </w:rPr>
              <w:t>82</w:t>
            </w:r>
            <w:r>
              <w:rPr>
                <w:spacing w:val="-6"/>
                <w:lang w:eastAsia="en-US"/>
              </w:rPr>
              <w:t>±0,</w:t>
            </w:r>
            <w:r>
              <w:rPr>
                <w:spacing w:val="-6"/>
                <w:lang w:val="uk-UA" w:eastAsia="en-US"/>
              </w:rPr>
              <w:t>50</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6,</w:t>
            </w:r>
            <w:r>
              <w:rPr>
                <w:spacing w:val="-6"/>
                <w:lang w:val="uk-UA" w:eastAsia="en-US"/>
              </w:rPr>
              <w:t>81</w:t>
            </w:r>
            <w:r>
              <w:rPr>
                <w:spacing w:val="-6"/>
                <w:lang w:eastAsia="en-US"/>
              </w:rPr>
              <w:t>±0,</w:t>
            </w:r>
            <w:r>
              <w:rPr>
                <w:spacing w:val="-6"/>
                <w:lang w:val="uk-UA" w:eastAsia="en-US"/>
              </w:rPr>
              <w:t>64</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ТТ</w:t>
            </w:r>
            <w:r>
              <w:rPr>
                <w:lang w:val="uk-UA" w:eastAsia="en-US"/>
              </w:rPr>
              <w:t>Г</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2,</w:t>
            </w:r>
            <w:r>
              <w:rPr>
                <w:spacing w:val="-6"/>
                <w:lang w:val="uk-UA" w:eastAsia="en-US"/>
              </w:rPr>
              <w:t>72</w:t>
            </w:r>
            <w:r>
              <w:rPr>
                <w:spacing w:val="-6"/>
                <w:lang w:eastAsia="en-US"/>
              </w:rPr>
              <w:t>±0,</w:t>
            </w:r>
            <w:r>
              <w:rPr>
                <w:spacing w:val="-6"/>
                <w:lang w:val="uk-UA" w:eastAsia="en-US"/>
              </w:rPr>
              <w:t>16</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2,</w:t>
            </w:r>
            <w:r>
              <w:rPr>
                <w:spacing w:val="-6"/>
                <w:lang w:val="uk-UA" w:eastAsia="en-US"/>
              </w:rPr>
              <w:t>76</w:t>
            </w:r>
            <w:r>
              <w:rPr>
                <w:spacing w:val="-6"/>
                <w:lang w:eastAsia="en-US"/>
              </w:rPr>
              <w:t>±</w:t>
            </w:r>
            <w:r>
              <w:rPr>
                <w:spacing w:val="-6"/>
                <w:lang w:val="uk-UA" w:eastAsia="en-US"/>
              </w:rPr>
              <w:t>0</w:t>
            </w:r>
            <w:r>
              <w:rPr>
                <w:spacing w:val="-6"/>
                <w:lang w:eastAsia="en-US"/>
              </w:rPr>
              <w:t>,</w:t>
            </w:r>
            <w:r>
              <w:rPr>
                <w:spacing w:val="-6"/>
                <w:lang w:val="uk-UA" w:eastAsia="en-US"/>
              </w:rPr>
              <w:t>1</w:t>
            </w:r>
            <w:r>
              <w:rPr>
                <w:spacing w:val="-6"/>
                <w:lang w:eastAsia="en-US"/>
              </w:rPr>
              <w:t>2</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2,</w:t>
            </w:r>
            <w:r>
              <w:rPr>
                <w:spacing w:val="-6"/>
                <w:lang w:val="uk-UA" w:eastAsia="en-US"/>
              </w:rPr>
              <w:t>7</w:t>
            </w:r>
            <w:r>
              <w:rPr>
                <w:spacing w:val="-6"/>
                <w:lang w:eastAsia="en-US"/>
              </w:rPr>
              <w:t>7±0,</w:t>
            </w:r>
            <w:r>
              <w:rPr>
                <w:spacing w:val="-6"/>
                <w:lang w:val="uk-UA" w:eastAsia="en-US"/>
              </w:rPr>
              <w:t>14 р=0,013</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2,</w:t>
            </w:r>
            <w:r>
              <w:rPr>
                <w:spacing w:val="-6"/>
                <w:lang w:val="uk-UA" w:eastAsia="en-US"/>
              </w:rPr>
              <w:t>28</w:t>
            </w:r>
            <w:r>
              <w:rPr>
                <w:spacing w:val="-6"/>
                <w:lang w:eastAsia="en-US"/>
              </w:rPr>
              <w:t>±0,</w:t>
            </w:r>
            <w:r>
              <w:rPr>
                <w:spacing w:val="-6"/>
                <w:lang w:val="uk-UA" w:eastAsia="en-US"/>
              </w:rPr>
              <w:t>12</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5,</w:t>
            </w:r>
            <w:r>
              <w:rPr>
                <w:spacing w:val="-6"/>
                <w:lang w:val="uk-UA" w:eastAsia="en-US"/>
              </w:rPr>
              <w:t>99</w:t>
            </w:r>
            <w:r>
              <w:rPr>
                <w:spacing w:val="-6"/>
                <w:lang w:eastAsia="en-US"/>
              </w:rPr>
              <w:t>±0,</w:t>
            </w:r>
            <w:r>
              <w:rPr>
                <w:spacing w:val="-6"/>
                <w:lang w:val="uk-UA" w:eastAsia="en-US"/>
              </w:rPr>
              <w:t>27</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6,0</w:t>
            </w:r>
            <w:r>
              <w:rPr>
                <w:spacing w:val="-6"/>
                <w:lang w:val="uk-UA" w:eastAsia="en-US"/>
              </w:rPr>
              <w:t>6</w:t>
            </w:r>
            <w:r>
              <w:rPr>
                <w:spacing w:val="-6"/>
                <w:lang w:eastAsia="en-US"/>
              </w:rPr>
              <w:t>±0,2</w:t>
            </w:r>
            <w:r>
              <w:rPr>
                <w:spacing w:val="-6"/>
                <w:lang w:val="uk-UA" w:eastAsia="en-US"/>
              </w:rPr>
              <w:t>1</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Т4</w:t>
            </w:r>
            <w:r>
              <w:rPr>
                <w:lang w:val="uk-UA" w:eastAsia="en-US"/>
              </w:rPr>
              <w:t>віл</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2</w:t>
            </w:r>
            <w:r>
              <w:rPr>
                <w:spacing w:val="-6"/>
                <w:lang w:val="uk-UA" w:eastAsia="en-US"/>
              </w:rPr>
              <w:t>1</w:t>
            </w:r>
            <w:r>
              <w:rPr>
                <w:spacing w:val="-6"/>
                <w:lang w:eastAsia="en-US"/>
              </w:rPr>
              <w:t>,</w:t>
            </w:r>
            <w:r>
              <w:rPr>
                <w:spacing w:val="-6"/>
                <w:lang w:val="uk-UA" w:eastAsia="en-US"/>
              </w:rPr>
              <w:t>51</w:t>
            </w:r>
            <w:r>
              <w:rPr>
                <w:spacing w:val="-6"/>
                <w:lang w:eastAsia="en-US"/>
              </w:rPr>
              <w:t>±</w:t>
            </w:r>
            <w:r>
              <w:rPr>
                <w:spacing w:val="-6"/>
                <w:lang w:val="uk-UA" w:eastAsia="en-US"/>
              </w:rPr>
              <w:t>2</w:t>
            </w:r>
            <w:r>
              <w:rPr>
                <w:spacing w:val="-6"/>
                <w:lang w:eastAsia="en-US"/>
              </w:rPr>
              <w:t>,</w:t>
            </w:r>
            <w:r>
              <w:rPr>
                <w:spacing w:val="-6"/>
                <w:lang w:val="uk-UA" w:eastAsia="en-US"/>
              </w:rPr>
              <w:t>93</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w:t>
            </w:r>
            <w:r>
              <w:rPr>
                <w:spacing w:val="-6"/>
                <w:lang w:val="uk-UA" w:eastAsia="en-US"/>
              </w:rPr>
              <w:t>3</w:t>
            </w:r>
            <w:r>
              <w:rPr>
                <w:spacing w:val="-6"/>
                <w:lang w:eastAsia="en-US"/>
              </w:rPr>
              <w:t>,</w:t>
            </w:r>
            <w:r>
              <w:rPr>
                <w:spacing w:val="-6"/>
                <w:lang w:val="uk-UA" w:eastAsia="en-US"/>
              </w:rPr>
              <w:t>72</w:t>
            </w:r>
            <w:r>
              <w:rPr>
                <w:spacing w:val="-6"/>
                <w:lang w:eastAsia="en-US"/>
              </w:rPr>
              <w:t>±</w:t>
            </w:r>
            <w:r>
              <w:rPr>
                <w:spacing w:val="-6"/>
                <w:lang w:val="uk-UA" w:eastAsia="en-US"/>
              </w:rPr>
              <w:t>0</w:t>
            </w:r>
            <w:r>
              <w:rPr>
                <w:spacing w:val="-6"/>
                <w:lang w:eastAsia="en-US"/>
              </w:rPr>
              <w:t>,</w:t>
            </w:r>
            <w:r>
              <w:rPr>
                <w:spacing w:val="-6"/>
                <w:lang w:val="uk-UA" w:eastAsia="en-US"/>
              </w:rPr>
              <w:t>48</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14,</w:t>
            </w:r>
            <w:r>
              <w:rPr>
                <w:spacing w:val="-6"/>
                <w:lang w:val="uk-UA" w:eastAsia="en-US"/>
              </w:rPr>
              <w:t>38</w:t>
            </w:r>
            <w:r>
              <w:rPr>
                <w:spacing w:val="-6"/>
                <w:lang w:eastAsia="en-US"/>
              </w:rPr>
              <w:t>±0,</w:t>
            </w:r>
            <w:r>
              <w:rPr>
                <w:spacing w:val="-6"/>
                <w:lang w:val="uk-UA" w:eastAsia="en-US"/>
              </w:rPr>
              <w:t>40</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14,3</w:t>
            </w:r>
            <w:r>
              <w:rPr>
                <w:spacing w:val="-6"/>
                <w:lang w:val="uk-UA" w:eastAsia="en-US"/>
              </w:rPr>
              <w:t>6</w:t>
            </w:r>
            <w:r>
              <w:rPr>
                <w:spacing w:val="-6"/>
                <w:lang w:eastAsia="en-US"/>
              </w:rPr>
              <w:t>±</w:t>
            </w:r>
            <w:r>
              <w:rPr>
                <w:spacing w:val="-6"/>
                <w:lang w:val="uk-UA" w:eastAsia="en-US"/>
              </w:rPr>
              <w:t>0</w:t>
            </w:r>
            <w:r>
              <w:rPr>
                <w:spacing w:val="-6"/>
                <w:lang w:eastAsia="en-US"/>
              </w:rPr>
              <w:t>,</w:t>
            </w:r>
            <w:r>
              <w:rPr>
                <w:spacing w:val="-6"/>
                <w:lang w:val="uk-UA" w:eastAsia="en-US"/>
              </w:rPr>
              <w:t>23</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14</w:t>
            </w:r>
            <w:r>
              <w:rPr>
                <w:spacing w:val="-6"/>
                <w:lang w:eastAsia="en-US"/>
              </w:rPr>
              <w:t>,</w:t>
            </w:r>
            <w:r>
              <w:rPr>
                <w:spacing w:val="-6"/>
                <w:lang w:val="uk-UA" w:eastAsia="en-US"/>
              </w:rPr>
              <w:t>46</w:t>
            </w:r>
            <w:r>
              <w:rPr>
                <w:spacing w:val="-6"/>
                <w:lang w:eastAsia="en-US"/>
              </w:rPr>
              <w:t>±</w:t>
            </w:r>
            <w:r>
              <w:rPr>
                <w:spacing w:val="-6"/>
                <w:lang w:val="uk-UA" w:eastAsia="en-US"/>
              </w:rPr>
              <w:t>0</w:t>
            </w:r>
            <w:r>
              <w:rPr>
                <w:spacing w:val="-6"/>
                <w:lang w:eastAsia="en-US"/>
              </w:rPr>
              <w:t>,</w:t>
            </w:r>
            <w:r>
              <w:rPr>
                <w:spacing w:val="-6"/>
                <w:lang w:val="uk-UA" w:eastAsia="en-US"/>
              </w:rPr>
              <w:t>5</w:t>
            </w:r>
            <w:r>
              <w:rPr>
                <w:spacing w:val="-6"/>
                <w:lang w:eastAsia="en-US"/>
              </w:rPr>
              <w:t>2</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10"/>
                <w:lang w:val="uk-UA" w:eastAsia="en-US"/>
              </w:rPr>
            </w:pPr>
            <w:r>
              <w:rPr>
                <w:spacing w:val="-10"/>
                <w:lang w:eastAsia="en-US"/>
              </w:rPr>
              <w:t>1</w:t>
            </w:r>
            <w:r>
              <w:rPr>
                <w:spacing w:val="-10"/>
                <w:lang w:val="uk-UA" w:eastAsia="en-US"/>
              </w:rPr>
              <w:t>4</w:t>
            </w:r>
            <w:r>
              <w:rPr>
                <w:spacing w:val="-10"/>
                <w:lang w:eastAsia="en-US"/>
              </w:rPr>
              <w:t>,</w:t>
            </w:r>
            <w:r>
              <w:rPr>
                <w:spacing w:val="-10"/>
                <w:lang w:val="uk-UA" w:eastAsia="en-US"/>
              </w:rPr>
              <w:t xml:space="preserve">23 </w:t>
            </w:r>
            <w:r>
              <w:rPr>
                <w:spacing w:val="-10"/>
                <w:lang w:eastAsia="en-US"/>
              </w:rPr>
              <w:t>±</w:t>
            </w:r>
            <w:r>
              <w:rPr>
                <w:spacing w:val="-10"/>
                <w:lang w:val="uk-UA" w:eastAsia="en-US"/>
              </w:rPr>
              <w:t>0</w:t>
            </w:r>
            <w:r>
              <w:rPr>
                <w:spacing w:val="-10"/>
                <w:lang w:eastAsia="en-US"/>
              </w:rPr>
              <w:t>,</w:t>
            </w:r>
            <w:r>
              <w:rPr>
                <w:spacing w:val="-10"/>
                <w:lang w:val="uk-UA" w:eastAsia="en-US"/>
              </w:rPr>
              <w:t>33</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Т3</w:t>
            </w:r>
            <w:r>
              <w:rPr>
                <w:lang w:val="uk-UA" w:eastAsia="en-US"/>
              </w:rPr>
              <w:t>віл</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6,</w:t>
            </w:r>
            <w:r>
              <w:rPr>
                <w:spacing w:val="-6"/>
                <w:lang w:val="uk-UA" w:eastAsia="en-US"/>
              </w:rPr>
              <w:t>25</w:t>
            </w:r>
            <w:r>
              <w:rPr>
                <w:spacing w:val="-6"/>
                <w:lang w:eastAsia="en-US"/>
              </w:rPr>
              <w:t>±0,</w:t>
            </w:r>
            <w:r>
              <w:rPr>
                <w:spacing w:val="-6"/>
                <w:lang w:val="uk-UA" w:eastAsia="en-US"/>
              </w:rPr>
              <w:t>33</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6</w:t>
            </w:r>
            <w:r>
              <w:rPr>
                <w:spacing w:val="-6"/>
                <w:lang w:eastAsia="en-US"/>
              </w:rPr>
              <w:t>,</w:t>
            </w:r>
            <w:r>
              <w:rPr>
                <w:spacing w:val="-6"/>
                <w:lang w:val="uk-UA" w:eastAsia="en-US"/>
              </w:rPr>
              <w:t>01</w:t>
            </w:r>
            <w:r>
              <w:rPr>
                <w:spacing w:val="-6"/>
                <w:lang w:eastAsia="en-US"/>
              </w:rPr>
              <w:t>±</w:t>
            </w:r>
            <w:r>
              <w:rPr>
                <w:spacing w:val="-6"/>
                <w:lang w:val="uk-UA" w:eastAsia="en-US"/>
              </w:rPr>
              <w:t>0</w:t>
            </w:r>
            <w:r>
              <w:rPr>
                <w:spacing w:val="-6"/>
                <w:lang w:eastAsia="en-US"/>
              </w:rPr>
              <w:t>,</w:t>
            </w:r>
            <w:r>
              <w:rPr>
                <w:spacing w:val="-6"/>
                <w:lang w:val="uk-UA" w:eastAsia="en-US"/>
              </w:rPr>
              <w:t>26</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7,</w:t>
            </w:r>
            <w:r>
              <w:rPr>
                <w:spacing w:val="-6"/>
                <w:lang w:val="uk-UA" w:eastAsia="en-US"/>
              </w:rPr>
              <w:t>09</w:t>
            </w:r>
            <w:r>
              <w:rPr>
                <w:spacing w:val="-6"/>
                <w:lang w:eastAsia="en-US"/>
              </w:rPr>
              <w:t>±0,</w:t>
            </w:r>
            <w:r>
              <w:rPr>
                <w:spacing w:val="-6"/>
                <w:lang w:val="uk-UA" w:eastAsia="en-US"/>
              </w:rPr>
              <w:t>29</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5</w:t>
            </w:r>
            <w:r>
              <w:rPr>
                <w:spacing w:val="-6"/>
                <w:lang w:eastAsia="en-US"/>
              </w:rPr>
              <w:t>,</w:t>
            </w:r>
            <w:r>
              <w:rPr>
                <w:spacing w:val="-6"/>
                <w:lang w:val="uk-UA" w:eastAsia="en-US"/>
              </w:rPr>
              <w:t>04</w:t>
            </w:r>
            <w:r>
              <w:rPr>
                <w:spacing w:val="-6"/>
                <w:lang w:eastAsia="en-US"/>
              </w:rPr>
              <w:t>±0,</w:t>
            </w:r>
            <w:r>
              <w:rPr>
                <w:spacing w:val="-6"/>
                <w:lang w:val="uk-UA" w:eastAsia="en-US"/>
              </w:rPr>
              <w:t>2</w:t>
            </w:r>
            <w:r>
              <w:rPr>
                <w:spacing w:val="-6"/>
                <w:lang w:eastAsia="en-US"/>
              </w:rPr>
              <w:t>1</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4,</w:t>
            </w:r>
            <w:r>
              <w:rPr>
                <w:spacing w:val="-6"/>
                <w:lang w:val="uk-UA" w:eastAsia="en-US"/>
              </w:rPr>
              <w:t>75</w:t>
            </w:r>
            <w:r>
              <w:rPr>
                <w:spacing w:val="-6"/>
                <w:lang w:eastAsia="en-US"/>
              </w:rPr>
              <w:t>±0,</w:t>
            </w:r>
            <w:r>
              <w:rPr>
                <w:spacing w:val="-6"/>
                <w:lang w:val="uk-UA" w:eastAsia="en-US"/>
              </w:rPr>
              <w:t>30</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5</w:t>
            </w:r>
            <w:r>
              <w:rPr>
                <w:spacing w:val="-6"/>
                <w:lang w:eastAsia="en-US"/>
              </w:rPr>
              <w:t>,2</w:t>
            </w:r>
            <w:r>
              <w:rPr>
                <w:spacing w:val="-6"/>
                <w:lang w:val="uk-UA" w:eastAsia="en-US"/>
              </w:rPr>
              <w:t>0</w:t>
            </w:r>
            <w:r>
              <w:rPr>
                <w:spacing w:val="-6"/>
                <w:lang w:eastAsia="en-US"/>
              </w:rPr>
              <w:t>±0,</w:t>
            </w:r>
            <w:r>
              <w:rPr>
                <w:spacing w:val="-6"/>
                <w:lang w:val="uk-UA" w:eastAsia="en-US"/>
              </w:rPr>
              <w:t>1</w:t>
            </w:r>
            <w:r>
              <w:rPr>
                <w:spacing w:val="-6"/>
                <w:lang w:eastAsia="en-US"/>
              </w:rPr>
              <w:t>8</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lang w:val="uk-UA" w:eastAsia="en-US"/>
              </w:rPr>
            </w:pPr>
            <w:r>
              <w:rPr>
                <w:lang w:eastAsia="en-US"/>
              </w:rPr>
              <w:t>СА</w:t>
            </w:r>
            <w:r>
              <w:rPr>
                <w:lang w:val="uk-UA" w:eastAsia="en-US"/>
              </w:rPr>
              <w:t>Т</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14</w:t>
            </w:r>
            <w:r>
              <w:rPr>
                <w:spacing w:val="-6"/>
                <w:lang w:val="uk-UA" w:eastAsia="en-US"/>
              </w:rPr>
              <w:t>0</w:t>
            </w:r>
            <w:r>
              <w:rPr>
                <w:spacing w:val="-6"/>
                <w:lang w:eastAsia="en-US"/>
              </w:rPr>
              <w:t>,</w:t>
            </w:r>
            <w:r>
              <w:rPr>
                <w:spacing w:val="-6"/>
                <w:lang w:val="uk-UA" w:eastAsia="en-US"/>
              </w:rPr>
              <w:t>61</w:t>
            </w:r>
            <w:r>
              <w:rPr>
                <w:spacing w:val="-6"/>
                <w:lang w:eastAsia="en-US"/>
              </w:rPr>
              <w:t>±</w:t>
            </w:r>
            <w:r>
              <w:rPr>
                <w:spacing w:val="-6"/>
                <w:lang w:val="uk-UA" w:eastAsia="en-US"/>
              </w:rPr>
              <w:t>2</w:t>
            </w:r>
            <w:r>
              <w:rPr>
                <w:spacing w:val="-6"/>
                <w:lang w:eastAsia="en-US"/>
              </w:rPr>
              <w:t>,</w:t>
            </w:r>
            <w:r>
              <w:rPr>
                <w:spacing w:val="-6"/>
                <w:lang w:val="uk-UA" w:eastAsia="en-US"/>
              </w:rPr>
              <w:t>19</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13</w:t>
            </w:r>
            <w:r>
              <w:rPr>
                <w:spacing w:val="-6"/>
                <w:lang w:val="uk-UA" w:eastAsia="en-US"/>
              </w:rPr>
              <w:t>7</w:t>
            </w:r>
            <w:r>
              <w:rPr>
                <w:spacing w:val="-6"/>
                <w:lang w:eastAsia="en-US"/>
              </w:rPr>
              <w:t>,</w:t>
            </w:r>
            <w:r>
              <w:rPr>
                <w:spacing w:val="-6"/>
                <w:lang w:val="uk-UA" w:eastAsia="en-US"/>
              </w:rPr>
              <w:t>30</w:t>
            </w:r>
            <w:r>
              <w:rPr>
                <w:spacing w:val="-6"/>
                <w:lang w:eastAsia="en-US"/>
              </w:rPr>
              <w:t>±</w:t>
            </w:r>
            <w:r>
              <w:rPr>
                <w:spacing w:val="-6"/>
                <w:lang w:val="uk-UA" w:eastAsia="en-US"/>
              </w:rPr>
              <w:t>1</w:t>
            </w:r>
            <w:r>
              <w:rPr>
                <w:spacing w:val="-6"/>
                <w:lang w:eastAsia="en-US"/>
              </w:rPr>
              <w:t>,</w:t>
            </w:r>
            <w:r>
              <w:rPr>
                <w:spacing w:val="-6"/>
                <w:lang w:val="uk-UA" w:eastAsia="en-US"/>
              </w:rPr>
              <w:t>79</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15</w:t>
            </w:r>
            <w:r>
              <w:rPr>
                <w:spacing w:val="-6"/>
                <w:lang w:val="uk-UA" w:eastAsia="en-US"/>
              </w:rPr>
              <w:t>0</w:t>
            </w:r>
            <w:r>
              <w:rPr>
                <w:spacing w:val="-6"/>
                <w:lang w:eastAsia="en-US"/>
              </w:rPr>
              <w:t>,9</w:t>
            </w:r>
            <w:r>
              <w:rPr>
                <w:spacing w:val="-6"/>
                <w:lang w:val="uk-UA" w:eastAsia="en-US"/>
              </w:rPr>
              <w:t>5</w:t>
            </w:r>
            <w:r>
              <w:rPr>
                <w:spacing w:val="-6"/>
                <w:lang w:eastAsia="en-US"/>
              </w:rPr>
              <w:t>±</w:t>
            </w:r>
            <w:r>
              <w:rPr>
                <w:spacing w:val="-6"/>
                <w:lang w:val="uk-UA" w:eastAsia="en-US"/>
              </w:rPr>
              <w:t>1</w:t>
            </w:r>
            <w:r>
              <w:rPr>
                <w:spacing w:val="-6"/>
                <w:lang w:eastAsia="en-US"/>
              </w:rPr>
              <w:t>,</w:t>
            </w:r>
            <w:r>
              <w:rPr>
                <w:spacing w:val="-6"/>
                <w:lang w:val="uk-UA" w:eastAsia="en-US"/>
              </w:rPr>
              <w:t>4</w:t>
            </w:r>
            <w:r>
              <w:rPr>
                <w:spacing w:val="-6"/>
                <w:lang w:eastAsia="en-US"/>
              </w:rPr>
              <w:t>5</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14</w:t>
            </w:r>
            <w:r>
              <w:rPr>
                <w:spacing w:val="-6"/>
                <w:lang w:val="uk-UA" w:eastAsia="en-US"/>
              </w:rPr>
              <w:t>3</w:t>
            </w:r>
            <w:r>
              <w:rPr>
                <w:spacing w:val="-6"/>
                <w:lang w:eastAsia="en-US"/>
              </w:rPr>
              <w:t>,</w:t>
            </w:r>
            <w:r>
              <w:rPr>
                <w:spacing w:val="-6"/>
                <w:lang w:val="uk-UA" w:eastAsia="en-US"/>
              </w:rPr>
              <w:t>27</w:t>
            </w:r>
            <w:r>
              <w:rPr>
                <w:spacing w:val="-6"/>
                <w:lang w:eastAsia="en-US"/>
              </w:rPr>
              <w:t>±</w:t>
            </w:r>
            <w:r>
              <w:rPr>
                <w:spacing w:val="-6"/>
                <w:lang w:val="uk-UA" w:eastAsia="en-US"/>
              </w:rPr>
              <w:t>1</w:t>
            </w:r>
            <w:r>
              <w:rPr>
                <w:spacing w:val="-6"/>
                <w:lang w:eastAsia="en-US"/>
              </w:rPr>
              <w:t>,</w:t>
            </w:r>
            <w:r>
              <w:rPr>
                <w:spacing w:val="-6"/>
                <w:lang w:val="uk-UA" w:eastAsia="en-US"/>
              </w:rPr>
              <w:t>09</w:t>
            </w:r>
          </w:p>
          <w:p w:rsidR="00E3259F" w:rsidRDefault="00E3259F">
            <w:pPr>
              <w:spacing w:line="360" w:lineRule="auto"/>
              <w:rPr>
                <w:spacing w:val="-6"/>
                <w:lang w:val="uk-UA" w:eastAsia="en-US"/>
              </w:rPr>
            </w:pPr>
            <w:r>
              <w:rPr>
                <w:spacing w:val="-6"/>
                <w:lang w:val="uk-UA" w:eastAsia="en-US"/>
              </w:rPr>
              <w:t>р=0,001</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16"/>
                <w:lang w:val="uk-UA" w:eastAsia="en-US"/>
              </w:rPr>
            </w:pPr>
            <w:r>
              <w:rPr>
                <w:spacing w:val="-16"/>
                <w:lang w:eastAsia="en-US"/>
              </w:rPr>
              <w:t>14</w:t>
            </w:r>
            <w:r>
              <w:rPr>
                <w:spacing w:val="-16"/>
                <w:lang w:val="uk-UA" w:eastAsia="en-US"/>
              </w:rPr>
              <w:t>4</w:t>
            </w:r>
            <w:r>
              <w:rPr>
                <w:spacing w:val="-16"/>
                <w:lang w:eastAsia="en-US"/>
              </w:rPr>
              <w:t>,</w:t>
            </w:r>
            <w:r>
              <w:rPr>
                <w:spacing w:val="-16"/>
                <w:lang w:val="uk-UA" w:eastAsia="en-US"/>
              </w:rPr>
              <w:t>0</w:t>
            </w:r>
            <w:r>
              <w:rPr>
                <w:spacing w:val="-16"/>
                <w:lang w:eastAsia="en-US"/>
              </w:rPr>
              <w:t>5±</w:t>
            </w:r>
            <w:r>
              <w:rPr>
                <w:spacing w:val="-16"/>
                <w:lang w:val="uk-UA" w:eastAsia="en-US"/>
              </w:rPr>
              <w:t>2</w:t>
            </w:r>
            <w:r>
              <w:rPr>
                <w:spacing w:val="-16"/>
                <w:lang w:eastAsia="en-US"/>
              </w:rPr>
              <w:t>,</w:t>
            </w:r>
            <w:r>
              <w:rPr>
                <w:spacing w:val="-16"/>
                <w:lang w:val="uk-UA" w:eastAsia="en-US"/>
              </w:rPr>
              <w:t>00</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16"/>
                <w:lang w:val="uk-UA" w:eastAsia="en-US"/>
              </w:rPr>
            </w:pPr>
            <w:r>
              <w:rPr>
                <w:spacing w:val="-16"/>
                <w:lang w:eastAsia="en-US"/>
              </w:rPr>
              <w:t>14</w:t>
            </w:r>
            <w:r>
              <w:rPr>
                <w:spacing w:val="-16"/>
                <w:lang w:val="uk-UA" w:eastAsia="en-US"/>
              </w:rPr>
              <w:t>1</w:t>
            </w:r>
            <w:r>
              <w:rPr>
                <w:spacing w:val="-16"/>
                <w:lang w:eastAsia="en-US"/>
              </w:rPr>
              <w:t>,</w:t>
            </w:r>
            <w:r>
              <w:rPr>
                <w:spacing w:val="-16"/>
                <w:lang w:val="uk-UA" w:eastAsia="en-US"/>
              </w:rPr>
              <w:t>29</w:t>
            </w:r>
            <w:r>
              <w:rPr>
                <w:spacing w:val="-16"/>
                <w:lang w:eastAsia="en-US"/>
              </w:rPr>
              <w:t>±</w:t>
            </w:r>
            <w:r>
              <w:rPr>
                <w:spacing w:val="-16"/>
                <w:lang w:val="uk-UA" w:eastAsia="en-US"/>
              </w:rPr>
              <w:t>1</w:t>
            </w:r>
            <w:r>
              <w:rPr>
                <w:spacing w:val="-16"/>
                <w:lang w:eastAsia="en-US"/>
              </w:rPr>
              <w:t>,</w:t>
            </w:r>
            <w:r>
              <w:rPr>
                <w:spacing w:val="-16"/>
                <w:lang w:val="uk-UA" w:eastAsia="en-US"/>
              </w:rPr>
              <w:t>66</w:t>
            </w:r>
          </w:p>
        </w:tc>
      </w:tr>
      <w:tr w:rsidR="00E3259F" w:rsidTr="00132FA6">
        <w:tc>
          <w:tcPr>
            <w:tcW w:w="124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lang w:eastAsia="en-US"/>
              </w:rPr>
            </w:pPr>
            <w:r>
              <w:rPr>
                <w:lang w:eastAsia="en-US"/>
              </w:rPr>
              <w:t>ДА</w:t>
            </w:r>
            <w:r>
              <w:rPr>
                <w:lang w:val="uk-UA" w:eastAsia="en-US"/>
              </w:rPr>
              <w:t>Т</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val="uk-UA" w:eastAsia="en-US"/>
              </w:rPr>
              <w:t>87</w:t>
            </w:r>
            <w:r>
              <w:rPr>
                <w:spacing w:val="-6"/>
                <w:lang w:eastAsia="en-US"/>
              </w:rPr>
              <w:t>,</w:t>
            </w:r>
            <w:r>
              <w:rPr>
                <w:spacing w:val="-6"/>
                <w:lang w:val="uk-UA" w:eastAsia="en-US"/>
              </w:rPr>
              <w:t>37</w:t>
            </w:r>
            <w:r>
              <w:rPr>
                <w:spacing w:val="-6"/>
                <w:lang w:eastAsia="en-US"/>
              </w:rPr>
              <w:t>±</w:t>
            </w:r>
            <w:r>
              <w:rPr>
                <w:spacing w:val="-6"/>
                <w:lang w:val="uk-UA" w:eastAsia="en-US"/>
              </w:rPr>
              <w:t>1</w:t>
            </w:r>
            <w:r>
              <w:rPr>
                <w:spacing w:val="-6"/>
                <w:lang w:eastAsia="en-US"/>
              </w:rPr>
              <w:t>,4</w:t>
            </w:r>
            <w:r>
              <w:rPr>
                <w:spacing w:val="-6"/>
                <w:lang w:val="uk-UA" w:eastAsia="en-US"/>
              </w:rPr>
              <w:t>1</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eastAsia="en-US"/>
              </w:rPr>
              <w:t>8</w:t>
            </w:r>
            <w:r>
              <w:rPr>
                <w:spacing w:val="-6"/>
                <w:lang w:val="uk-UA" w:eastAsia="en-US"/>
              </w:rPr>
              <w:t>5</w:t>
            </w:r>
            <w:r>
              <w:rPr>
                <w:spacing w:val="-6"/>
                <w:lang w:eastAsia="en-US"/>
              </w:rPr>
              <w:t>,</w:t>
            </w:r>
            <w:r>
              <w:rPr>
                <w:spacing w:val="-6"/>
                <w:lang w:val="uk-UA" w:eastAsia="en-US"/>
              </w:rPr>
              <w:t>91</w:t>
            </w:r>
            <w:r>
              <w:rPr>
                <w:spacing w:val="-6"/>
                <w:lang w:eastAsia="en-US"/>
              </w:rPr>
              <w:t>±</w:t>
            </w:r>
            <w:r>
              <w:rPr>
                <w:spacing w:val="-6"/>
                <w:lang w:val="uk-UA" w:eastAsia="en-US"/>
              </w:rPr>
              <w:t>1</w:t>
            </w:r>
            <w:r>
              <w:rPr>
                <w:spacing w:val="-6"/>
                <w:lang w:eastAsia="en-US"/>
              </w:rPr>
              <w:t>,</w:t>
            </w:r>
            <w:r>
              <w:rPr>
                <w:spacing w:val="-6"/>
                <w:lang w:val="uk-UA" w:eastAsia="en-US"/>
              </w:rPr>
              <w:t>18</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9</w:t>
            </w:r>
            <w:r>
              <w:rPr>
                <w:spacing w:val="-6"/>
                <w:lang w:val="uk-UA" w:eastAsia="en-US"/>
              </w:rPr>
              <w:t>1</w:t>
            </w:r>
            <w:r>
              <w:rPr>
                <w:spacing w:val="-6"/>
                <w:lang w:eastAsia="en-US"/>
              </w:rPr>
              <w:t>,</w:t>
            </w:r>
            <w:r>
              <w:rPr>
                <w:spacing w:val="-6"/>
                <w:lang w:val="uk-UA" w:eastAsia="en-US"/>
              </w:rPr>
              <w:t>43</w:t>
            </w:r>
            <w:r>
              <w:rPr>
                <w:spacing w:val="-6"/>
                <w:lang w:eastAsia="en-US"/>
              </w:rPr>
              <w:t>±</w:t>
            </w:r>
            <w:r>
              <w:rPr>
                <w:spacing w:val="-6"/>
                <w:lang w:val="uk-UA" w:eastAsia="en-US"/>
              </w:rPr>
              <w:t>1</w:t>
            </w:r>
            <w:r>
              <w:rPr>
                <w:spacing w:val="-6"/>
                <w:lang w:eastAsia="en-US"/>
              </w:rPr>
              <w:t>,</w:t>
            </w:r>
            <w:r>
              <w:rPr>
                <w:spacing w:val="-6"/>
                <w:lang w:val="uk-UA" w:eastAsia="en-US"/>
              </w:rPr>
              <w:t>34</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88,</w:t>
            </w:r>
            <w:r>
              <w:rPr>
                <w:spacing w:val="-6"/>
                <w:lang w:val="uk-UA" w:eastAsia="en-US"/>
              </w:rPr>
              <w:t>54</w:t>
            </w:r>
            <w:r>
              <w:rPr>
                <w:spacing w:val="-6"/>
                <w:lang w:eastAsia="en-US"/>
              </w:rPr>
              <w:t>±</w:t>
            </w:r>
            <w:r>
              <w:rPr>
                <w:spacing w:val="-6"/>
                <w:lang w:val="uk-UA" w:eastAsia="en-US"/>
              </w:rPr>
              <w:t>0</w:t>
            </w:r>
            <w:r>
              <w:rPr>
                <w:spacing w:val="-6"/>
                <w:lang w:eastAsia="en-US"/>
              </w:rPr>
              <w:t>,7</w:t>
            </w:r>
            <w:r>
              <w:rPr>
                <w:spacing w:val="-6"/>
                <w:lang w:val="uk-UA" w:eastAsia="en-US"/>
              </w:rPr>
              <w:t>9</w:t>
            </w:r>
          </w:p>
          <w:p w:rsidR="00E3259F" w:rsidRDefault="00E3259F">
            <w:pPr>
              <w:spacing w:line="360" w:lineRule="auto"/>
              <w:rPr>
                <w:spacing w:val="-6"/>
                <w:lang w:eastAsia="en-US"/>
              </w:rPr>
            </w:pPr>
            <w:r>
              <w:rPr>
                <w:spacing w:val="-6"/>
                <w:lang w:val="uk-UA" w:eastAsia="en-US"/>
              </w:rPr>
              <w:t>р=0,049</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88</w:t>
            </w:r>
            <w:r>
              <w:rPr>
                <w:spacing w:val="-6"/>
                <w:lang w:eastAsia="en-US"/>
              </w:rPr>
              <w:t>,</w:t>
            </w:r>
            <w:r>
              <w:rPr>
                <w:spacing w:val="-6"/>
                <w:lang w:val="uk-UA" w:eastAsia="en-US"/>
              </w:rPr>
              <w:t>08</w:t>
            </w:r>
            <w:r>
              <w:rPr>
                <w:spacing w:val="-6"/>
                <w:lang w:eastAsia="en-US"/>
              </w:rPr>
              <w:t>±</w:t>
            </w:r>
            <w:r>
              <w:rPr>
                <w:spacing w:val="-6"/>
                <w:lang w:val="uk-UA" w:eastAsia="en-US"/>
              </w:rPr>
              <w:t>1</w:t>
            </w:r>
            <w:r>
              <w:rPr>
                <w:spacing w:val="-6"/>
                <w:lang w:eastAsia="en-US"/>
              </w:rPr>
              <w:t>,</w:t>
            </w:r>
            <w:r>
              <w:rPr>
                <w:spacing w:val="-6"/>
                <w:lang w:val="uk-UA" w:eastAsia="en-US"/>
              </w:rPr>
              <w:t>20</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8</w:t>
            </w:r>
            <w:r>
              <w:rPr>
                <w:spacing w:val="-6"/>
                <w:lang w:val="uk-UA" w:eastAsia="en-US"/>
              </w:rPr>
              <w:t>6</w:t>
            </w:r>
            <w:r>
              <w:rPr>
                <w:spacing w:val="-6"/>
                <w:lang w:eastAsia="en-US"/>
              </w:rPr>
              <w:t>,</w:t>
            </w:r>
            <w:r>
              <w:rPr>
                <w:spacing w:val="-6"/>
                <w:lang w:val="uk-UA" w:eastAsia="en-US"/>
              </w:rPr>
              <w:t>48</w:t>
            </w:r>
            <w:r>
              <w:rPr>
                <w:spacing w:val="-6"/>
                <w:lang w:eastAsia="en-US"/>
              </w:rPr>
              <w:t>±1,</w:t>
            </w:r>
            <w:r>
              <w:rPr>
                <w:spacing w:val="-6"/>
                <w:lang w:val="uk-UA" w:eastAsia="en-US"/>
              </w:rPr>
              <w:t>23</w:t>
            </w:r>
          </w:p>
        </w:tc>
      </w:tr>
      <w:tr w:rsidR="00E3259F" w:rsidTr="00132FA6">
        <w:tc>
          <w:tcPr>
            <w:tcW w:w="1241" w:type="dxa"/>
            <w:tcBorders>
              <w:top w:val="single" w:sz="4" w:space="0" w:color="auto"/>
              <w:left w:val="single" w:sz="4" w:space="0" w:color="auto"/>
              <w:bottom w:val="single" w:sz="4" w:space="0" w:color="auto"/>
              <w:right w:val="single" w:sz="4" w:space="0" w:color="auto"/>
            </w:tcBorders>
            <w:vAlign w:val="center"/>
            <w:hideMark/>
          </w:tcPr>
          <w:p w:rsidR="00E3259F" w:rsidRDefault="00E3259F">
            <w:pPr>
              <w:spacing w:line="360" w:lineRule="auto"/>
              <w:rPr>
                <w:lang w:val="uk-UA" w:eastAsia="en-US"/>
              </w:rPr>
            </w:pPr>
            <w:r>
              <w:rPr>
                <w:lang w:eastAsia="en-US"/>
              </w:rPr>
              <w:t>ПА</w:t>
            </w:r>
            <w:r>
              <w:rPr>
                <w:lang w:val="uk-UA" w:eastAsia="en-US"/>
              </w:rPr>
              <w:t>Т</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5</w:t>
            </w:r>
            <w:r>
              <w:rPr>
                <w:spacing w:val="-6"/>
                <w:lang w:val="uk-UA" w:eastAsia="en-US"/>
              </w:rPr>
              <w:t>3</w:t>
            </w:r>
            <w:r>
              <w:rPr>
                <w:spacing w:val="-6"/>
                <w:lang w:eastAsia="en-US"/>
              </w:rPr>
              <w:t>,</w:t>
            </w:r>
            <w:r>
              <w:rPr>
                <w:spacing w:val="-6"/>
                <w:lang w:val="uk-UA" w:eastAsia="en-US"/>
              </w:rPr>
              <w:t>24</w:t>
            </w:r>
            <w:r>
              <w:rPr>
                <w:spacing w:val="-6"/>
                <w:lang w:eastAsia="en-US"/>
              </w:rPr>
              <w:t>±</w:t>
            </w:r>
            <w:r>
              <w:rPr>
                <w:spacing w:val="-6"/>
                <w:lang w:val="uk-UA" w:eastAsia="en-US"/>
              </w:rPr>
              <w:t>1</w:t>
            </w:r>
            <w:r>
              <w:rPr>
                <w:spacing w:val="-6"/>
                <w:lang w:eastAsia="en-US"/>
              </w:rPr>
              <w:t>,35</w:t>
            </w:r>
          </w:p>
        </w:tc>
        <w:tc>
          <w:tcPr>
            <w:tcW w:w="141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val="uk-UA" w:eastAsia="en-US"/>
              </w:rPr>
              <w:t>51</w:t>
            </w:r>
            <w:r>
              <w:rPr>
                <w:spacing w:val="-6"/>
                <w:lang w:eastAsia="en-US"/>
              </w:rPr>
              <w:t>,</w:t>
            </w:r>
            <w:r>
              <w:rPr>
                <w:spacing w:val="-6"/>
                <w:lang w:val="uk-UA" w:eastAsia="en-US"/>
              </w:rPr>
              <w:t>39</w:t>
            </w:r>
            <w:r>
              <w:rPr>
                <w:spacing w:val="-6"/>
                <w:lang w:eastAsia="en-US"/>
              </w:rPr>
              <w:t>±1,</w:t>
            </w:r>
            <w:r>
              <w:rPr>
                <w:spacing w:val="-6"/>
                <w:lang w:val="uk-UA" w:eastAsia="en-US"/>
              </w:rPr>
              <w:t>00</w:t>
            </w:r>
          </w:p>
        </w:tc>
        <w:tc>
          <w:tcPr>
            <w:tcW w:w="141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eastAsia="en-US"/>
              </w:rPr>
            </w:pPr>
            <w:r>
              <w:rPr>
                <w:spacing w:val="-6"/>
                <w:lang w:val="uk-UA" w:eastAsia="en-US"/>
              </w:rPr>
              <w:t>59</w:t>
            </w:r>
            <w:r>
              <w:rPr>
                <w:spacing w:val="-6"/>
                <w:lang w:eastAsia="en-US"/>
              </w:rPr>
              <w:t>,</w:t>
            </w:r>
            <w:r>
              <w:rPr>
                <w:spacing w:val="-6"/>
                <w:lang w:val="uk-UA" w:eastAsia="en-US"/>
              </w:rPr>
              <w:t>55</w:t>
            </w:r>
            <w:r>
              <w:rPr>
                <w:spacing w:val="-6"/>
                <w:lang w:eastAsia="en-US"/>
              </w:rPr>
              <w:t>±</w:t>
            </w:r>
            <w:r>
              <w:rPr>
                <w:spacing w:val="-6"/>
                <w:lang w:val="uk-UA" w:eastAsia="en-US"/>
              </w:rPr>
              <w:t>1</w:t>
            </w:r>
            <w:r>
              <w:rPr>
                <w:spacing w:val="-6"/>
                <w:lang w:eastAsia="en-US"/>
              </w:rPr>
              <w:t>,</w:t>
            </w:r>
            <w:r>
              <w:rPr>
                <w:spacing w:val="-6"/>
                <w:lang w:val="uk-UA" w:eastAsia="en-US"/>
              </w:rPr>
              <w:t>52</w:t>
            </w:r>
          </w:p>
        </w:tc>
        <w:tc>
          <w:tcPr>
            <w:tcW w:w="141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5</w:t>
            </w:r>
            <w:r>
              <w:rPr>
                <w:spacing w:val="-6"/>
                <w:lang w:val="uk-UA" w:eastAsia="en-US"/>
              </w:rPr>
              <w:t>5</w:t>
            </w:r>
            <w:r>
              <w:rPr>
                <w:spacing w:val="-6"/>
                <w:lang w:eastAsia="en-US"/>
              </w:rPr>
              <w:t>,</w:t>
            </w:r>
            <w:r>
              <w:rPr>
                <w:spacing w:val="-6"/>
                <w:lang w:val="uk-UA" w:eastAsia="en-US"/>
              </w:rPr>
              <w:t>39</w:t>
            </w:r>
            <w:r>
              <w:rPr>
                <w:spacing w:val="-6"/>
                <w:lang w:eastAsia="en-US"/>
              </w:rPr>
              <w:t>±</w:t>
            </w:r>
            <w:r>
              <w:rPr>
                <w:spacing w:val="-6"/>
                <w:lang w:val="uk-UA" w:eastAsia="en-US"/>
              </w:rPr>
              <w:t>0</w:t>
            </w:r>
            <w:r>
              <w:rPr>
                <w:spacing w:val="-6"/>
                <w:lang w:eastAsia="en-US"/>
              </w:rPr>
              <w:t>,</w:t>
            </w:r>
            <w:r>
              <w:rPr>
                <w:spacing w:val="-6"/>
                <w:lang w:val="uk-UA" w:eastAsia="en-US"/>
              </w:rPr>
              <w:t>93 р=0,021</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5</w:t>
            </w:r>
            <w:r>
              <w:rPr>
                <w:spacing w:val="-6"/>
                <w:lang w:val="uk-UA" w:eastAsia="en-US"/>
              </w:rPr>
              <w:t>6</w:t>
            </w:r>
            <w:r>
              <w:rPr>
                <w:spacing w:val="-6"/>
                <w:lang w:eastAsia="en-US"/>
              </w:rPr>
              <w:t>,</w:t>
            </w:r>
            <w:r>
              <w:rPr>
                <w:spacing w:val="-6"/>
                <w:lang w:val="uk-UA" w:eastAsia="en-US"/>
              </w:rPr>
              <w:t>11</w:t>
            </w:r>
            <w:r>
              <w:rPr>
                <w:spacing w:val="-6"/>
                <w:lang w:eastAsia="en-US"/>
              </w:rPr>
              <w:t>±</w:t>
            </w:r>
            <w:r>
              <w:rPr>
                <w:spacing w:val="-6"/>
                <w:lang w:val="uk-UA" w:eastAsia="en-US"/>
              </w:rPr>
              <w:t>1</w:t>
            </w:r>
            <w:r>
              <w:rPr>
                <w:spacing w:val="-6"/>
                <w:lang w:eastAsia="en-US"/>
              </w:rPr>
              <w:t>,</w:t>
            </w:r>
            <w:r>
              <w:rPr>
                <w:spacing w:val="-6"/>
                <w:lang w:val="uk-UA" w:eastAsia="en-US"/>
              </w:rPr>
              <w:t>62</w:t>
            </w:r>
          </w:p>
        </w:tc>
        <w:tc>
          <w:tcPr>
            <w:tcW w:w="12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pacing w:val="-6"/>
                <w:lang w:val="uk-UA" w:eastAsia="en-US"/>
              </w:rPr>
            </w:pPr>
            <w:r>
              <w:rPr>
                <w:spacing w:val="-6"/>
                <w:lang w:eastAsia="en-US"/>
              </w:rPr>
              <w:t>5</w:t>
            </w:r>
            <w:r>
              <w:rPr>
                <w:spacing w:val="-6"/>
                <w:lang w:val="uk-UA" w:eastAsia="en-US"/>
              </w:rPr>
              <w:t>4</w:t>
            </w:r>
            <w:r>
              <w:rPr>
                <w:spacing w:val="-6"/>
                <w:lang w:eastAsia="en-US"/>
              </w:rPr>
              <w:t>,</w:t>
            </w:r>
            <w:r>
              <w:rPr>
                <w:spacing w:val="-6"/>
                <w:lang w:val="uk-UA" w:eastAsia="en-US"/>
              </w:rPr>
              <w:t>93</w:t>
            </w:r>
            <w:r>
              <w:rPr>
                <w:spacing w:val="-6"/>
                <w:lang w:eastAsia="en-US"/>
              </w:rPr>
              <w:t>±1,</w:t>
            </w:r>
            <w:r>
              <w:rPr>
                <w:spacing w:val="-6"/>
                <w:lang w:val="uk-UA" w:eastAsia="en-US"/>
              </w:rPr>
              <w:t>22</w:t>
            </w:r>
          </w:p>
        </w:tc>
      </w:tr>
    </w:tbl>
    <w:p w:rsidR="00E3259F" w:rsidRPr="00132FA6" w:rsidRDefault="00E3259F" w:rsidP="00132FA6">
      <w:pPr>
        <w:spacing w:line="360" w:lineRule="auto"/>
        <w:jc w:val="both"/>
        <w:rPr>
          <w:rFonts w:asciiTheme="minorHAnsi" w:hAnsiTheme="minorHAnsi" w:cstheme="minorBidi"/>
          <w:sz w:val="28"/>
          <w:szCs w:val="28"/>
          <w:lang w:val="uk-UA" w:eastAsia="en-US"/>
        </w:rPr>
      </w:pPr>
      <w:r w:rsidRPr="00132FA6">
        <w:rPr>
          <w:sz w:val="28"/>
          <w:szCs w:val="28"/>
          <w:lang w:val="uk-UA"/>
        </w:rPr>
        <w:t xml:space="preserve">Примітка: р – рівень значущості </w:t>
      </w:r>
      <w:r w:rsidR="00132FA6" w:rsidRPr="00132FA6">
        <w:rPr>
          <w:sz w:val="28"/>
          <w:szCs w:val="28"/>
          <w:lang w:val="uk-UA"/>
        </w:rPr>
        <w:t xml:space="preserve">достовірних </w:t>
      </w:r>
      <w:r w:rsidRPr="00132FA6">
        <w:rPr>
          <w:sz w:val="28"/>
          <w:szCs w:val="28"/>
          <w:lang w:val="uk-UA"/>
        </w:rPr>
        <w:t xml:space="preserve">відмінностей у порівнянні підгрупи І та підгрупи ІІ у межах однієї групи.  </w:t>
      </w:r>
    </w:p>
    <w:p w:rsidR="00E3259F" w:rsidRDefault="00E3259F" w:rsidP="00E3259F">
      <w:pPr>
        <w:spacing w:line="360" w:lineRule="auto"/>
        <w:ind w:firstLine="709"/>
        <w:jc w:val="both"/>
        <w:outlineLvl w:val="0"/>
        <w:rPr>
          <w:sz w:val="28"/>
          <w:szCs w:val="28"/>
          <w:lang w:val="uk-UA" w:eastAsia="en-US"/>
        </w:rPr>
      </w:pPr>
    </w:p>
    <w:p w:rsidR="00E3259F" w:rsidRPr="00132FA6" w:rsidRDefault="00E3259F" w:rsidP="00132FA6">
      <w:pPr>
        <w:spacing w:line="360" w:lineRule="auto"/>
        <w:ind w:firstLine="709"/>
        <w:jc w:val="both"/>
        <w:outlineLvl w:val="0"/>
        <w:rPr>
          <w:sz w:val="28"/>
          <w:szCs w:val="28"/>
          <w:lang w:val="uk-UA" w:eastAsia="en-US"/>
        </w:rPr>
      </w:pPr>
      <w:r w:rsidRPr="00132FA6">
        <w:rPr>
          <w:sz w:val="28"/>
          <w:szCs w:val="28"/>
          <w:lang w:val="uk-UA" w:eastAsia="en-US"/>
        </w:rPr>
        <w:t>Внутрішньогруповий порівняльний аналіз згідно вікової підгрупи виявив відсутність вірогідних відмінностей між антропометричними та метаболічними показниками в групі пацієнтів з ізольованою ГХ. У групі пацієнтів з поєднаним перебігом ГХ та ЦД 2 типу у віковій підгрупі 44-60 років у порівнянні з пацієнтами старшої вікової підгрупі спостерігались: достовірно більша МТ (р=0,024), більш виражена дисліпідемія, що супроводжувалось достовірно вищими рівнями ТГ (р=0,008), ХС ЛПДНЩ (р=0,001) та нижчими рівнями ХС ЛПВЩ (р=0,001),  достовірно вищими  рівнями інсуліну (р=0,034), ТТГ (р=0,013), Т3віл (р=0,001) та рівнями АТ (САТ (р=0,001), ДАТ (р=0,049) та ПАТ (р=0,021)).  Порушення вуглеводного та ліпідного обмінів, рівнів АТ  у пацієнтів  з ГХ, ЦД 2 типу та СГТ в віковій підгрупі 44-60 років були виражені більшою мірою, ніж в віці 61-75 років, проте достовірних відмінностей знайдено не було (р&gt;0,05).</w:t>
      </w:r>
    </w:p>
    <w:p w:rsidR="00E3259F" w:rsidRPr="00132FA6" w:rsidRDefault="00E3259F" w:rsidP="00132FA6">
      <w:pPr>
        <w:spacing w:line="360" w:lineRule="auto"/>
        <w:ind w:firstLine="709"/>
        <w:jc w:val="both"/>
        <w:outlineLvl w:val="0"/>
        <w:rPr>
          <w:sz w:val="28"/>
          <w:szCs w:val="28"/>
          <w:lang w:val="uk-UA"/>
        </w:rPr>
      </w:pPr>
      <w:r w:rsidRPr="00132FA6">
        <w:rPr>
          <w:sz w:val="28"/>
          <w:szCs w:val="28"/>
          <w:lang w:val="uk-UA"/>
        </w:rPr>
        <w:t>При порівнянні осіб однієї вікової підгрупи достовірні відмінності залежно від діагнозу було знайдено між багатьма показниками, особливо для вікової категорії 44-60 років: МТ (р</w:t>
      </w:r>
      <w:r w:rsidRPr="00132FA6">
        <w:rPr>
          <w:sz w:val="28"/>
          <w:szCs w:val="28"/>
          <w:vertAlign w:val="subscript"/>
          <w:lang w:val="uk-UA"/>
        </w:rPr>
        <w:t>1-І-2-І</w:t>
      </w:r>
      <w:r w:rsidRPr="00132FA6">
        <w:rPr>
          <w:sz w:val="28"/>
          <w:szCs w:val="28"/>
          <w:lang w:val="uk-UA"/>
        </w:rPr>
        <w:t>=0,001), ЗХС (р</w:t>
      </w:r>
      <w:r w:rsidRPr="00132FA6">
        <w:rPr>
          <w:sz w:val="28"/>
          <w:szCs w:val="28"/>
          <w:vertAlign w:val="subscript"/>
          <w:lang w:val="uk-UA"/>
        </w:rPr>
        <w:t>1-І-2-І</w:t>
      </w:r>
      <w:r w:rsidRPr="00132FA6">
        <w:rPr>
          <w:sz w:val="28"/>
          <w:szCs w:val="28"/>
          <w:lang w:val="uk-UA"/>
        </w:rPr>
        <w:t xml:space="preserve"> =0,009), ТГ        (р</w:t>
      </w:r>
      <w:r w:rsidRPr="00132FA6">
        <w:rPr>
          <w:sz w:val="28"/>
          <w:szCs w:val="28"/>
          <w:vertAlign w:val="subscript"/>
          <w:lang w:val="uk-UA"/>
        </w:rPr>
        <w:t>1-І-2-І</w:t>
      </w:r>
      <w:r w:rsidRPr="00132FA6">
        <w:rPr>
          <w:sz w:val="28"/>
          <w:szCs w:val="28"/>
          <w:lang w:val="uk-UA"/>
        </w:rPr>
        <w:t xml:space="preserve"> =0,001), ХС ЛПДНЩ (р</w:t>
      </w:r>
      <w:r w:rsidRPr="00132FA6">
        <w:rPr>
          <w:sz w:val="28"/>
          <w:szCs w:val="28"/>
          <w:vertAlign w:val="subscript"/>
          <w:lang w:val="uk-UA"/>
        </w:rPr>
        <w:t>1-І-2-І</w:t>
      </w:r>
      <w:r w:rsidRPr="00132FA6">
        <w:rPr>
          <w:sz w:val="28"/>
          <w:szCs w:val="28"/>
          <w:lang w:val="uk-UA"/>
        </w:rPr>
        <w:t>=0,001), ХС ЛПВЩ (р</w:t>
      </w:r>
      <w:r w:rsidRPr="00132FA6">
        <w:rPr>
          <w:sz w:val="28"/>
          <w:szCs w:val="28"/>
          <w:vertAlign w:val="subscript"/>
          <w:lang w:val="uk-UA"/>
        </w:rPr>
        <w:t>1-І-2-І</w:t>
      </w:r>
      <w:r w:rsidRPr="00132FA6">
        <w:rPr>
          <w:sz w:val="28"/>
          <w:szCs w:val="28"/>
          <w:lang w:val="uk-UA"/>
        </w:rPr>
        <w:t>=0,001), ХС ЛПНЩ (р</w:t>
      </w:r>
      <w:r w:rsidRPr="00132FA6">
        <w:rPr>
          <w:sz w:val="28"/>
          <w:szCs w:val="28"/>
          <w:vertAlign w:val="subscript"/>
          <w:lang w:val="uk-UA"/>
        </w:rPr>
        <w:t>1-І-2-І</w:t>
      </w:r>
      <w:r w:rsidRPr="00132FA6">
        <w:rPr>
          <w:sz w:val="28"/>
          <w:szCs w:val="28"/>
          <w:lang w:val="uk-UA"/>
        </w:rPr>
        <w:t>=0,004), глюкоза натще (р</w:t>
      </w:r>
      <w:r w:rsidRPr="00132FA6">
        <w:rPr>
          <w:sz w:val="28"/>
          <w:szCs w:val="28"/>
          <w:vertAlign w:val="subscript"/>
          <w:lang w:val="uk-UA"/>
        </w:rPr>
        <w:t>1-І-2-І</w:t>
      </w:r>
      <w:r w:rsidRPr="00132FA6">
        <w:rPr>
          <w:sz w:val="28"/>
          <w:szCs w:val="28"/>
          <w:lang w:val="uk-UA"/>
        </w:rPr>
        <w:t xml:space="preserve">=0,001), </w:t>
      </w:r>
      <w:r w:rsidRPr="00132FA6">
        <w:rPr>
          <w:sz w:val="28"/>
          <w:szCs w:val="28"/>
          <w:lang w:eastAsia="en-US"/>
        </w:rPr>
        <w:t>HbA</w:t>
      </w:r>
      <w:r w:rsidRPr="00132FA6">
        <w:rPr>
          <w:sz w:val="28"/>
          <w:szCs w:val="28"/>
          <w:lang w:val="uk-UA" w:eastAsia="en-US"/>
        </w:rPr>
        <w:t>1с</w:t>
      </w:r>
      <w:r w:rsidRPr="00132FA6">
        <w:rPr>
          <w:sz w:val="28"/>
          <w:szCs w:val="28"/>
          <w:lang w:val="uk-UA"/>
        </w:rPr>
        <w:t xml:space="preserve"> (р</w:t>
      </w:r>
      <w:r w:rsidRPr="00132FA6">
        <w:rPr>
          <w:sz w:val="28"/>
          <w:szCs w:val="28"/>
          <w:vertAlign w:val="subscript"/>
          <w:lang w:val="uk-UA"/>
        </w:rPr>
        <w:t>1-І-2-І</w:t>
      </w:r>
      <w:r w:rsidRPr="00132FA6">
        <w:rPr>
          <w:sz w:val="28"/>
          <w:szCs w:val="28"/>
          <w:lang w:val="uk-UA"/>
        </w:rPr>
        <w:t>=0,001), інсулін (р</w:t>
      </w:r>
      <w:r w:rsidRPr="00132FA6">
        <w:rPr>
          <w:sz w:val="28"/>
          <w:szCs w:val="28"/>
          <w:vertAlign w:val="subscript"/>
          <w:lang w:val="uk-UA"/>
        </w:rPr>
        <w:t>1-І-2-І</w:t>
      </w:r>
      <w:r w:rsidRPr="00132FA6">
        <w:rPr>
          <w:sz w:val="28"/>
          <w:szCs w:val="28"/>
          <w:lang w:val="uk-UA"/>
        </w:rPr>
        <w:t xml:space="preserve">=0,019, </w:t>
      </w:r>
      <w:r w:rsidRPr="00132FA6">
        <w:rPr>
          <w:sz w:val="28"/>
          <w:szCs w:val="28"/>
          <w:lang w:val="uk-UA" w:eastAsia="en-US"/>
        </w:rPr>
        <w:t xml:space="preserve">НОМА- </w:t>
      </w:r>
      <w:r w:rsidRPr="00132FA6">
        <w:rPr>
          <w:sz w:val="28"/>
          <w:szCs w:val="28"/>
          <w:lang w:val="en-US" w:eastAsia="en-US"/>
        </w:rPr>
        <w:t>IR</w:t>
      </w:r>
      <w:r w:rsidRPr="00132FA6">
        <w:rPr>
          <w:sz w:val="28"/>
          <w:szCs w:val="28"/>
          <w:lang w:val="uk-UA"/>
        </w:rPr>
        <w:t xml:space="preserve"> (р</w:t>
      </w:r>
      <w:r w:rsidRPr="00132FA6">
        <w:rPr>
          <w:sz w:val="28"/>
          <w:szCs w:val="28"/>
          <w:vertAlign w:val="subscript"/>
          <w:lang w:val="uk-UA"/>
        </w:rPr>
        <w:t>1-І-2-І</w:t>
      </w:r>
      <w:r w:rsidRPr="00132FA6">
        <w:rPr>
          <w:sz w:val="28"/>
          <w:szCs w:val="28"/>
          <w:lang w:val="uk-UA"/>
        </w:rPr>
        <w:t>=0,001), Т4 віл (р</w:t>
      </w:r>
      <w:r w:rsidRPr="00132FA6">
        <w:rPr>
          <w:sz w:val="28"/>
          <w:szCs w:val="28"/>
          <w:vertAlign w:val="subscript"/>
          <w:lang w:val="uk-UA"/>
        </w:rPr>
        <w:t>1-І-2-І</w:t>
      </w:r>
      <w:r w:rsidRPr="00132FA6">
        <w:rPr>
          <w:sz w:val="28"/>
          <w:szCs w:val="28"/>
          <w:lang w:val="uk-UA"/>
        </w:rPr>
        <w:t>=0,02), САТ      (р</w:t>
      </w:r>
      <w:r w:rsidRPr="00132FA6">
        <w:rPr>
          <w:sz w:val="28"/>
          <w:szCs w:val="28"/>
          <w:vertAlign w:val="subscript"/>
          <w:lang w:val="uk-UA"/>
        </w:rPr>
        <w:t>1-І-2-І</w:t>
      </w:r>
      <w:r w:rsidRPr="00132FA6">
        <w:rPr>
          <w:sz w:val="28"/>
          <w:szCs w:val="28"/>
          <w:lang w:val="uk-UA"/>
        </w:rPr>
        <w:t xml:space="preserve"> =0,001), ДАТ (р</w:t>
      </w:r>
      <w:r w:rsidRPr="00132FA6">
        <w:rPr>
          <w:sz w:val="28"/>
          <w:szCs w:val="28"/>
          <w:vertAlign w:val="subscript"/>
          <w:lang w:val="uk-UA"/>
        </w:rPr>
        <w:t>1-І-2-І</w:t>
      </w:r>
      <w:r w:rsidRPr="00132FA6">
        <w:rPr>
          <w:sz w:val="28"/>
          <w:szCs w:val="28"/>
          <w:lang w:val="uk-UA"/>
        </w:rPr>
        <w:t xml:space="preserve"> =0,04),  ПАТ (р</w:t>
      </w:r>
      <w:r w:rsidRPr="00132FA6">
        <w:rPr>
          <w:sz w:val="28"/>
          <w:szCs w:val="28"/>
          <w:vertAlign w:val="subscript"/>
          <w:lang w:val="uk-UA"/>
        </w:rPr>
        <w:t>1-І-2-І</w:t>
      </w:r>
      <w:r w:rsidRPr="00132FA6">
        <w:rPr>
          <w:sz w:val="28"/>
          <w:szCs w:val="28"/>
          <w:lang w:val="uk-UA"/>
        </w:rPr>
        <w:t xml:space="preserve"> =0,003), МТ (р</w:t>
      </w:r>
      <w:r w:rsidRPr="00132FA6">
        <w:rPr>
          <w:sz w:val="28"/>
          <w:szCs w:val="28"/>
          <w:vertAlign w:val="subscript"/>
          <w:lang w:val="uk-UA"/>
        </w:rPr>
        <w:t>1-І-3-І</w:t>
      </w:r>
      <w:r w:rsidRPr="00132FA6">
        <w:rPr>
          <w:sz w:val="28"/>
          <w:szCs w:val="28"/>
          <w:lang w:val="uk-UA"/>
        </w:rPr>
        <w:t xml:space="preserve"> =0,016), ТГ (р</w:t>
      </w:r>
      <w:r w:rsidRPr="00132FA6">
        <w:rPr>
          <w:sz w:val="28"/>
          <w:szCs w:val="28"/>
          <w:vertAlign w:val="subscript"/>
          <w:lang w:val="uk-UA"/>
        </w:rPr>
        <w:t>1-І-3-І</w:t>
      </w:r>
      <w:r w:rsidRPr="00132FA6">
        <w:rPr>
          <w:sz w:val="28"/>
          <w:szCs w:val="28"/>
          <w:lang w:val="uk-UA"/>
        </w:rPr>
        <w:t>=0,026), глюкоза (р</w:t>
      </w:r>
      <w:r w:rsidRPr="00132FA6">
        <w:rPr>
          <w:sz w:val="28"/>
          <w:szCs w:val="28"/>
          <w:vertAlign w:val="subscript"/>
          <w:lang w:val="uk-UA"/>
        </w:rPr>
        <w:t>1-І-3-І</w:t>
      </w:r>
      <w:r w:rsidRPr="00132FA6">
        <w:rPr>
          <w:sz w:val="28"/>
          <w:szCs w:val="28"/>
          <w:lang w:val="uk-UA"/>
        </w:rPr>
        <w:t xml:space="preserve">=0,001), </w:t>
      </w:r>
      <w:r w:rsidRPr="00132FA6">
        <w:rPr>
          <w:sz w:val="28"/>
          <w:szCs w:val="28"/>
          <w:lang w:eastAsia="en-US"/>
        </w:rPr>
        <w:t>HbA</w:t>
      </w:r>
      <w:r w:rsidRPr="00132FA6">
        <w:rPr>
          <w:sz w:val="28"/>
          <w:szCs w:val="28"/>
          <w:lang w:val="uk-UA" w:eastAsia="en-US"/>
        </w:rPr>
        <w:t>1с</w:t>
      </w:r>
      <w:r w:rsidRPr="00132FA6">
        <w:rPr>
          <w:sz w:val="28"/>
          <w:szCs w:val="28"/>
          <w:lang w:val="uk-UA"/>
        </w:rPr>
        <w:t xml:space="preserve"> (р</w:t>
      </w:r>
      <w:r w:rsidRPr="00132FA6">
        <w:rPr>
          <w:sz w:val="28"/>
          <w:szCs w:val="28"/>
          <w:vertAlign w:val="subscript"/>
          <w:lang w:val="uk-UA"/>
        </w:rPr>
        <w:t>1-І-3-І</w:t>
      </w:r>
      <w:r w:rsidRPr="00132FA6">
        <w:rPr>
          <w:sz w:val="28"/>
          <w:szCs w:val="28"/>
          <w:lang w:val="uk-UA"/>
        </w:rPr>
        <w:t>=0,001), ТТГ                             (р</w:t>
      </w:r>
      <w:r w:rsidRPr="00132FA6">
        <w:rPr>
          <w:sz w:val="28"/>
          <w:szCs w:val="28"/>
          <w:vertAlign w:val="subscript"/>
          <w:lang w:val="uk-UA"/>
        </w:rPr>
        <w:t>1-І-3-І</w:t>
      </w:r>
      <w:r w:rsidRPr="00132FA6">
        <w:rPr>
          <w:sz w:val="28"/>
          <w:szCs w:val="28"/>
          <w:lang w:val="uk-UA"/>
        </w:rPr>
        <w:t xml:space="preserve"> =0,001), Т3 віл (р</w:t>
      </w:r>
      <w:r w:rsidRPr="00132FA6">
        <w:rPr>
          <w:sz w:val="28"/>
          <w:szCs w:val="28"/>
          <w:vertAlign w:val="subscript"/>
          <w:lang w:val="uk-UA"/>
        </w:rPr>
        <w:t>1-І-3-І</w:t>
      </w:r>
      <w:r w:rsidRPr="00132FA6">
        <w:rPr>
          <w:sz w:val="28"/>
          <w:szCs w:val="28"/>
          <w:lang w:val="uk-UA"/>
        </w:rPr>
        <w:t xml:space="preserve"> =0,042), Т4 віл (р</w:t>
      </w:r>
      <w:r w:rsidRPr="00132FA6">
        <w:rPr>
          <w:sz w:val="28"/>
          <w:szCs w:val="28"/>
          <w:vertAlign w:val="subscript"/>
          <w:lang w:val="uk-UA"/>
        </w:rPr>
        <w:t>1-І-3-І</w:t>
      </w:r>
      <w:r w:rsidRPr="00132FA6">
        <w:rPr>
          <w:sz w:val="28"/>
          <w:szCs w:val="28"/>
          <w:lang w:val="uk-UA"/>
        </w:rPr>
        <w:t xml:space="preserve"> =0,002), МТ (р</w:t>
      </w:r>
      <w:r w:rsidRPr="00132FA6">
        <w:rPr>
          <w:sz w:val="28"/>
          <w:szCs w:val="28"/>
          <w:vertAlign w:val="subscript"/>
          <w:lang w:val="uk-UA"/>
        </w:rPr>
        <w:t>2-І-3-І</w:t>
      </w:r>
      <w:r w:rsidRPr="00132FA6">
        <w:rPr>
          <w:sz w:val="28"/>
          <w:szCs w:val="28"/>
          <w:lang w:val="uk-UA"/>
        </w:rPr>
        <w:t xml:space="preserve"> =0,001), ІМТ(р</w:t>
      </w:r>
      <w:r w:rsidRPr="00132FA6">
        <w:rPr>
          <w:sz w:val="28"/>
          <w:szCs w:val="28"/>
          <w:vertAlign w:val="subscript"/>
          <w:lang w:val="uk-UA"/>
        </w:rPr>
        <w:t>2-І-3-І</w:t>
      </w:r>
      <w:r w:rsidRPr="00132FA6">
        <w:rPr>
          <w:sz w:val="28"/>
          <w:szCs w:val="28"/>
          <w:lang w:val="uk-UA"/>
        </w:rPr>
        <w:t xml:space="preserve"> =0,001), ЗХ (р</w:t>
      </w:r>
      <w:r w:rsidRPr="00132FA6">
        <w:rPr>
          <w:sz w:val="28"/>
          <w:szCs w:val="28"/>
          <w:vertAlign w:val="subscript"/>
          <w:lang w:val="uk-UA"/>
        </w:rPr>
        <w:t>2-І-3-І</w:t>
      </w:r>
      <w:r w:rsidRPr="00132FA6">
        <w:rPr>
          <w:sz w:val="28"/>
          <w:szCs w:val="28"/>
          <w:lang w:val="uk-UA"/>
        </w:rPr>
        <w:t xml:space="preserve"> =0,002), ХС ЛПВЩ (р</w:t>
      </w:r>
      <w:r w:rsidRPr="00132FA6">
        <w:rPr>
          <w:sz w:val="28"/>
          <w:szCs w:val="28"/>
          <w:vertAlign w:val="subscript"/>
          <w:lang w:val="uk-UA"/>
        </w:rPr>
        <w:t>2-І-3-І</w:t>
      </w:r>
      <w:r w:rsidRPr="00132FA6">
        <w:rPr>
          <w:sz w:val="28"/>
          <w:szCs w:val="28"/>
          <w:lang w:val="uk-UA"/>
        </w:rPr>
        <w:t xml:space="preserve"> =0,001), ХС ЛПНЩ (р</w:t>
      </w:r>
      <w:r w:rsidRPr="00132FA6">
        <w:rPr>
          <w:sz w:val="28"/>
          <w:szCs w:val="28"/>
          <w:vertAlign w:val="subscript"/>
          <w:lang w:val="uk-UA"/>
        </w:rPr>
        <w:t>2-І-3-І</w:t>
      </w:r>
      <w:r w:rsidRPr="00132FA6">
        <w:rPr>
          <w:sz w:val="28"/>
          <w:szCs w:val="28"/>
          <w:lang w:val="uk-UA"/>
        </w:rPr>
        <w:t>=0,012), глюкоза натще (р</w:t>
      </w:r>
      <w:r w:rsidRPr="00132FA6">
        <w:rPr>
          <w:sz w:val="28"/>
          <w:szCs w:val="28"/>
          <w:vertAlign w:val="subscript"/>
          <w:lang w:val="uk-UA"/>
        </w:rPr>
        <w:t>2-І-3-І</w:t>
      </w:r>
      <w:r w:rsidRPr="00132FA6">
        <w:rPr>
          <w:sz w:val="28"/>
          <w:szCs w:val="28"/>
          <w:lang w:val="uk-UA"/>
        </w:rPr>
        <w:t xml:space="preserve"> =0,004), інсулін (р</w:t>
      </w:r>
      <w:r w:rsidRPr="00132FA6">
        <w:rPr>
          <w:sz w:val="28"/>
          <w:szCs w:val="28"/>
          <w:vertAlign w:val="subscript"/>
          <w:lang w:val="uk-UA"/>
        </w:rPr>
        <w:t>2-І-3-І</w:t>
      </w:r>
      <w:r w:rsidRPr="00132FA6">
        <w:rPr>
          <w:sz w:val="28"/>
          <w:szCs w:val="28"/>
          <w:lang w:val="uk-UA"/>
        </w:rPr>
        <w:t xml:space="preserve"> =0,016), НОМА-</w:t>
      </w:r>
      <w:r w:rsidRPr="00132FA6">
        <w:rPr>
          <w:sz w:val="28"/>
          <w:szCs w:val="28"/>
          <w:lang w:val="en-US"/>
        </w:rPr>
        <w:t>IR</w:t>
      </w:r>
      <w:r w:rsidRPr="00132FA6">
        <w:rPr>
          <w:sz w:val="28"/>
          <w:szCs w:val="28"/>
          <w:lang w:val="uk-UA"/>
        </w:rPr>
        <w:t xml:space="preserve"> (р</w:t>
      </w:r>
      <w:r w:rsidRPr="00132FA6">
        <w:rPr>
          <w:sz w:val="28"/>
          <w:szCs w:val="28"/>
          <w:vertAlign w:val="subscript"/>
          <w:lang w:val="uk-UA"/>
        </w:rPr>
        <w:t>2-І-3-І</w:t>
      </w:r>
      <w:r w:rsidRPr="00132FA6">
        <w:rPr>
          <w:sz w:val="28"/>
          <w:szCs w:val="28"/>
          <w:lang w:val="uk-UA"/>
        </w:rPr>
        <w:t xml:space="preserve"> =0,001), ТТГ (р</w:t>
      </w:r>
      <w:r w:rsidRPr="00132FA6">
        <w:rPr>
          <w:sz w:val="28"/>
          <w:szCs w:val="28"/>
          <w:vertAlign w:val="subscript"/>
          <w:lang w:val="uk-UA"/>
        </w:rPr>
        <w:t>2-І-3-І</w:t>
      </w:r>
      <w:r w:rsidRPr="00132FA6">
        <w:rPr>
          <w:sz w:val="28"/>
          <w:szCs w:val="28"/>
          <w:lang w:val="uk-UA"/>
        </w:rPr>
        <w:t xml:space="preserve"> =0,001), Т3віл (р</w:t>
      </w:r>
      <w:r w:rsidRPr="00132FA6">
        <w:rPr>
          <w:sz w:val="28"/>
          <w:szCs w:val="28"/>
          <w:vertAlign w:val="subscript"/>
          <w:lang w:val="uk-UA"/>
        </w:rPr>
        <w:t>2-І-3-І</w:t>
      </w:r>
      <w:r w:rsidRPr="00132FA6">
        <w:rPr>
          <w:sz w:val="28"/>
          <w:szCs w:val="28"/>
          <w:lang w:val="uk-UA"/>
        </w:rPr>
        <w:t xml:space="preserve"> =0,001), САТ (р</w:t>
      </w:r>
      <w:r w:rsidRPr="00132FA6">
        <w:rPr>
          <w:sz w:val="28"/>
          <w:szCs w:val="28"/>
          <w:vertAlign w:val="subscript"/>
          <w:lang w:val="uk-UA"/>
        </w:rPr>
        <w:t>2-І-3-І</w:t>
      </w:r>
      <w:r w:rsidRPr="00132FA6">
        <w:rPr>
          <w:sz w:val="28"/>
          <w:szCs w:val="28"/>
          <w:lang w:val="uk-UA"/>
        </w:rPr>
        <w:t xml:space="preserve"> =0,005).</w:t>
      </w:r>
    </w:p>
    <w:p w:rsidR="00E3259F" w:rsidRPr="00132FA6" w:rsidRDefault="00E3259F" w:rsidP="00132FA6">
      <w:pPr>
        <w:spacing w:line="360" w:lineRule="auto"/>
        <w:ind w:firstLine="709"/>
        <w:jc w:val="both"/>
        <w:outlineLvl w:val="0"/>
        <w:rPr>
          <w:sz w:val="28"/>
          <w:szCs w:val="28"/>
          <w:lang w:val="uk-UA"/>
        </w:rPr>
      </w:pPr>
      <w:r w:rsidRPr="00132FA6">
        <w:rPr>
          <w:sz w:val="28"/>
          <w:szCs w:val="28"/>
          <w:lang w:val="uk-UA"/>
        </w:rPr>
        <w:t>Серед пацієнтів старшої вікової групи достовірні відмінності між групами пацієнтів з коморбідною патологією спостерігалися рідше, ніж у порівнянні з групою ізольованою ГХ, а саме між рівнями: ЗХС (р</w:t>
      </w:r>
      <w:r w:rsidRPr="00132FA6">
        <w:rPr>
          <w:sz w:val="28"/>
          <w:szCs w:val="28"/>
          <w:vertAlign w:val="subscript"/>
          <w:lang w:val="uk-UA"/>
        </w:rPr>
        <w:t>1-ІІ-2-ІІ</w:t>
      </w:r>
      <w:r w:rsidRPr="00132FA6">
        <w:rPr>
          <w:sz w:val="28"/>
          <w:szCs w:val="28"/>
          <w:lang w:val="uk-UA"/>
        </w:rPr>
        <w:t>=0,002), ХС ЛПНЩ (р</w:t>
      </w:r>
      <w:r w:rsidRPr="00132FA6">
        <w:rPr>
          <w:sz w:val="28"/>
          <w:szCs w:val="28"/>
          <w:vertAlign w:val="subscript"/>
          <w:lang w:val="uk-UA"/>
        </w:rPr>
        <w:t>1-ІІ-2-ІІ</w:t>
      </w:r>
      <w:r w:rsidRPr="00132FA6">
        <w:rPr>
          <w:sz w:val="28"/>
          <w:szCs w:val="28"/>
          <w:lang w:val="uk-UA"/>
        </w:rPr>
        <w:t>=0,037), глюкози натще (р</w:t>
      </w:r>
      <w:r w:rsidRPr="00132FA6">
        <w:rPr>
          <w:sz w:val="28"/>
          <w:szCs w:val="28"/>
          <w:vertAlign w:val="subscript"/>
          <w:lang w:val="uk-UA"/>
        </w:rPr>
        <w:t>1-ІІ-2-ІІ</w:t>
      </w:r>
      <w:r w:rsidRPr="00132FA6">
        <w:rPr>
          <w:sz w:val="28"/>
          <w:szCs w:val="28"/>
          <w:lang w:val="uk-UA"/>
        </w:rPr>
        <w:t xml:space="preserve">=0,001), </w:t>
      </w:r>
      <w:r w:rsidRPr="00132FA6">
        <w:rPr>
          <w:sz w:val="28"/>
          <w:szCs w:val="28"/>
          <w:lang w:eastAsia="en-US"/>
        </w:rPr>
        <w:t>HbA</w:t>
      </w:r>
      <w:r w:rsidRPr="00132FA6">
        <w:rPr>
          <w:sz w:val="28"/>
          <w:szCs w:val="28"/>
          <w:lang w:val="uk-UA" w:eastAsia="en-US"/>
        </w:rPr>
        <w:t>1с</w:t>
      </w:r>
      <w:r w:rsidRPr="00132FA6">
        <w:rPr>
          <w:sz w:val="28"/>
          <w:szCs w:val="28"/>
          <w:lang w:val="uk-UA"/>
        </w:rPr>
        <w:t xml:space="preserve">                      (р</w:t>
      </w:r>
      <w:r w:rsidRPr="00132FA6">
        <w:rPr>
          <w:sz w:val="28"/>
          <w:szCs w:val="28"/>
          <w:vertAlign w:val="subscript"/>
          <w:lang w:val="uk-UA"/>
        </w:rPr>
        <w:t>1-ІІ-2-ІІ</w:t>
      </w:r>
      <w:r w:rsidRPr="00132FA6">
        <w:rPr>
          <w:sz w:val="28"/>
          <w:szCs w:val="28"/>
          <w:lang w:val="uk-UA"/>
        </w:rPr>
        <w:t xml:space="preserve"> =0,001), інсуліну (р</w:t>
      </w:r>
      <w:r w:rsidRPr="00132FA6">
        <w:rPr>
          <w:sz w:val="28"/>
          <w:szCs w:val="28"/>
          <w:vertAlign w:val="subscript"/>
          <w:lang w:val="uk-UA"/>
        </w:rPr>
        <w:t>1-ІІ-2-ІІ</w:t>
      </w:r>
      <w:r w:rsidRPr="00132FA6">
        <w:rPr>
          <w:sz w:val="28"/>
          <w:szCs w:val="28"/>
          <w:lang w:val="uk-UA"/>
        </w:rPr>
        <w:t>=0,036),</w:t>
      </w:r>
      <w:r w:rsidRPr="00132FA6">
        <w:rPr>
          <w:sz w:val="28"/>
          <w:szCs w:val="28"/>
          <w:lang w:val="uk-UA" w:eastAsia="en-US"/>
        </w:rPr>
        <w:t xml:space="preserve"> НОМА- </w:t>
      </w:r>
      <w:r w:rsidRPr="00132FA6">
        <w:rPr>
          <w:sz w:val="28"/>
          <w:szCs w:val="28"/>
          <w:lang w:val="en-US" w:eastAsia="en-US"/>
        </w:rPr>
        <w:t>IR</w:t>
      </w:r>
      <w:r w:rsidRPr="00132FA6">
        <w:rPr>
          <w:sz w:val="28"/>
          <w:szCs w:val="28"/>
          <w:lang w:val="uk-UA" w:eastAsia="en-US"/>
        </w:rPr>
        <w:t xml:space="preserve"> </w:t>
      </w:r>
      <w:r w:rsidRPr="00132FA6">
        <w:rPr>
          <w:sz w:val="28"/>
          <w:szCs w:val="28"/>
          <w:lang w:val="uk-UA"/>
        </w:rPr>
        <w:t>(р</w:t>
      </w:r>
      <w:r w:rsidRPr="00132FA6">
        <w:rPr>
          <w:sz w:val="28"/>
          <w:szCs w:val="28"/>
          <w:vertAlign w:val="subscript"/>
          <w:lang w:val="uk-UA"/>
        </w:rPr>
        <w:t>1-ІІ-2-ІІ</w:t>
      </w:r>
      <w:r w:rsidRPr="00132FA6">
        <w:rPr>
          <w:sz w:val="28"/>
          <w:szCs w:val="28"/>
          <w:lang w:val="uk-UA"/>
        </w:rPr>
        <w:t>=0,001), ТТГ     (р</w:t>
      </w:r>
      <w:r w:rsidRPr="00132FA6">
        <w:rPr>
          <w:sz w:val="28"/>
          <w:szCs w:val="28"/>
          <w:vertAlign w:val="subscript"/>
          <w:lang w:val="uk-UA"/>
        </w:rPr>
        <w:t>1-ІІ-2-ІІ</w:t>
      </w:r>
      <w:r w:rsidRPr="00132FA6">
        <w:rPr>
          <w:sz w:val="28"/>
          <w:szCs w:val="28"/>
          <w:lang w:val="uk-UA"/>
        </w:rPr>
        <w:t xml:space="preserve"> =0,011), Т3віл (р</w:t>
      </w:r>
      <w:r w:rsidRPr="00132FA6">
        <w:rPr>
          <w:sz w:val="28"/>
          <w:szCs w:val="28"/>
          <w:vertAlign w:val="subscript"/>
          <w:lang w:val="uk-UA"/>
        </w:rPr>
        <w:t>1-ІІ-2-ІІ</w:t>
      </w:r>
      <w:r w:rsidRPr="00132FA6">
        <w:rPr>
          <w:sz w:val="28"/>
          <w:szCs w:val="28"/>
          <w:lang w:val="uk-UA"/>
        </w:rPr>
        <w:t>=0,005), САТ (р</w:t>
      </w:r>
      <w:r w:rsidRPr="00132FA6">
        <w:rPr>
          <w:sz w:val="28"/>
          <w:szCs w:val="28"/>
          <w:vertAlign w:val="subscript"/>
          <w:lang w:val="uk-UA"/>
        </w:rPr>
        <w:t>1-ІІ-2-ІІ</w:t>
      </w:r>
      <w:r w:rsidRPr="00132FA6">
        <w:rPr>
          <w:sz w:val="28"/>
          <w:szCs w:val="28"/>
          <w:lang w:val="uk-UA"/>
        </w:rPr>
        <w:t>=0,005), ПАТ  (р</w:t>
      </w:r>
      <w:r w:rsidRPr="00132FA6">
        <w:rPr>
          <w:sz w:val="28"/>
          <w:szCs w:val="28"/>
          <w:vertAlign w:val="subscript"/>
          <w:lang w:val="uk-UA"/>
        </w:rPr>
        <w:t>1-ІІ-2-ІІ</w:t>
      </w:r>
      <w:r w:rsidRPr="00132FA6">
        <w:rPr>
          <w:sz w:val="28"/>
          <w:szCs w:val="28"/>
          <w:lang w:val="uk-UA"/>
        </w:rPr>
        <w:t xml:space="preserve"> =0,006), ХС ЛПДНЩ (р</w:t>
      </w:r>
      <w:r w:rsidRPr="00132FA6">
        <w:rPr>
          <w:sz w:val="28"/>
          <w:szCs w:val="28"/>
          <w:vertAlign w:val="subscript"/>
          <w:lang w:val="uk-UA"/>
        </w:rPr>
        <w:t>1-ІІ-3-ІІ</w:t>
      </w:r>
      <w:r w:rsidRPr="00132FA6">
        <w:rPr>
          <w:sz w:val="28"/>
          <w:szCs w:val="28"/>
          <w:lang w:val="uk-UA"/>
        </w:rPr>
        <w:t xml:space="preserve"> =0,025), ХС ЛПВЩ (р</w:t>
      </w:r>
      <w:r w:rsidRPr="00132FA6">
        <w:rPr>
          <w:sz w:val="28"/>
          <w:szCs w:val="28"/>
          <w:vertAlign w:val="subscript"/>
          <w:lang w:val="uk-UA"/>
        </w:rPr>
        <w:t>1-ІІ-3-ІІ</w:t>
      </w:r>
      <w:r w:rsidRPr="00132FA6">
        <w:rPr>
          <w:sz w:val="28"/>
          <w:szCs w:val="28"/>
          <w:lang w:val="uk-UA"/>
        </w:rPr>
        <w:t>=0,011), глюкоза                        (р</w:t>
      </w:r>
      <w:r w:rsidRPr="00132FA6">
        <w:rPr>
          <w:sz w:val="28"/>
          <w:szCs w:val="28"/>
          <w:vertAlign w:val="subscript"/>
          <w:lang w:val="uk-UA"/>
        </w:rPr>
        <w:t>1-ІІ-3-ІІ</w:t>
      </w:r>
      <w:r w:rsidRPr="00132FA6">
        <w:rPr>
          <w:sz w:val="28"/>
          <w:szCs w:val="28"/>
          <w:lang w:val="uk-UA"/>
        </w:rPr>
        <w:t xml:space="preserve">=0,001),  </w:t>
      </w:r>
      <w:r w:rsidRPr="00132FA6">
        <w:rPr>
          <w:sz w:val="28"/>
          <w:szCs w:val="28"/>
          <w:lang w:eastAsia="en-US"/>
        </w:rPr>
        <w:t>HbA</w:t>
      </w:r>
      <w:r w:rsidRPr="00132FA6">
        <w:rPr>
          <w:sz w:val="28"/>
          <w:szCs w:val="28"/>
          <w:lang w:val="uk-UA" w:eastAsia="en-US"/>
        </w:rPr>
        <w:t>1с</w:t>
      </w:r>
      <w:r w:rsidRPr="00132FA6">
        <w:rPr>
          <w:sz w:val="28"/>
          <w:szCs w:val="28"/>
          <w:lang w:val="uk-UA"/>
        </w:rPr>
        <w:t xml:space="preserve"> (р</w:t>
      </w:r>
      <w:r w:rsidRPr="00132FA6">
        <w:rPr>
          <w:sz w:val="28"/>
          <w:szCs w:val="28"/>
          <w:vertAlign w:val="subscript"/>
          <w:lang w:val="uk-UA"/>
        </w:rPr>
        <w:t>1-ІІ-3-ІІ</w:t>
      </w:r>
      <w:r w:rsidRPr="00132FA6">
        <w:rPr>
          <w:sz w:val="28"/>
          <w:szCs w:val="28"/>
          <w:lang w:val="uk-UA"/>
        </w:rPr>
        <w:t>=0,001),</w:t>
      </w:r>
      <w:r w:rsidRPr="00132FA6">
        <w:rPr>
          <w:sz w:val="28"/>
          <w:szCs w:val="28"/>
          <w:lang w:val="uk-UA" w:eastAsia="en-US"/>
        </w:rPr>
        <w:t xml:space="preserve"> НОМА- </w:t>
      </w:r>
      <w:r w:rsidRPr="00132FA6">
        <w:rPr>
          <w:sz w:val="28"/>
          <w:szCs w:val="28"/>
          <w:lang w:val="en-US" w:eastAsia="en-US"/>
        </w:rPr>
        <w:t>IR</w:t>
      </w:r>
      <w:r w:rsidRPr="00132FA6">
        <w:rPr>
          <w:sz w:val="28"/>
          <w:szCs w:val="28"/>
          <w:lang w:val="uk-UA"/>
        </w:rPr>
        <w:t xml:space="preserve"> (р</w:t>
      </w:r>
      <w:r w:rsidRPr="00132FA6">
        <w:rPr>
          <w:sz w:val="28"/>
          <w:szCs w:val="28"/>
          <w:vertAlign w:val="subscript"/>
          <w:lang w:val="uk-UA"/>
        </w:rPr>
        <w:t>1-ІІ-3-ІІ</w:t>
      </w:r>
      <w:r w:rsidRPr="00132FA6">
        <w:rPr>
          <w:sz w:val="28"/>
          <w:szCs w:val="28"/>
          <w:lang w:val="uk-UA"/>
        </w:rPr>
        <w:t xml:space="preserve"> =0,001), ТТГ                           (р</w:t>
      </w:r>
      <w:r w:rsidRPr="00132FA6">
        <w:rPr>
          <w:sz w:val="28"/>
          <w:szCs w:val="28"/>
          <w:vertAlign w:val="subscript"/>
          <w:lang w:val="uk-UA"/>
        </w:rPr>
        <w:t>1-ІІ-3-ІІ</w:t>
      </w:r>
      <w:r w:rsidRPr="00132FA6">
        <w:rPr>
          <w:sz w:val="28"/>
          <w:szCs w:val="28"/>
          <w:lang w:val="uk-UA"/>
        </w:rPr>
        <w:t>=0,001), ПАД (р</w:t>
      </w:r>
      <w:r w:rsidRPr="00132FA6">
        <w:rPr>
          <w:sz w:val="28"/>
          <w:szCs w:val="28"/>
          <w:vertAlign w:val="subscript"/>
          <w:lang w:val="uk-UA"/>
        </w:rPr>
        <w:t>1-ІІ-3-ІІ</w:t>
      </w:r>
      <w:r w:rsidRPr="00132FA6">
        <w:rPr>
          <w:sz w:val="28"/>
          <w:szCs w:val="28"/>
          <w:lang w:val="uk-UA"/>
        </w:rPr>
        <w:t>=0,026),  МТ (р</w:t>
      </w:r>
      <w:r w:rsidRPr="00132FA6">
        <w:rPr>
          <w:sz w:val="28"/>
          <w:szCs w:val="28"/>
          <w:vertAlign w:val="subscript"/>
          <w:lang w:val="uk-UA"/>
        </w:rPr>
        <w:t>1-ІІ-3-ІІ</w:t>
      </w:r>
      <w:r w:rsidRPr="00132FA6">
        <w:rPr>
          <w:sz w:val="28"/>
          <w:szCs w:val="28"/>
          <w:lang w:val="uk-UA"/>
        </w:rPr>
        <w:t>=0,007),  ХС ЛПДНЩ                           (р</w:t>
      </w:r>
      <w:r w:rsidRPr="00132FA6">
        <w:rPr>
          <w:sz w:val="28"/>
          <w:szCs w:val="28"/>
          <w:vertAlign w:val="subscript"/>
          <w:lang w:val="uk-UA"/>
        </w:rPr>
        <w:t>2-ІІ-3-ІІ</w:t>
      </w:r>
      <w:r w:rsidRPr="00132FA6">
        <w:rPr>
          <w:sz w:val="28"/>
          <w:szCs w:val="28"/>
          <w:lang w:val="uk-UA"/>
        </w:rPr>
        <w:t>=0,047), глюкоза натще (р</w:t>
      </w:r>
      <w:r w:rsidRPr="00132FA6">
        <w:rPr>
          <w:sz w:val="28"/>
          <w:szCs w:val="28"/>
          <w:vertAlign w:val="subscript"/>
          <w:lang w:val="uk-UA"/>
        </w:rPr>
        <w:t>2-ІІ-3-ІІ</w:t>
      </w:r>
      <w:r w:rsidRPr="00132FA6">
        <w:rPr>
          <w:sz w:val="28"/>
          <w:szCs w:val="28"/>
          <w:lang w:val="uk-UA"/>
        </w:rPr>
        <w:t xml:space="preserve"> =0,001), </w:t>
      </w:r>
      <w:r w:rsidRPr="00132FA6">
        <w:rPr>
          <w:sz w:val="28"/>
          <w:szCs w:val="28"/>
        </w:rPr>
        <w:t>HbA</w:t>
      </w:r>
      <w:r w:rsidRPr="00132FA6">
        <w:rPr>
          <w:sz w:val="28"/>
          <w:szCs w:val="28"/>
          <w:lang w:val="uk-UA"/>
        </w:rPr>
        <w:t>1с (р</w:t>
      </w:r>
      <w:r w:rsidRPr="00132FA6">
        <w:rPr>
          <w:sz w:val="28"/>
          <w:szCs w:val="28"/>
          <w:vertAlign w:val="subscript"/>
          <w:lang w:val="uk-UA"/>
        </w:rPr>
        <w:t>2-ІІ-3-ІІ</w:t>
      </w:r>
      <w:r w:rsidRPr="00132FA6">
        <w:rPr>
          <w:sz w:val="28"/>
          <w:szCs w:val="28"/>
          <w:lang w:val="uk-UA"/>
        </w:rPr>
        <w:t xml:space="preserve"> =0,027), ТТГ (р</w:t>
      </w:r>
      <w:r w:rsidRPr="00132FA6">
        <w:rPr>
          <w:sz w:val="28"/>
          <w:szCs w:val="28"/>
          <w:vertAlign w:val="subscript"/>
          <w:lang w:val="uk-UA"/>
        </w:rPr>
        <w:t>2-ІІ-3-ІІ</w:t>
      </w:r>
      <w:r w:rsidRPr="00132FA6">
        <w:rPr>
          <w:sz w:val="28"/>
          <w:szCs w:val="28"/>
          <w:lang w:val="uk-UA"/>
        </w:rPr>
        <w:t xml:space="preserve">=0,001). </w:t>
      </w:r>
    </w:p>
    <w:p w:rsidR="00E3259F" w:rsidRPr="00132FA6" w:rsidRDefault="00E3259F" w:rsidP="00132FA6">
      <w:pPr>
        <w:spacing w:line="360" w:lineRule="auto"/>
        <w:ind w:firstLine="709"/>
        <w:jc w:val="both"/>
        <w:outlineLvl w:val="0"/>
        <w:rPr>
          <w:sz w:val="28"/>
          <w:szCs w:val="28"/>
          <w:lang w:val="uk-UA"/>
        </w:rPr>
      </w:pPr>
      <w:r w:rsidRPr="00132FA6">
        <w:rPr>
          <w:sz w:val="28"/>
          <w:szCs w:val="28"/>
          <w:shd w:val="clear" w:color="auto" w:fill="FFFFFF"/>
          <w:lang w:val="uk-UA"/>
        </w:rPr>
        <w:t>Для визначення впливу віку на антропометричні та метаболічні показники у пацієнтів досліджуваних груп використовувався однофакторний дисперсійний аналіз, результати якого продемонстрували достовірно значимий вплив віку на рівні багатьох досліджувальних показників лише в групі поєднаного перебігу ГХ та ЦД 2 типу:</w:t>
      </w:r>
      <w:r w:rsidRPr="00132FA6">
        <w:rPr>
          <w:sz w:val="28"/>
          <w:szCs w:val="28"/>
          <w:shd w:val="clear" w:color="auto" w:fill="FFFFFF"/>
        </w:rPr>
        <w:t> </w:t>
      </w:r>
      <w:r w:rsidRPr="00132FA6">
        <w:rPr>
          <w:sz w:val="28"/>
          <w:szCs w:val="28"/>
          <w:lang w:val="uk-UA"/>
        </w:rPr>
        <w:t xml:space="preserve">ТГ (р=0,008), ХС ЛПДНЩ (р&lt;0,001), ХС ЛПВЩ (р=0,002), інсулін (р=0,018), ТТГ (р=0,013), САТ (р&lt;0,001), ДАТ (р=0,049), ПАТ (р=0,014). </w:t>
      </w:r>
    </w:p>
    <w:p w:rsidR="00E3259F" w:rsidRPr="00132FA6" w:rsidRDefault="00E3259F" w:rsidP="00132FA6">
      <w:pPr>
        <w:spacing w:line="360" w:lineRule="auto"/>
        <w:ind w:firstLine="709"/>
        <w:jc w:val="both"/>
        <w:outlineLvl w:val="0"/>
        <w:rPr>
          <w:sz w:val="28"/>
          <w:szCs w:val="28"/>
          <w:lang w:val="uk-UA"/>
        </w:rPr>
      </w:pPr>
      <w:r w:rsidRPr="00132FA6">
        <w:rPr>
          <w:rStyle w:val="tlid-translation"/>
          <w:rFonts w:eastAsiaTheme="majorEastAsia"/>
          <w:sz w:val="28"/>
          <w:szCs w:val="28"/>
          <w:lang w:val="uk-UA"/>
        </w:rPr>
        <w:t xml:space="preserve">Таким чином, при поєднаному перебігу ГХ та ЦД 2 типу наявність субклінічної гіпофункції щитовидної залози супроводжується достовірно менш вираженою ІР, ніж при відсутності порушення функції ЩЗ. Досягнення компенсаторного стану ЦД 2 типу на тлі вживання метформіну у хворих при поєднаному перебігу ГХ, ЦД 2 типу та СГТ супроводжувалось не тільки достовірно більш низькими показниками ІР, але й  більш низькими рівнями ТТГ. При  поєднаному перебігу ГХ, ЦД 2 типу та СГТ пороговий рівень       ТТГ-6,5 </w:t>
      </w:r>
      <w:r w:rsidRPr="00132FA6">
        <w:rPr>
          <w:sz w:val="28"/>
          <w:szCs w:val="28"/>
          <w:shd w:val="clear" w:color="auto" w:fill="FFFFFF"/>
          <w:lang w:val="uk-UA"/>
        </w:rPr>
        <w:t>мкМОд/мл</w:t>
      </w:r>
      <w:r w:rsidRPr="00132FA6">
        <w:rPr>
          <w:rStyle w:val="tlid-translation"/>
          <w:rFonts w:eastAsiaTheme="majorEastAsia"/>
          <w:sz w:val="28"/>
          <w:szCs w:val="28"/>
          <w:lang w:val="uk-UA"/>
        </w:rPr>
        <w:t xml:space="preserve"> супроводжується більш значущими показниками ІР, що необхідно враховувати при оцінці загального КВР та відповідно й прогнозу. </w:t>
      </w:r>
    </w:p>
    <w:p w:rsidR="00E3259F" w:rsidRPr="00132FA6" w:rsidRDefault="00E3259F" w:rsidP="00132FA6">
      <w:pPr>
        <w:spacing w:line="360" w:lineRule="auto"/>
        <w:ind w:firstLine="709"/>
        <w:jc w:val="both"/>
        <w:outlineLvl w:val="0"/>
        <w:rPr>
          <w:sz w:val="28"/>
          <w:szCs w:val="28"/>
          <w:lang w:val="uk-UA"/>
        </w:rPr>
      </w:pPr>
      <w:r w:rsidRPr="00132FA6">
        <w:rPr>
          <w:sz w:val="28"/>
          <w:szCs w:val="28"/>
          <w:lang w:val="uk-UA"/>
        </w:rPr>
        <w:t>Пацієнти старшої вікової групи з коморбідною патологією, незалежно від діагнозу, мали менш виражені порушення ліпідного обміну та рівні АТ, ніж особи віком від 44 до 60 років. Серед осіб 61-75 років  з коморбідною патологією, незалежно від функціонального стану ЩЗ, спостерігалися більш виражені порушення вуглеводного обміну, ніж в осіб віком 44-60 років. Суттєвих вікових коливань тиреоїдного обміну при цих коморбідних захворюваннях виявлено не було. У пацієнтів з поєднаним перебігом ГХ та ЦД 2 типу спостерігалося зниження ознак ІР у старшій віковій групи, навпаки, у пацієнтів з ГХ, ЦД 2 типу та СГТ виявлено підвищення ІР з віком. Вікові особливості метаболічних та антропометричних порушень варто приймати до уваги не тільки оцінюючи загальний КВР, але й при розробці лікувально-профілктичних методів.</w:t>
      </w:r>
    </w:p>
    <w:p w:rsidR="00E3259F" w:rsidRDefault="00E3259F" w:rsidP="00E3259F">
      <w:pPr>
        <w:spacing w:line="360" w:lineRule="auto"/>
        <w:ind w:firstLine="709"/>
        <w:jc w:val="both"/>
        <w:rPr>
          <w:sz w:val="28"/>
          <w:szCs w:val="28"/>
          <w:lang w:val="uk-UA"/>
        </w:rPr>
      </w:pPr>
    </w:p>
    <w:p w:rsidR="00E3259F" w:rsidRDefault="00E3259F" w:rsidP="00E3259F">
      <w:pPr>
        <w:spacing w:line="360" w:lineRule="auto"/>
        <w:ind w:firstLine="709"/>
        <w:jc w:val="both"/>
        <w:rPr>
          <w:sz w:val="28"/>
          <w:szCs w:val="28"/>
          <w:lang w:val="uk-UA"/>
        </w:rPr>
      </w:pPr>
      <w:r>
        <w:rPr>
          <w:sz w:val="28"/>
          <w:szCs w:val="28"/>
          <w:lang w:val="uk-UA"/>
        </w:rPr>
        <w:t xml:space="preserve">3.2. Оцінка біологічного віку та темпів старіння у хворих на гіпертонічну хворобу у поєднанні з цукровим діабетом 2 типу без порушення функції щитоподібної залози та з субклінічним гіпотиреозом </w:t>
      </w:r>
    </w:p>
    <w:p w:rsidR="00E3259F" w:rsidRDefault="00E3259F" w:rsidP="00E3259F">
      <w:pPr>
        <w:spacing w:line="360" w:lineRule="auto"/>
        <w:ind w:firstLine="709"/>
        <w:jc w:val="both"/>
        <w:rPr>
          <w:sz w:val="28"/>
          <w:szCs w:val="28"/>
          <w:lang w:val="uk-UA"/>
        </w:rPr>
      </w:pPr>
    </w:p>
    <w:p w:rsidR="00E3259F" w:rsidRPr="00435807" w:rsidRDefault="00E3259F" w:rsidP="00435807">
      <w:pPr>
        <w:spacing w:line="360" w:lineRule="auto"/>
        <w:ind w:firstLine="709"/>
        <w:jc w:val="both"/>
        <w:rPr>
          <w:sz w:val="28"/>
          <w:szCs w:val="28"/>
          <w:lang w:val="uk-UA"/>
        </w:rPr>
      </w:pPr>
      <w:r w:rsidRPr="00435807">
        <w:rPr>
          <w:sz w:val="28"/>
          <w:szCs w:val="28"/>
          <w:lang w:val="uk-UA"/>
        </w:rPr>
        <w:t>Наявні на сьогодні дані про різні темпи старіння у різних людей, відмінності в БВ дозволяють припустити наявність різних індивідуальних профілів ризику розвитку та прогресування ССЗ, ендокринопатій, а також їх поєднаного перебігу у людей одного й того ж хронологічного віку.</w:t>
      </w:r>
    </w:p>
    <w:p w:rsidR="00E3259F" w:rsidRPr="00435807" w:rsidRDefault="00E3259F" w:rsidP="00435807">
      <w:pPr>
        <w:shd w:val="clear" w:color="auto" w:fill="FFFFFF"/>
        <w:spacing w:line="360" w:lineRule="auto"/>
        <w:ind w:firstLine="709"/>
        <w:jc w:val="both"/>
        <w:outlineLvl w:val="0"/>
        <w:rPr>
          <w:rStyle w:val="tlid-translation"/>
          <w:rFonts w:eastAsiaTheme="majorEastAsia"/>
        </w:rPr>
      </w:pPr>
      <w:r w:rsidRPr="00435807">
        <w:rPr>
          <w:rStyle w:val="tlid-translation"/>
          <w:rFonts w:eastAsiaTheme="majorEastAsia"/>
          <w:sz w:val="28"/>
          <w:szCs w:val="28"/>
          <w:lang w:val="uk-UA"/>
        </w:rPr>
        <w:t xml:space="preserve">Прискореному старінню можуть сприяти різноманітні фактори, про що свідчать численні дослідження </w:t>
      </w:r>
      <w:r w:rsidRPr="00435807">
        <w:rPr>
          <w:rStyle w:val="tlid-translation"/>
          <w:sz w:val="28"/>
          <w:szCs w:val="28"/>
          <w:lang w:val="uk-UA"/>
        </w:rPr>
        <w:t>[95</w:t>
      </w:r>
      <w:r w:rsidRPr="00435807">
        <w:rPr>
          <w:sz w:val="28"/>
          <w:szCs w:val="28"/>
        </w:rPr>
        <w:t>,</w:t>
      </w:r>
      <w:r w:rsidRPr="00435807">
        <w:rPr>
          <w:sz w:val="28"/>
          <w:szCs w:val="28"/>
          <w:lang w:val="uk-UA"/>
        </w:rPr>
        <w:t>1</w:t>
      </w:r>
      <w:r w:rsidRPr="00435807">
        <w:rPr>
          <w:sz w:val="28"/>
          <w:szCs w:val="28"/>
        </w:rPr>
        <w:t>0</w:t>
      </w:r>
      <w:r w:rsidRPr="00435807">
        <w:rPr>
          <w:sz w:val="28"/>
          <w:szCs w:val="28"/>
          <w:lang w:val="uk-UA"/>
        </w:rPr>
        <w:t>1</w:t>
      </w:r>
      <w:r w:rsidRPr="00435807">
        <w:rPr>
          <w:rStyle w:val="tlid-translation"/>
          <w:sz w:val="28"/>
          <w:szCs w:val="28"/>
          <w:lang w:val="uk-UA"/>
        </w:rPr>
        <w:t>].</w:t>
      </w:r>
      <w:r w:rsidRPr="00435807">
        <w:rPr>
          <w:rStyle w:val="10"/>
          <w:rFonts w:eastAsia="Batang"/>
          <w:sz w:val="28"/>
          <w:szCs w:val="28"/>
          <w:lang w:val="uk-UA"/>
        </w:rPr>
        <w:t xml:space="preserve"> </w:t>
      </w:r>
      <w:r w:rsidRPr="00435807">
        <w:rPr>
          <w:rStyle w:val="tlid-translation"/>
          <w:rFonts w:eastAsiaTheme="majorEastAsia"/>
          <w:sz w:val="28"/>
          <w:szCs w:val="28"/>
          <w:lang w:val="uk-UA"/>
        </w:rPr>
        <w:t xml:space="preserve">Так існують роботи, у яких показано, що ЦД 2 типу, ССЗ, обумовлені атеросклерозом, ожиріння сприяють ПТС організму </w:t>
      </w:r>
      <w:r w:rsidRPr="00435807">
        <w:rPr>
          <w:rStyle w:val="tlid-translation"/>
          <w:sz w:val="28"/>
          <w:szCs w:val="28"/>
          <w:lang w:val="uk-UA"/>
        </w:rPr>
        <w:t>[1</w:t>
      </w:r>
      <w:r w:rsidRPr="00435807">
        <w:rPr>
          <w:rStyle w:val="tlid-translation"/>
          <w:sz w:val="28"/>
          <w:szCs w:val="28"/>
        </w:rPr>
        <w:t>0</w:t>
      </w:r>
      <w:r w:rsidRPr="00435807">
        <w:rPr>
          <w:rStyle w:val="tlid-translation"/>
          <w:sz w:val="28"/>
          <w:szCs w:val="28"/>
          <w:lang w:val="uk-UA"/>
        </w:rPr>
        <w:t>1</w:t>
      </w:r>
      <w:r w:rsidRPr="00435807">
        <w:rPr>
          <w:rStyle w:val="tlid-translation"/>
          <w:sz w:val="28"/>
          <w:szCs w:val="28"/>
        </w:rPr>
        <w:t>,1</w:t>
      </w:r>
      <w:r w:rsidRPr="00435807">
        <w:rPr>
          <w:rStyle w:val="tlid-translation"/>
          <w:sz w:val="28"/>
          <w:szCs w:val="28"/>
          <w:lang w:val="uk-UA"/>
        </w:rPr>
        <w:t>67</w:t>
      </w:r>
      <w:r w:rsidRPr="00435807">
        <w:rPr>
          <w:sz w:val="28"/>
          <w:szCs w:val="28"/>
          <w:lang w:val="uk-UA"/>
        </w:rPr>
        <w:t>].</w:t>
      </w:r>
    </w:p>
    <w:p w:rsidR="00E3259F" w:rsidRPr="00435807" w:rsidRDefault="00E3259F" w:rsidP="00793AD7">
      <w:pPr>
        <w:spacing w:line="360" w:lineRule="auto"/>
        <w:ind w:firstLine="709"/>
        <w:jc w:val="both"/>
        <w:rPr>
          <w:rStyle w:val="tlid-translation"/>
          <w:rFonts w:eastAsiaTheme="majorEastAsia"/>
          <w:sz w:val="28"/>
          <w:szCs w:val="28"/>
          <w:lang w:val="uk-UA"/>
        </w:rPr>
      </w:pPr>
      <w:r w:rsidRPr="00435807">
        <w:rPr>
          <w:rStyle w:val="tlid-translation"/>
          <w:rFonts w:eastAsiaTheme="majorEastAsia"/>
          <w:sz w:val="28"/>
          <w:szCs w:val="28"/>
          <w:lang w:val="uk-UA"/>
        </w:rPr>
        <w:t>При оцінці типу старіння ФС було виявлено в 13,21</w:t>
      </w:r>
      <w:r w:rsidRPr="00435807">
        <w:rPr>
          <w:sz w:val="28"/>
          <w:szCs w:val="28"/>
          <w:lang w:val="uk-UA"/>
        </w:rPr>
        <w:t>±3,29</w:t>
      </w:r>
      <w:r w:rsidRPr="00435807">
        <w:rPr>
          <w:rStyle w:val="tlid-translation"/>
          <w:rFonts w:eastAsiaTheme="majorEastAsia"/>
          <w:sz w:val="28"/>
          <w:szCs w:val="28"/>
          <w:lang w:val="uk-UA"/>
        </w:rPr>
        <w:t>% серед пацієнтів з ізольованою ГХ, у 9,62</w:t>
      </w:r>
      <w:r w:rsidRPr="00435807">
        <w:rPr>
          <w:sz w:val="28"/>
          <w:szCs w:val="28"/>
          <w:lang w:val="uk-UA"/>
        </w:rPr>
        <w:t>±2,36</w:t>
      </w:r>
      <w:r w:rsidRPr="00435807">
        <w:rPr>
          <w:rStyle w:val="tlid-translation"/>
          <w:rFonts w:eastAsiaTheme="majorEastAsia"/>
          <w:sz w:val="28"/>
          <w:szCs w:val="28"/>
          <w:lang w:val="uk-UA"/>
        </w:rPr>
        <w:t>% осіб з поєднаним перебігом ГХ та ЦД 2 типу та в 4,30</w:t>
      </w:r>
      <w:r w:rsidRPr="00435807">
        <w:rPr>
          <w:sz w:val="28"/>
          <w:szCs w:val="28"/>
          <w:lang w:val="uk-UA"/>
        </w:rPr>
        <w:t>±2,10</w:t>
      </w:r>
      <w:r w:rsidRPr="00435807">
        <w:rPr>
          <w:rStyle w:val="tlid-translation"/>
          <w:rFonts w:eastAsiaTheme="majorEastAsia"/>
          <w:sz w:val="28"/>
          <w:szCs w:val="28"/>
          <w:lang w:val="uk-UA"/>
        </w:rPr>
        <w:t>% пацієнтів з ГХ, ЦД 2 типу та СГТ.</w:t>
      </w:r>
      <w:r w:rsidRPr="00435807">
        <w:rPr>
          <w:rFonts w:eastAsia="Calibri"/>
          <w:sz w:val="28"/>
          <w:szCs w:val="28"/>
          <w:lang w:val="uk-UA"/>
        </w:rPr>
        <w:t xml:space="preserve"> </w:t>
      </w:r>
      <w:r w:rsidRPr="00435807">
        <w:rPr>
          <w:rFonts w:eastAsia="Calibri"/>
          <w:sz w:val="28"/>
          <w:szCs w:val="28"/>
        </w:rPr>
        <w:t>Статистично значущі відмінності</w:t>
      </w:r>
      <w:r w:rsidRPr="00435807">
        <w:rPr>
          <w:rFonts w:eastAsia="Calibri"/>
          <w:sz w:val="28"/>
          <w:szCs w:val="28"/>
          <w:lang w:val="uk-UA"/>
        </w:rPr>
        <w:t xml:space="preserve"> кількості осіб з ФС</w:t>
      </w:r>
      <w:r w:rsidRPr="00435807">
        <w:rPr>
          <w:rFonts w:eastAsia="Calibri"/>
          <w:sz w:val="28"/>
          <w:szCs w:val="28"/>
        </w:rPr>
        <w:t xml:space="preserve"> спостерігалися </w:t>
      </w:r>
      <w:r w:rsidRPr="00435807">
        <w:rPr>
          <w:rFonts w:eastAsia="Calibri"/>
          <w:sz w:val="28"/>
          <w:szCs w:val="28"/>
          <w:lang w:val="uk-UA"/>
        </w:rPr>
        <w:t>при порівнянні групи 1 та групи 3 (р=0,029). У</w:t>
      </w:r>
      <w:r w:rsidRPr="00435807">
        <w:rPr>
          <w:rStyle w:val="tlid-translation"/>
          <w:rFonts w:eastAsiaTheme="majorEastAsia"/>
          <w:sz w:val="28"/>
          <w:szCs w:val="28"/>
          <w:lang w:val="uk-UA"/>
        </w:rPr>
        <w:t>повільнений темп старіння (УТС) було виявлено у 55,56</w:t>
      </w:r>
      <w:r w:rsidRPr="00435807">
        <w:rPr>
          <w:sz w:val="28"/>
          <w:szCs w:val="28"/>
          <w:lang w:val="uk-UA"/>
        </w:rPr>
        <w:t>±4,83</w:t>
      </w:r>
      <w:r w:rsidRPr="00435807">
        <w:rPr>
          <w:rStyle w:val="tlid-translation"/>
          <w:rFonts w:eastAsiaTheme="majorEastAsia"/>
          <w:sz w:val="28"/>
          <w:szCs w:val="28"/>
          <w:lang w:val="uk-UA"/>
        </w:rPr>
        <w:t>% пацієнтів групи 1, що було достовірно більше, ніж  в групі 2 -36,54</w:t>
      </w:r>
      <w:r w:rsidRPr="00435807">
        <w:rPr>
          <w:sz w:val="28"/>
          <w:szCs w:val="28"/>
          <w:lang w:val="uk-UA"/>
        </w:rPr>
        <w:t>±3,86</w:t>
      </w:r>
      <w:r w:rsidRPr="00435807">
        <w:rPr>
          <w:rStyle w:val="tlid-translation"/>
          <w:rFonts w:eastAsiaTheme="majorEastAsia"/>
          <w:sz w:val="28"/>
          <w:szCs w:val="28"/>
          <w:lang w:val="uk-UA"/>
        </w:rPr>
        <w:t>% пацієнтів (р=0,030) та  групі 3 - 40,86</w:t>
      </w:r>
      <w:r w:rsidRPr="00435807">
        <w:rPr>
          <w:sz w:val="28"/>
          <w:szCs w:val="28"/>
          <w:lang w:val="uk-UA"/>
        </w:rPr>
        <w:t>±5,09</w:t>
      </w:r>
      <w:r w:rsidRPr="00435807">
        <w:rPr>
          <w:rStyle w:val="tlid-translation"/>
          <w:rFonts w:eastAsiaTheme="majorEastAsia"/>
          <w:sz w:val="28"/>
          <w:szCs w:val="28"/>
          <w:lang w:val="uk-UA"/>
        </w:rPr>
        <w:t>% пацієнтів (р=0,038). Прискорений темп старіння (ПТС) у групі 1 (31,13</w:t>
      </w:r>
      <w:r w:rsidRPr="00435807">
        <w:rPr>
          <w:sz w:val="28"/>
          <w:szCs w:val="28"/>
          <w:lang w:val="uk-UA"/>
        </w:rPr>
        <w:t>±4,50</w:t>
      </w:r>
      <w:r w:rsidRPr="00435807">
        <w:rPr>
          <w:rStyle w:val="tlid-translation"/>
          <w:rFonts w:eastAsiaTheme="majorEastAsia"/>
          <w:sz w:val="28"/>
          <w:szCs w:val="28"/>
          <w:lang w:val="uk-UA"/>
        </w:rPr>
        <w:t>%</w:t>
      </w:r>
      <w:r w:rsidRPr="00435807">
        <w:rPr>
          <w:sz w:val="28"/>
          <w:szCs w:val="28"/>
          <w:lang w:val="uk-UA"/>
        </w:rPr>
        <w:t xml:space="preserve"> </w:t>
      </w:r>
      <w:r w:rsidRPr="00435807">
        <w:rPr>
          <w:rStyle w:val="tlid-translation"/>
          <w:rFonts w:eastAsiaTheme="majorEastAsia"/>
          <w:sz w:val="28"/>
          <w:szCs w:val="28"/>
          <w:lang w:val="uk-UA"/>
        </w:rPr>
        <w:t>пацієнтів) спостерігався достовірно рідше, ніж у групі 2 (53,85</w:t>
      </w:r>
      <w:r w:rsidRPr="00435807">
        <w:rPr>
          <w:sz w:val="28"/>
          <w:szCs w:val="28"/>
          <w:lang w:val="uk-UA"/>
        </w:rPr>
        <w:t>±3,99</w:t>
      </w:r>
      <w:r w:rsidRPr="00435807">
        <w:rPr>
          <w:rStyle w:val="tlid-translation"/>
          <w:rFonts w:eastAsiaTheme="majorEastAsia"/>
          <w:sz w:val="28"/>
          <w:szCs w:val="28"/>
          <w:lang w:val="uk-UA"/>
        </w:rPr>
        <w:t>%</w:t>
      </w:r>
      <w:r w:rsidRPr="00435807">
        <w:rPr>
          <w:sz w:val="28"/>
          <w:szCs w:val="28"/>
          <w:lang w:val="uk-UA"/>
        </w:rPr>
        <w:t xml:space="preserve"> </w:t>
      </w:r>
      <w:r w:rsidRPr="00435807">
        <w:rPr>
          <w:rStyle w:val="tlid-translation"/>
          <w:rFonts w:eastAsiaTheme="majorEastAsia"/>
          <w:sz w:val="28"/>
          <w:szCs w:val="28"/>
          <w:lang w:val="uk-UA"/>
        </w:rPr>
        <w:t>пацієнтів, р&lt;0,001)  та групі 3  (54,84</w:t>
      </w:r>
      <w:r w:rsidRPr="00435807">
        <w:rPr>
          <w:sz w:val="28"/>
          <w:szCs w:val="28"/>
          <w:lang w:val="uk-UA"/>
        </w:rPr>
        <w:t xml:space="preserve">±5,16 </w:t>
      </w:r>
      <w:r w:rsidRPr="00435807">
        <w:rPr>
          <w:rStyle w:val="tlid-translation"/>
          <w:rFonts w:eastAsiaTheme="majorEastAsia"/>
          <w:sz w:val="28"/>
          <w:szCs w:val="28"/>
          <w:lang w:val="uk-UA"/>
        </w:rPr>
        <w:t xml:space="preserve">% пацієнтів, р&lt;0,001). Між групами 2 та 3 достовірних відмінностей у кількості хворих з  УТС та ПТС виявлено не було (р&gt;0,05). При поєднаному перебігу ГХ та ЦД 2 типу ПТС спостерігався частіше, ніж УТС (р=0,003), в групі поєднаного перебігу ГХ, ЦД 2 типу і СГТ ці відмінності були статистично не значимі (р&gt;0,05). </w:t>
      </w:r>
    </w:p>
    <w:p w:rsidR="004E7365" w:rsidRDefault="00E3259F" w:rsidP="004E7365">
      <w:pPr>
        <w:spacing w:line="360" w:lineRule="auto"/>
        <w:ind w:firstLine="709"/>
        <w:jc w:val="both"/>
        <w:rPr>
          <w:sz w:val="28"/>
          <w:szCs w:val="28"/>
          <w:lang w:val="uk-UA"/>
        </w:rPr>
      </w:pPr>
      <w:r w:rsidRPr="00435807">
        <w:rPr>
          <w:rStyle w:val="tlid-translation"/>
          <w:rFonts w:eastAsiaTheme="majorEastAsia"/>
          <w:sz w:val="28"/>
          <w:szCs w:val="28"/>
          <w:lang w:val="uk-UA"/>
        </w:rPr>
        <w:t xml:space="preserve"> </w:t>
      </w:r>
      <w:r w:rsidRPr="00435807">
        <w:rPr>
          <w:sz w:val="28"/>
          <w:szCs w:val="28"/>
          <w:lang w:val="uk-UA" w:eastAsia="uk-UA"/>
        </w:rPr>
        <w:t>﻿</w:t>
      </w:r>
      <w:r w:rsidRPr="00435807">
        <w:rPr>
          <w:rFonts w:eastAsiaTheme="minorHAnsi"/>
          <w:sz w:val="28"/>
          <w:szCs w:val="28"/>
          <w:lang w:val="uk-UA" w:eastAsia="en-US"/>
        </w:rPr>
        <w:t>Порівняльний аналіз показників, що характеризують ТС,  продемонстрував наявність ознак передчасного старіння при досліджуваній коморбідній</w:t>
      </w:r>
      <w:r w:rsidRPr="00435807">
        <w:rPr>
          <w:rFonts w:eastAsiaTheme="minorHAnsi"/>
          <w:sz w:val="40"/>
          <w:szCs w:val="40"/>
          <w:lang w:val="uk-UA" w:eastAsia="en-US"/>
        </w:rPr>
        <w:t xml:space="preserve"> </w:t>
      </w:r>
      <w:r w:rsidRPr="00435807">
        <w:rPr>
          <w:rFonts w:eastAsiaTheme="minorHAnsi"/>
          <w:sz w:val="28"/>
          <w:szCs w:val="28"/>
          <w:lang w:val="uk-UA" w:eastAsia="en-US"/>
        </w:rPr>
        <w:t xml:space="preserve">патології незалежно від функціонального стану ЩЗ </w:t>
      </w:r>
      <w:r w:rsidR="00435807">
        <w:rPr>
          <w:rFonts w:eastAsiaTheme="minorHAnsi"/>
          <w:sz w:val="28"/>
          <w:szCs w:val="28"/>
          <w:lang w:val="uk-UA" w:eastAsia="en-US"/>
        </w:rPr>
        <w:t xml:space="preserve">               </w:t>
      </w:r>
      <w:r w:rsidRPr="00435807">
        <w:rPr>
          <w:rFonts w:eastAsiaTheme="minorHAnsi"/>
          <w:sz w:val="28"/>
          <w:szCs w:val="28"/>
          <w:lang w:val="uk-UA" w:eastAsia="en-US"/>
        </w:rPr>
        <w:t xml:space="preserve">(Таблиця 3.8). </w:t>
      </w:r>
      <w:r w:rsidR="00793AD7" w:rsidRPr="00435807">
        <w:rPr>
          <w:sz w:val="28"/>
          <w:szCs w:val="28"/>
          <w:lang w:val="uk-UA"/>
        </w:rPr>
        <w:t xml:space="preserve">У хворих із ізольованою ГХ показники темпів старіння достовірно відрізнялися від групи контролю, проте характеризувались ознаками уповільненого старіння як і в контрольній групі.  </w:t>
      </w:r>
    </w:p>
    <w:p w:rsidR="00793AD7" w:rsidRPr="00435807" w:rsidRDefault="004E7365" w:rsidP="00793AD7">
      <w:pPr>
        <w:shd w:val="clear" w:color="auto" w:fill="FFFFFF"/>
        <w:spacing w:line="360" w:lineRule="auto"/>
        <w:ind w:firstLine="709"/>
        <w:jc w:val="both"/>
        <w:rPr>
          <w:sz w:val="28"/>
          <w:szCs w:val="28"/>
          <w:lang w:val="uk-UA"/>
        </w:rPr>
      </w:pPr>
      <w:r w:rsidRPr="00435807">
        <w:rPr>
          <w:sz w:val="28"/>
          <w:szCs w:val="28"/>
          <w:lang w:val="uk-UA"/>
        </w:rPr>
        <w:t>При порівнянні БВ мало місце збільшення цього показника в групах з коморбідною патологією порівняно з ізольованою ГХ, проте достовірні  відмінності було отримано лише при порівнянні пацієнтів  групи 1та групи 2 (р=0,001).</w:t>
      </w:r>
    </w:p>
    <w:p w:rsidR="00E3259F" w:rsidRDefault="00E3259F" w:rsidP="00435807">
      <w:pPr>
        <w:shd w:val="clear" w:color="auto" w:fill="FFFFFF"/>
        <w:spacing w:line="360" w:lineRule="auto"/>
        <w:ind w:firstLine="709"/>
        <w:jc w:val="both"/>
        <w:rPr>
          <w:rFonts w:eastAsiaTheme="minorHAnsi"/>
          <w:lang w:val="uk-UA" w:eastAsia="en-US"/>
        </w:rPr>
      </w:pPr>
    </w:p>
    <w:p w:rsidR="004E7365" w:rsidRPr="00435807" w:rsidRDefault="004E7365" w:rsidP="00435807">
      <w:pPr>
        <w:shd w:val="clear" w:color="auto" w:fill="FFFFFF"/>
        <w:spacing w:line="360" w:lineRule="auto"/>
        <w:ind w:firstLine="709"/>
        <w:jc w:val="both"/>
        <w:rPr>
          <w:rFonts w:eastAsiaTheme="minorHAnsi"/>
          <w:lang w:val="uk-UA" w:eastAsia="en-US"/>
        </w:rPr>
      </w:pPr>
    </w:p>
    <w:p w:rsidR="00E3259F" w:rsidRDefault="00E3259F" w:rsidP="00E3259F">
      <w:pPr>
        <w:ind w:firstLine="709"/>
        <w:jc w:val="right"/>
        <w:rPr>
          <w:sz w:val="28"/>
          <w:szCs w:val="28"/>
          <w:lang w:val="uk-UA"/>
        </w:rPr>
      </w:pPr>
      <w:r>
        <w:rPr>
          <w:sz w:val="28"/>
          <w:szCs w:val="28"/>
        </w:rPr>
        <w:t>Таблиц</w:t>
      </w:r>
      <w:r>
        <w:rPr>
          <w:sz w:val="28"/>
          <w:szCs w:val="28"/>
          <w:lang w:val="uk-UA"/>
        </w:rPr>
        <w:t xml:space="preserve">я 3.8 </w:t>
      </w:r>
    </w:p>
    <w:p w:rsidR="00E3259F" w:rsidRDefault="00E3259F" w:rsidP="00E3259F">
      <w:pPr>
        <w:ind w:firstLine="709"/>
        <w:jc w:val="center"/>
        <w:rPr>
          <w:sz w:val="28"/>
          <w:szCs w:val="28"/>
        </w:rPr>
      </w:pPr>
      <w:r>
        <w:rPr>
          <w:sz w:val="28"/>
          <w:szCs w:val="28"/>
          <w:lang w:val="uk-UA"/>
        </w:rPr>
        <w:t xml:space="preserve">Порівняльна характеристика біологічного віку та темпів старіння </w:t>
      </w:r>
      <w:r>
        <w:rPr>
          <w:sz w:val="28"/>
          <w:szCs w:val="28"/>
        </w:rPr>
        <w:t>(</w:t>
      </w:r>
      <w:r>
        <w:rPr>
          <w:sz w:val="28"/>
          <w:szCs w:val="28"/>
          <w:lang w:val="en-US"/>
        </w:rPr>
        <w:t>M</w:t>
      </w:r>
      <w:r>
        <w:rPr>
          <w:sz w:val="28"/>
          <w:szCs w:val="28"/>
        </w:rPr>
        <w:t>±</w:t>
      </w:r>
      <w:r>
        <w:rPr>
          <w:sz w:val="28"/>
          <w:szCs w:val="28"/>
          <w:lang w:val="en-US"/>
        </w:rPr>
        <w:t>m</w:t>
      </w:r>
      <w:r>
        <w:rPr>
          <w:sz w:val="28"/>
          <w:szCs w:val="28"/>
        </w:rPr>
        <w:t>)</w:t>
      </w:r>
    </w:p>
    <w:tbl>
      <w:tblPr>
        <w:tblW w:w="0" w:type="auto"/>
        <w:tblInd w:w="108" w:type="dxa"/>
        <w:tblLayout w:type="fixed"/>
        <w:tblLook w:val="04A0" w:firstRow="1" w:lastRow="0" w:firstColumn="1" w:lastColumn="0" w:noHBand="0" w:noVBand="1"/>
      </w:tblPr>
      <w:tblGrid>
        <w:gridCol w:w="1701"/>
        <w:gridCol w:w="1560"/>
        <w:gridCol w:w="1559"/>
        <w:gridCol w:w="1559"/>
        <w:gridCol w:w="1559"/>
        <w:gridCol w:w="1525"/>
      </w:tblGrid>
      <w:tr w:rsidR="00E3259F" w:rsidRPr="00435807" w:rsidTr="00E3259F">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widowControl w:val="0"/>
              <w:autoSpaceDE w:val="0"/>
              <w:autoSpaceDN w:val="0"/>
              <w:adjustRightInd w:val="0"/>
              <w:spacing w:line="360" w:lineRule="auto"/>
              <w:rPr>
                <w:rFonts w:eastAsiaTheme="minorEastAsia"/>
                <w:sz w:val="26"/>
                <w:szCs w:val="26"/>
                <w:lang w:val="uk-UA" w:eastAsia="en-US"/>
              </w:rPr>
            </w:pPr>
            <w:r w:rsidRPr="00435807">
              <w:rPr>
                <w:sz w:val="26"/>
                <w:szCs w:val="26"/>
                <w:lang w:eastAsia="en-US"/>
              </w:rPr>
              <w:t>Показник</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rPr>
                <w:sz w:val="26"/>
                <w:szCs w:val="26"/>
                <w:lang w:val="uk-UA" w:eastAsia="en-US"/>
              </w:rPr>
            </w:pPr>
            <w:r w:rsidRPr="00435807">
              <w:rPr>
                <w:sz w:val="26"/>
                <w:szCs w:val="26"/>
                <w:lang w:val="uk-UA" w:eastAsia="en-US"/>
              </w:rPr>
              <w:t>Група контролю</w:t>
            </w:r>
          </w:p>
          <w:p w:rsidR="00E3259F" w:rsidRPr="00435807" w:rsidRDefault="00E3259F">
            <w:pPr>
              <w:spacing w:line="360" w:lineRule="auto"/>
              <w:rPr>
                <w:sz w:val="26"/>
                <w:szCs w:val="26"/>
                <w:lang w:val="uk-UA" w:eastAsia="en-US"/>
              </w:rPr>
            </w:pPr>
            <w:r w:rsidRPr="00435807">
              <w:rPr>
                <w:sz w:val="26"/>
                <w:szCs w:val="26"/>
                <w:lang w:val="en-US" w:eastAsia="en-US"/>
              </w:rPr>
              <w:t>(n=30)</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rPr>
                <w:rFonts w:eastAsiaTheme="minorEastAsia"/>
                <w:sz w:val="26"/>
                <w:szCs w:val="26"/>
                <w:lang w:val="uk-UA" w:eastAsia="en-US"/>
              </w:rPr>
            </w:pPr>
            <w:r w:rsidRPr="00435807">
              <w:rPr>
                <w:sz w:val="26"/>
                <w:szCs w:val="26"/>
                <w:lang w:eastAsia="en-US"/>
              </w:rPr>
              <w:t>1 група</w:t>
            </w:r>
          </w:p>
          <w:p w:rsidR="00E3259F" w:rsidRPr="00435807" w:rsidRDefault="00E3259F">
            <w:pPr>
              <w:widowControl w:val="0"/>
              <w:autoSpaceDE w:val="0"/>
              <w:autoSpaceDN w:val="0"/>
              <w:adjustRightInd w:val="0"/>
              <w:spacing w:line="360" w:lineRule="auto"/>
              <w:rPr>
                <w:rFonts w:eastAsiaTheme="minorEastAsia"/>
                <w:sz w:val="26"/>
                <w:szCs w:val="26"/>
                <w:lang w:val="uk-UA" w:eastAsia="en-US"/>
              </w:rPr>
            </w:pPr>
            <w:r w:rsidRPr="00435807">
              <w:rPr>
                <w:sz w:val="26"/>
                <w:szCs w:val="26"/>
                <w:lang w:val="uk-UA" w:eastAsia="en-US"/>
              </w:rPr>
              <w:t>(</w:t>
            </w:r>
            <w:r w:rsidRPr="00435807">
              <w:rPr>
                <w:sz w:val="26"/>
                <w:szCs w:val="26"/>
                <w:lang w:val="en-US" w:eastAsia="en-US"/>
              </w:rPr>
              <w:t>n</w:t>
            </w:r>
            <w:r w:rsidRPr="00435807">
              <w:rPr>
                <w:sz w:val="26"/>
                <w:szCs w:val="26"/>
                <w:lang w:val="uk-UA" w:eastAsia="en-US"/>
              </w:rPr>
              <w:t>=106)</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rPr>
                <w:rFonts w:eastAsiaTheme="minorEastAsia"/>
                <w:sz w:val="26"/>
                <w:szCs w:val="26"/>
                <w:lang w:val="uk-UA" w:eastAsia="en-US"/>
              </w:rPr>
            </w:pPr>
            <w:r w:rsidRPr="00435807">
              <w:rPr>
                <w:sz w:val="26"/>
                <w:szCs w:val="26"/>
                <w:lang w:eastAsia="en-US"/>
              </w:rPr>
              <w:t>2 група</w:t>
            </w:r>
          </w:p>
          <w:p w:rsidR="00E3259F" w:rsidRPr="00435807" w:rsidRDefault="00E3259F">
            <w:pPr>
              <w:widowControl w:val="0"/>
              <w:autoSpaceDE w:val="0"/>
              <w:autoSpaceDN w:val="0"/>
              <w:adjustRightInd w:val="0"/>
              <w:spacing w:line="360" w:lineRule="auto"/>
              <w:rPr>
                <w:rFonts w:eastAsiaTheme="minorEastAsia"/>
                <w:sz w:val="26"/>
                <w:szCs w:val="26"/>
                <w:lang w:val="uk-UA" w:eastAsia="en-US"/>
              </w:rPr>
            </w:pPr>
            <w:r w:rsidRPr="00435807">
              <w:rPr>
                <w:sz w:val="26"/>
                <w:szCs w:val="26"/>
                <w:lang w:val="uk-UA" w:eastAsia="en-US"/>
              </w:rPr>
              <w:t>(</w:t>
            </w:r>
            <w:r w:rsidRPr="00435807">
              <w:rPr>
                <w:sz w:val="26"/>
                <w:szCs w:val="26"/>
                <w:lang w:val="en-US" w:eastAsia="en-US"/>
              </w:rPr>
              <w:t>n</w:t>
            </w:r>
            <w:r w:rsidRPr="00435807">
              <w:rPr>
                <w:sz w:val="26"/>
                <w:szCs w:val="26"/>
                <w:lang w:val="uk-UA" w:eastAsia="en-US"/>
              </w:rPr>
              <w:t>=156)</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rPr>
                <w:rFonts w:eastAsiaTheme="minorEastAsia"/>
                <w:sz w:val="26"/>
                <w:szCs w:val="26"/>
                <w:lang w:val="uk-UA" w:eastAsia="en-US"/>
              </w:rPr>
            </w:pPr>
            <w:r w:rsidRPr="00435807">
              <w:rPr>
                <w:sz w:val="26"/>
                <w:szCs w:val="26"/>
                <w:lang w:eastAsia="en-US"/>
              </w:rPr>
              <w:t>3 група</w:t>
            </w:r>
          </w:p>
          <w:p w:rsidR="00E3259F" w:rsidRPr="00435807" w:rsidRDefault="00E3259F">
            <w:pPr>
              <w:widowControl w:val="0"/>
              <w:autoSpaceDE w:val="0"/>
              <w:autoSpaceDN w:val="0"/>
              <w:adjustRightInd w:val="0"/>
              <w:spacing w:line="360" w:lineRule="auto"/>
              <w:rPr>
                <w:rFonts w:eastAsiaTheme="minorEastAsia"/>
                <w:sz w:val="26"/>
                <w:szCs w:val="26"/>
                <w:lang w:val="uk-UA" w:eastAsia="en-US"/>
              </w:rPr>
            </w:pPr>
            <w:r w:rsidRPr="00435807">
              <w:rPr>
                <w:sz w:val="26"/>
                <w:szCs w:val="26"/>
                <w:lang w:val="uk-UA" w:eastAsia="en-US"/>
              </w:rPr>
              <w:t>(</w:t>
            </w:r>
            <w:r w:rsidRPr="00435807">
              <w:rPr>
                <w:sz w:val="26"/>
                <w:szCs w:val="26"/>
                <w:lang w:val="en-US" w:eastAsia="en-US"/>
              </w:rPr>
              <w:t>n</w:t>
            </w:r>
            <w:r w:rsidRPr="00435807">
              <w:rPr>
                <w:sz w:val="26"/>
                <w:szCs w:val="26"/>
                <w:lang w:val="uk-UA" w:eastAsia="en-US"/>
              </w:rPr>
              <w:t>=93)</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rPr>
                <w:sz w:val="26"/>
                <w:szCs w:val="26"/>
                <w:lang w:val="uk-UA" w:eastAsia="en-US"/>
              </w:rPr>
            </w:pPr>
            <w:r w:rsidRPr="00435807">
              <w:rPr>
                <w:sz w:val="26"/>
                <w:szCs w:val="26"/>
                <w:lang w:val="uk-UA" w:eastAsia="en-US"/>
              </w:rPr>
              <w:t>Значимість, (р)</w:t>
            </w:r>
          </w:p>
        </w:tc>
      </w:tr>
      <w:tr w:rsidR="00E3259F" w:rsidRPr="00435807" w:rsidTr="00E3259F">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Календар</w:t>
            </w:r>
            <w:r w:rsidRPr="00435807">
              <w:rPr>
                <w:sz w:val="26"/>
                <w:szCs w:val="26"/>
                <w:lang w:val="uk-UA" w:eastAsia="en-US"/>
              </w:rPr>
              <w:t>-</w:t>
            </w:r>
            <w:r w:rsidRPr="00435807">
              <w:rPr>
                <w:sz w:val="26"/>
                <w:szCs w:val="26"/>
                <w:lang w:eastAsia="en-US"/>
              </w:rPr>
              <w:t>н</w:t>
            </w:r>
            <w:r w:rsidRPr="00435807">
              <w:rPr>
                <w:sz w:val="26"/>
                <w:szCs w:val="26"/>
                <w:lang w:val="uk-UA" w:eastAsia="en-US"/>
              </w:rPr>
              <w:t>ий вік</w:t>
            </w:r>
            <w:r w:rsidRPr="00435807">
              <w:rPr>
                <w:sz w:val="26"/>
                <w:szCs w:val="26"/>
                <w:lang w:eastAsia="en-US"/>
              </w:rPr>
              <w:t xml:space="preserve"> (КВ), </w:t>
            </w:r>
            <w:r w:rsidRPr="00435807">
              <w:rPr>
                <w:sz w:val="26"/>
                <w:szCs w:val="26"/>
                <w:lang w:val="uk-UA" w:eastAsia="en-US"/>
              </w:rPr>
              <w:t>років</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58,</w:t>
            </w:r>
            <w:r w:rsidRPr="00435807">
              <w:rPr>
                <w:sz w:val="26"/>
                <w:szCs w:val="26"/>
                <w:lang w:val="uk-UA" w:eastAsia="en-US"/>
              </w:rPr>
              <w:t>40</w:t>
            </w:r>
            <w:r w:rsidRPr="00435807">
              <w:rPr>
                <w:sz w:val="26"/>
                <w:szCs w:val="26"/>
                <w:lang w:eastAsia="en-US"/>
              </w:rPr>
              <w:t>±1,</w:t>
            </w:r>
            <w:r w:rsidRPr="00435807">
              <w:rPr>
                <w:sz w:val="26"/>
                <w:szCs w:val="26"/>
                <w:lang w:val="uk-UA" w:eastAsia="en-US"/>
              </w:rPr>
              <w:t>80</w:t>
            </w:r>
            <w:r w:rsidRPr="00435807">
              <w:rPr>
                <w:sz w:val="26"/>
                <w:szCs w:val="26"/>
                <w:lang w:eastAsia="en-US"/>
              </w:rPr>
              <w:t xml:space="preserve">  </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60,</w:t>
            </w:r>
            <w:r w:rsidRPr="00435807">
              <w:rPr>
                <w:sz w:val="26"/>
                <w:szCs w:val="26"/>
                <w:lang w:val="uk-UA" w:eastAsia="en-US"/>
              </w:rPr>
              <w:t>29</w:t>
            </w:r>
            <w:r w:rsidRPr="00435807">
              <w:rPr>
                <w:sz w:val="26"/>
                <w:szCs w:val="26"/>
                <w:lang w:eastAsia="en-US"/>
              </w:rPr>
              <w:t>±</w:t>
            </w:r>
            <w:r w:rsidRPr="00435807">
              <w:rPr>
                <w:sz w:val="26"/>
                <w:szCs w:val="26"/>
                <w:lang w:val="uk-UA" w:eastAsia="en-US"/>
              </w:rPr>
              <w:t>0</w:t>
            </w:r>
            <w:r w:rsidRPr="00435807">
              <w:rPr>
                <w:sz w:val="26"/>
                <w:szCs w:val="26"/>
                <w:lang w:eastAsia="en-US"/>
              </w:rPr>
              <w:t>,</w:t>
            </w:r>
            <w:r w:rsidRPr="00435807">
              <w:rPr>
                <w:sz w:val="26"/>
                <w:szCs w:val="26"/>
                <w:lang w:val="uk-UA" w:eastAsia="en-US"/>
              </w:rPr>
              <w:t>79</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62,</w:t>
            </w:r>
            <w:r w:rsidRPr="00435807">
              <w:rPr>
                <w:sz w:val="26"/>
                <w:szCs w:val="26"/>
                <w:lang w:val="uk-UA" w:eastAsia="en-US"/>
              </w:rPr>
              <w:t>11</w:t>
            </w:r>
            <w:r w:rsidRPr="00435807">
              <w:rPr>
                <w:sz w:val="26"/>
                <w:szCs w:val="26"/>
                <w:lang w:eastAsia="en-US"/>
              </w:rPr>
              <w:t>±</w:t>
            </w:r>
            <w:r w:rsidRPr="00435807">
              <w:rPr>
                <w:sz w:val="26"/>
                <w:szCs w:val="26"/>
                <w:lang w:val="uk-UA" w:eastAsia="en-US"/>
              </w:rPr>
              <w:t>0</w:t>
            </w:r>
            <w:r w:rsidRPr="00435807">
              <w:rPr>
                <w:sz w:val="26"/>
                <w:szCs w:val="26"/>
                <w:lang w:eastAsia="en-US"/>
              </w:rPr>
              <w:t>,</w:t>
            </w:r>
            <w:r w:rsidRPr="00435807">
              <w:rPr>
                <w:sz w:val="26"/>
                <w:szCs w:val="26"/>
                <w:lang w:val="uk-UA" w:eastAsia="en-US"/>
              </w:rPr>
              <w:t>64</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6</w:t>
            </w:r>
            <w:r w:rsidRPr="00435807">
              <w:rPr>
                <w:sz w:val="26"/>
                <w:szCs w:val="26"/>
                <w:lang w:val="uk-UA" w:eastAsia="en-US"/>
              </w:rPr>
              <w:t>1</w:t>
            </w:r>
            <w:r w:rsidRPr="00435807">
              <w:rPr>
                <w:sz w:val="26"/>
                <w:szCs w:val="26"/>
                <w:lang w:eastAsia="en-US"/>
              </w:rPr>
              <w:t>,</w:t>
            </w:r>
            <w:r w:rsidRPr="00435807">
              <w:rPr>
                <w:sz w:val="26"/>
                <w:szCs w:val="26"/>
                <w:lang w:val="uk-UA" w:eastAsia="en-US"/>
              </w:rPr>
              <w:t>71</w:t>
            </w:r>
            <w:r w:rsidRPr="00435807">
              <w:rPr>
                <w:sz w:val="26"/>
                <w:szCs w:val="26"/>
                <w:lang w:eastAsia="en-US"/>
              </w:rPr>
              <w:t>±</w:t>
            </w:r>
            <w:r w:rsidRPr="00435807">
              <w:rPr>
                <w:sz w:val="26"/>
                <w:szCs w:val="26"/>
                <w:lang w:val="uk-UA" w:eastAsia="en-US"/>
              </w:rPr>
              <w:t>0</w:t>
            </w:r>
            <w:r w:rsidRPr="00435807">
              <w:rPr>
                <w:sz w:val="26"/>
                <w:szCs w:val="26"/>
                <w:lang w:eastAsia="en-US"/>
              </w:rPr>
              <w:t>,</w:t>
            </w:r>
            <w:r w:rsidRPr="00435807">
              <w:rPr>
                <w:sz w:val="26"/>
                <w:szCs w:val="26"/>
                <w:lang w:val="uk-UA" w:eastAsia="en-US"/>
              </w:rPr>
              <w:t>87</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1-2</w:t>
            </w:r>
            <w:r w:rsidRPr="00435807">
              <w:rPr>
                <w:sz w:val="26"/>
                <w:szCs w:val="26"/>
                <w:lang w:val="uk-UA" w:eastAsia="en-US"/>
              </w:rPr>
              <w:t xml:space="preserve"> &gt;0,05</w:t>
            </w:r>
          </w:p>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1-3</w:t>
            </w:r>
            <w:r w:rsidRPr="00435807">
              <w:rPr>
                <w:sz w:val="26"/>
                <w:szCs w:val="26"/>
                <w:lang w:val="uk-UA" w:eastAsia="en-US"/>
              </w:rPr>
              <w:t xml:space="preserve"> &gt;0,05</w:t>
            </w:r>
          </w:p>
          <w:p w:rsidR="00E3259F" w:rsidRPr="00435807" w:rsidRDefault="00E3259F">
            <w:pPr>
              <w:spacing w:line="360" w:lineRule="auto"/>
              <w:jc w:val="both"/>
              <w:rPr>
                <w:sz w:val="26"/>
                <w:szCs w:val="26"/>
                <w:lang w:eastAsia="en-US"/>
              </w:rPr>
            </w:pPr>
            <w:r w:rsidRPr="00435807">
              <w:rPr>
                <w:sz w:val="26"/>
                <w:szCs w:val="26"/>
                <w:lang w:val="uk-UA" w:eastAsia="en-US"/>
              </w:rPr>
              <w:t>р</w:t>
            </w:r>
            <w:r w:rsidRPr="00435807">
              <w:rPr>
                <w:sz w:val="26"/>
                <w:szCs w:val="26"/>
                <w:vertAlign w:val="subscript"/>
                <w:lang w:val="uk-UA" w:eastAsia="en-US"/>
              </w:rPr>
              <w:t>2-3</w:t>
            </w:r>
            <w:r w:rsidRPr="00435807">
              <w:rPr>
                <w:sz w:val="26"/>
                <w:szCs w:val="26"/>
                <w:lang w:val="uk-UA" w:eastAsia="en-US"/>
              </w:rPr>
              <w:t xml:space="preserve"> &gt;0,05</w:t>
            </w:r>
          </w:p>
        </w:tc>
      </w:tr>
      <w:tr w:rsidR="00E3259F" w:rsidRPr="00435807" w:rsidTr="00E3259F">
        <w:trPr>
          <w:trHeight w:val="463"/>
        </w:trPr>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Б</w:t>
            </w:r>
            <w:r w:rsidRPr="00435807">
              <w:rPr>
                <w:sz w:val="26"/>
                <w:szCs w:val="26"/>
                <w:lang w:val="uk-UA" w:eastAsia="en-US"/>
              </w:rPr>
              <w:t>іологічний вік</w:t>
            </w:r>
            <w:r w:rsidRPr="00435807">
              <w:rPr>
                <w:sz w:val="26"/>
                <w:szCs w:val="26"/>
                <w:lang w:eastAsia="en-US"/>
              </w:rPr>
              <w:t xml:space="preserve"> (БВ), </w:t>
            </w:r>
            <w:r w:rsidRPr="00435807">
              <w:rPr>
                <w:sz w:val="26"/>
                <w:szCs w:val="26"/>
                <w:lang w:val="uk-UA" w:eastAsia="en-US"/>
              </w:rPr>
              <w:t>років</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50,20±1,6</w:t>
            </w:r>
            <w:r w:rsidRPr="00435807">
              <w:rPr>
                <w:sz w:val="26"/>
                <w:szCs w:val="26"/>
                <w:lang w:val="uk-UA" w:eastAsia="en-US"/>
              </w:rPr>
              <w:t>5</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52,</w:t>
            </w:r>
            <w:r w:rsidRPr="00435807">
              <w:rPr>
                <w:sz w:val="26"/>
                <w:szCs w:val="26"/>
                <w:lang w:val="uk-UA" w:eastAsia="en-US"/>
              </w:rPr>
              <w:t>48</w:t>
            </w:r>
            <w:r w:rsidRPr="00435807">
              <w:rPr>
                <w:sz w:val="26"/>
                <w:szCs w:val="26"/>
                <w:lang w:eastAsia="en-US"/>
              </w:rPr>
              <w:t>±1,1</w:t>
            </w:r>
            <w:r w:rsidRPr="00435807">
              <w:rPr>
                <w:sz w:val="26"/>
                <w:szCs w:val="26"/>
                <w:lang w:val="uk-UA" w:eastAsia="en-US"/>
              </w:rPr>
              <w:t>5</w:t>
            </w:r>
          </w:p>
        </w:tc>
        <w:tc>
          <w:tcPr>
            <w:tcW w:w="1559" w:type="dxa"/>
            <w:tcBorders>
              <w:top w:val="single" w:sz="4" w:space="0" w:color="auto"/>
              <w:left w:val="single" w:sz="4" w:space="0" w:color="auto"/>
              <w:bottom w:val="single" w:sz="4" w:space="0" w:color="auto"/>
              <w:right w:val="single" w:sz="4" w:space="0" w:color="auto"/>
            </w:tcBorders>
          </w:tcPr>
          <w:p w:rsidR="00E3259F" w:rsidRPr="00435807" w:rsidRDefault="00E3259F">
            <w:pPr>
              <w:spacing w:line="360" w:lineRule="auto"/>
              <w:jc w:val="both"/>
              <w:rPr>
                <w:sz w:val="26"/>
                <w:szCs w:val="26"/>
                <w:lang w:val="uk-UA" w:eastAsia="en-US"/>
              </w:rPr>
            </w:pPr>
            <w:r w:rsidRPr="00435807">
              <w:rPr>
                <w:sz w:val="26"/>
                <w:szCs w:val="26"/>
                <w:lang w:eastAsia="en-US"/>
              </w:rPr>
              <w:t>57,</w:t>
            </w:r>
            <w:r w:rsidRPr="00435807">
              <w:rPr>
                <w:sz w:val="26"/>
                <w:szCs w:val="26"/>
                <w:lang w:val="uk-UA" w:eastAsia="en-US"/>
              </w:rPr>
              <w:t>46</w:t>
            </w:r>
            <w:r w:rsidRPr="00435807">
              <w:rPr>
                <w:sz w:val="26"/>
                <w:szCs w:val="26"/>
                <w:lang w:eastAsia="en-US"/>
              </w:rPr>
              <w:t>±</w:t>
            </w:r>
            <w:r w:rsidRPr="00435807">
              <w:rPr>
                <w:sz w:val="26"/>
                <w:szCs w:val="26"/>
                <w:lang w:val="uk-UA" w:eastAsia="en-US"/>
              </w:rPr>
              <w:t>0</w:t>
            </w:r>
            <w:r w:rsidRPr="00435807">
              <w:rPr>
                <w:sz w:val="26"/>
                <w:szCs w:val="26"/>
                <w:lang w:eastAsia="en-US"/>
              </w:rPr>
              <w:t>,</w:t>
            </w:r>
            <w:r w:rsidRPr="00435807">
              <w:rPr>
                <w:sz w:val="26"/>
                <w:szCs w:val="26"/>
                <w:lang w:val="uk-UA" w:eastAsia="en-US"/>
              </w:rPr>
              <w:t>61*</w:t>
            </w:r>
          </w:p>
          <w:p w:rsidR="00E3259F" w:rsidRPr="00435807" w:rsidRDefault="00E3259F">
            <w:pPr>
              <w:spacing w:line="360" w:lineRule="auto"/>
              <w:jc w:val="both"/>
              <w:rPr>
                <w:sz w:val="26"/>
                <w:szCs w:val="26"/>
                <w:lang w:val="uk-UA" w:eastAsia="en-US"/>
              </w:rPr>
            </w:pP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5</w:t>
            </w:r>
            <w:r w:rsidRPr="00435807">
              <w:rPr>
                <w:sz w:val="26"/>
                <w:szCs w:val="26"/>
                <w:lang w:val="uk-UA" w:eastAsia="en-US"/>
              </w:rPr>
              <w:t>5</w:t>
            </w:r>
            <w:r w:rsidRPr="00435807">
              <w:rPr>
                <w:sz w:val="26"/>
                <w:szCs w:val="26"/>
                <w:lang w:eastAsia="en-US"/>
              </w:rPr>
              <w:t>,</w:t>
            </w:r>
            <w:r w:rsidRPr="00435807">
              <w:rPr>
                <w:sz w:val="26"/>
                <w:szCs w:val="26"/>
                <w:lang w:val="uk-UA" w:eastAsia="en-US"/>
              </w:rPr>
              <w:t>29</w:t>
            </w:r>
            <w:r w:rsidRPr="00435807">
              <w:rPr>
                <w:sz w:val="26"/>
                <w:szCs w:val="26"/>
                <w:lang w:eastAsia="en-US"/>
              </w:rPr>
              <w:t>±</w:t>
            </w:r>
            <w:r w:rsidRPr="00435807">
              <w:rPr>
                <w:sz w:val="26"/>
                <w:szCs w:val="26"/>
                <w:lang w:val="uk-UA" w:eastAsia="en-US"/>
              </w:rPr>
              <w:t>0</w:t>
            </w:r>
            <w:r w:rsidRPr="00435807">
              <w:rPr>
                <w:sz w:val="26"/>
                <w:szCs w:val="26"/>
                <w:lang w:eastAsia="en-US"/>
              </w:rPr>
              <w:t>,</w:t>
            </w:r>
            <w:r w:rsidRPr="00435807">
              <w:rPr>
                <w:sz w:val="26"/>
                <w:szCs w:val="26"/>
                <w:lang w:val="uk-UA" w:eastAsia="en-US"/>
              </w:rPr>
              <w:t>93*</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1-2</w:t>
            </w:r>
            <w:r w:rsidRPr="00435807">
              <w:rPr>
                <w:sz w:val="26"/>
                <w:szCs w:val="26"/>
                <w:lang w:val="uk-UA" w:eastAsia="en-US"/>
              </w:rPr>
              <w:t>&lt;0</w:t>
            </w:r>
            <w:r w:rsidRPr="00435807">
              <w:rPr>
                <w:sz w:val="26"/>
                <w:szCs w:val="26"/>
                <w:lang w:eastAsia="en-US"/>
              </w:rPr>
              <w:t>,00</w:t>
            </w:r>
            <w:r w:rsidRPr="00435807">
              <w:rPr>
                <w:sz w:val="26"/>
                <w:szCs w:val="26"/>
                <w:lang w:val="uk-UA" w:eastAsia="en-US"/>
              </w:rPr>
              <w:t xml:space="preserve">1 </w:t>
            </w:r>
          </w:p>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1-3</w:t>
            </w:r>
            <w:r w:rsidRPr="00435807">
              <w:rPr>
                <w:sz w:val="26"/>
                <w:szCs w:val="26"/>
                <w:lang w:val="uk-UA" w:eastAsia="en-US"/>
              </w:rPr>
              <w:t>&gt;0,05</w:t>
            </w:r>
          </w:p>
          <w:p w:rsidR="00E3259F" w:rsidRPr="00435807" w:rsidRDefault="00E3259F">
            <w:pPr>
              <w:spacing w:line="360" w:lineRule="auto"/>
              <w:jc w:val="both"/>
              <w:rPr>
                <w:sz w:val="26"/>
                <w:szCs w:val="26"/>
                <w:lang w:eastAsia="en-US"/>
              </w:rPr>
            </w:pPr>
            <w:r w:rsidRPr="00435807">
              <w:rPr>
                <w:sz w:val="26"/>
                <w:szCs w:val="26"/>
                <w:lang w:val="uk-UA" w:eastAsia="en-US"/>
              </w:rPr>
              <w:t>р</w:t>
            </w:r>
            <w:r w:rsidRPr="00435807">
              <w:rPr>
                <w:sz w:val="26"/>
                <w:szCs w:val="26"/>
                <w:vertAlign w:val="subscript"/>
                <w:lang w:val="uk-UA" w:eastAsia="en-US"/>
              </w:rPr>
              <w:t>2-3</w:t>
            </w:r>
            <w:r w:rsidRPr="00435807">
              <w:rPr>
                <w:sz w:val="26"/>
                <w:szCs w:val="26"/>
                <w:lang w:val="uk-UA" w:eastAsia="en-US"/>
              </w:rPr>
              <w:t>=0,047</w:t>
            </w:r>
          </w:p>
        </w:tc>
      </w:tr>
      <w:tr w:rsidR="00E3259F" w:rsidRPr="00435807" w:rsidTr="00E3259F">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val="uk-UA" w:eastAsia="en-US"/>
              </w:rPr>
              <w:t>Належний біологічний вік</w:t>
            </w:r>
            <w:r w:rsidRPr="00435807">
              <w:rPr>
                <w:sz w:val="26"/>
                <w:szCs w:val="26"/>
                <w:lang w:eastAsia="en-US"/>
              </w:rPr>
              <w:t xml:space="preserve"> (</w:t>
            </w:r>
            <w:r w:rsidRPr="00435807">
              <w:rPr>
                <w:sz w:val="26"/>
                <w:szCs w:val="26"/>
                <w:lang w:val="uk-UA" w:eastAsia="en-US"/>
              </w:rPr>
              <w:t>НБВ</w:t>
            </w:r>
            <w:r w:rsidRPr="00435807">
              <w:rPr>
                <w:sz w:val="26"/>
                <w:szCs w:val="26"/>
                <w:lang w:eastAsia="en-US"/>
              </w:rPr>
              <w:t>),</w:t>
            </w:r>
            <w:r w:rsidRPr="00435807">
              <w:rPr>
                <w:sz w:val="26"/>
                <w:szCs w:val="26"/>
                <w:lang w:val="uk-UA" w:eastAsia="en-US"/>
              </w:rPr>
              <w:t xml:space="preserve"> років</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5</w:t>
            </w:r>
            <w:r w:rsidRPr="00435807">
              <w:rPr>
                <w:sz w:val="26"/>
                <w:szCs w:val="26"/>
                <w:lang w:val="uk-UA" w:eastAsia="en-US"/>
              </w:rPr>
              <w:t>3</w:t>
            </w:r>
            <w:r w:rsidRPr="00435807">
              <w:rPr>
                <w:sz w:val="26"/>
                <w:szCs w:val="26"/>
                <w:lang w:eastAsia="en-US"/>
              </w:rPr>
              <w:t>,</w:t>
            </w:r>
            <w:r w:rsidRPr="00435807">
              <w:rPr>
                <w:sz w:val="26"/>
                <w:szCs w:val="26"/>
                <w:lang w:val="uk-UA" w:eastAsia="en-US"/>
              </w:rPr>
              <w:t>30</w:t>
            </w:r>
            <w:r w:rsidRPr="00435807">
              <w:rPr>
                <w:sz w:val="26"/>
                <w:szCs w:val="26"/>
                <w:lang w:eastAsia="en-US"/>
              </w:rPr>
              <w:t>±</w:t>
            </w:r>
            <w:r w:rsidRPr="00435807">
              <w:rPr>
                <w:sz w:val="26"/>
                <w:szCs w:val="26"/>
                <w:lang w:val="uk-UA" w:eastAsia="en-US"/>
              </w:rPr>
              <w:t>1</w:t>
            </w:r>
            <w:r w:rsidRPr="00435807">
              <w:rPr>
                <w:sz w:val="26"/>
                <w:szCs w:val="26"/>
                <w:lang w:eastAsia="en-US"/>
              </w:rPr>
              <w:t>,</w:t>
            </w:r>
            <w:r w:rsidRPr="00435807">
              <w:rPr>
                <w:sz w:val="26"/>
                <w:szCs w:val="26"/>
                <w:lang w:val="uk-UA" w:eastAsia="en-US"/>
              </w:rPr>
              <w:t xml:space="preserve">24 </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53,</w:t>
            </w:r>
            <w:r w:rsidRPr="00435807">
              <w:rPr>
                <w:sz w:val="26"/>
                <w:szCs w:val="26"/>
                <w:lang w:val="uk-UA" w:eastAsia="en-US"/>
              </w:rPr>
              <w:t>53</w:t>
            </w:r>
            <w:r w:rsidRPr="00435807">
              <w:rPr>
                <w:sz w:val="26"/>
                <w:szCs w:val="26"/>
                <w:lang w:eastAsia="en-US"/>
              </w:rPr>
              <w:t>±0,8</w:t>
            </w:r>
            <w:r w:rsidRPr="00435807">
              <w:rPr>
                <w:sz w:val="26"/>
                <w:szCs w:val="26"/>
                <w:lang w:val="uk-UA" w:eastAsia="en-US"/>
              </w:rPr>
              <w:t>3</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5</w:t>
            </w:r>
            <w:r w:rsidRPr="00435807">
              <w:rPr>
                <w:sz w:val="26"/>
                <w:szCs w:val="26"/>
                <w:lang w:val="uk-UA" w:eastAsia="en-US"/>
              </w:rPr>
              <w:t>5</w:t>
            </w:r>
            <w:r w:rsidRPr="00435807">
              <w:rPr>
                <w:sz w:val="26"/>
                <w:szCs w:val="26"/>
                <w:lang w:eastAsia="en-US"/>
              </w:rPr>
              <w:t>,</w:t>
            </w:r>
            <w:r w:rsidRPr="00435807">
              <w:rPr>
                <w:sz w:val="26"/>
                <w:szCs w:val="26"/>
                <w:lang w:val="uk-UA" w:eastAsia="en-US"/>
              </w:rPr>
              <w:t>95</w:t>
            </w:r>
            <w:r w:rsidRPr="00435807">
              <w:rPr>
                <w:sz w:val="26"/>
                <w:szCs w:val="26"/>
                <w:lang w:eastAsia="en-US"/>
              </w:rPr>
              <w:t>±0,</w:t>
            </w:r>
            <w:r w:rsidRPr="00435807">
              <w:rPr>
                <w:sz w:val="26"/>
                <w:szCs w:val="26"/>
                <w:lang w:val="uk-UA" w:eastAsia="en-US"/>
              </w:rPr>
              <w:t>41*</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5</w:t>
            </w:r>
            <w:r w:rsidRPr="00435807">
              <w:rPr>
                <w:sz w:val="26"/>
                <w:szCs w:val="26"/>
                <w:lang w:val="uk-UA" w:eastAsia="en-US"/>
              </w:rPr>
              <w:t>3</w:t>
            </w:r>
            <w:r w:rsidRPr="00435807">
              <w:rPr>
                <w:sz w:val="26"/>
                <w:szCs w:val="26"/>
                <w:lang w:eastAsia="en-US"/>
              </w:rPr>
              <w:t>,</w:t>
            </w:r>
            <w:r w:rsidRPr="00435807">
              <w:rPr>
                <w:sz w:val="26"/>
                <w:szCs w:val="26"/>
                <w:lang w:val="uk-UA" w:eastAsia="en-US"/>
              </w:rPr>
              <w:t>68</w:t>
            </w:r>
            <w:r w:rsidRPr="00435807">
              <w:rPr>
                <w:sz w:val="26"/>
                <w:szCs w:val="26"/>
                <w:lang w:eastAsia="en-US"/>
              </w:rPr>
              <w:t>±0,</w:t>
            </w:r>
            <w:r w:rsidRPr="00435807">
              <w:rPr>
                <w:sz w:val="26"/>
                <w:szCs w:val="26"/>
                <w:lang w:val="uk-UA" w:eastAsia="en-US"/>
              </w:rPr>
              <w:t>64</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1-2</w:t>
            </w:r>
            <w:r w:rsidRPr="00435807">
              <w:rPr>
                <w:sz w:val="26"/>
                <w:szCs w:val="26"/>
                <w:lang w:val="uk-UA" w:eastAsia="en-US"/>
              </w:rPr>
              <w:t>=0</w:t>
            </w:r>
            <w:r w:rsidRPr="00435807">
              <w:rPr>
                <w:sz w:val="26"/>
                <w:szCs w:val="26"/>
                <w:lang w:eastAsia="en-US"/>
              </w:rPr>
              <w:t>,00</w:t>
            </w:r>
            <w:r w:rsidRPr="00435807">
              <w:rPr>
                <w:sz w:val="26"/>
                <w:szCs w:val="26"/>
                <w:lang w:val="uk-UA" w:eastAsia="en-US"/>
              </w:rPr>
              <w:t xml:space="preserve">9 </w:t>
            </w:r>
          </w:p>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1-3</w:t>
            </w:r>
            <w:r w:rsidRPr="00435807">
              <w:rPr>
                <w:sz w:val="26"/>
                <w:szCs w:val="26"/>
                <w:lang w:val="uk-UA" w:eastAsia="en-US"/>
              </w:rPr>
              <w:t xml:space="preserve"> &gt;0,05</w:t>
            </w:r>
          </w:p>
          <w:p w:rsidR="00E3259F" w:rsidRPr="00435807" w:rsidRDefault="00E3259F">
            <w:pPr>
              <w:spacing w:line="360" w:lineRule="auto"/>
              <w:jc w:val="both"/>
              <w:rPr>
                <w:sz w:val="26"/>
                <w:szCs w:val="26"/>
                <w:lang w:eastAsia="en-US"/>
              </w:rPr>
            </w:pPr>
            <w:r w:rsidRPr="00435807">
              <w:rPr>
                <w:sz w:val="26"/>
                <w:szCs w:val="26"/>
                <w:lang w:val="uk-UA" w:eastAsia="en-US"/>
              </w:rPr>
              <w:t>р</w:t>
            </w:r>
            <w:r w:rsidRPr="00435807">
              <w:rPr>
                <w:sz w:val="26"/>
                <w:szCs w:val="26"/>
                <w:vertAlign w:val="subscript"/>
                <w:lang w:val="uk-UA" w:eastAsia="en-US"/>
              </w:rPr>
              <w:t>2-3</w:t>
            </w:r>
            <w:r w:rsidRPr="00435807">
              <w:rPr>
                <w:sz w:val="26"/>
                <w:szCs w:val="26"/>
                <w:lang w:val="uk-UA" w:eastAsia="en-US"/>
              </w:rPr>
              <w:t>=0,002</w:t>
            </w:r>
          </w:p>
        </w:tc>
      </w:tr>
      <w:tr w:rsidR="00E3259F" w:rsidRPr="00435807" w:rsidTr="00E3259F">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val="uk-UA" w:eastAsia="en-US"/>
              </w:rPr>
              <w:t xml:space="preserve">Коефіцієнт старіння </w:t>
            </w:r>
            <w:r w:rsidRPr="00435807">
              <w:rPr>
                <w:sz w:val="26"/>
                <w:szCs w:val="26"/>
                <w:lang w:eastAsia="en-US"/>
              </w:rPr>
              <w:t xml:space="preserve">(БВ-КВ), </w:t>
            </w:r>
            <w:r w:rsidRPr="00435807">
              <w:rPr>
                <w:sz w:val="26"/>
                <w:szCs w:val="26"/>
                <w:lang w:val="uk-UA" w:eastAsia="en-US"/>
              </w:rPr>
              <w:t>років</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-8,2</w:t>
            </w:r>
            <w:r w:rsidRPr="00435807">
              <w:rPr>
                <w:sz w:val="26"/>
                <w:szCs w:val="26"/>
                <w:lang w:val="uk-UA" w:eastAsia="en-US"/>
              </w:rPr>
              <w:t>0</w:t>
            </w:r>
            <w:r w:rsidRPr="00435807">
              <w:rPr>
                <w:sz w:val="26"/>
                <w:szCs w:val="26"/>
                <w:lang w:eastAsia="en-US"/>
              </w:rPr>
              <w:t>±0,</w:t>
            </w:r>
            <w:r w:rsidRPr="00435807">
              <w:rPr>
                <w:sz w:val="26"/>
                <w:szCs w:val="26"/>
                <w:lang w:val="uk-UA" w:eastAsia="en-US"/>
              </w:rPr>
              <w:t>76</w:t>
            </w:r>
          </w:p>
        </w:tc>
        <w:tc>
          <w:tcPr>
            <w:tcW w:w="1559" w:type="dxa"/>
            <w:tcBorders>
              <w:top w:val="single" w:sz="4" w:space="0" w:color="auto"/>
              <w:left w:val="single" w:sz="4" w:space="0" w:color="auto"/>
              <w:bottom w:val="single" w:sz="4" w:space="0" w:color="auto"/>
              <w:right w:val="single" w:sz="4" w:space="0" w:color="auto"/>
            </w:tcBorders>
          </w:tcPr>
          <w:p w:rsidR="00E3259F" w:rsidRPr="00435807" w:rsidRDefault="00E3259F">
            <w:pPr>
              <w:spacing w:line="360" w:lineRule="auto"/>
              <w:jc w:val="both"/>
              <w:rPr>
                <w:sz w:val="26"/>
                <w:szCs w:val="26"/>
                <w:lang w:val="uk-UA" w:eastAsia="en-US"/>
              </w:rPr>
            </w:pPr>
            <w:r w:rsidRPr="00435807">
              <w:rPr>
                <w:sz w:val="26"/>
                <w:szCs w:val="26"/>
                <w:lang w:eastAsia="en-US"/>
              </w:rPr>
              <w:t>-</w:t>
            </w:r>
            <w:r w:rsidRPr="00435807">
              <w:rPr>
                <w:sz w:val="26"/>
                <w:szCs w:val="26"/>
                <w:shd w:val="clear" w:color="auto" w:fill="FFFFFF"/>
                <w:lang w:val="uk-UA" w:eastAsia="en-US"/>
              </w:rPr>
              <w:t>7</w:t>
            </w:r>
            <w:r w:rsidRPr="00435807">
              <w:rPr>
                <w:sz w:val="26"/>
                <w:szCs w:val="26"/>
                <w:shd w:val="clear" w:color="auto" w:fill="FFFFFF"/>
                <w:lang w:eastAsia="en-US"/>
              </w:rPr>
              <w:t>,81±1,12</w:t>
            </w:r>
            <w:r w:rsidRPr="00435807">
              <w:rPr>
                <w:sz w:val="26"/>
                <w:szCs w:val="26"/>
                <w:lang w:eastAsia="en-US"/>
              </w:rPr>
              <w:t xml:space="preserve"> *</w:t>
            </w:r>
          </w:p>
          <w:p w:rsidR="00E3259F" w:rsidRPr="00435807" w:rsidRDefault="00E3259F">
            <w:pPr>
              <w:spacing w:line="360" w:lineRule="auto"/>
              <w:jc w:val="both"/>
              <w:rPr>
                <w:rFonts w:eastAsiaTheme="minorHAnsi"/>
                <w:sz w:val="26"/>
                <w:szCs w:val="26"/>
                <w:lang w:val="uk-UA" w:eastAsia="en-US"/>
              </w:rPr>
            </w:pPr>
          </w:p>
          <w:p w:rsidR="00E3259F" w:rsidRPr="00435807" w:rsidRDefault="00E3259F">
            <w:pPr>
              <w:spacing w:line="360" w:lineRule="auto"/>
              <w:jc w:val="both"/>
              <w:rPr>
                <w:sz w:val="26"/>
                <w:szCs w:val="26"/>
                <w:lang w:val="uk-UA" w:eastAsia="en-US"/>
              </w:rPr>
            </w:pP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-4,</w:t>
            </w:r>
            <w:r w:rsidRPr="00435807">
              <w:rPr>
                <w:sz w:val="26"/>
                <w:szCs w:val="26"/>
                <w:lang w:val="uk-UA" w:eastAsia="en-US"/>
              </w:rPr>
              <w:t>72</w:t>
            </w:r>
            <w:r w:rsidRPr="00435807">
              <w:rPr>
                <w:sz w:val="26"/>
                <w:szCs w:val="26"/>
                <w:lang w:eastAsia="en-US"/>
              </w:rPr>
              <w:t>±1,0</w:t>
            </w:r>
            <w:r w:rsidRPr="00435807">
              <w:rPr>
                <w:sz w:val="26"/>
                <w:szCs w:val="26"/>
                <w:lang w:val="uk-UA" w:eastAsia="en-US"/>
              </w:rPr>
              <w:t>8*</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w:t>
            </w:r>
            <w:r w:rsidRPr="00435807">
              <w:rPr>
                <w:sz w:val="26"/>
                <w:szCs w:val="26"/>
                <w:lang w:val="uk-UA" w:eastAsia="en-US"/>
              </w:rPr>
              <w:t>6,42</w:t>
            </w:r>
            <w:r w:rsidRPr="00435807">
              <w:rPr>
                <w:sz w:val="26"/>
                <w:szCs w:val="26"/>
                <w:lang w:eastAsia="en-US"/>
              </w:rPr>
              <w:t>±1,3</w:t>
            </w:r>
            <w:r w:rsidRPr="00435807">
              <w:rPr>
                <w:sz w:val="26"/>
                <w:szCs w:val="26"/>
                <w:lang w:val="uk-UA" w:eastAsia="en-US"/>
              </w:rPr>
              <w:t>8*</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1-2</w:t>
            </w:r>
            <w:r w:rsidRPr="00435807">
              <w:rPr>
                <w:sz w:val="26"/>
                <w:szCs w:val="26"/>
                <w:lang w:val="uk-UA" w:eastAsia="en-US"/>
              </w:rPr>
              <w:t>=0,048</w:t>
            </w:r>
          </w:p>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1-3</w:t>
            </w:r>
            <w:r w:rsidRPr="00435807">
              <w:rPr>
                <w:sz w:val="26"/>
                <w:szCs w:val="26"/>
                <w:lang w:val="uk-UA" w:eastAsia="en-US"/>
              </w:rPr>
              <w:t>&gt;0,05</w:t>
            </w:r>
          </w:p>
          <w:p w:rsidR="00E3259F" w:rsidRPr="00435807" w:rsidRDefault="00E3259F">
            <w:pPr>
              <w:spacing w:line="360" w:lineRule="auto"/>
              <w:jc w:val="both"/>
              <w:rPr>
                <w:sz w:val="26"/>
                <w:szCs w:val="26"/>
                <w:lang w:eastAsia="en-US"/>
              </w:rPr>
            </w:pPr>
            <w:r w:rsidRPr="00435807">
              <w:rPr>
                <w:sz w:val="26"/>
                <w:szCs w:val="26"/>
                <w:lang w:val="uk-UA" w:eastAsia="en-US"/>
              </w:rPr>
              <w:t>р</w:t>
            </w:r>
            <w:r w:rsidRPr="00435807">
              <w:rPr>
                <w:sz w:val="26"/>
                <w:szCs w:val="26"/>
                <w:vertAlign w:val="subscript"/>
                <w:lang w:val="uk-UA" w:eastAsia="en-US"/>
              </w:rPr>
              <w:t>2-3</w:t>
            </w:r>
            <w:r w:rsidRPr="00435807">
              <w:rPr>
                <w:sz w:val="26"/>
                <w:szCs w:val="26"/>
                <w:lang w:val="uk-UA" w:eastAsia="en-US"/>
              </w:rPr>
              <w:t>&gt;0,05</w:t>
            </w:r>
          </w:p>
        </w:tc>
      </w:tr>
      <w:tr w:rsidR="00E3259F" w:rsidRPr="00435807" w:rsidTr="00E3259F">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val="uk-UA" w:eastAsia="en-US"/>
              </w:rPr>
              <w:t>Індекс швидкості старіння (</w:t>
            </w:r>
            <w:r w:rsidRPr="00435807">
              <w:rPr>
                <w:sz w:val="26"/>
                <w:szCs w:val="26"/>
                <w:lang w:eastAsia="en-US"/>
              </w:rPr>
              <w:t>БВ/</w:t>
            </w:r>
            <w:r w:rsidRPr="00435807">
              <w:rPr>
                <w:sz w:val="26"/>
                <w:szCs w:val="26"/>
                <w:lang w:val="uk-UA" w:eastAsia="en-US"/>
              </w:rPr>
              <w:t>Н</w:t>
            </w:r>
            <w:r w:rsidRPr="00435807">
              <w:rPr>
                <w:sz w:val="26"/>
                <w:szCs w:val="26"/>
                <w:lang w:eastAsia="en-US"/>
              </w:rPr>
              <w:t>БВ)</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0,9</w:t>
            </w:r>
            <w:r w:rsidRPr="00435807">
              <w:rPr>
                <w:sz w:val="26"/>
                <w:szCs w:val="26"/>
                <w:lang w:val="uk-UA" w:eastAsia="en-US"/>
              </w:rPr>
              <w:t>4</w:t>
            </w:r>
            <w:r w:rsidRPr="00435807">
              <w:rPr>
                <w:sz w:val="26"/>
                <w:szCs w:val="26"/>
                <w:lang w:eastAsia="en-US"/>
              </w:rPr>
              <w:t>±0,0</w:t>
            </w:r>
            <w:r w:rsidRPr="00435807">
              <w:rPr>
                <w:sz w:val="26"/>
                <w:szCs w:val="26"/>
                <w:lang w:val="uk-UA" w:eastAsia="en-US"/>
              </w:rPr>
              <w:t>1</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0,9</w:t>
            </w:r>
            <w:r w:rsidRPr="00435807">
              <w:rPr>
                <w:sz w:val="26"/>
                <w:szCs w:val="26"/>
                <w:lang w:val="uk-UA" w:eastAsia="en-US"/>
              </w:rPr>
              <w:t>6</w:t>
            </w:r>
            <w:r w:rsidRPr="00435807">
              <w:rPr>
                <w:sz w:val="26"/>
                <w:szCs w:val="26"/>
                <w:lang w:eastAsia="en-US"/>
              </w:rPr>
              <w:t>±0,04*</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1,0</w:t>
            </w:r>
            <w:r w:rsidRPr="00435807">
              <w:rPr>
                <w:sz w:val="26"/>
                <w:szCs w:val="26"/>
                <w:lang w:val="uk-UA" w:eastAsia="en-US"/>
              </w:rPr>
              <w:t>6</w:t>
            </w:r>
            <w:r w:rsidRPr="00435807">
              <w:rPr>
                <w:sz w:val="26"/>
                <w:szCs w:val="26"/>
                <w:lang w:eastAsia="en-US"/>
              </w:rPr>
              <w:t>±0,0</w:t>
            </w:r>
            <w:r w:rsidRPr="00435807">
              <w:rPr>
                <w:sz w:val="26"/>
                <w:szCs w:val="26"/>
                <w:lang w:val="uk-UA" w:eastAsia="en-US"/>
              </w:rPr>
              <w:t>2*</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1,0</w:t>
            </w:r>
            <w:r w:rsidRPr="00435807">
              <w:rPr>
                <w:sz w:val="26"/>
                <w:szCs w:val="26"/>
                <w:lang w:val="uk-UA" w:eastAsia="en-US"/>
              </w:rPr>
              <w:t>3</w:t>
            </w:r>
            <w:r w:rsidRPr="00435807">
              <w:rPr>
                <w:sz w:val="26"/>
                <w:szCs w:val="26"/>
                <w:lang w:eastAsia="en-US"/>
              </w:rPr>
              <w:t>±</w:t>
            </w:r>
            <w:r w:rsidRPr="00435807">
              <w:rPr>
                <w:sz w:val="26"/>
                <w:szCs w:val="26"/>
                <w:lang w:val="uk-UA" w:eastAsia="en-US"/>
              </w:rPr>
              <w:t>0</w:t>
            </w:r>
            <w:r w:rsidRPr="00435807">
              <w:rPr>
                <w:sz w:val="26"/>
                <w:szCs w:val="26"/>
                <w:lang w:eastAsia="en-US"/>
              </w:rPr>
              <w:t>,02*</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1-2</w:t>
            </w:r>
            <w:r w:rsidRPr="00435807">
              <w:rPr>
                <w:sz w:val="26"/>
                <w:szCs w:val="26"/>
                <w:lang w:val="uk-UA" w:eastAsia="en-US"/>
              </w:rPr>
              <w:t xml:space="preserve"> =0</w:t>
            </w:r>
            <w:r w:rsidRPr="00435807">
              <w:rPr>
                <w:sz w:val="26"/>
                <w:szCs w:val="26"/>
                <w:lang w:eastAsia="en-US"/>
              </w:rPr>
              <w:t>,0</w:t>
            </w:r>
            <w:r w:rsidRPr="00435807">
              <w:rPr>
                <w:sz w:val="26"/>
                <w:szCs w:val="26"/>
                <w:lang w:val="uk-UA" w:eastAsia="en-US"/>
              </w:rPr>
              <w:t xml:space="preserve">15 </w:t>
            </w:r>
          </w:p>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1-3</w:t>
            </w:r>
            <w:r w:rsidRPr="00435807">
              <w:rPr>
                <w:sz w:val="26"/>
                <w:szCs w:val="26"/>
                <w:lang w:val="uk-UA" w:eastAsia="en-US"/>
              </w:rPr>
              <w:t xml:space="preserve"> &gt;0,05</w:t>
            </w:r>
          </w:p>
          <w:p w:rsidR="00E3259F" w:rsidRPr="00435807" w:rsidRDefault="00E3259F">
            <w:pPr>
              <w:spacing w:line="360" w:lineRule="auto"/>
              <w:jc w:val="both"/>
              <w:rPr>
                <w:sz w:val="26"/>
                <w:szCs w:val="26"/>
                <w:lang w:eastAsia="en-US"/>
              </w:rPr>
            </w:pPr>
            <w:r w:rsidRPr="00435807">
              <w:rPr>
                <w:sz w:val="26"/>
                <w:szCs w:val="26"/>
                <w:lang w:val="uk-UA" w:eastAsia="en-US"/>
              </w:rPr>
              <w:t>р</w:t>
            </w:r>
            <w:r w:rsidRPr="00435807">
              <w:rPr>
                <w:sz w:val="26"/>
                <w:szCs w:val="26"/>
                <w:vertAlign w:val="subscript"/>
                <w:lang w:val="uk-UA" w:eastAsia="en-US"/>
              </w:rPr>
              <w:t>2-3</w:t>
            </w:r>
            <w:r w:rsidRPr="00435807">
              <w:rPr>
                <w:sz w:val="26"/>
                <w:szCs w:val="26"/>
                <w:lang w:val="uk-UA" w:eastAsia="en-US"/>
              </w:rPr>
              <w:t xml:space="preserve"> &gt;0,05</w:t>
            </w:r>
          </w:p>
        </w:tc>
      </w:tr>
      <w:tr w:rsidR="00E3259F" w:rsidRPr="00435807" w:rsidTr="00E3259F">
        <w:tc>
          <w:tcPr>
            <w:tcW w:w="1701"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Ко</w:t>
            </w:r>
            <w:r w:rsidRPr="00435807">
              <w:rPr>
                <w:sz w:val="26"/>
                <w:szCs w:val="26"/>
                <w:lang w:val="uk-UA" w:eastAsia="en-US"/>
              </w:rPr>
              <w:t>ефіціент швидкості (</w:t>
            </w:r>
            <w:r w:rsidRPr="00435807">
              <w:rPr>
                <w:sz w:val="26"/>
                <w:szCs w:val="26"/>
                <w:lang w:eastAsia="en-US"/>
              </w:rPr>
              <w:t>БВ-</w:t>
            </w:r>
            <w:r w:rsidRPr="00435807">
              <w:rPr>
                <w:sz w:val="26"/>
                <w:szCs w:val="26"/>
                <w:lang w:val="uk-UA" w:eastAsia="en-US"/>
              </w:rPr>
              <w:t>Н</w:t>
            </w:r>
            <w:r w:rsidRPr="00435807">
              <w:rPr>
                <w:sz w:val="26"/>
                <w:szCs w:val="26"/>
                <w:lang w:eastAsia="en-US"/>
              </w:rPr>
              <w:t>БВ)</w:t>
            </w:r>
          </w:p>
        </w:tc>
        <w:tc>
          <w:tcPr>
            <w:tcW w:w="1560"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 xml:space="preserve">- </w:t>
            </w:r>
            <w:r w:rsidRPr="00435807">
              <w:rPr>
                <w:sz w:val="26"/>
                <w:szCs w:val="26"/>
                <w:lang w:val="uk-UA" w:eastAsia="en-US"/>
              </w:rPr>
              <w:t>3</w:t>
            </w:r>
            <w:r w:rsidRPr="00435807">
              <w:rPr>
                <w:sz w:val="26"/>
                <w:szCs w:val="26"/>
                <w:lang w:eastAsia="en-US"/>
              </w:rPr>
              <w:t>,</w:t>
            </w:r>
            <w:r w:rsidRPr="00435807">
              <w:rPr>
                <w:sz w:val="26"/>
                <w:szCs w:val="26"/>
                <w:lang w:val="uk-UA" w:eastAsia="en-US"/>
              </w:rPr>
              <w:t>10</w:t>
            </w:r>
            <w:r w:rsidRPr="00435807">
              <w:rPr>
                <w:sz w:val="26"/>
                <w:szCs w:val="26"/>
                <w:lang w:eastAsia="en-US"/>
              </w:rPr>
              <w:t>±0,</w:t>
            </w:r>
            <w:r w:rsidRPr="00435807">
              <w:rPr>
                <w:sz w:val="26"/>
                <w:szCs w:val="26"/>
                <w:lang w:val="uk-UA" w:eastAsia="en-US"/>
              </w:rPr>
              <w:t>76</w:t>
            </w: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eastAsia="en-US"/>
              </w:rPr>
              <w:t>-</w:t>
            </w:r>
            <w:r w:rsidRPr="00435807">
              <w:rPr>
                <w:sz w:val="26"/>
                <w:szCs w:val="26"/>
                <w:lang w:val="uk-UA" w:eastAsia="en-US"/>
              </w:rPr>
              <w:t>1</w:t>
            </w:r>
            <w:r w:rsidRPr="00435807">
              <w:rPr>
                <w:sz w:val="26"/>
                <w:szCs w:val="26"/>
                <w:lang w:eastAsia="en-US"/>
              </w:rPr>
              <w:t>,</w:t>
            </w:r>
            <w:r w:rsidRPr="00435807">
              <w:rPr>
                <w:sz w:val="26"/>
                <w:szCs w:val="26"/>
                <w:lang w:val="uk-UA" w:eastAsia="en-US"/>
              </w:rPr>
              <w:t>20</w:t>
            </w:r>
            <w:r w:rsidRPr="00435807">
              <w:rPr>
                <w:sz w:val="26"/>
                <w:szCs w:val="26"/>
                <w:lang w:eastAsia="en-US"/>
              </w:rPr>
              <w:t>±1,3</w:t>
            </w:r>
            <w:r w:rsidRPr="00435807">
              <w:rPr>
                <w:sz w:val="26"/>
                <w:szCs w:val="26"/>
                <w:lang w:val="uk-UA" w:eastAsia="en-US"/>
              </w:rPr>
              <w:t>5*</w:t>
            </w:r>
          </w:p>
        </w:tc>
        <w:tc>
          <w:tcPr>
            <w:tcW w:w="1559" w:type="dxa"/>
            <w:tcBorders>
              <w:top w:val="single" w:sz="4" w:space="0" w:color="auto"/>
              <w:left w:val="single" w:sz="4" w:space="0" w:color="auto"/>
              <w:bottom w:val="single" w:sz="4" w:space="0" w:color="auto"/>
              <w:right w:val="single" w:sz="4" w:space="0" w:color="auto"/>
            </w:tcBorders>
          </w:tcPr>
          <w:p w:rsidR="00E3259F" w:rsidRPr="00435807" w:rsidRDefault="00E3259F">
            <w:pPr>
              <w:spacing w:line="360" w:lineRule="auto"/>
              <w:jc w:val="both"/>
              <w:rPr>
                <w:sz w:val="26"/>
                <w:szCs w:val="26"/>
                <w:lang w:val="uk-UA" w:eastAsia="en-US"/>
              </w:rPr>
            </w:pPr>
            <w:r w:rsidRPr="00435807">
              <w:rPr>
                <w:sz w:val="26"/>
                <w:szCs w:val="26"/>
                <w:lang w:val="uk-UA" w:eastAsia="en-US"/>
              </w:rPr>
              <w:t>0</w:t>
            </w:r>
            <w:r w:rsidRPr="00435807">
              <w:rPr>
                <w:sz w:val="26"/>
                <w:szCs w:val="26"/>
                <w:lang w:eastAsia="en-US"/>
              </w:rPr>
              <w:t>,</w:t>
            </w:r>
            <w:r w:rsidRPr="00435807">
              <w:rPr>
                <w:sz w:val="26"/>
                <w:szCs w:val="26"/>
                <w:lang w:val="uk-UA" w:eastAsia="en-US"/>
              </w:rPr>
              <w:t>54</w:t>
            </w:r>
            <w:r w:rsidRPr="00435807">
              <w:rPr>
                <w:sz w:val="26"/>
                <w:szCs w:val="26"/>
                <w:lang w:eastAsia="en-US"/>
              </w:rPr>
              <w:t>±</w:t>
            </w:r>
            <w:r w:rsidRPr="00435807">
              <w:rPr>
                <w:sz w:val="26"/>
                <w:szCs w:val="26"/>
                <w:lang w:val="uk-UA" w:eastAsia="en-US"/>
              </w:rPr>
              <w:t>0</w:t>
            </w:r>
            <w:r w:rsidRPr="00435807">
              <w:rPr>
                <w:sz w:val="26"/>
                <w:szCs w:val="26"/>
                <w:lang w:eastAsia="en-US"/>
              </w:rPr>
              <w:t>,</w:t>
            </w:r>
            <w:r w:rsidRPr="00435807">
              <w:rPr>
                <w:sz w:val="26"/>
                <w:szCs w:val="26"/>
                <w:lang w:val="uk-UA" w:eastAsia="en-US"/>
              </w:rPr>
              <w:t>82*</w:t>
            </w:r>
          </w:p>
          <w:p w:rsidR="00E3259F" w:rsidRPr="00435807" w:rsidRDefault="00E3259F">
            <w:pPr>
              <w:spacing w:line="360" w:lineRule="auto"/>
              <w:jc w:val="both"/>
              <w:rPr>
                <w:sz w:val="26"/>
                <w:szCs w:val="26"/>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eastAsia="en-US"/>
              </w:rPr>
            </w:pPr>
            <w:r w:rsidRPr="00435807">
              <w:rPr>
                <w:sz w:val="26"/>
                <w:szCs w:val="26"/>
                <w:lang w:eastAsia="en-US"/>
              </w:rPr>
              <w:t>1,4</w:t>
            </w:r>
            <w:r w:rsidRPr="00435807">
              <w:rPr>
                <w:sz w:val="26"/>
                <w:szCs w:val="26"/>
                <w:lang w:val="uk-UA" w:eastAsia="en-US"/>
              </w:rPr>
              <w:t>8</w:t>
            </w:r>
            <w:r w:rsidRPr="00435807">
              <w:rPr>
                <w:sz w:val="26"/>
                <w:szCs w:val="26"/>
                <w:lang w:eastAsia="en-US"/>
              </w:rPr>
              <w:t>±1,</w:t>
            </w:r>
            <w:r w:rsidRPr="00435807">
              <w:rPr>
                <w:sz w:val="26"/>
                <w:szCs w:val="26"/>
                <w:lang w:val="uk-UA" w:eastAsia="en-US"/>
              </w:rPr>
              <w:t>08*</w:t>
            </w:r>
          </w:p>
        </w:tc>
        <w:tc>
          <w:tcPr>
            <w:tcW w:w="1525" w:type="dxa"/>
            <w:tcBorders>
              <w:top w:val="single" w:sz="4" w:space="0" w:color="auto"/>
              <w:left w:val="single" w:sz="4" w:space="0" w:color="auto"/>
              <w:bottom w:val="single" w:sz="4" w:space="0" w:color="auto"/>
              <w:right w:val="single" w:sz="4" w:space="0" w:color="auto"/>
            </w:tcBorders>
            <w:hideMark/>
          </w:tcPr>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1-2</w:t>
            </w:r>
            <w:r w:rsidRPr="00435807">
              <w:rPr>
                <w:sz w:val="26"/>
                <w:szCs w:val="26"/>
                <w:lang w:val="uk-UA" w:eastAsia="en-US"/>
              </w:rPr>
              <w:t xml:space="preserve"> &gt;0,05</w:t>
            </w:r>
          </w:p>
          <w:p w:rsidR="00E3259F" w:rsidRPr="00435807" w:rsidRDefault="00E3259F">
            <w:pPr>
              <w:spacing w:line="360" w:lineRule="auto"/>
              <w:jc w:val="both"/>
              <w:rPr>
                <w:sz w:val="26"/>
                <w:szCs w:val="26"/>
                <w:lang w:val="uk-UA" w:eastAsia="en-US"/>
              </w:rPr>
            </w:pPr>
            <w:r w:rsidRPr="00435807">
              <w:rPr>
                <w:sz w:val="26"/>
                <w:szCs w:val="26"/>
                <w:lang w:val="uk-UA" w:eastAsia="en-US"/>
              </w:rPr>
              <w:t>р</w:t>
            </w:r>
            <w:r w:rsidRPr="00435807">
              <w:rPr>
                <w:sz w:val="26"/>
                <w:szCs w:val="26"/>
                <w:vertAlign w:val="subscript"/>
                <w:lang w:val="uk-UA" w:eastAsia="en-US"/>
              </w:rPr>
              <w:t>1-3</w:t>
            </w:r>
            <w:r w:rsidRPr="00435807">
              <w:rPr>
                <w:sz w:val="26"/>
                <w:szCs w:val="26"/>
                <w:lang w:val="uk-UA" w:eastAsia="en-US"/>
              </w:rPr>
              <w:t xml:space="preserve"> &gt;0,05</w:t>
            </w:r>
          </w:p>
          <w:p w:rsidR="00E3259F" w:rsidRPr="00435807" w:rsidRDefault="00E3259F">
            <w:pPr>
              <w:spacing w:line="360" w:lineRule="auto"/>
              <w:jc w:val="both"/>
              <w:rPr>
                <w:sz w:val="26"/>
                <w:szCs w:val="26"/>
                <w:lang w:eastAsia="en-US"/>
              </w:rPr>
            </w:pPr>
            <w:r w:rsidRPr="00435807">
              <w:rPr>
                <w:sz w:val="26"/>
                <w:szCs w:val="26"/>
                <w:lang w:val="uk-UA" w:eastAsia="en-US"/>
              </w:rPr>
              <w:t>р</w:t>
            </w:r>
            <w:r w:rsidRPr="00435807">
              <w:rPr>
                <w:sz w:val="26"/>
                <w:szCs w:val="26"/>
                <w:vertAlign w:val="subscript"/>
                <w:lang w:val="uk-UA" w:eastAsia="en-US"/>
              </w:rPr>
              <w:t>2-3</w:t>
            </w:r>
            <w:r w:rsidRPr="00435807">
              <w:rPr>
                <w:sz w:val="26"/>
                <w:szCs w:val="26"/>
                <w:lang w:val="uk-UA" w:eastAsia="en-US"/>
              </w:rPr>
              <w:t xml:space="preserve"> &gt;0,05</w:t>
            </w:r>
          </w:p>
        </w:tc>
      </w:tr>
    </w:tbl>
    <w:p w:rsidR="00E3259F" w:rsidRPr="00435807" w:rsidRDefault="00E3259F" w:rsidP="00435807">
      <w:pPr>
        <w:spacing w:line="360" w:lineRule="auto"/>
        <w:jc w:val="both"/>
        <w:rPr>
          <w:rFonts w:asciiTheme="minorHAnsi" w:hAnsiTheme="minorHAnsi" w:cstheme="minorBidi"/>
          <w:sz w:val="28"/>
          <w:szCs w:val="28"/>
          <w:lang w:val="uk-UA" w:eastAsia="en-US"/>
        </w:rPr>
      </w:pPr>
      <w:r w:rsidRPr="00435807">
        <w:rPr>
          <w:sz w:val="28"/>
          <w:szCs w:val="28"/>
          <w:lang w:val="uk-UA"/>
        </w:rPr>
        <w:t>Примітка: * - р&lt;0,05</w:t>
      </w:r>
      <w:r w:rsidRPr="00435807">
        <w:rPr>
          <w:sz w:val="28"/>
          <w:szCs w:val="28"/>
        </w:rPr>
        <w:t xml:space="preserve"> – </w:t>
      </w:r>
      <w:r w:rsidRPr="00435807">
        <w:rPr>
          <w:sz w:val="28"/>
          <w:szCs w:val="28"/>
          <w:lang w:val="uk-UA"/>
        </w:rPr>
        <w:t>рівень значущості відмінностей порівняно з контрольною групою, р</w:t>
      </w:r>
      <w:r w:rsidRPr="00435807">
        <w:rPr>
          <w:sz w:val="28"/>
          <w:szCs w:val="28"/>
          <w:vertAlign w:val="subscript"/>
          <w:lang w:val="uk-UA"/>
        </w:rPr>
        <w:t>1-2 -</w:t>
      </w:r>
      <w:r w:rsidRPr="00435807">
        <w:rPr>
          <w:sz w:val="28"/>
          <w:szCs w:val="28"/>
          <w:lang w:val="uk-UA"/>
        </w:rPr>
        <w:t xml:space="preserve">  рівень значущості відмінностей при порівнянні  групи 1 та 2, р</w:t>
      </w:r>
      <w:r w:rsidRPr="00435807">
        <w:rPr>
          <w:sz w:val="28"/>
          <w:szCs w:val="28"/>
          <w:vertAlign w:val="subscript"/>
          <w:lang w:val="uk-UA"/>
        </w:rPr>
        <w:t xml:space="preserve">1-3 - </w:t>
      </w:r>
      <w:r w:rsidRPr="00435807">
        <w:rPr>
          <w:sz w:val="28"/>
          <w:szCs w:val="28"/>
          <w:lang w:val="uk-UA"/>
        </w:rPr>
        <w:t>рівень значущості відмінностей при порівнянні  групи 1 та 3, р</w:t>
      </w:r>
      <w:r w:rsidRPr="00435807">
        <w:rPr>
          <w:sz w:val="28"/>
          <w:szCs w:val="28"/>
          <w:vertAlign w:val="subscript"/>
          <w:lang w:val="uk-UA"/>
        </w:rPr>
        <w:t>2-3</w:t>
      </w:r>
      <w:r w:rsidRPr="00435807">
        <w:rPr>
          <w:sz w:val="28"/>
          <w:szCs w:val="28"/>
          <w:lang w:val="uk-UA"/>
        </w:rPr>
        <w:t xml:space="preserve"> - рівень значущості відмінностей при порівнянні  групи групи 2 та 3</w:t>
      </w:r>
    </w:p>
    <w:p w:rsidR="00E3259F" w:rsidRPr="00435807" w:rsidRDefault="00435807" w:rsidP="00435807">
      <w:pPr>
        <w:shd w:val="clear" w:color="auto" w:fill="FFFFFF"/>
        <w:spacing w:line="360" w:lineRule="auto"/>
        <w:ind w:firstLine="709"/>
        <w:jc w:val="both"/>
        <w:rPr>
          <w:sz w:val="28"/>
          <w:szCs w:val="28"/>
          <w:lang w:val="uk-UA"/>
        </w:rPr>
      </w:pPr>
      <w:r w:rsidRPr="00435807">
        <w:rPr>
          <w:sz w:val="28"/>
          <w:szCs w:val="28"/>
          <w:lang w:val="uk-UA"/>
        </w:rPr>
        <w:t>При порівнянні груп пацієнтів з коморбдної патологією в</w:t>
      </w:r>
      <w:r w:rsidR="00E3259F" w:rsidRPr="00435807">
        <w:rPr>
          <w:sz w:val="28"/>
          <w:szCs w:val="28"/>
          <w:lang w:val="uk-UA"/>
        </w:rPr>
        <w:t xml:space="preserve"> групі 3 було виявлено достовірно нижчий БВ (р=0,047) порівняно з групою 2.   Індекс швидкості старіння (БВ/НБВ) при коморбідної патології був  достовірно вище, ніж в контрольній групі (р&lt;0,05), порівняно з групою ізольованій ГХ статистично значимі відмінності були знайдені  тільки при порівнянні</w:t>
      </w:r>
      <w:r w:rsidR="00E3259F" w:rsidRPr="00435807">
        <w:rPr>
          <w:sz w:val="28"/>
          <w:szCs w:val="28"/>
          <w:u w:val="single"/>
          <w:lang w:val="uk-UA"/>
        </w:rPr>
        <w:t xml:space="preserve"> </w:t>
      </w:r>
      <w:r w:rsidR="00E3259F" w:rsidRPr="00435807">
        <w:rPr>
          <w:sz w:val="28"/>
          <w:szCs w:val="28"/>
          <w:lang w:val="uk-UA"/>
        </w:rPr>
        <w:t xml:space="preserve"> вказаного індексу між пацієнтами групи 1 та групи 2 (р=0,015). Наявність СГТ приводила до зменшення індексу швидкості старіння, проте ці зміни не супроводжувались достовірними відмінностями з іншими групами пацієнтів в дослідженні.</w:t>
      </w:r>
    </w:p>
    <w:p w:rsidR="00E3259F" w:rsidRPr="00435807" w:rsidRDefault="00E3259F" w:rsidP="00435807">
      <w:pPr>
        <w:spacing w:line="360" w:lineRule="auto"/>
        <w:ind w:firstLine="709"/>
        <w:jc w:val="both"/>
        <w:rPr>
          <w:rStyle w:val="tlid-translation"/>
          <w:sz w:val="22"/>
          <w:szCs w:val="22"/>
        </w:rPr>
      </w:pPr>
      <w:r w:rsidRPr="00435807">
        <w:rPr>
          <w:rStyle w:val="tlid-translation"/>
          <w:rFonts w:eastAsiaTheme="majorEastAsia"/>
          <w:sz w:val="28"/>
          <w:szCs w:val="28"/>
          <w:lang w:val="uk-UA"/>
        </w:rPr>
        <w:t>Відмінність між біологічним віком та календарним віком (БВ-КВ, коефіцієнт старіння), що, перед усім, вважається критерієм інтенсивності старіння [103], в осіб з коморбідною патологією  була менше, ніж у групі контролю та при ізольованій ГХ, проте найнижче значення відмічалося в пацієнтів  групи 2, хоча достовірні відмінності спостерігались тільки при порівнянні  групи 1 та групи 2 (</w:t>
      </w:r>
      <w:r w:rsidRPr="00435807">
        <w:rPr>
          <w:sz w:val="28"/>
          <w:szCs w:val="28"/>
          <w:lang w:val="uk-UA"/>
        </w:rPr>
        <w:t>р = 0,048</w:t>
      </w:r>
      <w:r w:rsidRPr="00435807">
        <w:rPr>
          <w:rStyle w:val="tlid-translation"/>
          <w:rFonts w:eastAsiaTheme="majorEastAsia"/>
          <w:sz w:val="28"/>
          <w:szCs w:val="28"/>
          <w:lang w:val="uk-UA"/>
        </w:rPr>
        <w:t xml:space="preserve">). </w:t>
      </w:r>
      <w:r w:rsidRPr="00435807">
        <w:rPr>
          <w:sz w:val="28"/>
          <w:szCs w:val="28"/>
          <w:lang w:val="uk-UA"/>
        </w:rPr>
        <w:t>П</w:t>
      </w:r>
      <w:r w:rsidRPr="00435807">
        <w:rPr>
          <w:rStyle w:val="tlid-translation"/>
          <w:rFonts w:eastAsiaTheme="majorEastAsia"/>
          <w:sz w:val="28"/>
          <w:szCs w:val="28"/>
          <w:lang w:val="uk-UA"/>
        </w:rPr>
        <w:t xml:space="preserve">ри зіставленні БВ з НБВ виявилося, що в пацієнтів  групи 2 та  групи 3 БВ перевищував НБВ ( у 2 групі на </w:t>
      </w:r>
      <w:r w:rsidRPr="00435807">
        <w:rPr>
          <w:sz w:val="28"/>
          <w:szCs w:val="28"/>
          <w:lang w:val="uk-UA"/>
        </w:rPr>
        <w:t>0,54±0,82 року, у групі 3 на 1,48±1,08  року)</w:t>
      </w:r>
      <w:r w:rsidRPr="00435807">
        <w:rPr>
          <w:rStyle w:val="tlid-translation"/>
          <w:rFonts w:eastAsiaTheme="majorEastAsia"/>
          <w:sz w:val="28"/>
          <w:szCs w:val="28"/>
          <w:lang w:val="uk-UA"/>
        </w:rPr>
        <w:t xml:space="preserve">, тобто незважаючи на те, що особи цих груп у більшості своїй функціонально молодші свого КВ, біологічний вік усе ж є вище, ніж в однолітків із цієї популяції. Зіставлення БВ та НБВ у пацієнтів з ізольованою ГХ виявило наявність меншого БВ ніж популяційного стандарту на </w:t>
      </w:r>
      <w:r w:rsidRPr="00435807">
        <w:rPr>
          <w:sz w:val="28"/>
          <w:szCs w:val="28"/>
          <w:lang w:val="uk-UA"/>
        </w:rPr>
        <w:t>1</w:t>
      </w:r>
      <w:r w:rsidRPr="00435807">
        <w:rPr>
          <w:sz w:val="28"/>
          <w:szCs w:val="28"/>
        </w:rPr>
        <w:t>,</w:t>
      </w:r>
      <w:r w:rsidRPr="00435807">
        <w:rPr>
          <w:sz w:val="28"/>
          <w:szCs w:val="28"/>
          <w:lang w:val="uk-UA"/>
        </w:rPr>
        <w:t>20</w:t>
      </w:r>
      <w:r w:rsidRPr="00435807">
        <w:rPr>
          <w:sz w:val="28"/>
          <w:szCs w:val="28"/>
        </w:rPr>
        <w:t>±1,3</w:t>
      </w:r>
      <w:r w:rsidRPr="00435807">
        <w:rPr>
          <w:sz w:val="28"/>
          <w:szCs w:val="28"/>
          <w:lang w:val="uk-UA"/>
        </w:rPr>
        <w:t xml:space="preserve">5 </w:t>
      </w:r>
      <w:r w:rsidRPr="00435807">
        <w:rPr>
          <w:rStyle w:val="tlid-translation"/>
          <w:rFonts w:eastAsiaTheme="majorEastAsia"/>
          <w:sz w:val="28"/>
          <w:szCs w:val="28"/>
          <w:lang w:val="uk-UA"/>
        </w:rPr>
        <w:t xml:space="preserve">років, а в групі контролю особи мали на </w:t>
      </w:r>
      <w:r w:rsidRPr="00435807">
        <w:rPr>
          <w:sz w:val="28"/>
          <w:szCs w:val="28"/>
        </w:rPr>
        <w:t xml:space="preserve">- </w:t>
      </w:r>
      <w:r w:rsidRPr="00435807">
        <w:rPr>
          <w:sz w:val="28"/>
          <w:szCs w:val="28"/>
          <w:lang w:val="uk-UA"/>
        </w:rPr>
        <w:t>3</w:t>
      </w:r>
      <w:r w:rsidRPr="00435807">
        <w:rPr>
          <w:sz w:val="28"/>
          <w:szCs w:val="28"/>
        </w:rPr>
        <w:t>,</w:t>
      </w:r>
      <w:r w:rsidRPr="00435807">
        <w:rPr>
          <w:sz w:val="28"/>
          <w:szCs w:val="28"/>
          <w:lang w:val="uk-UA"/>
        </w:rPr>
        <w:t>10</w:t>
      </w:r>
      <w:r w:rsidRPr="00435807">
        <w:rPr>
          <w:sz w:val="28"/>
          <w:szCs w:val="28"/>
        </w:rPr>
        <w:t>±0,</w:t>
      </w:r>
      <w:r w:rsidRPr="00435807">
        <w:rPr>
          <w:sz w:val="28"/>
          <w:szCs w:val="28"/>
          <w:lang w:val="uk-UA"/>
        </w:rPr>
        <w:t xml:space="preserve">76 </w:t>
      </w:r>
      <w:r w:rsidRPr="00435807">
        <w:rPr>
          <w:rStyle w:val="tlid-translation"/>
          <w:rFonts w:eastAsiaTheme="majorEastAsia"/>
          <w:sz w:val="28"/>
          <w:szCs w:val="28"/>
          <w:lang w:val="uk-UA"/>
        </w:rPr>
        <w:t xml:space="preserve">років менший БВ ніж НБВ. </w:t>
      </w:r>
    </w:p>
    <w:p w:rsidR="00E3259F" w:rsidRPr="00435807" w:rsidRDefault="00E3259F" w:rsidP="00435807">
      <w:pPr>
        <w:spacing w:line="360" w:lineRule="auto"/>
        <w:ind w:firstLine="709"/>
        <w:jc w:val="both"/>
        <w:rPr>
          <w:rStyle w:val="tlid-translation"/>
          <w:rFonts w:eastAsiaTheme="majorEastAsia"/>
          <w:sz w:val="28"/>
          <w:szCs w:val="28"/>
          <w:lang w:val="uk-UA"/>
        </w:rPr>
      </w:pPr>
      <w:r w:rsidRPr="00435807">
        <w:rPr>
          <w:rStyle w:val="tlid-translation"/>
          <w:rFonts w:eastAsiaTheme="majorEastAsia"/>
          <w:sz w:val="28"/>
          <w:szCs w:val="28"/>
          <w:lang w:val="uk-UA"/>
        </w:rPr>
        <w:t xml:space="preserve">Порівняльний аналіз вікових показників, що характеризують темпи старіння, залежно від вікових підгруп продемонстрував, що в групі  1 та 2 </w:t>
      </w:r>
      <w:r w:rsidRPr="00435807">
        <w:rPr>
          <w:sz w:val="28"/>
          <w:szCs w:val="28"/>
          <w:lang w:val="uk-UA"/>
        </w:rPr>
        <w:t xml:space="preserve">особи вікової категорії 44-60 років мали вищий БВ, ніж пацієнти віком 61-75 років, проте достовірні відмінності спостерігались </w:t>
      </w:r>
      <w:r w:rsidRPr="00435807">
        <w:rPr>
          <w:rStyle w:val="tlid-translation"/>
          <w:rFonts w:eastAsiaTheme="majorEastAsia"/>
          <w:sz w:val="28"/>
          <w:szCs w:val="28"/>
          <w:lang w:val="uk-UA"/>
        </w:rPr>
        <w:t>тільки  в  групі 2 (р=0,001) (Таблиця 3.9). Наявність СГТ в 3 групі не супроводжувалася віковим впливом на значення БВ, цей показник практично не відрізнявся між віковими підгрупами (р</w:t>
      </w:r>
      <w:r w:rsidRPr="00435807">
        <w:rPr>
          <w:sz w:val="28"/>
          <w:szCs w:val="28"/>
          <w:lang w:val="uk-UA" w:eastAsia="en-US"/>
        </w:rPr>
        <w:t xml:space="preserve"> &gt;0,05</w:t>
      </w:r>
      <w:r w:rsidRPr="00435807">
        <w:rPr>
          <w:rStyle w:val="tlid-translation"/>
          <w:rFonts w:eastAsiaTheme="majorEastAsia"/>
          <w:sz w:val="28"/>
          <w:szCs w:val="28"/>
          <w:lang w:val="uk-UA"/>
        </w:rPr>
        <w:t xml:space="preserve">). </w:t>
      </w:r>
      <w:r w:rsidRPr="00435807">
        <w:rPr>
          <w:sz w:val="28"/>
          <w:szCs w:val="28"/>
          <w:lang w:val="uk-UA"/>
        </w:rPr>
        <w:t>Більш того, в усіх досліджувальних групах пацієнти похилого віку мали БВ нижче популяційного вікового стандарту (НБВ), а більш молоді пацієнти мали БВ вище, ніж НБВ</w:t>
      </w:r>
      <w:r w:rsidRPr="00435807">
        <w:rPr>
          <w:i/>
          <w:sz w:val="28"/>
          <w:szCs w:val="28"/>
          <w:lang w:val="uk-UA"/>
        </w:rPr>
        <w:t>.</w:t>
      </w:r>
    </w:p>
    <w:p w:rsidR="00E3259F" w:rsidRPr="00435807" w:rsidRDefault="00E3259F" w:rsidP="00435807">
      <w:pPr>
        <w:spacing w:line="360" w:lineRule="auto"/>
        <w:ind w:firstLine="709"/>
        <w:jc w:val="both"/>
      </w:pPr>
      <w:r w:rsidRPr="00435807">
        <w:rPr>
          <w:sz w:val="28"/>
          <w:szCs w:val="28"/>
          <w:lang w:val="uk-UA"/>
        </w:rPr>
        <w:t>Наявність ГХ та ЦД 2 типу сприяла ПТС більшою мірою, ніж ізольована ГХ, особливо у осіб віком від 44 до 60 років (індекс швидкості старіння - 1,19±0,02 проти 1,03±0,11, відповідно, (р=0,016), коефіцієнт швидкості старіння 9,53±0,82 проти 5,33±1,87, відповідно, (р=0,031). При цьому наявність СГТ не мала негативного впливу на показники старіння при порівнянні відповідних вікових підгруп з пацієнтами з ГХ та ЦД 2 типу без порушення функції ЩЗ.</w:t>
      </w:r>
    </w:p>
    <w:p w:rsidR="00E3259F" w:rsidRPr="00435807" w:rsidRDefault="00E3259F" w:rsidP="00435807">
      <w:pPr>
        <w:spacing w:line="360" w:lineRule="auto"/>
        <w:ind w:firstLine="709"/>
        <w:jc w:val="both"/>
        <w:rPr>
          <w:rFonts w:eastAsiaTheme="minorHAnsi"/>
          <w:sz w:val="28"/>
          <w:szCs w:val="28"/>
          <w:lang w:val="uk-UA"/>
        </w:rPr>
      </w:pPr>
      <w:r w:rsidRPr="00435807">
        <w:rPr>
          <w:sz w:val="28"/>
          <w:szCs w:val="28"/>
          <w:lang w:val="uk-UA"/>
        </w:rPr>
        <w:t>Отримані дані узгоджуються з результатами робіт, у яких отримано вищий БВ та ТС у більш молодих досліджуваних, ніж у осіб старшого віку, що може бути результатом виробленої з віком адаптації до негативних екзогенних та ендогенних факторів у літньому віці [103].  Вважається,  що зниження БВ щодо КВ і НБВ, яке вказує на уповільнений темп старіння,  у старших вікових групах, свідчить про внутрішньо суперечливу сутність старіння, у ході якого, поряд з руйнуванням, формуються адаптивні механізми, спрямовані на підтримання постійності внутрішнього середовища організму [5].</w:t>
      </w:r>
    </w:p>
    <w:p w:rsidR="00435807" w:rsidRDefault="00435807" w:rsidP="00435807">
      <w:pPr>
        <w:spacing w:line="360" w:lineRule="auto"/>
        <w:ind w:firstLine="709"/>
        <w:jc w:val="both"/>
        <w:rPr>
          <w:rStyle w:val="tlid-translation"/>
          <w:rFonts w:eastAsiaTheme="majorEastAsia"/>
          <w:sz w:val="28"/>
          <w:szCs w:val="28"/>
        </w:rPr>
      </w:pPr>
      <w:r>
        <w:rPr>
          <w:rStyle w:val="tlid-translation"/>
          <w:rFonts w:eastAsiaTheme="majorEastAsia"/>
          <w:sz w:val="28"/>
          <w:szCs w:val="28"/>
          <w:lang w:val="uk-UA"/>
        </w:rPr>
        <w:t xml:space="preserve">Для вивчення залежності між показниками ліпідного, вуглеводного та тиреоїдного обміну, рівнями АТ (САТ, ДАТ, ПАТ), МТ та віковими показниками, що характеризують швидкість та ступінь старіння, використовувся лінійний кореляційний аналіз Пірсона, дані якого представлені в таблиці 3.10. </w:t>
      </w:r>
      <w:r>
        <w:rPr>
          <w:sz w:val="28"/>
          <w:szCs w:val="28"/>
          <w:lang w:val="uk-UA"/>
        </w:rPr>
        <w:t>До таблиці включалися лише ознаки з достовірними (</w:t>
      </w:r>
      <w:r>
        <w:rPr>
          <w:sz w:val="28"/>
          <w:szCs w:val="28"/>
        </w:rPr>
        <w:t>ρ</w:t>
      </w:r>
      <w:r>
        <w:rPr>
          <w:sz w:val="28"/>
          <w:szCs w:val="28"/>
          <w:lang w:val="uk-UA"/>
        </w:rPr>
        <w:t>&lt;0,05) зв’язками.</w:t>
      </w:r>
      <w:r>
        <w:rPr>
          <w:rStyle w:val="tlid-translation"/>
          <w:rFonts w:eastAsiaTheme="majorEastAsia"/>
          <w:sz w:val="28"/>
          <w:szCs w:val="28"/>
          <w:lang w:val="uk-UA"/>
        </w:rPr>
        <w:t xml:space="preserve"> </w:t>
      </w:r>
    </w:p>
    <w:p w:rsidR="00E3259F" w:rsidRPr="00435807" w:rsidRDefault="00E3259F" w:rsidP="00435807">
      <w:pPr>
        <w:spacing w:line="360" w:lineRule="auto"/>
        <w:ind w:firstLine="709"/>
        <w:jc w:val="right"/>
        <w:rPr>
          <w:sz w:val="28"/>
          <w:szCs w:val="28"/>
          <w:lang w:val="uk-UA"/>
        </w:rPr>
      </w:pPr>
    </w:p>
    <w:p w:rsidR="00E3259F" w:rsidRPr="00435807" w:rsidRDefault="00E3259F" w:rsidP="00435807">
      <w:pPr>
        <w:spacing w:line="360" w:lineRule="auto"/>
        <w:ind w:firstLine="709"/>
        <w:rPr>
          <w:sz w:val="28"/>
          <w:szCs w:val="28"/>
          <w:lang w:val="uk-UA"/>
        </w:rPr>
        <w:sectPr w:rsidR="00E3259F" w:rsidRPr="00435807" w:rsidSect="005F63EC">
          <w:headerReference w:type="default" r:id="rId13"/>
          <w:pgSz w:w="11906" w:h="16838"/>
          <w:pgMar w:top="1134" w:right="851" w:bottom="1134" w:left="1701" w:header="709" w:footer="709" w:gutter="0"/>
          <w:cols w:space="720"/>
          <w:titlePg/>
          <w:docGrid w:linePitch="326"/>
        </w:sectPr>
      </w:pPr>
    </w:p>
    <w:p w:rsidR="00E3259F" w:rsidRDefault="00E3259F" w:rsidP="00E3259F">
      <w:pPr>
        <w:ind w:firstLine="709"/>
        <w:jc w:val="right"/>
        <w:rPr>
          <w:sz w:val="28"/>
          <w:szCs w:val="28"/>
          <w:lang w:val="uk-UA"/>
        </w:rPr>
      </w:pPr>
    </w:p>
    <w:p w:rsidR="00E3259F" w:rsidRDefault="00E3259F" w:rsidP="00E3259F">
      <w:pPr>
        <w:ind w:firstLine="709"/>
        <w:jc w:val="right"/>
        <w:rPr>
          <w:rFonts w:eastAsiaTheme="minorHAnsi"/>
        </w:rPr>
      </w:pPr>
      <w:r>
        <w:rPr>
          <w:sz w:val="28"/>
          <w:szCs w:val="28"/>
        </w:rPr>
        <w:t>Таблиц</w:t>
      </w:r>
      <w:r>
        <w:rPr>
          <w:sz w:val="28"/>
          <w:szCs w:val="28"/>
          <w:lang w:val="uk-UA"/>
        </w:rPr>
        <w:t xml:space="preserve">я 3.9 </w:t>
      </w:r>
    </w:p>
    <w:p w:rsidR="00E3259F" w:rsidRDefault="00E3259F" w:rsidP="00E3259F">
      <w:pPr>
        <w:spacing w:line="360" w:lineRule="auto"/>
        <w:jc w:val="center"/>
        <w:rPr>
          <w:b/>
          <w:sz w:val="28"/>
          <w:szCs w:val="28"/>
          <w:lang w:val="uk-UA"/>
        </w:rPr>
      </w:pPr>
      <w:r>
        <w:rPr>
          <w:sz w:val="28"/>
          <w:szCs w:val="28"/>
          <w:lang w:val="uk-UA"/>
        </w:rPr>
        <w:t xml:space="preserve">Порівняльна характеристика вікових показників, що характеризують темпи старіння, в досліджувальних групах пацієнтів залежно від вікової категорії </w:t>
      </w:r>
      <w:r>
        <w:rPr>
          <w:b/>
          <w:sz w:val="28"/>
          <w:szCs w:val="28"/>
        </w:rPr>
        <w:t>(</w:t>
      </w:r>
      <w:r>
        <w:rPr>
          <w:sz w:val="28"/>
          <w:szCs w:val="28"/>
          <w:lang w:val="en-US"/>
        </w:rPr>
        <w:t>M</w:t>
      </w:r>
      <w:r>
        <w:rPr>
          <w:sz w:val="28"/>
          <w:szCs w:val="28"/>
        </w:rPr>
        <w:t>±</w:t>
      </w:r>
      <w:r>
        <w:rPr>
          <w:sz w:val="28"/>
          <w:szCs w:val="28"/>
          <w:lang w:val="en-US"/>
        </w:rPr>
        <w:t>m</w:t>
      </w:r>
      <w:r>
        <w:rPr>
          <w:b/>
          <w:sz w:val="28"/>
          <w:szCs w:val="28"/>
          <w:lang w:val="uk-UA"/>
        </w:rPr>
        <w:t>)</w:t>
      </w:r>
    </w:p>
    <w:tbl>
      <w:tblPr>
        <w:tblW w:w="14601" w:type="dxa"/>
        <w:tblInd w:w="108" w:type="dxa"/>
        <w:tblLayout w:type="fixed"/>
        <w:tblLook w:val="04A0" w:firstRow="1" w:lastRow="0" w:firstColumn="1" w:lastColumn="0" w:noHBand="0" w:noVBand="1"/>
      </w:tblPr>
      <w:tblGrid>
        <w:gridCol w:w="4395"/>
        <w:gridCol w:w="1701"/>
        <w:gridCol w:w="1701"/>
        <w:gridCol w:w="1701"/>
        <w:gridCol w:w="1701"/>
        <w:gridCol w:w="1701"/>
        <w:gridCol w:w="1701"/>
      </w:tblGrid>
      <w:tr w:rsidR="00E3259F" w:rsidRPr="00A02531" w:rsidTr="00A02531">
        <w:trPr>
          <w:trHeight w:val="878"/>
        </w:trPr>
        <w:tc>
          <w:tcPr>
            <w:tcW w:w="4395" w:type="dxa"/>
            <w:vMerge w:val="restart"/>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color w:val="000000"/>
                <w:lang w:eastAsia="en-US"/>
              </w:rPr>
            </w:pPr>
            <w:r w:rsidRPr="00A02531">
              <w:rPr>
                <w:color w:val="000000"/>
                <w:lang w:val="uk-UA" w:eastAsia="en-US"/>
              </w:rPr>
              <w:t>Показник/підгрупа</w:t>
            </w:r>
          </w:p>
        </w:tc>
        <w:tc>
          <w:tcPr>
            <w:tcW w:w="3402" w:type="dxa"/>
            <w:gridSpan w:val="2"/>
            <w:tcBorders>
              <w:top w:val="single" w:sz="4" w:space="0" w:color="auto"/>
              <w:left w:val="single" w:sz="4" w:space="0" w:color="auto"/>
              <w:bottom w:val="single" w:sz="4" w:space="0" w:color="auto"/>
              <w:right w:val="single" w:sz="4" w:space="0" w:color="auto"/>
            </w:tcBorders>
            <w:hideMark/>
          </w:tcPr>
          <w:p w:rsidR="00E3259F" w:rsidRPr="00A02531" w:rsidRDefault="00E3259F">
            <w:pPr>
              <w:pStyle w:val="1"/>
              <w:spacing w:before="0" w:beforeAutospacing="0" w:after="0" w:afterAutospacing="0" w:line="312" w:lineRule="auto"/>
              <w:jc w:val="center"/>
              <w:rPr>
                <w:b w:val="0"/>
                <w:sz w:val="24"/>
                <w:szCs w:val="24"/>
                <w:lang w:val="en-US" w:eastAsia="en-US"/>
              </w:rPr>
            </w:pPr>
            <w:r w:rsidRPr="00A02531">
              <w:rPr>
                <w:b w:val="0"/>
                <w:sz w:val="24"/>
                <w:szCs w:val="24"/>
                <w:lang w:val="uk-UA" w:eastAsia="en-US"/>
              </w:rPr>
              <w:t>Група 1</w:t>
            </w:r>
          </w:p>
          <w:p w:rsidR="00E3259F" w:rsidRPr="00A02531" w:rsidRDefault="00E3259F">
            <w:pPr>
              <w:pStyle w:val="1"/>
              <w:spacing w:before="0" w:beforeAutospacing="0" w:after="0" w:afterAutospacing="0" w:line="312" w:lineRule="auto"/>
              <w:jc w:val="center"/>
              <w:rPr>
                <w:b w:val="0"/>
                <w:sz w:val="24"/>
                <w:szCs w:val="24"/>
                <w:lang w:val="en-US" w:eastAsia="en-US"/>
              </w:rPr>
            </w:pPr>
            <w:r w:rsidRPr="00A02531">
              <w:rPr>
                <w:b w:val="0"/>
                <w:sz w:val="24"/>
                <w:szCs w:val="24"/>
                <w:lang w:val="en-US" w:eastAsia="en-US"/>
              </w:rPr>
              <w:t>(n=</w:t>
            </w:r>
            <w:r w:rsidRPr="00A02531">
              <w:rPr>
                <w:b w:val="0"/>
                <w:sz w:val="24"/>
                <w:szCs w:val="24"/>
                <w:lang w:val="uk-UA" w:eastAsia="en-US"/>
              </w:rPr>
              <w:t>106</w:t>
            </w:r>
            <w:r w:rsidRPr="00A02531">
              <w:rPr>
                <w:b w:val="0"/>
                <w:sz w:val="24"/>
                <w:szCs w:val="24"/>
                <w:lang w:val="en-US" w:eastAsia="en-US"/>
              </w:rPr>
              <w:t>)</w:t>
            </w:r>
          </w:p>
        </w:tc>
        <w:tc>
          <w:tcPr>
            <w:tcW w:w="3402" w:type="dxa"/>
            <w:gridSpan w:val="2"/>
            <w:tcBorders>
              <w:top w:val="single" w:sz="4" w:space="0" w:color="auto"/>
              <w:left w:val="single" w:sz="4" w:space="0" w:color="auto"/>
              <w:bottom w:val="single" w:sz="4" w:space="0" w:color="auto"/>
              <w:right w:val="single" w:sz="4" w:space="0" w:color="auto"/>
            </w:tcBorders>
            <w:hideMark/>
          </w:tcPr>
          <w:p w:rsidR="00E3259F" w:rsidRPr="00A02531" w:rsidRDefault="00E3259F">
            <w:pPr>
              <w:pStyle w:val="1"/>
              <w:spacing w:before="0" w:beforeAutospacing="0" w:after="0" w:afterAutospacing="0" w:line="312" w:lineRule="auto"/>
              <w:jc w:val="center"/>
              <w:rPr>
                <w:b w:val="0"/>
                <w:sz w:val="24"/>
                <w:szCs w:val="24"/>
                <w:lang w:val="en-US" w:eastAsia="en-US"/>
              </w:rPr>
            </w:pPr>
            <w:r w:rsidRPr="00A02531">
              <w:rPr>
                <w:b w:val="0"/>
                <w:sz w:val="24"/>
                <w:szCs w:val="24"/>
                <w:lang w:val="uk-UA" w:eastAsia="en-US"/>
              </w:rPr>
              <w:t>Група 2</w:t>
            </w:r>
          </w:p>
          <w:p w:rsidR="00E3259F" w:rsidRPr="00A02531" w:rsidRDefault="00E3259F">
            <w:pPr>
              <w:pStyle w:val="1"/>
              <w:spacing w:before="0" w:beforeAutospacing="0" w:after="0" w:afterAutospacing="0" w:line="312" w:lineRule="auto"/>
              <w:jc w:val="center"/>
              <w:rPr>
                <w:b w:val="0"/>
                <w:sz w:val="24"/>
                <w:szCs w:val="24"/>
                <w:lang w:val="en-US" w:eastAsia="en-US"/>
              </w:rPr>
            </w:pPr>
            <w:r w:rsidRPr="00A02531">
              <w:rPr>
                <w:b w:val="0"/>
                <w:sz w:val="24"/>
                <w:szCs w:val="24"/>
                <w:lang w:val="en-US" w:eastAsia="en-US"/>
              </w:rPr>
              <w:t>(n=</w:t>
            </w:r>
            <w:r w:rsidRPr="00A02531">
              <w:rPr>
                <w:b w:val="0"/>
                <w:sz w:val="24"/>
                <w:szCs w:val="24"/>
                <w:lang w:val="uk-UA" w:eastAsia="en-US"/>
              </w:rPr>
              <w:t>15</w:t>
            </w:r>
            <w:r w:rsidRPr="00A02531">
              <w:rPr>
                <w:b w:val="0"/>
                <w:sz w:val="24"/>
                <w:szCs w:val="24"/>
                <w:lang w:val="en-US" w:eastAsia="en-US"/>
              </w:rPr>
              <w:t>6)</w:t>
            </w:r>
          </w:p>
        </w:tc>
        <w:tc>
          <w:tcPr>
            <w:tcW w:w="3402" w:type="dxa"/>
            <w:gridSpan w:val="2"/>
            <w:tcBorders>
              <w:top w:val="single" w:sz="4" w:space="0" w:color="auto"/>
              <w:left w:val="single" w:sz="4" w:space="0" w:color="auto"/>
              <w:bottom w:val="single" w:sz="4" w:space="0" w:color="auto"/>
              <w:right w:val="single" w:sz="4" w:space="0" w:color="auto"/>
            </w:tcBorders>
            <w:hideMark/>
          </w:tcPr>
          <w:p w:rsidR="00E3259F" w:rsidRPr="00A02531" w:rsidRDefault="00E3259F">
            <w:pPr>
              <w:pStyle w:val="1"/>
              <w:spacing w:before="0" w:beforeAutospacing="0" w:after="0" w:afterAutospacing="0" w:line="312" w:lineRule="auto"/>
              <w:jc w:val="center"/>
              <w:rPr>
                <w:b w:val="0"/>
                <w:sz w:val="24"/>
                <w:szCs w:val="24"/>
                <w:lang w:eastAsia="en-US"/>
              </w:rPr>
            </w:pPr>
            <w:r w:rsidRPr="00A02531">
              <w:rPr>
                <w:b w:val="0"/>
                <w:sz w:val="24"/>
                <w:szCs w:val="24"/>
                <w:lang w:val="uk-UA" w:eastAsia="en-US"/>
              </w:rPr>
              <w:t>Група 3</w:t>
            </w:r>
          </w:p>
          <w:p w:rsidR="00E3259F" w:rsidRPr="00A02531" w:rsidRDefault="00E3259F">
            <w:pPr>
              <w:pStyle w:val="1"/>
              <w:spacing w:before="0" w:beforeAutospacing="0" w:after="0" w:afterAutospacing="0" w:line="312" w:lineRule="auto"/>
              <w:jc w:val="center"/>
              <w:rPr>
                <w:b w:val="0"/>
                <w:sz w:val="24"/>
                <w:szCs w:val="24"/>
                <w:lang w:eastAsia="en-US"/>
              </w:rPr>
            </w:pPr>
            <w:r w:rsidRPr="00A02531">
              <w:rPr>
                <w:b w:val="0"/>
                <w:sz w:val="24"/>
                <w:szCs w:val="24"/>
                <w:lang w:eastAsia="en-US"/>
              </w:rPr>
              <w:t>(</w:t>
            </w:r>
            <w:r w:rsidRPr="00A02531">
              <w:rPr>
                <w:b w:val="0"/>
                <w:sz w:val="24"/>
                <w:szCs w:val="24"/>
                <w:lang w:val="en-US" w:eastAsia="en-US"/>
              </w:rPr>
              <w:t>n</w:t>
            </w:r>
            <w:r w:rsidRPr="00A02531">
              <w:rPr>
                <w:b w:val="0"/>
                <w:sz w:val="24"/>
                <w:szCs w:val="24"/>
                <w:lang w:eastAsia="en-US"/>
              </w:rPr>
              <w:t>=</w:t>
            </w:r>
            <w:r w:rsidRPr="00A02531">
              <w:rPr>
                <w:b w:val="0"/>
                <w:sz w:val="24"/>
                <w:szCs w:val="24"/>
                <w:lang w:val="uk-UA" w:eastAsia="en-US"/>
              </w:rPr>
              <w:t>93</w:t>
            </w:r>
            <w:r w:rsidRPr="00A02531">
              <w:rPr>
                <w:b w:val="0"/>
                <w:sz w:val="24"/>
                <w:szCs w:val="24"/>
                <w:lang w:eastAsia="en-US"/>
              </w:rPr>
              <w:t>)</w:t>
            </w:r>
          </w:p>
        </w:tc>
      </w:tr>
      <w:tr w:rsidR="00435807" w:rsidRPr="00A02531" w:rsidTr="00A02531">
        <w:tc>
          <w:tcPr>
            <w:tcW w:w="4395" w:type="dxa"/>
            <w:vMerge/>
            <w:tcBorders>
              <w:top w:val="single" w:sz="4" w:space="0" w:color="auto"/>
              <w:left w:val="single" w:sz="4" w:space="0" w:color="auto"/>
              <w:bottom w:val="single" w:sz="4" w:space="0" w:color="auto"/>
              <w:right w:val="single" w:sz="4" w:space="0" w:color="auto"/>
            </w:tcBorders>
            <w:vAlign w:val="center"/>
            <w:hideMark/>
          </w:tcPr>
          <w:p w:rsidR="00E3259F" w:rsidRPr="00A02531" w:rsidRDefault="00E3259F">
            <w:pPr>
              <w:rPr>
                <w:color w:val="000000"/>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Підгрупа 1-І</w:t>
            </w:r>
          </w:p>
          <w:p w:rsidR="00E3259F" w:rsidRPr="00A02531" w:rsidRDefault="00E3259F">
            <w:pPr>
              <w:spacing w:line="312" w:lineRule="auto"/>
              <w:rPr>
                <w:color w:val="000000"/>
                <w:lang w:eastAsia="en-US"/>
              </w:rPr>
            </w:pPr>
            <w:r w:rsidRPr="00A02531">
              <w:rPr>
                <w:lang w:val="uk-UA" w:eastAsia="en-US"/>
              </w:rPr>
              <w:t>(</w:t>
            </w:r>
            <w:r w:rsidRPr="00A02531">
              <w:rPr>
                <w:lang w:val="en-US" w:eastAsia="en-US"/>
              </w:rPr>
              <w:t>n</w:t>
            </w:r>
            <w:r w:rsidRPr="00A02531">
              <w:rPr>
                <w:lang w:eastAsia="en-US"/>
              </w:rPr>
              <w:t>=</w:t>
            </w:r>
            <w:r w:rsidRPr="00A02531">
              <w:rPr>
                <w:lang w:val="uk-UA" w:eastAsia="en-US"/>
              </w:rPr>
              <w:t>49</w:t>
            </w:r>
            <w:r w:rsidRPr="00A02531">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Підгрупа 1-ІІ</w:t>
            </w:r>
          </w:p>
          <w:p w:rsidR="00E3259F" w:rsidRPr="00A02531" w:rsidRDefault="00E3259F">
            <w:pPr>
              <w:spacing w:line="312" w:lineRule="auto"/>
              <w:rPr>
                <w:color w:val="000000"/>
                <w:lang w:eastAsia="en-US"/>
              </w:rPr>
            </w:pPr>
            <w:r w:rsidRPr="00A02531">
              <w:rPr>
                <w:lang w:val="uk-UA" w:eastAsia="en-US"/>
              </w:rPr>
              <w:t xml:space="preserve">( </w:t>
            </w:r>
            <w:r w:rsidRPr="00A02531">
              <w:rPr>
                <w:lang w:val="en-US" w:eastAsia="en-US"/>
              </w:rPr>
              <w:t>n</w:t>
            </w:r>
            <w:r w:rsidRPr="00A02531">
              <w:rPr>
                <w:lang w:eastAsia="en-US"/>
              </w:rPr>
              <w:t>=</w:t>
            </w:r>
            <w:r w:rsidRPr="00A02531">
              <w:rPr>
                <w:lang w:val="uk-UA" w:eastAsia="en-US"/>
              </w:rPr>
              <w:t>57</w:t>
            </w:r>
            <w:r w:rsidRPr="00A02531">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Підгрупа 2-І</w:t>
            </w:r>
          </w:p>
          <w:p w:rsidR="00E3259F" w:rsidRPr="00A02531" w:rsidRDefault="00E3259F">
            <w:pPr>
              <w:spacing w:line="312" w:lineRule="auto"/>
              <w:rPr>
                <w:color w:val="000000"/>
                <w:lang w:eastAsia="en-US"/>
              </w:rPr>
            </w:pPr>
            <w:r w:rsidRPr="00A02531">
              <w:rPr>
                <w:lang w:val="uk-UA" w:eastAsia="en-US"/>
              </w:rPr>
              <w:t xml:space="preserve">( </w:t>
            </w:r>
            <w:r w:rsidRPr="00A02531">
              <w:rPr>
                <w:lang w:val="en-US" w:eastAsia="en-US"/>
              </w:rPr>
              <w:t>n</w:t>
            </w:r>
            <w:r w:rsidRPr="00A02531">
              <w:rPr>
                <w:lang w:eastAsia="en-US"/>
              </w:rPr>
              <w:t>=</w:t>
            </w:r>
            <w:r w:rsidRPr="00A02531">
              <w:rPr>
                <w:lang w:val="uk-UA" w:eastAsia="en-US"/>
              </w:rPr>
              <w:t>56</w:t>
            </w:r>
            <w:r w:rsidRPr="00A02531">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Підгрупа 2-ІІ</w:t>
            </w:r>
          </w:p>
          <w:p w:rsidR="00E3259F" w:rsidRPr="00A02531" w:rsidRDefault="00E3259F">
            <w:pPr>
              <w:spacing w:line="312" w:lineRule="auto"/>
              <w:rPr>
                <w:color w:val="000000"/>
                <w:lang w:eastAsia="en-US"/>
              </w:rPr>
            </w:pPr>
            <w:r w:rsidRPr="00A02531">
              <w:rPr>
                <w:lang w:val="uk-UA" w:eastAsia="en-US"/>
              </w:rPr>
              <w:t>(</w:t>
            </w:r>
            <w:r w:rsidRPr="00A02531">
              <w:rPr>
                <w:lang w:val="en-US" w:eastAsia="en-US"/>
              </w:rPr>
              <w:t>n</w:t>
            </w:r>
            <w:r w:rsidRPr="00A02531">
              <w:rPr>
                <w:lang w:eastAsia="en-US"/>
              </w:rPr>
              <w:t>=</w:t>
            </w:r>
            <w:r w:rsidRPr="00A02531">
              <w:rPr>
                <w:lang w:val="uk-UA" w:eastAsia="en-US"/>
              </w:rPr>
              <w:t>100</w:t>
            </w:r>
            <w:r w:rsidRPr="00A02531">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Підгрупа 3-І</w:t>
            </w:r>
          </w:p>
          <w:p w:rsidR="00E3259F" w:rsidRPr="00A02531" w:rsidRDefault="00E3259F">
            <w:pPr>
              <w:spacing w:line="312" w:lineRule="auto"/>
              <w:rPr>
                <w:color w:val="000000"/>
                <w:lang w:eastAsia="en-US"/>
              </w:rPr>
            </w:pPr>
            <w:r w:rsidRPr="00A02531">
              <w:rPr>
                <w:lang w:val="uk-UA" w:eastAsia="en-US"/>
              </w:rPr>
              <w:t>(</w:t>
            </w:r>
            <w:r w:rsidRPr="00A02531">
              <w:rPr>
                <w:lang w:val="en-US" w:eastAsia="en-US"/>
              </w:rPr>
              <w:t>n</w:t>
            </w:r>
            <w:r w:rsidRPr="00A02531">
              <w:rPr>
                <w:lang w:eastAsia="en-US"/>
              </w:rPr>
              <w:t>=</w:t>
            </w:r>
            <w:r w:rsidRPr="00A02531">
              <w:rPr>
                <w:lang w:val="uk-UA" w:eastAsia="en-US"/>
              </w:rPr>
              <w:t>37</w:t>
            </w:r>
            <w:r w:rsidRPr="00A02531">
              <w:rPr>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Підгрупа 3-ІІ</w:t>
            </w:r>
          </w:p>
          <w:p w:rsidR="00E3259F" w:rsidRPr="00A02531" w:rsidRDefault="00E3259F">
            <w:pPr>
              <w:spacing w:line="312" w:lineRule="auto"/>
              <w:rPr>
                <w:color w:val="000000"/>
                <w:lang w:eastAsia="en-US"/>
              </w:rPr>
            </w:pPr>
            <w:r w:rsidRPr="00A02531">
              <w:rPr>
                <w:lang w:val="uk-UA" w:eastAsia="en-US"/>
              </w:rPr>
              <w:t>(</w:t>
            </w:r>
            <w:r w:rsidRPr="00A02531">
              <w:rPr>
                <w:lang w:val="en-US" w:eastAsia="en-US"/>
              </w:rPr>
              <w:t>n</w:t>
            </w:r>
            <w:r w:rsidRPr="00A02531">
              <w:rPr>
                <w:lang w:eastAsia="en-US"/>
              </w:rPr>
              <w:t>=</w:t>
            </w:r>
            <w:r w:rsidRPr="00A02531">
              <w:rPr>
                <w:lang w:val="uk-UA" w:eastAsia="en-US"/>
              </w:rPr>
              <w:t>56</w:t>
            </w:r>
            <w:r w:rsidRPr="00A02531">
              <w:rPr>
                <w:lang w:eastAsia="en-US"/>
              </w:rPr>
              <w:t>)</w:t>
            </w:r>
          </w:p>
        </w:tc>
      </w:tr>
      <w:tr w:rsidR="00435807" w:rsidRPr="00A02531" w:rsidTr="00A02531">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color w:val="000000"/>
                <w:lang w:val="uk-UA" w:eastAsia="en-US"/>
              </w:rPr>
            </w:pPr>
            <w:r w:rsidRPr="00A02531">
              <w:rPr>
                <w:color w:val="000000"/>
                <w:lang w:val="uk-UA" w:eastAsia="en-US"/>
              </w:rPr>
              <w:t>Вік, років</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eastAsia="en-US"/>
              </w:rPr>
            </w:pPr>
            <w:r w:rsidRPr="00A02531">
              <w:rPr>
                <w:lang w:eastAsia="en-US"/>
              </w:rPr>
              <w:t>5</w:t>
            </w:r>
            <w:r w:rsidRPr="00A02531">
              <w:rPr>
                <w:lang w:val="uk-UA" w:eastAsia="en-US"/>
              </w:rPr>
              <w:t>3</w:t>
            </w:r>
            <w:r w:rsidRPr="00A02531">
              <w:rPr>
                <w:lang w:eastAsia="en-US"/>
              </w:rPr>
              <w:t>,</w:t>
            </w:r>
            <w:r w:rsidRPr="00A02531">
              <w:rPr>
                <w:lang w:val="uk-UA" w:eastAsia="en-US"/>
              </w:rPr>
              <w:t>02</w:t>
            </w:r>
            <w:r w:rsidRPr="00A02531">
              <w:rPr>
                <w:lang w:eastAsia="en-US"/>
              </w:rPr>
              <w:t>±</w:t>
            </w:r>
            <w:r w:rsidRPr="00A02531">
              <w:rPr>
                <w:lang w:val="uk-UA" w:eastAsia="en-US"/>
              </w:rPr>
              <w:t>0</w:t>
            </w:r>
            <w:r w:rsidRPr="00A02531">
              <w:rPr>
                <w:lang w:eastAsia="en-US"/>
              </w:rPr>
              <w:t>,</w:t>
            </w:r>
            <w:r w:rsidRPr="00A02531">
              <w:rPr>
                <w:lang w:val="uk-UA" w:eastAsia="en-US"/>
              </w:rPr>
              <w:t>74</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6</w:t>
            </w:r>
            <w:r w:rsidRPr="00A02531">
              <w:rPr>
                <w:lang w:val="uk-UA" w:eastAsia="en-US"/>
              </w:rPr>
              <w:t>6</w:t>
            </w:r>
            <w:r w:rsidRPr="00A02531">
              <w:rPr>
                <w:lang w:eastAsia="en-US"/>
              </w:rPr>
              <w:t>,</w:t>
            </w:r>
            <w:r w:rsidRPr="00A02531">
              <w:rPr>
                <w:lang w:val="uk-UA" w:eastAsia="en-US"/>
              </w:rPr>
              <w:t>54</w:t>
            </w:r>
            <w:r w:rsidRPr="00A02531">
              <w:rPr>
                <w:lang w:eastAsia="en-US"/>
              </w:rPr>
              <w:t>±0,</w:t>
            </w:r>
            <w:r w:rsidRPr="00A02531">
              <w:rPr>
                <w:lang w:val="uk-UA" w:eastAsia="en-US"/>
              </w:rPr>
              <w:t>49</w:t>
            </w:r>
          </w:p>
          <w:p w:rsidR="00E3259F" w:rsidRPr="00A02531" w:rsidRDefault="00E3259F">
            <w:pPr>
              <w:spacing w:line="312" w:lineRule="auto"/>
              <w:rPr>
                <w:lang w:val="uk-UA"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w:t>
            </w:r>
            <w:r w:rsidRPr="00A02531">
              <w:rPr>
                <w:lang w:val="uk-UA" w:eastAsia="en-US"/>
              </w:rPr>
              <w:t>6</w:t>
            </w:r>
            <w:r w:rsidRPr="00A02531">
              <w:rPr>
                <w:lang w:eastAsia="en-US"/>
              </w:rPr>
              <w:t>,</w:t>
            </w:r>
            <w:r w:rsidRPr="00A02531">
              <w:rPr>
                <w:lang w:val="uk-UA" w:eastAsia="en-US"/>
              </w:rPr>
              <w:t>64</w:t>
            </w:r>
            <w:r w:rsidRPr="00A02531">
              <w:rPr>
                <w:lang w:eastAsia="en-US"/>
              </w:rPr>
              <w:t>±1,0</w:t>
            </w:r>
            <w:r w:rsidRPr="00A02531">
              <w:rPr>
                <w:lang w:val="uk-UA" w:eastAsia="en-US"/>
              </w:rPr>
              <w:t>0</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6</w:t>
            </w:r>
            <w:r w:rsidRPr="00A02531">
              <w:rPr>
                <w:lang w:val="uk-UA" w:eastAsia="en-US"/>
              </w:rPr>
              <w:t>5</w:t>
            </w:r>
            <w:r w:rsidRPr="00A02531">
              <w:rPr>
                <w:lang w:eastAsia="en-US"/>
              </w:rPr>
              <w:t>,</w:t>
            </w:r>
            <w:r w:rsidRPr="00A02531">
              <w:rPr>
                <w:lang w:val="uk-UA" w:eastAsia="en-US"/>
              </w:rPr>
              <w:t>17</w:t>
            </w:r>
            <w:r w:rsidRPr="00A02531">
              <w:rPr>
                <w:lang w:eastAsia="en-US"/>
              </w:rPr>
              <w:t>±0,</w:t>
            </w:r>
            <w:r w:rsidRPr="00A02531">
              <w:rPr>
                <w:lang w:val="uk-UA" w:eastAsia="en-US"/>
              </w:rPr>
              <w:t>67</w:t>
            </w:r>
          </w:p>
          <w:p w:rsidR="00E3259F" w:rsidRPr="00A02531" w:rsidRDefault="00E3259F">
            <w:pPr>
              <w:spacing w:line="312" w:lineRule="auto"/>
              <w:rPr>
                <w:lang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eastAsia="en-US"/>
              </w:rPr>
            </w:pPr>
            <w:r w:rsidRPr="00A02531">
              <w:rPr>
                <w:lang w:eastAsia="en-US"/>
              </w:rPr>
              <w:t>52,8</w:t>
            </w:r>
            <w:r w:rsidRPr="00A02531">
              <w:rPr>
                <w:lang w:val="uk-UA" w:eastAsia="en-US"/>
              </w:rPr>
              <w:t>9</w:t>
            </w:r>
            <w:r w:rsidRPr="00A02531">
              <w:rPr>
                <w:lang w:eastAsia="en-US"/>
              </w:rPr>
              <w:t>±</w:t>
            </w:r>
            <w:r w:rsidRPr="00A02531">
              <w:rPr>
                <w:lang w:val="uk-UA" w:eastAsia="en-US"/>
              </w:rPr>
              <w:t>0</w:t>
            </w:r>
            <w:r w:rsidRPr="00A02531">
              <w:rPr>
                <w:lang w:eastAsia="en-US"/>
              </w:rPr>
              <w:t>,</w:t>
            </w:r>
            <w:r w:rsidRPr="00A02531">
              <w:rPr>
                <w:lang w:val="uk-UA" w:eastAsia="en-US"/>
              </w:rPr>
              <w:t>79</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67,</w:t>
            </w:r>
            <w:r w:rsidRPr="00A02531">
              <w:rPr>
                <w:lang w:val="uk-UA" w:eastAsia="en-US"/>
              </w:rPr>
              <w:t>54</w:t>
            </w:r>
            <w:r w:rsidRPr="00A02531">
              <w:rPr>
                <w:lang w:eastAsia="en-US"/>
              </w:rPr>
              <w:t>±0,5</w:t>
            </w:r>
            <w:r w:rsidRPr="00A02531">
              <w:rPr>
                <w:lang w:val="uk-UA" w:eastAsia="en-US"/>
              </w:rPr>
              <w:t>4</w:t>
            </w:r>
          </w:p>
          <w:p w:rsidR="00E3259F" w:rsidRPr="00A02531" w:rsidRDefault="00E3259F">
            <w:pPr>
              <w:spacing w:line="312" w:lineRule="auto"/>
              <w:rPr>
                <w:lang w:val="uk-UA" w:eastAsia="en-US"/>
              </w:rPr>
            </w:pPr>
            <w:r w:rsidRPr="00A02531">
              <w:rPr>
                <w:lang w:val="uk-UA" w:eastAsia="en-US"/>
              </w:rPr>
              <w:t>р=0,001</w:t>
            </w:r>
          </w:p>
        </w:tc>
      </w:tr>
      <w:tr w:rsidR="00435807" w:rsidRPr="00A02531" w:rsidTr="00A02531">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jc w:val="both"/>
              <w:rPr>
                <w:lang w:val="uk-UA" w:eastAsia="en-US"/>
              </w:rPr>
            </w:pPr>
            <w:r w:rsidRPr="00A02531">
              <w:rPr>
                <w:lang w:eastAsia="en-US"/>
              </w:rPr>
              <w:t>БВ</w:t>
            </w:r>
            <w:r w:rsidRPr="00A02531">
              <w:rPr>
                <w:lang w:val="uk-UA" w:eastAsia="en-US"/>
              </w:rPr>
              <w:t>, років</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53,53±2,0</w:t>
            </w:r>
            <w:r w:rsidRPr="00A02531">
              <w:rPr>
                <w:lang w:val="uk-UA" w:eastAsia="en-US"/>
              </w:rPr>
              <w:t>9</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51,98±1,</w:t>
            </w:r>
            <w:r w:rsidRPr="00A02531">
              <w:rPr>
                <w:lang w:val="uk-UA" w:eastAsia="en-US"/>
              </w:rPr>
              <w:t>40</w:t>
            </w:r>
          </w:p>
          <w:p w:rsidR="00E3259F" w:rsidRPr="00A02531" w:rsidRDefault="00E3259F">
            <w:pPr>
              <w:spacing w:line="312" w:lineRule="auto"/>
              <w:rPr>
                <w:lang w:val="uk-UA" w:eastAsia="en-US"/>
              </w:rPr>
            </w:pPr>
            <w:r w:rsidRPr="00A02531">
              <w:rPr>
                <w:lang w:val="uk-UA" w:eastAsia="en-US"/>
              </w:rPr>
              <w:t>р &gt;0,05</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60,</w:t>
            </w:r>
            <w:r w:rsidRPr="00A02531">
              <w:rPr>
                <w:lang w:val="uk-UA" w:eastAsia="en-US"/>
              </w:rPr>
              <w:t>80</w:t>
            </w:r>
            <w:r w:rsidRPr="00A02531">
              <w:rPr>
                <w:lang w:eastAsia="en-US"/>
              </w:rPr>
              <w:t>±</w:t>
            </w:r>
            <w:r w:rsidRPr="00A02531">
              <w:rPr>
                <w:lang w:val="uk-UA" w:eastAsia="en-US"/>
              </w:rPr>
              <w:t>0</w:t>
            </w:r>
            <w:r w:rsidRPr="00A02531">
              <w:rPr>
                <w:lang w:eastAsia="en-US"/>
              </w:rPr>
              <w:t>,8</w:t>
            </w:r>
            <w:r w:rsidRPr="00A02531">
              <w:rPr>
                <w:lang w:val="uk-UA" w:eastAsia="en-US"/>
              </w:rPr>
              <w:t>8</w:t>
            </w:r>
          </w:p>
          <w:p w:rsidR="00E3259F" w:rsidRPr="00A02531" w:rsidRDefault="00E3259F">
            <w:pPr>
              <w:spacing w:line="312" w:lineRule="auto"/>
              <w:rPr>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55,8</w:t>
            </w:r>
            <w:r w:rsidRPr="00A02531">
              <w:rPr>
                <w:lang w:val="uk-UA" w:eastAsia="en-US"/>
              </w:rPr>
              <w:t>1</w:t>
            </w:r>
            <w:r w:rsidRPr="00A02531">
              <w:rPr>
                <w:lang w:eastAsia="en-US"/>
              </w:rPr>
              <w:t>±</w:t>
            </w:r>
            <w:r w:rsidRPr="00A02531">
              <w:rPr>
                <w:lang w:val="uk-UA" w:eastAsia="en-US"/>
              </w:rPr>
              <w:t>0</w:t>
            </w:r>
            <w:r w:rsidRPr="00A02531">
              <w:rPr>
                <w:lang w:eastAsia="en-US"/>
              </w:rPr>
              <w:t>,7</w:t>
            </w:r>
            <w:r w:rsidRPr="00A02531">
              <w:rPr>
                <w:lang w:val="uk-UA" w:eastAsia="en-US"/>
              </w:rPr>
              <w:t>4</w:t>
            </w:r>
          </w:p>
          <w:p w:rsidR="00E3259F" w:rsidRPr="00A02531" w:rsidRDefault="00E3259F">
            <w:pPr>
              <w:spacing w:line="312" w:lineRule="auto"/>
              <w:rPr>
                <w:lang w:val="uk-UA"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55,0</w:t>
            </w:r>
            <w:r w:rsidRPr="00A02531">
              <w:rPr>
                <w:lang w:val="uk-UA" w:eastAsia="en-US"/>
              </w:rPr>
              <w:t>6</w:t>
            </w:r>
            <w:r w:rsidRPr="00A02531">
              <w:rPr>
                <w:lang w:eastAsia="en-US"/>
              </w:rPr>
              <w:t>±1,89</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55,4</w:t>
            </w:r>
            <w:r w:rsidRPr="00A02531">
              <w:rPr>
                <w:lang w:val="uk-UA" w:eastAsia="en-US"/>
              </w:rPr>
              <w:t>1</w:t>
            </w:r>
            <w:r w:rsidRPr="00A02531">
              <w:rPr>
                <w:lang w:eastAsia="en-US"/>
              </w:rPr>
              <w:t>±1,02</w:t>
            </w:r>
          </w:p>
          <w:p w:rsidR="00E3259F" w:rsidRPr="00A02531" w:rsidRDefault="00E3259F">
            <w:pPr>
              <w:spacing w:line="312" w:lineRule="auto"/>
              <w:rPr>
                <w:lang w:val="uk-UA" w:eastAsia="en-US"/>
              </w:rPr>
            </w:pPr>
            <w:r w:rsidRPr="00A02531">
              <w:rPr>
                <w:lang w:val="uk-UA" w:eastAsia="en-US"/>
              </w:rPr>
              <w:t>р &gt;0,05</w:t>
            </w:r>
          </w:p>
        </w:tc>
      </w:tr>
      <w:tr w:rsidR="00435807" w:rsidRPr="00A02531" w:rsidTr="00A02531">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jc w:val="both"/>
              <w:rPr>
                <w:lang w:val="uk-UA" w:eastAsia="en-US"/>
              </w:rPr>
            </w:pPr>
            <w:r w:rsidRPr="00A02531">
              <w:rPr>
                <w:lang w:val="uk-UA" w:eastAsia="en-US"/>
              </w:rPr>
              <w:t>Н</w:t>
            </w:r>
            <w:r w:rsidRPr="00A02531">
              <w:rPr>
                <w:lang w:eastAsia="en-US"/>
              </w:rPr>
              <w:t>БВ</w:t>
            </w:r>
            <w:r w:rsidRPr="00A02531">
              <w:rPr>
                <w:lang w:val="uk-UA" w:eastAsia="en-US"/>
              </w:rPr>
              <w:t>, років</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47,</w:t>
            </w:r>
            <w:r w:rsidRPr="00A02531">
              <w:rPr>
                <w:lang w:val="uk-UA" w:eastAsia="en-US"/>
              </w:rPr>
              <w:t>80</w:t>
            </w:r>
            <w:r w:rsidRPr="00A02531">
              <w:rPr>
                <w:lang w:eastAsia="en-US"/>
              </w:rPr>
              <w:t>±1,03</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56,26±</w:t>
            </w:r>
            <w:r w:rsidRPr="00A02531">
              <w:rPr>
                <w:lang w:val="uk-UA" w:eastAsia="en-US"/>
              </w:rPr>
              <w:t>0</w:t>
            </w:r>
            <w:r w:rsidRPr="00A02531">
              <w:rPr>
                <w:lang w:eastAsia="en-US"/>
              </w:rPr>
              <w:t>,</w:t>
            </w:r>
            <w:r w:rsidRPr="00A02531">
              <w:rPr>
                <w:lang w:val="uk-UA" w:eastAsia="en-US"/>
              </w:rPr>
              <w:t>40</w:t>
            </w:r>
          </w:p>
          <w:p w:rsidR="00E3259F" w:rsidRPr="00A02531" w:rsidRDefault="00E3259F">
            <w:pPr>
              <w:spacing w:line="312" w:lineRule="auto"/>
              <w:rPr>
                <w:lang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51,32±</w:t>
            </w:r>
            <w:r w:rsidRPr="00A02531">
              <w:rPr>
                <w:lang w:val="uk-UA" w:eastAsia="en-US"/>
              </w:rPr>
              <w:t>0</w:t>
            </w:r>
            <w:r w:rsidRPr="00A02531">
              <w:rPr>
                <w:lang w:eastAsia="en-US"/>
              </w:rPr>
              <w:t>,3</w:t>
            </w:r>
            <w:r w:rsidRPr="00A02531">
              <w:rPr>
                <w:lang w:val="uk-UA" w:eastAsia="en-US"/>
              </w:rPr>
              <w:t>7</w:t>
            </w:r>
          </w:p>
          <w:p w:rsidR="00E3259F" w:rsidRPr="00A02531" w:rsidRDefault="00E3259F">
            <w:pPr>
              <w:spacing w:line="312" w:lineRule="auto"/>
              <w:rPr>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58,2</w:t>
            </w:r>
            <w:r w:rsidRPr="00A02531">
              <w:rPr>
                <w:lang w:val="uk-UA" w:eastAsia="en-US"/>
              </w:rPr>
              <w:t>4</w:t>
            </w:r>
            <w:r w:rsidRPr="00A02531">
              <w:rPr>
                <w:lang w:eastAsia="en-US"/>
              </w:rPr>
              <w:t>±</w:t>
            </w:r>
            <w:r w:rsidRPr="00A02531">
              <w:rPr>
                <w:lang w:val="uk-UA" w:eastAsia="en-US"/>
              </w:rPr>
              <w:t>0</w:t>
            </w:r>
            <w:r w:rsidRPr="00A02531">
              <w:rPr>
                <w:lang w:eastAsia="en-US"/>
              </w:rPr>
              <w:t>,3</w:t>
            </w:r>
            <w:r w:rsidRPr="00A02531">
              <w:rPr>
                <w:lang w:val="uk-UA" w:eastAsia="en-US"/>
              </w:rPr>
              <w:t>9</w:t>
            </w:r>
          </w:p>
          <w:p w:rsidR="00E3259F" w:rsidRPr="00A02531" w:rsidRDefault="00E3259F">
            <w:pPr>
              <w:spacing w:line="312" w:lineRule="auto"/>
              <w:rPr>
                <w:lang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48,12±</w:t>
            </w:r>
            <w:r w:rsidRPr="00A02531">
              <w:rPr>
                <w:lang w:val="uk-UA" w:eastAsia="en-US"/>
              </w:rPr>
              <w:t>0</w:t>
            </w:r>
            <w:r w:rsidRPr="00A02531">
              <w:rPr>
                <w:lang w:eastAsia="en-US"/>
              </w:rPr>
              <w:t>,6</w:t>
            </w:r>
            <w:r w:rsidRPr="00A02531">
              <w:rPr>
                <w:lang w:val="uk-UA" w:eastAsia="en-US"/>
              </w:rPr>
              <w:t>5</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56,6</w:t>
            </w:r>
            <w:r w:rsidRPr="00A02531">
              <w:rPr>
                <w:lang w:val="uk-UA" w:eastAsia="en-US"/>
              </w:rPr>
              <w:t>7</w:t>
            </w:r>
            <w:r w:rsidRPr="00A02531">
              <w:rPr>
                <w:lang w:eastAsia="en-US"/>
              </w:rPr>
              <w:t>±</w:t>
            </w:r>
            <w:r w:rsidRPr="00A02531">
              <w:rPr>
                <w:lang w:val="uk-UA" w:eastAsia="en-US"/>
              </w:rPr>
              <w:t>0</w:t>
            </w:r>
            <w:r w:rsidRPr="00A02531">
              <w:rPr>
                <w:lang w:eastAsia="en-US"/>
              </w:rPr>
              <w:t>,4</w:t>
            </w:r>
            <w:r w:rsidRPr="00A02531">
              <w:rPr>
                <w:lang w:val="uk-UA" w:eastAsia="en-US"/>
              </w:rPr>
              <w:t>2</w:t>
            </w:r>
          </w:p>
          <w:p w:rsidR="00E3259F" w:rsidRPr="00A02531" w:rsidRDefault="00E3259F">
            <w:pPr>
              <w:spacing w:line="312" w:lineRule="auto"/>
              <w:rPr>
                <w:lang w:val="uk-UA" w:eastAsia="en-US"/>
              </w:rPr>
            </w:pPr>
            <w:r w:rsidRPr="00A02531">
              <w:rPr>
                <w:lang w:val="uk-UA" w:eastAsia="en-US"/>
              </w:rPr>
              <w:t>р=0,001</w:t>
            </w:r>
          </w:p>
        </w:tc>
      </w:tr>
      <w:tr w:rsidR="00435807" w:rsidRPr="00A02531" w:rsidTr="00A02531">
        <w:trPr>
          <w:trHeight w:val="902"/>
        </w:trPr>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jc w:val="both"/>
              <w:rPr>
                <w:lang w:eastAsia="en-US"/>
              </w:rPr>
            </w:pPr>
            <w:r w:rsidRPr="00A02531">
              <w:rPr>
                <w:lang w:eastAsia="en-US"/>
              </w:rPr>
              <w:t>Ко</w:t>
            </w:r>
            <w:r w:rsidRPr="00A02531">
              <w:rPr>
                <w:lang w:val="uk-UA" w:eastAsia="en-US"/>
              </w:rPr>
              <w:t>еф.</w:t>
            </w:r>
            <w:r w:rsidRPr="00A02531">
              <w:rPr>
                <w:lang w:eastAsia="en-US"/>
              </w:rPr>
              <w:t>стар</w:t>
            </w:r>
            <w:r w:rsidRPr="00A02531">
              <w:rPr>
                <w:lang w:val="uk-UA" w:eastAsia="en-US"/>
              </w:rPr>
              <w:t xml:space="preserve">. </w:t>
            </w:r>
            <w:r w:rsidRPr="00A02531">
              <w:rPr>
                <w:lang w:eastAsia="en-US"/>
              </w:rPr>
              <w:t xml:space="preserve"> (БВ-КВ </w:t>
            </w:r>
            <w:r w:rsidRPr="00A02531">
              <w:rPr>
                <w:lang w:val="uk-UA" w:eastAsia="en-US"/>
              </w:rPr>
              <w:t>років</w:t>
            </w:r>
            <w:r w:rsidRPr="00A02531">
              <w:rPr>
                <w:lang w:eastAsia="en-US"/>
              </w:rPr>
              <w:t>)</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4,6</w:t>
            </w:r>
            <w:r w:rsidRPr="00A02531">
              <w:rPr>
                <w:lang w:val="uk-UA" w:eastAsia="en-US"/>
              </w:rPr>
              <w:t>6</w:t>
            </w:r>
            <w:r w:rsidRPr="00A02531">
              <w:rPr>
                <w:lang w:eastAsia="en-US"/>
              </w:rPr>
              <w:t>±2,96</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-14,95±1,39</w:t>
            </w:r>
          </w:p>
          <w:p w:rsidR="00E3259F" w:rsidRPr="00A02531" w:rsidRDefault="00E3259F">
            <w:pPr>
              <w:spacing w:line="312" w:lineRule="auto"/>
              <w:rPr>
                <w:lang w:val="uk-UA"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6,67±</w:t>
            </w:r>
            <w:r w:rsidRPr="00A02531">
              <w:rPr>
                <w:lang w:val="uk-UA" w:eastAsia="en-US"/>
              </w:rPr>
              <w:t>0</w:t>
            </w:r>
            <w:r w:rsidRPr="00A02531">
              <w:rPr>
                <w:lang w:eastAsia="en-US"/>
              </w:rPr>
              <w:t>,9</w:t>
            </w:r>
            <w:r w:rsidRPr="00A02531">
              <w:rPr>
                <w:lang w:val="uk-UA" w:eastAsia="en-US"/>
              </w:rPr>
              <w:t>7</w:t>
            </w:r>
          </w:p>
          <w:p w:rsidR="00E3259F" w:rsidRPr="00A02531" w:rsidRDefault="00E3259F">
            <w:pPr>
              <w:spacing w:line="312" w:lineRule="auto"/>
              <w:rPr>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-10,35±1,1</w:t>
            </w:r>
            <w:r w:rsidRPr="00A02531">
              <w:rPr>
                <w:lang w:val="uk-UA" w:eastAsia="en-US"/>
              </w:rPr>
              <w:t>1</w:t>
            </w:r>
          </w:p>
          <w:p w:rsidR="00E3259F" w:rsidRPr="00A02531" w:rsidRDefault="00E3259F">
            <w:pPr>
              <w:spacing w:line="312" w:lineRule="auto"/>
              <w:rPr>
                <w:lang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2,39±1,9</w:t>
            </w:r>
            <w:r w:rsidRPr="00A02531">
              <w:rPr>
                <w:lang w:val="uk-UA" w:eastAsia="en-US"/>
              </w:rPr>
              <w:t>9</w:t>
            </w:r>
          </w:p>
          <w:p w:rsidR="00E3259F" w:rsidRPr="00A02531" w:rsidRDefault="00E3259F">
            <w:pPr>
              <w:spacing w:line="312" w:lineRule="auto"/>
              <w:rPr>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-12,3</w:t>
            </w:r>
            <w:r w:rsidRPr="00A02531">
              <w:rPr>
                <w:lang w:val="uk-UA" w:eastAsia="en-US"/>
              </w:rPr>
              <w:t>2</w:t>
            </w:r>
            <w:r w:rsidRPr="00A02531">
              <w:rPr>
                <w:lang w:eastAsia="en-US"/>
              </w:rPr>
              <w:t>±1,19</w:t>
            </w:r>
          </w:p>
          <w:p w:rsidR="00E3259F" w:rsidRPr="00A02531" w:rsidRDefault="00E3259F">
            <w:pPr>
              <w:spacing w:line="312" w:lineRule="auto"/>
              <w:rPr>
                <w:lang w:val="uk-UA" w:eastAsia="en-US"/>
              </w:rPr>
            </w:pPr>
            <w:r w:rsidRPr="00A02531">
              <w:rPr>
                <w:lang w:val="uk-UA" w:eastAsia="en-US"/>
              </w:rPr>
              <w:t>р=0,001</w:t>
            </w:r>
          </w:p>
        </w:tc>
      </w:tr>
      <w:tr w:rsidR="00435807" w:rsidRPr="00A02531" w:rsidTr="00A02531">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jc w:val="both"/>
              <w:rPr>
                <w:lang w:eastAsia="en-US"/>
              </w:rPr>
            </w:pPr>
            <w:r w:rsidRPr="00A02531">
              <w:rPr>
                <w:lang w:val="uk-UA" w:eastAsia="en-US"/>
              </w:rPr>
              <w:t xml:space="preserve">Інд. швидкості </w:t>
            </w:r>
            <w:r w:rsidRPr="00A02531">
              <w:rPr>
                <w:lang w:eastAsia="en-US"/>
              </w:rPr>
              <w:t>стар</w:t>
            </w:r>
            <w:r w:rsidRPr="00A02531">
              <w:rPr>
                <w:lang w:val="uk-UA" w:eastAsia="en-US"/>
              </w:rPr>
              <w:t xml:space="preserve">іння </w:t>
            </w:r>
            <w:r w:rsidRPr="00A02531">
              <w:rPr>
                <w:lang w:eastAsia="en-US"/>
              </w:rPr>
              <w:t>(БВ/</w:t>
            </w:r>
            <w:r w:rsidRPr="00A02531">
              <w:rPr>
                <w:lang w:val="uk-UA" w:eastAsia="en-US"/>
              </w:rPr>
              <w:t>Н</w:t>
            </w:r>
            <w:r w:rsidRPr="00A02531">
              <w:rPr>
                <w:lang w:eastAsia="en-US"/>
              </w:rPr>
              <w:t>БВ)</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eastAsia="en-US"/>
              </w:rPr>
            </w:pPr>
            <w:r w:rsidRPr="00A02531">
              <w:rPr>
                <w:lang w:eastAsia="en-US"/>
              </w:rPr>
              <w:t>1,03±</w:t>
            </w:r>
            <w:r w:rsidRPr="00A02531">
              <w:rPr>
                <w:lang w:val="uk-UA" w:eastAsia="en-US"/>
              </w:rPr>
              <w:t>0</w:t>
            </w:r>
            <w:r w:rsidRPr="00A02531">
              <w:rPr>
                <w:lang w:eastAsia="en-US"/>
              </w:rPr>
              <w:t>,1</w:t>
            </w:r>
            <w:r w:rsidRPr="00A02531">
              <w:rPr>
                <w:lang w:val="uk-UA"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0</w:t>
            </w:r>
            <w:r w:rsidRPr="00A02531">
              <w:rPr>
                <w:lang w:eastAsia="en-US"/>
              </w:rPr>
              <w:t>,92±</w:t>
            </w:r>
            <w:r w:rsidRPr="00A02531">
              <w:rPr>
                <w:lang w:val="uk-UA" w:eastAsia="en-US"/>
              </w:rPr>
              <w:t>0</w:t>
            </w:r>
            <w:r w:rsidRPr="00A02531">
              <w:rPr>
                <w:lang w:eastAsia="en-US"/>
              </w:rPr>
              <w:t>,02</w:t>
            </w:r>
          </w:p>
          <w:p w:rsidR="00E3259F" w:rsidRPr="00A02531" w:rsidRDefault="00E3259F">
            <w:pPr>
              <w:spacing w:line="312" w:lineRule="auto"/>
              <w:rPr>
                <w:lang w:val="uk-UA" w:eastAsia="en-US"/>
              </w:rPr>
            </w:pPr>
            <w:r w:rsidRPr="00A02531">
              <w:rPr>
                <w:lang w:val="uk-UA" w:eastAsia="en-US"/>
              </w:rPr>
              <w:t>р= &gt;0,05</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eastAsia="en-US"/>
              </w:rPr>
            </w:pPr>
            <w:r w:rsidRPr="00A02531">
              <w:rPr>
                <w:lang w:eastAsia="en-US"/>
              </w:rPr>
              <w:t>1,1</w:t>
            </w:r>
            <w:r w:rsidRPr="00A02531">
              <w:rPr>
                <w:lang w:val="uk-UA" w:eastAsia="en-US"/>
              </w:rPr>
              <w:t>9</w:t>
            </w:r>
            <w:r w:rsidRPr="00A02531">
              <w:rPr>
                <w:lang w:eastAsia="en-US"/>
              </w:rPr>
              <w:t>±</w:t>
            </w:r>
            <w:r w:rsidRPr="00A02531">
              <w:rPr>
                <w:lang w:val="uk-UA" w:eastAsia="en-US"/>
              </w:rPr>
              <w:t>0</w:t>
            </w:r>
            <w:r w:rsidRPr="00A02531">
              <w:rPr>
                <w:lang w:eastAsia="en-US"/>
              </w:rPr>
              <w:t>,0</w:t>
            </w:r>
            <w:r w:rsidRPr="00A02531">
              <w:rPr>
                <w:lang w:val="uk-UA" w:eastAsia="en-US"/>
              </w:rPr>
              <w:t>2</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0</w:t>
            </w:r>
            <w:r w:rsidRPr="00A02531">
              <w:rPr>
                <w:lang w:eastAsia="en-US"/>
              </w:rPr>
              <w:t>,9</w:t>
            </w:r>
            <w:r w:rsidRPr="00A02531">
              <w:rPr>
                <w:lang w:val="uk-UA" w:eastAsia="en-US"/>
              </w:rPr>
              <w:t>9</w:t>
            </w:r>
            <w:r w:rsidRPr="00A02531">
              <w:rPr>
                <w:lang w:eastAsia="en-US"/>
              </w:rPr>
              <w:t>±</w:t>
            </w:r>
            <w:r w:rsidRPr="00A02531">
              <w:rPr>
                <w:lang w:val="uk-UA" w:eastAsia="en-US"/>
              </w:rPr>
              <w:t>0</w:t>
            </w:r>
            <w:r w:rsidRPr="00A02531">
              <w:rPr>
                <w:lang w:eastAsia="en-US"/>
              </w:rPr>
              <w:t>,0</w:t>
            </w:r>
            <w:r w:rsidRPr="00A02531">
              <w:rPr>
                <w:lang w:val="uk-UA" w:eastAsia="en-US"/>
              </w:rPr>
              <w:t>2</w:t>
            </w:r>
          </w:p>
          <w:p w:rsidR="00E3259F" w:rsidRPr="00A02531" w:rsidRDefault="00E3259F">
            <w:pPr>
              <w:spacing w:line="312" w:lineRule="auto"/>
              <w:rPr>
                <w:lang w:val="uk-UA"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1,14±</w:t>
            </w:r>
            <w:r w:rsidRPr="00A02531">
              <w:rPr>
                <w:lang w:val="uk-UA" w:eastAsia="en-US"/>
              </w:rPr>
              <w:t>0</w:t>
            </w:r>
            <w:r w:rsidRPr="00A02531">
              <w:rPr>
                <w:lang w:eastAsia="en-US"/>
              </w:rPr>
              <w:t>,0</w:t>
            </w:r>
            <w:r w:rsidRPr="00A02531">
              <w:rPr>
                <w:lang w:val="uk-UA" w:eastAsia="en-US"/>
              </w:rPr>
              <w:t>4</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val="uk-UA" w:eastAsia="en-US"/>
              </w:rPr>
              <w:t>0</w:t>
            </w:r>
            <w:r w:rsidRPr="00A02531">
              <w:rPr>
                <w:lang w:eastAsia="en-US"/>
              </w:rPr>
              <w:t>,97±</w:t>
            </w:r>
            <w:r w:rsidRPr="00A02531">
              <w:rPr>
                <w:lang w:val="uk-UA" w:eastAsia="en-US"/>
              </w:rPr>
              <w:t>0</w:t>
            </w:r>
            <w:r w:rsidRPr="00A02531">
              <w:rPr>
                <w:lang w:eastAsia="en-US"/>
              </w:rPr>
              <w:t>,0</w:t>
            </w:r>
            <w:r w:rsidRPr="00A02531">
              <w:rPr>
                <w:lang w:val="uk-UA" w:eastAsia="en-US"/>
              </w:rPr>
              <w:t>2</w:t>
            </w:r>
          </w:p>
          <w:p w:rsidR="00E3259F" w:rsidRPr="00A02531" w:rsidRDefault="00E3259F">
            <w:pPr>
              <w:spacing w:line="312" w:lineRule="auto"/>
              <w:rPr>
                <w:lang w:eastAsia="en-US"/>
              </w:rPr>
            </w:pPr>
            <w:r w:rsidRPr="00A02531">
              <w:rPr>
                <w:lang w:val="uk-UA" w:eastAsia="en-US"/>
              </w:rPr>
              <w:t>р=0,001</w:t>
            </w:r>
          </w:p>
        </w:tc>
      </w:tr>
      <w:tr w:rsidR="00435807" w:rsidRPr="00A02531" w:rsidTr="00A02531">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jc w:val="both"/>
              <w:rPr>
                <w:lang w:val="uk-UA" w:eastAsia="en-US"/>
              </w:rPr>
            </w:pPr>
            <w:r w:rsidRPr="00A02531">
              <w:rPr>
                <w:lang w:eastAsia="en-US"/>
              </w:rPr>
              <w:t>Кт</w:t>
            </w:r>
            <w:r w:rsidRPr="00A02531">
              <w:rPr>
                <w:lang w:val="uk-UA" w:eastAsia="en-US"/>
              </w:rPr>
              <w:t xml:space="preserve">. швидкості </w:t>
            </w:r>
            <w:r w:rsidRPr="00A02531">
              <w:rPr>
                <w:lang w:eastAsia="en-US"/>
              </w:rPr>
              <w:t>стар</w:t>
            </w:r>
            <w:r w:rsidRPr="00A02531">
              <w:rPr>
                <w:lang w:val="uk-UA" w:eastAsia="en-US"/>
              </w:rPr>
              <w:t xml:space="preserve">іння </w:t>
            </w:r>
            <w:r w:rsidRPr="00A02531">
              <w:rPr>
                <w:lang w:eastAsia="en-US"/>
              </w:rPr>
              <w:t>(БВ-</w:t>
            </w:r>
            <w:r w:rsidRPr="00A02531">
              <w:rPr>
                <w:lang w:val="uk-UA" w:eastAsia="en-US"/>
              </w:rPr>
              <w:t>Н</w:t>
            </w:r>
            <w:r w:rsidRPr="00A02531">
              <w:rPr>
                <w:lang w:eastAsia="en-US"/>
              </w:rPr>
              <w:t>БВ</w:t>
            </w:r>
            <w:r w:rsidRPr="00A02531">
              <w:rPr>
                <w:lang w:val="uk-UA"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5,33±1,8</w:t>
            </w:r>
            <w:r w:rsidRPr="00A02531">
              <w:rPr>
                <w:lang w:val="uk-UA" w:eastAsia="en-US"/>
              </w:rPr>
              <w:t>7</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-4,30±1,33</w:t>
            </w:r>
          </w:p>
          <w:p w:rsidR="00E3259F" w:rsidRPr="00A02531" w:rsidRDefault="00E3259F">
            <w:pPr>
              <w:spacing w:line="312" w:lineRule="auto"/>
              <w:rPr>
                <w:lang w:val="uk-UA"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9,5</w:t>
            </w:r>
            <w:r w:rsidRPr="00A02531">
              <w:rPr>
                <w:lang w:val="uk-UA" w:eastAsia="en-US"/>
              </w:rPr>
              <w:t>3</w:t>
            </w:r>
            <w:r w:rsidRPr="00A02531">
              <w:rPr>
                <w:lang w:eastAsia="en-US"/>
              </w:rPr>
              <w:t>±</w:t>
            </w:r>
            <w:r w:rsidRPr="00A02531">
              <w:rPr>
                <w:lang w:val="uk-UA" w:eastAsia="en-US"/>
              </w:rPr>
              <w:t>0</w:t>
            </w:r>
            <w:r w:rsidRPr="00A02531">
              <w:rPr>
                <w:lang w:eastAsia="en-US"/>
              </w:rPr>
              <w:t>,8</w:t>
            </w:r>
            <w:r w:rsidRPr="00A02531">
              <w:rPr>
                <w:lang w:val="uk-UA" w:eastAsia="en-US"/>
              </w:rPr>
              <w:t>2</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-3,</w:t>
            </w:r>
            <w:r w:rsidRPr="00A02531">
              <w:rPr>
                <w:lang w:val="uk-UA" w:eastAsia="en-US"/>
              </w:rPr>
              <w:t>90</w:t>
            </w:r>
            <w:r w:rsidRPr="00A02531">
              <w:rPr>
                <w:lang w:eastAsia="en-US"/>
              </w:rPr>
              <w:t>±</w:t>
            </w:r>
            <w:r w:rsidRPr="00A02531">
              <w:rPr>
                <w:lang w:val="uk-UA" w:eastAsia="en-US"/>
              </w:rPr>
              <w:t>0</w:t>
            </w:r>
            <w:r w:rsidRPr="00A02531">
              <w:rPr>
                <w:lang w:eastAsia="en-US"/>
              </w:rPr>
              <w:t>,79</w:t>
            </w:r>
          </w:p>
          <w:p w:rsidR="00E3259F" w:rsidRPr="00A02531" w:rsidRDefault="00E3259F">
            <w:pPr>
              <w:spacing w:line="312" w:lineRule="auto"/>
              <w:rPr>
                <w:lang w:val="uk-UA" w:eastAsia="en-US"/>
              </w:rPr>
            </w:pPr>
            <w:r w:rsidRPr="00A02531">
              <w:rPr>
                <w:lang w:val="uk-UA" w:eastAsia="en-US"/>
              </w:rPr>
              <w:t>р=0,001</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eastAsia="en-US"/>
              </w:rPr>
            </w:pPr>
            <w:r w:rsidRPr="00A02531">
              <w:rPr>
                <w:lang w:eastAsia="en-US"/>
              </w:rPr>
              <w:t>7,02±1,8</w:t>
            </w:r>
            <w:r w:rsidRPr="00A02531">
              <w:rPr>
                <w:lang w:val="uk-UA" w:eastAsia="en-US"/>
              </w:rPr>
              <w:t>6</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-1,51±1,0</w:t>
            </w:r>
            <w:r w:rsidRPr="00A02531">
              <w:rPr>
                <w:lang w:val="uk-UA" w:eastAsia="en-US"/>
              </w:rPr>
              <w:t>6</w:t>
            </w:r>
          </w:p>
          <w:p w:rsidR="00E3259F" w:rsidRPr="00A02531" w:rsidRDefault="00E3259F">
            <w:pPr>
              <w:spacing w:line="312" w:lineRule="auto"/>
              <w:rPr>
                <w:lang w:eastAsia="en-US"/>
              </w:rPr>
            </w:pPr>
            <w:r w:rsidRPr="00A02531">
              <w:rPr>
                <w:lang w:val="uk-UA" w:eastAsia="en-US"/>
              </w:rPr>
              <w:t>р=0,001</w:t>
            </w:r>
          </w:p>
        </w:tc>
      </w:tr>
      <w:tr w:rsidR="00435807" w:rsidRPr="00A02531" w:rsidTr="00A02531">
        <w:tc>
          <w:tcPr>
            <w:tcW w:w="4395"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jc w:val="both"/>
              <w:rPr>
                <w:lang w:val="uk-UA" w:eastAsia="en-US"/>
              </w:rPr>
            </w:pPr>
            <w:r w:rsidRPr="00A02531">
              <w:rPr>
                <w:lang w:val="uk-UA" w:eastAsia="en-US"/>
              </w:rPr>
              <w:t xml:space="preserve"> Анкета </w:t>
            </w:r>
            <w:r w:rsidRPr="00A02531">
              <w:rPr>
                <w:lang w:eastAsia="en-US"/>
              </w:rPr>
              <w:t>СОЗ</w:t>
            </w:r>
            <w:r w:rsidRPr="00A02531">
              <w:rPr>
                <w:lang w:val="uk-UA" w:eastAsia="en-US"/>
              </w:rPr>
              <w:t>, бал</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15,22±1,49</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17,10±</w:t>
            </w:r>
            <w:r w:rsidRPr="00A02531">
              <w:rPr>
                <w:lang w:val="uk-UA" w:eastAsia="en-US"/>
              </w:rPr>
              <w:t>0</w:t>
            </w:r>
            <w:r w:rsidRPr="00A02531">
              <w:rPr>
                <w:lang w:eastAsia="en-US"/>
              </w:rPr>
              <w:t>,9</w:t>
            </w:r>
            <w:r w:rsidRPr="00A02531">
              <w:rPr>
                <w:lang w:val="uk-UA" w:eastAsia="en-US"/>
              </w:rPr>
              <w:t>3</w:t>
            </w:r>
          </w:p>
          <w:p w:rsidR="00E3259F" w:rsidRPr="00A02531" w:rsidRDefault="00E3259F">
            <w:pPr>
              <w:spacing w:line="312" w:lineRule="auto"/>
              <w:rPr>
                <w:lang w:val="uk-UA" w:eastAsia="en-US"/>
              </w:rPr>
            </w:pPr>
            <w:r w:rsidRPr="00A02531">
              <w:rPr>
                <w:lang w:val="uk-UA" w:eastAsia="en-US"/>
              </w:rPr>
              <w:t>р &gt;0,05</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eastAsia="en-US"/>
              </w:rPr>
            </w:pPr>
            <w:r w:rsidRPr="00A02531">
              <w:rPr>
                <w:lang w:eastAsia="en-US"/>
              </w:rPr>
              <w:t>14,87±</w:t>
            </w:r>
            <w:r w:rsidRPr="00A02531">
              <w:rPr>
                <w:lang w:val="uk-UA" w:eastAsia="en-US"/>
              </w:rPr>
              <w:t>0</w:t>
            </w:r>
            <w:r w:rsidRPr="00A02531">
              <w:rPr>
                <w:lang w:eastAsia="en-US"/>
              </w:rPr>
              <w:t>,6</w:t>
            </w:r>
            <w:r w:rsidRPr="00A02531">
              <w:rPr>
                <w:lang w:val="uk-UA" w:eastAsia="en-US"/>
              </w:rPr>
              <w:t>5</w:t>
            </w: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15,96±</w:t>
            </w:r>
            <w:r w:rsidRPr="00A02531">
              <w:rPr>
                <w:lang w:val="uk-UA" w:eastAsia="en-US"/>
              </w:rPr>
              <w:t>0</w:t>
            </w:r>
            <w:r w:rsidRPr="00A02531">
              <w:rPr>
                <w:lang w:eastAsia="en-US"/>
              </w:rPr>
              <w:t>,3</w:t>
            </w:r>
            <w:r w:rsidRPr="00A02531">
              <w:rPr>
                <w:lang w:val="uk-UA" w:eastAsia="en-US"/>
              </w:rPr>
              <w:t>4</w:t>
            </w:r>
          </w:p>
          <w:p w:rsidR="00E3259F" w:rsidRPr="00A02531" w:rsidRDefault="00E3259F">
            <w:pPr>
              <w:spacing w:line="312" w:lineRule="auto"/>
              <w:rPr>
                <w:lang w:val="uk-UA" w:eastAsia="en-US"/>
              </w:rPr>
            </w:pPr>
            <w:r w:rsidRPr="00A02531">
              <w:rPr>
                <w:lang w:val="uk-UA" w:eastAsia="en-US"/>
              </w:rPr>
              <w:t>р&gt;0,05</w:t>
            </w:r>
          </w:p>
        </w:tc>
        <w:tc>
          <w:tcPr>
            <w:tcW w:w="1701" w:type="dxa"/>
            <w:tcBorders>
              <w:top w:val="single" w:sz="4" w:space="0" w:color="auto"/>
              <w:left w:val="single" w:sz="4" w:space="0" w:color="auto"/>
              <w:bottom w:val="single" w:sz="4" w:space="0" w:color="auto"/>
              <w:right w:val="single" w:sz="4" w:space="0" w:color="auto"/>
            </w:tcBorders>
          </w:tcPr>
          <w:p w:rsidR="00E3259F" w:rsidRPr="00A02531" w:rsidRDefault="00E3259F">
            <w:pPr>
              <w:spacing w:line="312" w:lineRule="auto"/>
              <w:rPr>
                <w:lang w:val="uk-UA" w:eastAsia="en-US"/>
              </w:rPr>
            </w:pPr>
            <w:r w:rsidRPr="00A02531">
              <w:rPr>
                <w:lang w:eastAsia="en-US"/>
              </w:rPr>
              <w:t>14,71±</w:t>
            </w:r>
            <w:r w:rsidRPr="00A02531">
              <w:rPr>
                <w:lang w:val="uk-UA" w:eastAsia="en-US"/>
              </w:rPr>
              <w:t>0</w:t>
            </w:r>
            <w:r w:rsidRPr="00A02531">
              <w:rPr>
                <w:lang w:eastAsia="en-US"/>
              </w:rPr>
              <w:t>,9</w:t>
            </w:r>
            <w:r w:rsidRPr="00A02531">
              <w:rPr>
                <w:lang w:val="uk-UA" w:eastAsia="en-US"/>
              </w:rPr>
              <w:t>3</w:t>
            </w:r>
          </w:p>
          <w:p w:rsidR="00E3259F" w:rsidRPr="00A02531" w:rsidRDefault="00E3259F">
            <w:pPr>
              <w:spacing w:line="312" w:lineRule="auto"/>
              <w:rPr>
                <w:lang w:val="uk-UA" w:eastAsia="en-US"/>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A02531" w:rsidRDefault="00E3259F">
            <w:pPr>
              <w:spacing w:line="312" w:lineRule="auto"/>
              <w:rPr>
                <w:lang w:val="uk-UA" w:eastAsia="en-US"/>
              </w:rPr>
            </w:pPr>
            <w:r w:rsidRPr="00A02531">
              <w:rPr>
                <w:lang w:eastAsia="en-US"/>
              </w:rPr>
              <w:t>15,79±</w:t>
            </w:r>
            <w:r w:rsidRPr="00A02531">
              <w:rPr>
                <w:lang w:val="uk-UA" w:eastAsia="en-US"/>
              </w:rPr>
              <w:t>0</w:t>
            </w:r>
            <w:r w:rsidRPr="00A02531">
              <w:rPr>
                <w:lang w:eastAsia="en-US"/>
              </w:rPr>
              <w:t>,5</w:t>
            </w:r>
            <w:r w:rsidRPr="00A02531">
              <w:rPr>
                <w:lang w:val="uk-UA" w:eastAsia="en-US"/>
              </w:rPr>
              <w:t>1</w:t>
            </w:r>
          </w:p>
          <w:p w:rsidR="00E3259F" w:rsidRPr="00A02531" w:rsidRDefault="00E3259F">
            <w:pPr>
              <w:spacing w:line="312" w:lineRule="auto"/>
              <w:rPr>
                <w:lang w:val="uk-UA" w:eastAsia="en-US"/>
              </w:rPr>
            </w:pPr>
            <w:r w:rsidRPr="00A02531">
              <w:rPr>
                <w:lang w:val="uk-UA" w:eastAsia="en-US"/>
              </w:rPr>
              <w:t>р&gt;0,05</w:t>
            </w:r>
          </w:p>
        </w:tc>
      </w:tr>
    </w:tbl>
    <w:p w:rsidR="00E3259F" w:rsidRPr="00A02531" w:rsidRDefault="00E3259F" w:rsidP="00E3259F">
      <w:pPr>
        <w:ind w:firstLine="709"/>
        <w:jc w:val="both"/>
        <w:rPr>
          <w:rStyle w:val="tlid-translation"/>
          <w:rFonts w:eastAsiaTheme="majorEastAsia"/>
          <w:sz w:val="26"/>
          <w:szCs w:val="26"/>
          <w:lang w:val="uk-UA" w:eastAsia="en-US"/>
        </w:rPr>
      </w:pPr>
      <w:r w:rsidRPr="00A02531">
        <w:rPr>
          <w:sz w:val="28"/>
          <w:szCs w:val="28"/>
          <w:lang w:val="uk-UA"/>
        </w:rPr>
        <w:t>Примітка: р</w:t>
      </w:r>
      <w:r w:rsidRPr="00A02531">
        <w:rPr>
          <w:sz w:val="28"/>
          <w:szCs w:val="28"/>
          <w:vertAlign w:val="subscript"/>
          <w:lang w:val="uk-UA"/>
        </w:rPr>
        <w:t xml:space="preserve"> -</w:t>
      </w:r>
      <w:r w:rsidRPr="00A02531">
        <w:rPr>
          <w:sz w:val="28"/>
          <w:szCs w:val="28"/>
          <w:lang w:val="uk-UA"/>
        </w:rPr>
        <w:t xml:space="preserve">  рівень значущості </w:t>
      </w:r>
      <w:r w:rsidR="00A02531" w:rsidRPr="00A02531">
        <w:rPr>
          <w:sz w:val="28"/>
          <w:szCs w:val="28"/>
          <w:lang w:val="uk-UA"/>
        </w:rPr>
        <w:t xml:space="preserve">достовірних </w:t>
      </w:r>
      <w:r w:rsidRPr="00A02531">
        <w:rPr>
          <w:sz w:val="28"/>
          <w:szCs w:val="28"/>
          <w:lang w:val="uk-UA"/>
        </w:rPr>
        <w:t xml:space="preserve">відмінностей при порівнянні І та ІІ вікових підгруп у групі </w:t>
      </w:r>
    </w:p>
    <w:p w:rsidR="00E3259F" w:rsidRDefault="00E3259F" w:rsidP="00E3259F">
      <w:pPr>
        <w:rPr>
          <w:rStyle w:val="tlid-translation"/>
          <w:rFonts w:eastAsiaTheme="majorEastAsia"/>
          <w:sz w:val="26"/>
          <w:szCs w:val="26"/>
          <w:lang w:val="uk-UA" w:eastAsia="en-US"/>
        </w:rPr>
        <w:sectPr w:rsidR="00E3259F">
          <w:pgSz w:w="16838" w:h="11906" w:orient="landscape"/>
          <w:pgMar w:top="851" w:right="1134" w:bottom="1701" w:left="1134" w:header="709" w:footer="709" w:gutter="0"/>
          <w:cols w:space="720"/>
        </w:sectPr>
      </w:pPr>
    </w:p>
    <w:p w:rsidR="00E3259F" w:rsidRPr="00A02531" w:rsidRDefault="00E3259F" w:rsidP="00A02531">
      <w:pPr>
        <w:spacing w:line="360" w:lineRule="auto"/>
        <w:ind w:firstLine="709"/>
        <w:jc w:val="both"/>
        <w:rPr>
          <w:lang w:val="uk-UA"/>
        </w:rPr>
      </w:pPr>
      <w:r w:rsidRPr="00A02531">
        <w:rPr>
          <w:rStyle w:val="tlid-translation"/>
          <w:rFonts w:eastAsiaTheme="majorEastAsia"/>
          <w:sz w:val="28"/>
          <w:szCs w:val="28"/>
          <w:lang w:val="uk-UA"/>
        </w:rPr>
        <w:t xml:space="preserve">У групі пацієнтів з ізольованою ГХ </w:t>
      </w:r>
      <w:r w:rsidRPr="00A02531">
        <w:rPr>
          <w:sz w:val="28"/>
          <w:szCs w:val="28"/>
          <w:lang w:val="uk-UA"/>
        </w:rPr>
        <w:t xml:space="preserve">вікові показники мали </w:t>
      </w:r>
      <w:r w:rsidRPr="00A02531">
        <w:rPr>
          <w:rStyle w:val="tlid-translation"/>
          <w:rFonts w:eastAsiaTheme="majorEastAsia"/>
          <w:sz w:val="28"/>
          <w:szCs w:val="28"/>
          <w:lang w:val="uk-UA"/>
        </w:rPr>
        <w:t xml:space="preserve"> негативні кореляційні зв</w:t>
      </w:r>
      <w:r w:rsidRPr="00A02531">
        <w:rPr>
          <w:sz w:val="28"/>
          <w:szCs w:val="28"/>
          <w:lang w:val="uk-UA"/>
        </w:rPr>
        <w:t xml:space="preserve">’язки з показником ліпідного обміну –ХС ЛПВЩ, позитивні кореляційні зв’язки різного ступеня з показниками вуглеводного обміну, ІР, МТ, АТ (САТ, ДАТ, ПАТ). Незважаючи на відсутність функціональних порушень з боку ЩЗ у цій групі, були виявлені позитивні кореляційні зв’язки між віковими показниками, які характеризують старіння, та показником тиреоїдного обміну – Т3віл, що підтверджує існуючі припущення про те, що гормони ЩЗ, навіть у фізіологічному діапазоні, мають суттевий вплив на фактори ризику [144]. </w:t>
      </w:r>
    </w:p>
    <w:p w:rsidR="00E3259F" w:rsidRPr="00A02531" w:rsidRDefault="00E3259F" w:rsidP="00A02531">
      <w:pPr>
        <w:spacing w:line="360" w:lineRule="auto"/>
        <w:ind w:firstLine="709"/>
        <w:jc w:val="both"/>
        <w:rPr>
          <w:sz w:val="28"/>
          <w:szCs w:val="28"/>
          <w:lang w:val="uk-UA"/>
        </w:rPr>
      </w:pPr>
      <w:r w:rsidRPr="00A02531">
        <w:rPr>
          <w:rStyle w:val="tlid-translation"/>
          <w:rFonts w:eastAsiaTheme="majorEastAsia"/>
          <w:sz w:val="28"/>
          <w:szCs w:val="28"/>
          <w:lang w:val="uk-UA"/>
        </w:rPr>
        <w:t xml:space="preserve">У групі пацієнтів з ГХ та ЦД 2 типу проведення кореляційного аналізу виявило наявність значної кількості як позитивних, так і негативних  достовірних </w:t>
      </w:r>
      <w:r w:rsidRPr="00A02531">
        <w:rPr>
          <w:sz w:val="28"/>
          <w:szCs w:val="28"/>
          <w:lang w:val="uk-UA"/>
        </w:rPr>
        <w:t>зв’язків різної сили між віковими показниками та показниками ліпідного, вуглеводного, тиреоідного обміну</w:t>
      </w:r>
      <w:r w:rsidR="00A02531">
        <w:rPr>
          <w:sz w:val="28"/>
          <w:szCs w:val="28"/>
          <w:lang w:val="uk-UA"/>
        </w:rPr>
        <w:t xml:space="preserve"> (таблиця 3.10)</w:t>
      </w:r>
      <w:r w:rsidRPr="00A02531">
        <w:rPr>
          <w:sz w:val="28"/>
          <w:szCs w:val="28"/>
          <w:lang w:val="uk-UA"/>
        </w:rPr>
        <w:t xml:space="preserve">.  Але між всіма показниками, які характеризують темпи старіння, були виявлені прямі зв’язки середньої сили з показниками артеріального тиску (САТ, ДАТ, ПАТ). </w:t>
      </w:r>
    </w:p>
    <w:p w:rsidR="00E3259F" w:rsidRPr="00A02531" w:rsidRDefault="00E3259F" w:rsidP="00A02531">
      <w:pPr>
        <w:spacing w:line="360" w:lineRule="auto"/>
        <w:ind w:firstLine="709"/>
        <w:jc w:val="both"/>
        <w:rPr>
          <w:sz w:val="28"/>
          <w:szCs w:val="28"/>
          <w:lang w:val="uk-UA"/>
        </w:rPr>
      </w:pPr>
      <w:r w:rsidRPr="00A02531">
        <w:rPr>
          <w:sz w:val="28"/>
          <w:szCs w:val="28"/>
          <w:lang w:val="uk-UA"/>
        </w:rPr>
        <w:t>У групі хворих на ГХ, ЦД 2 типу у поєднанні із СГТ були виявлені кореляційні зв’язки між показниками, які характеризують темпи старіння, та тиреоїдний обмін. Так прямий кореляційний зв’язок було знайдено між рівнем ТТГ та НБВ (</w:t>
      </w:r>
      <w:r w:rsidRPr="00A02531">
        <w:rPr>
          <w:sz w:val="28"/>
          <w:szCs w:val="28"/>
          <w:lang w:val="en-US"/>
        </w:rPr>
        <w:t>r</w:t>
      </w:r>
      <w:r w:rsidRPr="00A02531">
        <w:rPr>
          <w:sz w:val="28"/>
          <w:szCs w:val="28"/>
          <w:lang w:val="uk-UA"/>
        </w:rPr>
        <w:t>=0,352, р=0,026),  рівнем Т4віл. та коефіцієнтом старіння (</w:t>
      </w:r>
      <w:r w:rsidRPr="00A02531">
        <w:rPr>
          <w:sz w:val="28"/>
          <w:szCs w:val="28"/>
          <w:lang w:val="en-US"/>
        </w:rPr>
        <w:t>r</w:t>
      </w:r>
      <w:r w:rsidRPr="00A02531">
        <w:rPr>
          <w:sz w:val="28"/>
          <w:szCs w:val="28"/>
          <w:lang w:val="uk-UA"/>
        </w:rPr>
        <w:t>=0,389, р=0,014), індексом швидкості старіння (</w:t>
      </w:r>
      <w:r w:rsidRPr="00A02531">
        <w:rPr>
          <w:sz w:val="28"/>
          <w:szCs w:val="28"/>
          <w:lang w:val="en-US"/>
        </w:rPr>
        <w:t>r</w:t>
      </w:r>
      <w:r w:rsidRPr="00A02531">
        <w:rPr>
          <w:sz w:val="28"/>
          <w:szCs w:val="28"/>
          <w:lang w:val="uk-UA"/>
        </w:rPr>
        <w:t>=0,374, р=0,019), коефіцієнтом швидкості старіння (</w:t>
      </w:r>
      <w:r w:rsidRPr="00A02531">
        <w:rPr>
          <w:sz w:val="28"/>
          <w:szCs w:val="28"/>
          <w:lang w:val="en-US"/>
        </w:rPr>
        <w:t>r</w:t>
      </w:r>
      <w:r w:rsidRPr="00A02531">
        <w:rPr>
          <w:sz w:val="28"/>
          <w:szCs w:val="28"/>
          <w:lang w:val="uk-UA"/>
        </w:rPr>
        <w:t>=0,383, р=0,016) і зворотний між рівнем Т4віл та НБВ (</w:t>
      </w:r>
      <w:r w:rsidRPr="00A02531">
        <w:rPr>
          <w:sz w:val="28"/>
          <w:szCs w:val="28"/>
          <w:lang w:val="en-US"/>
        </w:rPr>
        <w:t>r</w:t>
      </w:r>
      <w:r w:rsidRPr="00A02531">
        <w:rPr>
          <w:sz w:val="28"/>
          <w:szCs w:val="28"/>
          <w:lang w:val="uk-UA"/>
        </w:rPr>
        <w:t xml:space="preserve">=-0,395, р=0,013). В обстежених хворих цієї групи серед показників вуглеводного обміну кореляційні зв’язкі були виявлені між </w:t>
      </w:r>
      <w:r w:rsidRPr="00A02531">
        <w:rPr>
          <w:sz w:val="28"/>
          <w:szCs w:val="28"/>
        </w:rPr>
        <w:t>HbA</w:t>
      </w:r>
      <w:r w:rsidRPr="00A02531">
        <w:rPr>
          <w:sz w:val="28"/>
          <w:szCs w:val="28"/>
          <w:lang w:val="uk-UA"/>
        </w:rPr>
        <w:t>1с та віковими показниками: БВ (</w:t>
      </w:r>
      <w:r w:rsidRPr="00A02531">
        <w:rPr>
          <w:sz w:val="28"/>
          <w:szCs w:val="28"/>
          <w:lang w:val="en-US"/>
        </w:rPr>
        <w:t>r</w:t>
      </w:r>
      <w:r w:rsidRPr="00A02531">
        <w:rPr>
          <w:sz w:val="28"/>
          <w:szCs w:val="28"/>
          <w:lang w:val="uk-UA"/>
        </w:rPr>
        <w:t>=0,349,р=0,006), індексом швидкості старіння (</w:t>
      </w:r>
      <w:r w:rsidRPr="00A02531">
        <w:rPr>
          <w:sz w:val="28"/>
          <w:szCs w:val="28"/>
          <w:lang w:val="en-US"/>
        </w:rPr>
        <w:t>r</w:t>
      </w:r>
      <w:r w:rsidRPr="00A02531">
        <w:rPr>
          <w:sz w:val="28"/>
          <w:szCs w:val="28"/>
          <w:lang w:val="uk-UA"/>
        </w:rPr>
        <w:t>=0,274, р=0,034), коефіцієнтом швидкості старіння (</w:t>
      </w:r>
      <w:r w:rsidRPr="00A02531">
        <w:rPr>
          <w:sz w:val="28"/>
          <w:szCs w:val="28"/>
          <w:lang w:val="en-US"/>
        </w:rPr>
        <w:t>r</w:t>
      </w:r>
      <w:r w:rsidRPr="00A02531">
        <w:rPr>
          <w:sz w:val="28"/>
          <w:szCs w:val="28"/>
          <w:lang w:val="uk-UA"/>
        </w:rPr>
        <w:t>=0,288, р=0,026). Кореляційних зв`язків між показниками ліпідного обміну та віковими показниками в цій групі виявлено не було. У цій групі наявність прямих кореляційних зв’язків показників ТС та показників АТ (САТ, ПАТ) теж була виявлена, що свідчить про вагомий вплив АТ на процеси старіння незалежно від функціонального стану ЩЗ.</w:t>
      </w:r>
    </w:p>
    <w:p w:rsidR="00E3259F" w:rsidRPr="00A02531" w:rsidRDefault="00E3259F" w:rsidP="00E3259F">
      <w:pPr>
        <w:spacing w:line="360" w:lineRule="auto"/>
        <w:ind w:firstLine="709"/>
        <w:jc w:val="right"/>
        <w:rPr>
          <w:rStyle w:val="tlid-translation"/>
          <w:rFonts w:eastAsiaTheme="majorEastAsia"/>
        </w:rPr>
      </w:pPr>
      <w:r w:rsidRPr="00A02531">
        <w:rPr>
          <w:sz w:val="28"/>
          <w:szCs w:val="28"/>
          <w:lang w:val="uk-UA"/>
        </w:rPr>
        <w:t>Таблиця 3.10</w:t>
      </w:r>
    </w:p>
    <w:p w:rsidR="00E3259F" w:rsidRPr="00A02531" w:rsidRDefault="00E3259F" w:rsidP="00E3259F">
      <w:pPr>
        <w:spacing w:line="360" w:lineRule="auto"/>
        <w:jc w:val="center"/>
        <w:rPr>
          <w:sz w:val="28"/>
          <w:szCs w:val="28"/>
        </w:rPr>
      </w:pPr>
      <w:r w:rsidRPr="00A02531">
        <w:rPr>
          <w:sz w:val="28"/>
          <w:szCs w:val="28"/>
          <w:lang w:val="uk-UA"/>
        </w:rPr>
        <w:t xml:space="preserve">Кореляційні зв’язки між показниками, які характеризують темпи старіння,  та антропометричними, метаболічними показниками </w:t>
      </w:r>
    </w:p>
    <w:p w:rsidR="00E3259F" w:rsidRDefault="00E3259F" w:rsidP="00E3259F">
      <w:pPr>
        <w:jc w:val="center"/>
        <w:rPr>
          <w:color w:val="FF0000"/>
          <w:lang w:val="uk-UA"/>
        </w:rPr>
      </w:pPr>
    </w:p>
    <w:tbl>
      <w:tblPr>
        <w:tblW w:w="0" w:type="auto"/>
        <w:tblLook w:val="04A0" w:firstRow="1" w:lastRow="0" w:firstColumn="1" w:lastColumn="0" w:noHBand="0" w:noVBand="1"/>
      </w:tblPr>
      <w:tblGrid>
        <w:gridCol w:w="4927"/>
        <w:gridCol w:w="2410"/>
        <w:gridCol w:w="2233"/>
      </w:tblGrid>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Показники</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en-US" w:eastAsia="en-US"/>
              </w:rPr>
            </w:pPr>
            <w:r w:rsidRPr="00A02531">
              <w:rPr>
                <w:sz w:val="28"/>
                <w:szCs w:val="28"/>
                <w:lang w:val="uk-UA" w:eastAsia="en-US"/>
              </w:rPr>
              <w:t>Коефіцієнт к</w:t>
            </w:r>
            <w:r w:rsidRPr="00A02531">
              <w:rPr>
                <w:sz w:val="28"/>
                <w:szCs w:val="28"/>
                <w:lang w:eastAsia="en-US"/>
              </w:rPr>
              <w:t>ореляц</w:t>
            </w:r>
            <w:r w:rsidRPr="00A02531">
              <w:rPr>
                <w:sz w:val="28"/>
                <w:szCs w:val="28"/>
                <w:lang w:val="uk-UA" w:eastAsia="en-US"/>
              </w:rPr>
              <w:t>ії</w:t>
            </w:r>
            <w:r w:rsidRPr="00A02531">
              <w:rPr>
                <w:sz w:val="28"/>
                <w:szCs w:val="28"/>
                <w:lang w:eastAsia="en-US"/>
              </w:rPr>
              <w:t xml:space="preserve"> П</w:t>
            </w:r>
            <w:r w:rsidRPr="00A02531">
              <w:rPr>
                <w:sz w:val="28"/>
                <w:szCs w:val="28"/>
                <w:lang w:val="uk-UA" w:eastAsia="en-US"/>
              </w:rPr>
              <w:t>і</w:t>
            </w:r>
            <w:r w:rsidRPr="00A02531">
              <w:rPr>
                <w:sz w:val="28"/>
                <w:szCs w:val="28"/>
                <w:lang w:eastAsia="en-US"/>
              </w:rPr>
              <w:t>рсона</w:t>
            </w:r>
            <w:r w:rsidRPr="00A02531">
              <w:rPr>
                <w:sz w:val="28"/>
                <w:szCs w:val="28"/>
                <w:lang w:val="uk-UA" w:eastAsia="en-US"/>
              </w:rPr>
              <w:t>,</w:t>
            </w:r>
            <w:r w:rsidRPr="00A02531">
              <w:rPr>
                <w:sz w:val="28"/>
                <w:szCs w:val="28"/>
                <w:lang w:val="en-US" w:eastAsia="en-US"/>
              </w:rPr>
              <w:t xml:space="preserve"> r</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Рівень з</w:t>
            </w:r>
            <w:r w:rsidRPr="00A02531">
              <w:rPr>
                <w:sz w:val="28"/>
                <w:szCs w:val="28"/>
                <w:lang w:eastAsia="en-US"/>
              </w:rPr>
              <w:t>нач</w:t>
            </w:r>
            <w:r w:rsidRPr="00A02531">
              <w:rPr>
                <w:sz w:val="28"/>
                <w:szCs w:val="28"/>
                <w:lang w:val="uk-UA" w:eastAsia="en-US"/>
              </w:rPr>
              <w:t>ущості, р</w:t>
            </w:r>
          </w:p>
        </w:tc>
      </w:tr>
      <w:tr w:rsidR="00A02531" w:rsidRPr="00A02531"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center"/>
              <w:rPr>
                <w:sz w:val="28"/>
                <w:szCs w:val="28"/>
                <w:lang w:eastAsia="en-US"/>
              </w:rPr>
            </w:pPr>
            <w:r w:rsidRPr="00A02531">
              <w:rPr>
                <w:sz w:val="28"/>
                <w:szCs w:val="28"/>
                <w:lang w:val="uk-UA" w:eastAsia="en-US"/>
              </w:rPr>
              <w:t>група 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ХсЛПВ</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,5</w:t>
            </w:r>
            <w:r w:rsidRPr="00A02531">
              <w:rPr>
                <w:sz w:val="28"/>
                <w:szCs w:val="28"/>
                <w:lang w:val="uk-UA" w:eastAsia="en-US"/>
              </w:rPr>
              <w:t>37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HbA1</w:t>
            </w:r>
            <w:r w:rsidRPr="00A02531">
              <w:rPr>
                <w:sz w:val="28"/>
                <w:szCs w:val="28"/>
                <w:lang w:val="uk-UA" w:eastAsia="en-US"/>
              </w:rPr>
              <w:t>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471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Глюкоза</w:t>
            </w:r>
            <w:r w:rsidRPr="00A02531">
              <w:rPr>
                <w:sz w:val="28"/>
                <w:szCs w:val="28"/>
                <w:lang w:val="uk-UA" w:eastAsia="en-US"/>
              </w:rPr>
              <w:t xml:space="preserve"> натще</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,5</w:t>
            </w:r>
            <w:r w:rsidRPr="00A02531">
              <w:rPr>
                <w:sz w:val="28"/>
                <w:szCs w:val="28"/>
                <w:lang w:val="uk-UA" w:eastAsia="en-US"/>
              </w:rPr>
              <w:t>50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НОМА-</w:t>
            </w:r>
            <w:r w:rsidRPr="00A02531">
              <w:rPr>
                <w:sz w:val="28"/>
                <w:szCs w:val="28"/>
                <w:lang w:val="en-US" w:eastAsia="en-US"/>
              </w:rPr>
              <w:t>IR</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,3</w:t>
            </w:r>
            <w:r w:rsidRPr="00A02531">
              <w:rPr>
                <w:sz w:val="28"/>
                <w:szCs w:val="28"/>
                <w:lang w:val="uk-UA" w:eastAsia="en-US"/>
              </w:rPr>
              <w:t>69</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41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,480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,535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іння-ІМТ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407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23</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 xml:space="preserve">іння – </w:t>
            </w:r>
            <w:r w:rsidRPr="00A02531">
              <w:rPr>
                <w:sz w:val="28"/>
                <w:szCs w:val="28"/>
                <w:lang w:eastAsia="en-US"/>
              </w:rPr>
              <w:t>Х</w:t>
            </w:r>
            <w:r w:rsidRPr="00A02531">
              <w:rPr>
                <w:sz w:val="28"/>
                <w:szCs w:val="28"/>
                <w:lang w:val="en-US" w:eastAsia="en-US"/>
              </w:rPr>
              <w:t>C</w:t>
            </w:r>
            <w:r w:rsidRPr="00A02531">
              <w:rPr>
                <w:sz w:val="28"/>
                <w:szCs w:val="28"/>
                <w:lang w:eastAsia="en-US"/>
              </w:rPr>
              <w:t xml:space="preserve"> ЛПВ</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,35</w:t>
            </w:r>
            <w:r w:rsidRPr="00A02531">
              <w:rPr>
                <w:sz w:val="28"/>
                <w:szCs w:val="28"/>
                <w:lang w:val="uk-UA" w:eastAsia="en-US"/>
              </w:rPr>
              <w:t>9</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,04</w:t>
            </w:r>
            <w:r w:rsidRPr="00A02531">
              <w:rPr>
                <w:sz w:val="28"/>
                <w:szCs w:val="28"/>
                <w:lang w:val="uk-UA" w:eastAsia="en-US"/>
              </w:rPr>
              <w:t>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HbA1</w:t>
            </w:r>
            <w:r w:rsidRPr="00A02531">
              <w:rPr>
                <w:sz w:val="28"/>
                <w:szCs w:val="28"/>
                <w:lang w:val="uk-UA" w:eastAsia="en-US"/>
              </w:rPr>
              <w:t>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w:t>
            </w:r>
            <w:r w:rsidRPr="00A02531">
              <w:rPr>
                <w:sz w:val="28"/>
                <w:szCs w:val="28"/>
                <w:lang w:val="uk-UA" w:eastAsia="en-US"/>
              </w:rPr>
              <w:t>30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16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 і</w:t>
            </w:r>
            <w:r w:rsidRPr="00A02531">
              <w:rPr>
                <w:sz w:val="28"/>
                <w:szCs w:val="28"/>
                <w:lang w:eastAsia="en-US"/>
              </w:rPr>
              <w:t>нсул</w:t>
            </w:r>
            <w:r w:rsidRPr="00A02531">
              <w:rPr>
                <w:sz w:val="28"/>
                <w:szCs w:val="28"/>
                <w:lang w:val="uk-UA" w:eastAsia="en-US"/>
              </w:rPr>
              <w:t>і</w:t>
            </w:r>
            <w:r w:rsidRPr="00A02531">
              <w:rPr>
                <w:sz w:val="28"/>
                <w:szCs w:val="28"/>
                <w:lang w:eastAsia="en-US"/>
              </w:rPr>
              <w:t>н</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,35</w:t>
            </w:r>
            <w:r w:rsidRPr="00A02531">
              <w:rPr>
                <w:sz w:val="28"/>
                <w:szCs w:val="28"/>
                <w:lang w:val="uk-UA" w:eastAsia="en-US"/>
              </w:rPr>
              <w:t>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50</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НОМА</w:t>
            </w:r>
            <w:r w:rsidRPr="00A02531">
              <w:rPr>
                <w:sz w:val="28"/>
                <w:szCs w:val="28"/>
                <w:lang w:val="uk-UA" w:eastAsia="en-US"/>
              </w:rPr>
              <w:t>-</w:t>
            </w:r>
            <w:r w:rsidRPr="00A02531">
              <w:rPr>
                <w:sz w:val="28"/>
                <w:szCs w:val="28"/>
                <w:lang w:val="en-US" w:eastAsia="en-US"/>
              </w:rPr>
              <w:t>IR</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en-US" w:eastAsia="en-US"/>
              </w:rPr>
              <w:t>0</w:t>
            </w:r>
            <w:r w:rsidRPr="00A02531">
              <w:rPr>
                <w:sz w:val="28"/>
                <w:szCs w:val="28"/>
                <w:lang w:eastAsia="en-US"/>
              </w:rPr>
              <w:t>,</w:t>
            </w:r>
            <w:r w:rsidRPr="00A02531">
              <w:rPr>
                <w:sz w:val="28"/>
                <w:szCs w:val="28"/>
                <w:lang w:val="uk-UA" w:eastAsia="en-US"/>
              </w:rPr>
              <w:t>395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28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НОМА-</w:t>
            </w:r>
            <w:r w:rsidRPr="00A02531">
              <w:rPr>
                <w:sz w:val="28"/>
                <w:szCs w:val="28"/>
                <w:lang w:val="en-US" w:eastAsia="en-US"/>
              </w:rPr>
              <w:t>IR</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en-US" w:eastAsia="en-US"/>
              </w:rPr>
              <w:t>0</w:t>
            </w:r>
            <w:r w:rsidRPr="00A02531">
              <w:rPr>
                <w:sz w:val="28"/>
                <w:szCs w:val="28"/>
                <w:lang w:eastAsia="en-US"/>
              </w:rPr>
              <w:t>,4</w:t>
            </w:r>
            <w:r w:rsidRPr="00A02531">
              <w:rPr>
                <w:sz w:val="28"/>
                <w:szCs w:val="28"/>
                <w:lang w:val="uk-UA" w:eastAsia="en-US"/>
              </w:rPr>
              <w:t>38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14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375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,03</w:t>
            </w:r>
            <w:r w:rsidRPr="00A02531">
              <w:rPr>
                <w:sz w:val="28"/>
                <w:szCs w:val="28"/>
                <w:lang w:val="uk-UA" w:eastAsia="en-US"/>
              </w:rPr>
              <w:t>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w:t>
            </w:r>
            <w:r w:rsidRPr="00A02531">
              <w:rPr>
                <w:sz w:val="28"/>
                <w:szCs w:val="28"/>
                <w:lang w:eastAsia="en-US"/>
              </w:rPr>
              <w:t>стар</w:t>
            </w:r>
            <w:r w:rsidRPr="00A02531">
              <w:rPr>
                <w:sz w:val="28"/>
                <w:szCs w:val="28"/>
                <w:lang w:val="uk-UA" w:eastAsia="en-US"/>
              </w:rPr>
              <w:t>.-</w:t>
            </w:r>
            <w:r w:rsidRPr="00A02531">
              <w:rPr>
                <w:sz w:val="28"/>
                <w:szCs w:val="28"/>
                <w:lang w:eastAsia="en-US"/>
              </w:rPr>
              <w:t xml:space="preserve"> 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,38</w:t>
            </w:r>
            <w:r w:rsidRPr="00A02531">
              <w:rPr>
                <w:sz w:val="28"/>
                <w:szCs w:val="28"/>
                <w:lang w:val="uk-UA" w:eastAsia="en-US"/>
              </w:rPr>
              <w:t>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35</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w:t>
            </w:r>
            <w:r w:rsidRPr="00A02531">
              <w:rPr>
                <w:sz w:val="28"/>
                <w:szCs w:val="28"/>
                <w:lang w:eastAsia="en-US"/>
              </w:rPr>
              <w:t>стар</w:t>
            </w:r>
            <w:r w:rsidRPr="00A02531">
              <w:rPr>
                <w:sz w:val="28"/>
                <w:szCs w:val="28"/>
                <w:lang w:val="uk-UA" w:eastAsia="en-US"/>
              </w:rPr>
              <w:t>.-</w:t>
            </w:r>
            <w:r w:rsidRPr="00A02531">
              <w:rPr>
                <w:sz w:val="28"/>
                <w:szCs w:val="28"/>
                <w:lang w:eastAsia="en-US"/>
              </w:rPr>
              <w:t xml:space="preserve"> 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,513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,003</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w:t>
            </w:r>
            <w:r w:rsidRPr="00A02531">
              <w:rPr>
                <w:sz w:val="28"/>
                <w:szCs w:val="28"/>
                <w:lang w:eastAsia="en-US"/>
              </w:rPr>
              <w:t>стар</w:t>
            </w:r>
            <w:r w:rsidRPr="00A02531">
              <w:rPr>
                <w:sz w:val="28"/>
                <w:szCs w:val="28"/>
                <w:lang w:val="uk-UA" w:eastAsia="en-US"/>
              </w:rPr>
              <w:t>.-</w:t>
            </w:r>
            <w:r w:rsidRPr="00A02531">
              <w:rPr>
                <w:sz w:val="28"/>
                <w:szCs w:val="28"/>
                <w:lang w:eastAsia="en-US"/>
              </w:rPr>
              <w:t>ДА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,493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,005</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w:t>
            </w:r>
            <w:r w:rsidRPr="00A02531">
              <w:rPr>
                <w:sz w:val="28"/>
                <w:szCs w:val="28"/>
                <w:lang w:eastAsia="en-US"/>
              </w:rPr>
              <w:t>стар</w:t>
            </w:r>
            <w:r w:rsidRPr="00A02531">
              <w:rPr>
                <w:sz w:val="28"/>
                <w:szCs w:val="28"/>
                <w:lang w:val="uk-UA" w:eastAsia="en-US"/>
              </w:rPr>
              <w:t>.-</w:t>
            </w:r>
            <w:r w:rsidRPr="00A02531">
              <w:rPr>
                <w:sz w:val="28"/>
                <w:szCs w:val="28"/>
                <w:lang w:eastAsia="en-US"/>
              </w:rPr>
              <w:t>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,366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,043</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ДА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,465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 xml:space="preserve">іння - </w:t>
            </w:r>
            <w:r w:rsidRPr="00A02531">
              <w:rPr>
                <w:sz w:val="28"/>
                <w:szCs w:val="28"/>
                <w:lang w:eastAsia="en-US"/>
              </w:rPr>
              <w:t>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,456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,010</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,543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483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33</w:t>
            </w:r>
          </w:p>
        </w:tc>
      </w:tr>
    </w:tbl>
    <w:p w:rsidR="00A02531" w:rsidRDefault="00A02531" w:rsidP="00A02531">
      <w:pPr>
        <w:rPr>
          <w:i/>
          <w:spacing w:val="-2"/>
          <w:sz w:val="28"/>
          <w:szCs w:val="28"/>
          <w:lang w:val="uk-UA"/>
        </w:rPr>
      </w:pPr>
    </w:p>
    <w:p w:rsidR="00A02531" w:rsidRDefault="00A02531" w:rsidP="00A02531">
      <w:pPr>
        <w:jc w:val="right"/>
      </w:pPr>
      <w:r>
        <w:rPr>
          <w:i/>
          <w:spacing w:val="-2"/>
          <w:sz w:val="28"/>
          <w:szCs w:val="28"/>
        </w:rPr>
        <w:t>Продовження табл. 3.1</w:t>
      </w:r>
      <w:r>
        <w:rPr>
          <w:i/>
          <w:spacing w:val="-2"/>
          <w:sz w:val="28"/>
          <w:szCs w:val="28"/>
          <w:lang w:val="uk-UA"/>
        </w:rPr>
        <w:t>0</w:t>
      </w:r>
    </w:p>
    <w:tbl>
      <w:tblPr>
        <w:tblW w:w="0" w:type="auto"/>
        <w:tblLook w:val="04A0" w:firstRow="1" w:lastRow="0" w:firstColumn="1" w:lastColumn="0" w:noHBand="0" w:noVBand="1"/>
      </w:tblPr>
      <w:tblGrid>
        <w:gridCol w:w="4927"/>
        <w:gridCol w:w="2410"/>
        <w:gridCol w:w="2233"/>
      </w:tblGrid>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 xml:space="preserve"> 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386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32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w:t>
            </w:r>
            <w:r w:rsidRPr="00A02531">
              <w:rPr>
                <w:sz w:val="28"/>
                <w:szCs w:val="28"/>
                <w:lang w:val="uk-UA" w:eastAsia="en-US"/>
              </w:rPr>
              <w:t>30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16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,5</w:t>
            </w:r>
            <w:r w:rsidRPr="00A02531">
              <w:rPr>
                <w:sz w:val="28"/>
                <w:szCs w:val="28"/>
                <w:lang w:val="uk-UA" w:eastAsia="en-US"/>
              </w:rPr>
              <w:t>48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center"/>
              <w:rPr>
                <w:sz w:val="28"/>
                <w:szCs w:val="28"/>
                <w:lang w:val="uk-UA" w:eastAsia="en-US"/>
              </w:rPr>
            </w:pPr>
            <w:r w:rsidRPr="00A02531">
              <w:rPr>
                <w:sz w:val="28"/>
                <w:szCs w:val="28"/>
                <w:lang w:val="uk-UA" w:eastAsia="en-US"/>
              </w:rPr>
              <w:t>група 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,360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-ІМТ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,176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,050</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БВ</w:t>
            </w:r>
            <w:r w:rsidRPr="00A02531">
              <w:rPr>
                <w:sz w:val="28"/>
                <w:szCs w:val="28"/>
                <w:lang w:val="uk-UA" w:eastAsia="en-US"/>
              </w:rPr>
              <w:t>- ЗХС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w:t>
            </w:r>
            <w:r w:rsidRPr="00A02531">
              <w:rPr>
                <w:sz w:val="28"/>
                <w:szCs w:val="28"/>
                <w:lang w:val="uk-UA" w:eastAsia="en-US"/>
              </w:rPr>
              <w:t>0</w:t>
            </w:r>
            <w:r w:rsidRPr="00A02531">
              <w:rPr>
                <w:sz w:val="28"/>
                <w:szCs w:val="28"/>
                <w:lang w:eastAsia="en-US"/>
              </w:rPr>
              <w:t>,3</w:t>
            </w:r>
            <w:r w:rsidRPr="00A02531">
              <w:rPr>
                <w:sz w:val="28"/>
                <w:szCs w:val="28"/>
                <w:lang w:val="uk-UA" w:eastAsia="en-US"/>
              </w:rPr>
              <w:t>20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ЛПВ</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w:t>
            </w:r>
            <w:r w:rsidRPr="00A02531">
              <w:rPr>
                <w:sz w:val="28"/>
                <w:szCs w:val="28"/>
                <w:lang w:val="uk-UA" w:eastAsia="en-US"/>
              </w:rPr>
              <w:t>0</w:t>
            </w:r>
            <w:r w:rsidRPr="00A02531">
              <w:rPr>
                <w:sz w:val="28"/>
                <w:szCs w:val="28"/>
                <w:lang w:eastAsia="en-US"/>
              </w:rPr>
              <w:t>,257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 xml:space="preserve">- </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ЛПНП</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w:t>
            </w:r>
            <w:r w:rsidRPr="00A02531">
              <w:rPr>
                <w:sz w:val="28"/>
                <w:szCs w:val="28"/>
                <w:lang w:val="uk-UA" w:eastAsia="en-US"/>
              </w:rPr>
              <w:t>0</w:t>
            </w:r>
            <w:r w:rsidRPr="00A02531">
              <w:rPr>
                <w:sz w:val="28"/>
                <w:szCs w:val="28"/>
                <w:lang w:eastAsia="en-US"/>
              </w:rPr>
              <w:t>,334</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,221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,013</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433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 xml:space="preserve"> -ДАТ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,340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БВ</w:t>
            </w:r>
            <w:r w:rsidRPr="00A02531">
              <w:rPr>
                <w:sz w:val="28"/>
                <w:szCs w:val="28"/>
                <w:lang w:val="uk-UA" w:eastAsia="en-US"/>
              </w:rPr>
              <w:t>-</w:t>
            </w:r>
            <w:r w:rsidRPr="00A02531">
              <w:rPr>
                <w:sz w:val="28"/>
                <w:szCs w:val="28"/>
                <w:lang w:eastAsia="en-US"/>
              </w:rPr>
              <w:t xml:space="preserve"> 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467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,331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w:t>
            </w:r>
            <w:r w:rsidRPr="00A02531">
              <w:rPr>
                <w:sz w:val="28"/>
                <w:szCs w:val="28"/>
                <w:lang w:val="uk-UA" w:eastAsia="en-US"/>
              </w:rPr>
              <w:t>ДНЩ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,258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Х</w:t>
            </w:r>
            <w:r w:rsidRPr="00A02531">
              <w:rPr>
                <w:sz w:val="28"/>
                <w:szCs w:val="28"/>
                <w:lang w:val="uk-UA" w:eastAsia="en-US"/>
              </w:rPr>
              <w:t>С</w:t>
            </w:r>
            <w:r w:rsidRPr="00A02531">
              <w:rPr>
                <w:sz w:val="28"/>
                <w:szCs w:val="28"/>
                <w:lang w:val="en-US" w:eastAsia="en-US"/>
              </w:rPr>
              <w:t xml:space="preserve"> </w:t>
            </w:r>
            <w:r w:rsidRPr="00A02531">
              <w:rPr>
                <w:sz w:val="28"/>
                <w:szCs w:val="28"/>
                <w:lang w:eastAsia="en-US"/>
              </w:rPr>
              <w:t>ЛПВ</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,358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Х</w:t>
            </w:r>
            <w:r w:rsidRPr="00A02531">
              <w:rPr>
                <w:sz w:val="28"/>
                <w:szCs w:val="28"/>
                <w:lang w:val="uk-UA" w:eastAsia="en-US"/>
              </w:rPr>
              <w:t>С</w:t>
            </w:r>
            <w:r w:rsidRPr="00A02531">
              <w:rPr>
                <w:sz w:val="28"/>
                <w:szCs w:val="28"/>
                <w:lang w:val="en-US" w:eastAsia="en-US"/>
              </w:rPr>
              <w:t xml:space="preserve"> </w:t>
            </w:r>
            <w:r w:rsidRPr="00A02531">
              <w:rPr>
                <w:sz w:val="28"/>
                <w:szCs w:val="28"/>
                <w:lang w:eastAsia="en-US"/>
              </w:rPr>
              <w:t>ЛПН</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,272</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,291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,448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ДА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,254</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.с</w:t>
            </w:r>
            <w:r w:rsidRPr="00A02531">
              <w:rPr>
                <w:sz w:val="28"/>
                <w:szCs w:val="28"/>
                <w:lang w:eastAsia="en-US"/>
              </w:rPr>
              <w:t>тар</w:t>
            </w:r>
            <w:r w:rsidRPr="00A02531">
              <w:rPr>
                <w:sz w:val="28"/>
                <w:szCs w:val="28"/>
                <w:lang w:val="uk-UA" w:eastAsia="en-US"/>
              </w:rPr>
              <w:t>-</w:t>
            </w:r>
            <w:r w:rsidRPr="00A02531">
              <w:rPr>
                <w:sz w:val="28"/>
                <w:szCs w:val="28"/>
                <w:lang w:eastAsia="en-US"/>
              </w:rPr>
              <w:t>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,463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,243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,007</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-ЗХС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,179</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,046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Інд. швидкості старіння -ХС ЛПВЩ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,296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ЛПН</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,191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,034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НОМА-</w:t>
            </w:r>
            <w:r w:rsidRPr="00A02531">
              <w:rPr>
                <w:sz w:val="28"/>
                <w:szCs w:val="28"/>
                <w:lang w:val="en-US" w:eastAsia="en-US"/>
              </w:rPr>
              <w:t>IR</w:t>
            </w:r>
            <w:r w:rsidRPr="00A02531">
              <w:rPr>
                <w:sz w:val="28"/>
                <w:szCs w:val="28"/>
                <w:lang w:eastAsia="en-US"/>
              </w:rPr>
              <w:t xml:space="preserve"> </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,186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,038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,540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bl>
    <w:p w:rsidR="00A02531" w:rsidRDefault="00A02531">
      <w:pPr>
        <w:rPr>
          <w:lang w:val="uk-UA"/>
        </w:rPr>
      </w:pPr>
    </w:p>
    <w:p w:rsidR="00A02531" w:rsidRDefault="00A02531">
      <w:pPr>
        <w:rPr>
          <w:lang w:val="uk-UA"/>
        </w:rPr>
      </w:pPr>
    </w:p>
    <w:p w:rsidR="00A02531" w:rsidRPr="00A02531" w:rsidRDefault="00A02531" w:rsidP="00952586">
      <w:pPr>
        <w:jc w:val="right"/>
        <w:rPr>
          <w:lang w:val="uk-UA"/>
        </w:rPr>
      </w:pPr>
      <w:r>
        <w:rPr>
          <w:i/>
          <w:spacing w:val="-2"/>
          <w:sz w:val="28"/>
          <w:szCs w:val="28"/>
        </w:rPr>
        <w:t>Продовження табл. 3.1</w:t>
      </w:r>
      <w:r>
        <w:rPr>
          <w:i/>
          <w:spacing w:val="-2"/>
          <w:sz w:val="28"/>
          <w:szCs w:val="28"/>
          <w:lang w:val="uk-UA"/>
        </w:rPr>
        <w:t>0</w:t>
      </w:r>
    </w:p>
    <w:tbl>
      <w:tblPr>
        <w:tblW w:w="0" w:type="auto"/>
        <w:tblLook w:val="04A0" w:firstRow="1" w:lastRow="0" w:firstColumn="1" w:lastColumn="0" w:noHBand="0" w:noVBand="1"/>
      </w:tblPr>
      <w:tblGrid>
        <w:gridCol w:w="4927"/>
        <w:gridCol w:w="2410"/>
        <w:gridCol w:w="2233"/>
      </w:tblGrid>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ДА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,386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,456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,308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-І</w:t>
            </w:r>
            <w:r w:rsidRPr="00A02531">
              <w:rPr>
                <w:sz w:val="28"/>
                <w:szCs w:val="28"/>
                <w:lang w:eastAsia="en-US"/>
              </w:rPr>
              <w:t>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,244</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w:t>
            </w:r>
            <w:r w:rsidRPr="00A02531">
              <w:rPr>
                <w:sz w:val="28"/>
                <w:szCs w:val="28"/>
                <w:lang w:val="uk-UA" w:eastAsia="en-US"/>
              </w:rPr>
              <w:t>ДНЩ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,305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ЛПВ</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,238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,008</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Х</w:t>
            </w:r>
            <w:r w:rsidRPr="00A02531">
              <w:rPr>
                <w:sz w:val="28"/>
                <w:szCs w:val="28"/>
                <w:lang w:val="uk-UA" w:eastAsia="en-US"/>
              </w:rPr>
              <w:t xml:space="preserve">С </w:t>
            </w:r>
            <w:r w:rsidRPr="00A02531">
              <w:rPr>
                <w:sz w:val="28"/>
                <w:szCs w:val="28"/>
                <w:lang w:eastAsia="en-US"/>
              </w:rPr>
              <w:t>ЛПН</w:t>
            </w:r>
            <w:r w:rsidRPr="00A02531">
              <w:rPr>
                <w:sz w:val="28"/>
                <w:szCs w:val="28"/>
                <w:lang w:val="uk-UA" w:eastAsia="en-US"/>
              </w:rPr>
              <w:t>Щ</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,185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,040</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HbA1</w:t>
            </w:r>
            <w:r w:rsidRPr="00A02531">
              <w:rPr>
                <w:sz w:val="28"/>
                <w:szCs w:val="28"/>
                <w:lang w:val="uk-UA" w:eastAsia="en-US"/>
              </w:rPr>
              <w:t>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w:t>
            </w:r>
            <w:r w:rsidRPr="00A02531">
              <w:rPr>
                <w:sz w:val="28"/>
                <w:szCs w:val="28"/>
                <w:lang w:val="uk-UA" w:eastAsia="en-US"/>
              </w:rPr>
              <w:t>0</w:t>
            </w:r>
            <w:r w:rsidRPr="00A02531">
              <w:rPr>
                <w:sz w:val="28"/>
                <w:szCs w:val="28"/>
                <w:lang w:eastAsia="en-US"/>
              </w:rPr>
              <w:t>,253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,005</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ТТГ</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,187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,037</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Т3</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,281</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,002</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,542</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ДА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,436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,430</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center"/>
              <w:rPr>
                <w:sz w:val="28"/>
                <w:szCs w:val="28"/>
                <w:lang w:val="uk-UA" w:eastAsia="en-US"/>
              </w:rPr>
            </w:pPr>
            <w:r w:rsidRPr="00A02531">
              <w:rPr>
                <w:sz w:val="28"/>
                <w:szCs w:val="28"/>
                <w:lang w:val="uk-UA" w:eastAsia="en-US"/>
              </w:rPr>
              <w:t>група З</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БВ</w:t>
            </w:r>
            <w:r w:rsidRPr="00A02531">
              <w:rPr>
                <w:sz w:val="28"/>
                <w:szCs w:val="28"/>
                <w:lang w:val="uk-UA" w:eastAsia="en-US"/>
              </w:rPr>
              <w:t xml:space="preserve"> -МТ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,35</w:t>
            </w:r>
            <w:r w:rsidRPr="00A02531">
              <w:rPr>
                <w:sz w:val="28"/>
                <w:szCs w:val="28"/>
                <w:lang w:val="uk-UA" w:eastAsia="en-US"/>
              </w:rPr>
              <w:t>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37</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 xml:space="preserve">БВ </w:t>
            </w:r>
            <w:r w:rsidRPr="00A02531">
              <w:rPr>
                <w:sz w:val="28"/>
                <w:szCs w:val="28"/>
                <w:lang w:val="uk-UA" w:eastAsia="en-US"/>
              </w:rPr>
              <w:t>-</w:t>
            </w:r>
            <w:r w:rsidRPr="00A02531">
              <w:rPr>
                <w:sz w:val="28"/>
                <w:szCs w:val="28"/>
                <w:lang w:eastAsia="en-US"/>
              </w:rPr>
              <w:t xml:space="preserve"> HbA1</w:t>
            </w:r>
            <w:r w:rsidRPr="00A02531">
              <w:rPr>
                <w:sz w:val="28"/>
                <w:szCs w:val="28"/>
                <w:lang w:val="uk-UA" w:eastAsia="en-US"/>
              </w:rPr>
              <w:t>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,3</w:t>
            </w:r>
            <w:r w:rsidRPr="00A02531">
              <w:rPr>
                <w:sz w:val="28"/>
                <w:szCs w:val="28"/>
                <w:lang w:val="uk-UA" w:eastAsia="en-US"/>
              </w:rPr>
              <w:t>49</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06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 xml:space="preserve">БВ </w:t>
            </w:r>
            <w:r w:rsidRPr="00A02531">
              <w:rPr>
                <w:sz w:val="28"/>
                <w:szCs w:val="28"/>
                <w:lang w:val="uk-UA" w:eastAsia="en-US"/>
              </w:rPr>
              <w:t>-</w:t>
            </w:r>
            <w:r w:rsidRPr="00A02531">
              <w:rPr>
                <w:sz w:val="28"/>
                <w:szCs w:val="28"/>
                <w:lang w:eastAsia="en-US"/>
              </w:rPr>
              <w:t xml:space="preserve"> СА</w:t>
            </w:r>
            <w:r w:rsidRPr="00A02531">
              <w:rPr>
                <w:sz w:val="28"/>
                <w:szCs w:val="28"/>
                <w:lang w:val="uk-UA" w:eastAsia="en-US"/>
              </w:rPr>
              <w:t xml:space="preserve">Т </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426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rPr>
          <w:trHeight w:val="449"/>
        </w:trPr>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 xml:space="preserve">БВ </w:t>
            </w:r>
            <w:r w:rsidRPr="00A02531">
              <w:rPr>
                <w:sz w:val="28"/>
                <w:szCs w:val="28"/>
                <w:lang w:val="uk-UA" w:eastAsia="en-US"/>
              </w:rPr>
              <w:t>-</w:t>
            </w:r>
            <w:r w:rsidRPr="00A02531">
              <w:rPr>
                <w:sz w:val="28"/>
                <w:szCs w:val="28"/>
                <w:lang w:eastAsia="en-US"/>
              </w:rPr>
              <w:t xml:space="preserve"> 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533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rPr>
          <w:trHeight w:val="449"/>
        </w:trPr>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Н</w:t>
            </w:r>
            <w:r w:rsidRPr="00A02531">
              <w:rPr>
                <w:sz w:val="28"/>
                <w:szCs w:val="28"/>
                <w:lang w:eastAsia="en-US"/>
              </w:rPr>
              <w:t xml:space="preserve">БВ </w:t>
            </w:r>
            <w:r w:rsidRPr="00A02531">
              <w:rPr>
                <w:sz w:val="28"/>
                <w:szCs w:val="28"/>
                <w:lang w:val="uk-UA" w:eastAsia="en-US"/>
              </w:rPr>
              <w:t>-</w:t>
            </w:r>
            <w:r w:rsidRPr="00A02531">
              <w:rPr>
                <w:sz w:val="28"/>
                <w:szCs w:val="28"/>
                <w:lang w:eastAsia="en-US"/>
              </w:rPr>
              <w:t xml:space="preserve"> ТТГ</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,352</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,026</w:t>
            </w:r>
          </w:p>
        </w:tc>
      </w:tr>
      <w:tr w:rsidR="00A02531" w:rsidRPr="00A02531" w:rsidTr="00E3259F">
        <w:trPr>
          <w:trHeight w:val="449"/>
        </w:trPr>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Н</w:t>
            </w:r>
            <w:r w:rsidRPr="00A02531">
              <w:rPr>
                <w:sz w:val="28"/>
                <w:szCs w:val="28"/>
                <w:lang w:eastAsia="en-US"/>
              </w:rPr>
              <w:t xml:space="preserve">БВ </w:t>
            </w:r>
            <w:r w:rsidRPr="00A02531">
              <w:rPr>
                <w:sz w:val="28"/>
                <w:szCs w:val="28"/>
                <w:lang w:val="uk-UA" w:eastAsia="en-US"/>
              </w:rPr>
              <w:t>-</w:t>
            </w:r>
            <w:r w:rsidRPr="00A02531">
              <w:rPr>
                <w:sz w:val="28"/>
                <w:szCs w:val="28"/>
                <w:lang w:eastAsia="en-US"/>
              </w:rPr>
              <w:t xml:space="preserve"> Т4св</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eastAsia="en-US"/>
              </w:rPr>
              <w:t>-</w:t>
            </w:r>
            <w:r w:rsidRPr="00A02531">
              <w:rPr>
                <w:sz w:val="28"/>
                <w:szCs w:val="28"/>
                <w:lang w:val="uk-UA" w:eastAsia="en-US"/>
              </w:rPr>
              <w:t>0</w:t>
            </w:r>
            <w:r w:rsidRPr="00A02531">
              <w:rPr>
                <w:sz w:val="28"/>
                <w:szCs w:val="28"/>
                <w:lang w:eastAsia="en-US"/>
              </w:rPr>
              <w:t>,395</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,013</w:t>
            </w:r>
          </w:p>
        </w:tc>
      </w:tr>
      <w:tr w:rsidR="00A02531" w:rsidRPr="00A02531" w:rsidTr="00E3259F">
        <w:trPr>
          <w:trHeight w:val="449"/>
        </w:trPr>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 xml:space="preserve">ф_стар </w:t>
            </w:r>
            <w:r w:rsidRPr="00A02531">
              <w:rPr>
                <w:sz w:val="28"/>
                <w:szCs w:val="28"/>
                <w:lang w:val="uk-UA" w:eastAsia="en-US"/>
              </w:rPr>
              <w:t>-</w:t>
            </w:r>
            <w:r w:rsidRPr="00A02531">
              <w:rPr>
                <w:sz w:val="28"/>
                <w:szCs w:val="28"/>
                <w:lang w:eastAsia="en-US"/>
              </w:rPr>
              <w:t xml:space="preserve"> Т4</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,389</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,014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w:t>
            </w:r>
            <w:r w:rsidRPr="00A02531">
              <w:rPr>
                <w:sz w:val="28"/>
                <w:szCs w:val="28"/>
                <w:lang w:eastAsia="en-US"/>
              </w:rPr>
              <w:t>стар</w:t>
            </w:r>
            <w:r w:rsidRPr="00A02531">
              <w:rPr>
                <w:sz w:val="28"/>
                <w:szCs w:val="28"/>
                <w:lang w:val="uk-UA" w:eastAsia="en-US"/>
              </w:rPr>
              <w:t>-</w:t>
            </w:r>
            <w:r w:rsidRPr="00A02531">
              <w:rPr>
                <w:sz w:val="28"/>
                <w:szCs w:val="28"/>
                <w:lang w:eastAsia="en-US"/>
              </w:rPr>
              <w:t>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,443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Ко</w:t>
            </w:r>
            <w:r w:rsidRPr="00A02531">
              <w:rPr>
                <w:sz w:val="28"/>
                <w:szCs w:val="28"/>
                <w:lang w:val="uk-UA" w:eastAsia="en-US"/>
              </w:rPr>
              <w:t>е</w:t>
            </w:r>
            <w:r w:rsidRPr="00A02531">
              <w:rPr>
                <w:sz w:val="28"/>
                <w:szCs w:val="28"/>
                <w:lang w:eastAsia="en-US"/>
              </w:rPr>
              <w:t>ф</w:t>
            </w:r>
            <w:r w:rsidRPr="00A02531">
              <w:rPr>
                <w:sz w:val="28"/>
                <w:szCs w:val="28"/>
                <w:lang w:val="uk-UA" w:eastAsia="en-US"/>
              </w:rPr>
              <w:t>.</w:t>
            </w:r>
            <w:r w:rsidRPr="00A02531">
              <w:rPr>
                <w:sz w:val="28"/>
                <w:szCs w:val="28"/>
                <w:lang w:eastAsia="en-US"/>
              </w:rPr>
              <w:t>стар</w:t>
            </w:r>
            <w:r w:rsidRPr="00A02531">
              <w:rPr>
                <w:sz w:val="28"/>
                <w:szCs w:val="28"/>
                <w:lang w:val="uk-UA" w:eastAsia="en-US"/>
              </w:rPr>
              <w:t>-</w:t>
            </w:r>
            <w:r w:rsidRPr="00A02531">
              <w:rPr>
                <w:sz w:val="28"/>
                <w:szCs w:val="28"/>
                <w:lang w:eastAsia="en-US"/>
              </w:rPr>
              <w:t>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,507</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HbA1</w:t>
            </w:r>
            <w:r w:rsidRPr="00A02531">
              <w:rPr>
                <w:sz w:val="28"/>
                <w:szCs w:val="28"/>
                <w:lang w:val="uk-UA" w:eastAsia="en-US"/>
              </w:rPr>
              <w:t>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274</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,03</w:t>
            </w:r>
            <w:r w:rsidRPr="00A02531">
              <w:rPr>
                <w:sz w:val="28"/>
                <w:szCs w:val="28"/>
                <w:lang w:val="uk-UA" w:eastAsia="en-US"/>
              </w:rPr>
              <w:t>4</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Т4</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,374</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,019</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462</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 xml:space="preserve">Інд.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559</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bl>
    <w:p w:rsidR="00952586" w:rsidRDefault="00952586">
      <w:pPr>
        <w:rPr>
          <w:lang w:val="uk-UA"/>
        </w:rPr>
      </w:pPr>
    </w:p>
    <w:p w:rsidR="00952586" w:rsidRDefault="00952586">
      <w:pPr>
        <w:rPr>
          <w:lang w:val="uk-UA"/>
        </w:rPr>
      </w:pPr>
    </w:p>
    <w:p w:rsidR="00952586" w:rsidRPr="00952586" w:rsidRDefault="00952586" w:rsidP="00952586">
      <w:pPr>
        <w:jc w:val="right"/>
        <w:rPr>
          <w:lang w:val="uk-UA"/>
        </w:rPr>
      </w:pPr>
      <w:r>
        <w:rPr>
          <w:i/>
          <w:spacing w:val="-2"/>
          <w:sz w:val="28"/>
          <w:szCs w:val="28"/>
        </w:rPr>
        <w:t>Продовження табл. 3.1</w:t>
      </w:r>
      <w:r>
        <w:rPr>
          <w:i/>
          <w:spacing w:val="-2"/>
          <w:sz w:val="28"/>
          <w:szCs w:val="28"/>
          <w:lang w:val="uk-UA"/>
        </w:rPr>
        <w:t>0</w:t>
      </w:r>
    </w:p>
    <w:tbl>
      <w:tblPr>
        <w:tblW w:w="0" w:type="auto"/>
        <w:tblLook w:val="04A0" w:firstRow="1" w:lastRow="0" w:firstColumn="1" w:lastColumn="0" w:noHBand="0" w:noVBand="1"/>
      </w:tblPr>
      <w:tblGrid>
        <w:gridCol w:w="4927"/>
        <w:gridCol w:w="2410"/>
        <w:gridCol w:w="2233"/>
      </w:tblGrid>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 -</w:t>
            </w:r>
            <w:r w:rsidRPr="00A02531">
              <w:rPr>
                <w:sz w:val="28"/>
                <w:szCs w:val="28"/>
                <w:lang w:eastAsia="en-US"/>
              </w:rPr>
              <w:t xml:space="preserve"> HbA1</w:t>
            </w:r>
            <w:r w:rsidRPr="00A02531">
              <w:rPr>
                <w:sz w:val="28"/>
                <w:szCs w:val="28"/>
                <w:lang w:val="uk-UA" w:eastAsia="en-US"/>
              </w:rPr>
              <w:t>с</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288</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,0</w:t>
            </w:r>
            <w:r w:rsidRPr="00A02531">
              <w:rPr>
                <w:sz w:val="28"/>
                <w:szCs w:val="28"/>
                <w:lang w:val="uk-UA" w:eastAsia="en-US"/>
              </w:rPr>
              <w:t>26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Т4</w:t>
            </w:r>
            <w:r w:rsidRPr="00A02531">
              <w:rPr>
                <w:sz w:val="28"/>
                <w:szCs w:val="28"/>
                <w:lang w:val="uk-UA" w:eastAsia="en-US"/>
              </w:rPr>
              <w:t>віл</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,383</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rPr>
                <w:sz w:val="28"/>
                <w:szCs w:val="28"/>
                <w:lang w:eastAsia="en-US"/>
              </w:rPr>
            </w:pPr>
            <w:r w:rsidRPr="00A02531">
              <w:rPr>
                <w:sz w:val="28"/>
                <w:szCs w:val="28"/>
                <w:lang w:val="uk-UA" w:eastAsia="en-US"/>
              </w:rPr>
              <w:t>0</w:t>
            </w:r>
            <w:r w:rsidRPr="00A02531">
              <w:rPr>
                <w:sz w:val="28"/>
                <w:szCs w:val="28"/>
                <w:lang w:eastAsia="en-US"/>
              </w:rPr>
              <w:t>,016</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СА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446</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r w:rsidR="00A02531" w:rsidRPr="00A02531" w:rsidTr="00E3259F">
        <w:tc>
          <w:tcPr>
            <w:tcW w:w="4927"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eastAsia="en-US"/>
              </w:rPr>
              <w:t>Кт</w:t>
            </w:r>
            <w:r w:rsidRPr="00A02531">
              <w:rPr>
                <w:sz w:val="28"/>
                <w:szCs w:val="28"/>
                <w:lang w:val="uk-UA" w:eastAsia="en-US"/>
              </w:rPr>
              <w:t xml:space="preserve">. швидкості </w:t>
            </w:r>
            <w:r w:rsidRPr="00A02531">
              <w:rPr>
                <w:sz w:val="28"/>
                <w:szCs w:val="28"/>
                <w:lang w:eastAsia="en-US"/>
              </w:rPr>
              <w:t>стар</w:t>
            </w:r>
            <w:r w:rsidRPr="00A02531">
              <w:rPr>
                <w:sz w:val="28"/>
                <w:szCs w:val="28"/>
                <w:lang w:val="uk-UA" w:eastAsia="en-US"/>
              </w:rPr>
              <w:t>іння-</w:t>
            </w:r>
            <w:r w:rsidRPr="00A02531">
              <w:rPr>
                <w:sz w:val="28"/>
                <w:szCs w:val="28"/>
                <w:lang w:eastAsia="en-US"/>
              </w:rPr>
              <w:t xml:space="preserve"> ПА</w:t>
            </w:r>
            <w:r w:rsidRPr="00A02531">
              <w:rPr>
                <w:sz w:val="28"/>
                <w:szCs w:val="28"/>
                <w:lang w:val="uk-UA" w:eastAsia="en-US"/>
              </w:rPr>
              <w:t>Т</w:t>
            </w:r>
          </w:p>
        </w:tc>
        <w:tc>
          <w:tcPr>
            <w:tcW w:w="2410"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eastAsia="en-US"/>
              </w:rPr>
            </w:pPr>
            <w:r w:rsidRPr="00A02531">
              <w:rPr>
                <w:sz w:val="28"/>
                <w:szCs w:val="28"/>
                <w:lang w:val="uk-UA" w:eastAsia="en-US"/>
              </w:rPr>
              <w:t>0</w:t>
            </w:r>
            <w:r w:rsidRPr="00A02531">
              <w:rPr>
                <w:sz w:val="28"/>
                <w:szCs w:val="28"/>
                <w:lang w:eastAsia="en-US"/>
              </w:rPr>
              <w:t>,</w:t>
            </w:r>
            <w:r w:rsidRPr="00A02531">
              <w:rPr>
                <w:sz w:val="28"/>
                <w:szCs w:val="28"/>
                <w:lang w:val="uk-UA" w:eastAsia="en-US"/>
              </w:rPr>
              <w:t>552</w:t>
            </w:r>
          </w:p>
        </w:tc>
        <w:tc>
          <w:tcPr>
            <w:tcW w:w="2233" w:type="dxa"/>
            <w:tcBorders>
              <w:top w:val="single" w:sz="4" w:space="0" w:color="auto"/>
              <w:left w:val="single" w:sz="4" w:space="0" w:color="auto"/>
              <w:bottom w:val="single" w:sz="4" w:space="0" w:color="auto"/>
              <w:right w:val="single" w:sz="4" w:space="0" w:color="auto"/>
            </w:tcBorders>
            <w:hideMark/>
          </w:tcPr>
          <w:p w:rsidR="00E3259F" w:rsidRPr="00A02531" w:rsidRDefault="00E3259F" w:rsidP="00A02531">
            <w:pPr>
              <w:spacing w:line="360" w:lineRule="auto"/>
              <w:jc w:val="both"/>
              <w:rPr>
                <w:sz w:val="28"/>
                <w:szCs w:val="28"/>
                <w:lang w:val="uk-UA" w:eastAsia="en-US"/>
              </w:rPr>
            </w:pPr>
            <w:r w:rsidRPr="00A02531">
              <w:rPr>
                <w:sz w:val="28"/>
                <w:szCs w:val="28"/>
                <w:lang w:val="uk-UA" w:eastAsia="en-US"/>
              </w:rPr>
              <w:t>0</w:t>
            </w:r>
            <w:r w:rsidRPr="00A02531">
              <w:rPr>
                <w:sz w:val="28"/>
                <w:szCs w:val="28"/>
                <w:lang w:eastAsia="en-US"/>
              </w:rPr>
              <w:t>,00</w:t>
            </w:r>
            <w:r w:rsidRPr="00A02531">
              <w:rPr>
                <w:sz w:val="28"/>
                <w:szCs w:val="28"/>
                <w:lang w:val="uk-UA" w:eastAsia="en-US"/>
              </w:rPr>
              <w:t>1</w:t>
            </w:r>
          </w:p>
        </w:tc>
      </w:tr>
    </w:tbl>
    <w:p w:rsidR="00E3259F" w:rsidRPr="00A02531" w:rsidRDefault="00E3259F" w:rsidP="00A02531">
      <w:pPr>
        <w:spacing w:line="360" w:lineRule="auto"/>
        <w:ind w:firstLine="709"/>
        <w:jc w:val="both"/>
        <w:rPr>
          <w:rStyle w:val="tlid-translation"/>
          <w:rFonts w:eastAsiaTheme="majorEastAsia"/>
          <w:sz w:val="28"/>
          <w:szCs w:val="28"/>
          <w:lang w:val="uk-UA" w:eastAsia="en-US"/>
        </w:rPr>
      </w:pPr>
    </w:p>
    <w:p w:rsidR="00E3259F" w:rsidRPr="00A02531" w:rsidRDefault="00E3259F" w:rsidP="00A02531">
      <w:pPr>
        <w:spacing w:line="360" w:lineRule="auto"/>
        <w:ind w:firstLine="709"/>
        <w:jc w:val="both"/>
        <w:rPr>
          <w:sz w:val="28"/>
          <w:szCs w:val="28"/>
        </w:rPr>
      </w:pPr>
    </w:p>
    <w:p w:rsidR="00E3259F" w:rsidRPr="00952586" w:rsidRDefault="00E3259F" w:rsidP="00952586">
      <w:pPr>
        <w:spacing w:line="360" w:lineRule="auto"/>
        <w:ind w:firstLine="709"/>
        <w:jc w:val="both"/>
        <w:rPr>
          <w:sz w:val="28"/>
          <w:szCs w:val="28"/>
          <w:lang w:val="uk-UA"/>
        </w:rPr>
      </w:pPr>
      <w:r w:rsidRPr="00952586">
        <w:rPr>
          <w:sz w:val="28"/>
          <w:szCs w:val="28"/>
          <w:lang w:val="uk-UA"/>
        </w:rPr>
        <w:t xml:space="preserve">Проведення кореляційного аналізу між віковими показниками, які характеризують темпи старіння, та метаболічними та антропометричними показниками залежно не тільки від діагнозу, але й вікової підгрупи, продемонстрував наявність достовірного позитивного зв’язку між параметрами АТ (САТ, ДАТ, ПАТ) та віковими показниками незалежно від патологічного процесу та вікової підгрупи, сила зв’язку в вікових підгрупах 44-60 років була вище (Таблиця 3.11). </w:t>
      </w:r>
    </w:p>
    <w:p w:rsidR="00E3259F" w:rsidRPr="00952586" w:rsidRDefault="00E3259F" w:rsidP="00952586">
      <w:pPr>
        <w:spacing w:line="360" w:lineRule="auto"/>
        <w:ind w:firstLine="709"/>
        <w:jc w:val="both"/>
        <w:rPr>
          <w:sz w:val="28"/>
          <w:szCs w:val="28"/>
          <w:lang w:val="uk-UA"/>
        </w:rPr>
      </w:pPr>
      <w:r w:rsidRPr="00952586">
        <w:rPr>
          <w:sz w:val="28"/>
          <w:szCs w:val="28"/>
          <w:lang w:val="uk-UA"/>
        </w:rPr>
        <w:t xml:space="preserve">У пацієнтів з коморбідною патологією віком від 44 до 60 років незалежно від функціонального стану ЩЗ були виявлені прямі кореляційні зв`язки між віковими показниками та МТ або ІМТ,  у більш старшої вікової підгрупі подібні зв`язки були знайдені лише в  групі 2. Серед показників вуглеводного обміну кореляційний зв’язок був виявлений лише між рівнем </w:t>
      </w:r>
      <w:r w:rsidRPr="00952586">
        <w:rPr>
          <w:sz w:val="28"/>
          <w:szCs w:val="28"/>
        </w:rPr>
        <w:t>HbA</w:t>
      </w:r>
      <w:r w:rsidRPr="00952586">
        <w:rPr>
          <w:sz w:val="28"/>
          <w:szCs w:val="28"/>
          <w:lang w:val="uk-UA"/>
        </w:rPr>
        <w:t xml:space="preserve">1с та віковими показниками в групах осіб з коморбідною патологією віком до 60 років, причому в пацієнтів без порушення функції ЩЗ зв ’язок був негативний, а при СГТ – мав позитивний характер.  </w:t>
      </w:r>
    </w:p>
    <w:p w:rsidR="00E3259F" w:rsidRPr="00952586" w:rsidRDefault="00E3259F" w:rsidP="00952586">
      <w:pPr>
        <w:spacing w:line="360" w:lineRule="auto"/>
        <w:ind w:firstLine="709"/>
        <w:jc w:val="both"/>
        <w:rPr>
          <w:sz w:val="22"/>
          <w:szCs w:val="22"/>
        </w:rPr>
      </w:pPr>
      <w:r w:rsidRPr="00952586">
        <w:rPr>
          <w:sz w:val="28"/>
          <w:szCs w:val="28"/>
          <w:lang w:val="uk-UA"/>
        </w:rPr>
        <w:t xml:space="preserve">У віковій категорії 61-75 років кореляційні зв`язки позитивного характеру були виявлені між віковими показниками й рівнями </w:t>
      </w:r>
      <w:r w:rsidRPr="00952586">
        <w:rPr>
          <w:sz w:val="28"/>
          <w:szCs w:val="28"/>
        </w:rPr>
        <w:t>HbA</w:t>
      </w:r>
      <w:r w:rsidRPr="00952586">
        <w:rPr>
          <w:sz w:val="28"/>
          <w:szCs w:val="28"/>
          <w:lang w:val="uk-UA"/>
        </w:rPr>
        <w:t>1с та глюкози натще тільки при неушкодженій функції ЩЗ незалежно від діагнозу в групі. Наявність кореляційного зв`язку між індексом НОМА-І</w:t>
      </w:r>
      <w:r w:rsidRPr="00952586">
        <w:rPr>
          <w:sz w:val="28"/>
          <w:szCs w:val="28"/>
          <w:lang w:val="en-US"/>
        </w:rPr>
        <w:t>R</w:t>
      </w:r>
      <w:r w:rsidRPr="00952586">
        <w:rPr>
          <w:sz w:val="28"/>
          <w:szCs w:val="28"/>
          <w:lang w:val="uk-UA"/>
        </w:rPr>
        <w:t xml:space="preserve"> була виявлена в групі з ГХ та ЦД 2 типу, причому у віковій групі 44-60 років цей зв`язок мав негативний характер (БВ- НОМА-</w:t>
      </w:r>
      <w:r w:rsidRPr="00952586">
        <w:rPr>
          <w:sz w:val="28"/>
          <w:szCs w:val="28"/>
          <w:lang w:val="en-US"/>
        </w:rPr>
        <w:t>IR</w:t>
      </w:r>
      <w:r w:rsidRPr="00952586">
        <w:rPr>
          <w:sz w:val="28"/>
          <w:szCs w:val="28"/>
          <w:lang w:val="uk-UA"/>
        </w:rPr>
        <w:t xml:space="preserve"> (</w:t>
      </w:r>
      <w:r w:rsidRPr="00952586">
        <w:rPr>
          <w:sz w:val="28"/>
          <w:szCs w:val="28"/>
          <w:lang w:val="en-US"/>
        </w:rPr>
        <w:t>r</w:t>
      </w:r>
      <w:r w:rsidRPr="00952586">
        <w:rPr>
          <w:sz w:val="28"/>
          <w:szCs w:val="28"/>
          <w:lang w:val="uk-UA"/>
        </w:rPr>
        <w:t>=-0,386,р=0,013), Інд. швидкості старіння- НОМА-IR (</w:t>
      </w:r>
      <w:r w:rsidRPr="00952586">
        <w:rPr>
          <w:sz w:val="28"/>
          <w:szCs w:val="28"/>
          <w:lang w:val="en-US"/>
        </w:rPr>
        <w:t>r</w:t>
      </w:r>
      <w:r w:rsidRPr="00952586">
        <w:rPr>
          <w:sz w:val="28"/>
          <w:szCs w:val="28"/>
          <w:lang w:val="uk-UA"/>
        </w:rPr>
        <w:t>=-0,401,р=0,009), Кт.швидкості старіння - НОМА-</w:t>
      </w:r>
      <w:r w:rsidRPr="00952586">
        <w:rPr>
          <w:sz w:val="28"/>
          <w:szCs w:val="28"/>
          <w:lang w:val="en-US"/>
        </w:rPr>
        <w:t>IR</w:t>
      </w:r>
      <w:r w:rsidRPr="00952586">
        <w:rPr>
          <w:sz w:val="28"/>
          <w:szCs w:val="28"/>
          <w:lang w:val="uk-UA"/>
        </w:rPr>
        <w:t xml:space="preserve"> (</w:t>
      </w:r>
      <w:r w:rsidRPr="00952586">
        <w:rPr>
          <w:sz w:val="28"/>
          <w:szCs w:val="28"/>
          <w:lang w:val="en-US"/>
        </w:rPr>
        <w:t>r</w:t>
      </w:r>
      <w:r w:rsidRPr="00952586">
        <w:rPr>
          <w:sz w:val="28"/>
          <w:szCs w:val="28"/>
          <w:lang w:val="uk-UA"/>
        </w:rPr>
        <w:t>=-0,406,р=0,008), а в більш старшій групі – позитивний характер (Інд.швидкості старіння-НОМА-І</w:t>
      </w:r>
      <w:r w:rsidRPr="00952586">
        <w:rPr>
          <w:sz w:val="28"/>
          <w:szCs w:val="28"/>
          <w:lang w:val="en-US"/>
        </w:rPr>
        <w:t>R</w:t>
      </w:r>
      <w:r w:rsidRPr="00952586">
        <w:rPr>
          <w:sz w:val="28"/>
          <w:szCs w:val="28"/>
          <w:lang w:val="uk-UA"/>
        </w:rPr>
        <w:t xml:space="preserve"> (</w:t>
      </w:r>
      <w:r w:rsidRPr="00952586">
        <w:rPr>
          <w:sz w:val="28"/>
          <w:szCs w:val="28"/>
          <w:lang w:val="en-US"/>
        </w:rPr>
        <w:t>r</w:t>
      </w:r>
      <w:r w:rsidRPr="00952586">
        <w:rPr>
          <w:sz w:val="28"/>
          <w:szCs w:val="28"/>
          <w:lang w:val="uk-UA"/>
        </w:rPr>
        <w:t>=0,365, р=0,001). Були виявлені достовірні кореляційні зв’язки негативного характеру між такими показниками ліпідного обміну та віковими показниками: ХС ЛПВЩ у групі 1 та ЗХС, ХС ЛПНЩ – у 2 групі незалежно від вікової категорії. У групі поєднаного перебігу ГХ, ЦД 2 типу та СГТ кореляційних зв`язків між віковими показниками та показниками ліпідного обміну виявлено не було незалежно від вікової підгрупи пацієнтів. В групі ГХ, ЦД 2 типу та СГТ було виявлено наявність кореляційного зв`язку між рівнем ТТГ та віковими показниками, проте у віковій підгрупі 44-60 років цей зв`язок носив прямий характер (</w:t>
      </w:r>
      <w:r w:rsidRPr="00952586">
        <w:rPr>
          <w:sz w:val="28"/>
          <w:szCs w:val="28"/>
          <w:lang w:val="en-US"/>
        </w:rPr>
        <w:t>r</w:t>
      </w:r>
      <w:r w:rsidRPr="00952586">
        <w:rPr>
          <w:sz w:val="28"/>
          <w:szCs w:val="28"/>
          <w:lang w:val="uk-UA"/>
        </w:rPr>
        <w:t>=0,466, р=0,033), а у віковій підгрупі 61-75 рік – зворотний                   (</w:t>
      </w:r>
      <w:r w:rsidRPr="00952586">
        <w:rPr>
          <w:sz w:val="28"/>
          <w:szCs w:val="28"/>
          <w:lang w:val="en-US"/>
        </w:rPr>
        <w:t>r</w:t>
      </w:r>
      <w:r w:rsidRPr="00952586">
        <w:rPr>
          <w:sz w:val="28"/>
          <w:szCs w:val="28"/>
          <w:lang w:val="uk-UA"/>
        </w:rPr>
        <w:t xml:space="preserve">=-0,344, р=0,032). Кореляційного зв’язку з іншими показниками ліпідного, вуглеводного, тиреоїдного обміну, а також антропометричними показниками знайдено не було.  </w:t>
      </w:r>
    </w:p>
    <w:p w:rsidR="00E3259F" w:rsidRPr="00952586" w:rsidRDefault="00E3259F" w:rsidP="00952586">
      <w:pPr>
        <w:spacing w:line="360" w:lineRule="auto"/>
        <w:jc w:val="right"/>
        <w:rPr>
          <w:sz w:val="28"/>
          <w:szCs w:val="28"/>
          <w:lang w:val="uk-UA"/>
        </w:rPr>
      </w:pPr>
    </w:p>
    <w:p w:rsidR="00E3259F" w:rsidRPr="00952586" w:rsidRDefault="00E3259F" w:rsidP="00952586">
      <w:pPr>
        <w:spacing w:line="360" w:lineRule="auto"/>
        <w:jc w:val="right"/>
        <w:rPr>
          <w:rFonts w:eastAsiaTheme="minorHAnsi"/>
          <w:sz w:val="28"/>
          <w:szCs w:val="28"/>
          <w:lang w:val="uk-UA" w:eastAsia="en-US"/>
        </w:rPr>
      </w:pPr>
      <w:r w:rsidRPr="00952586">
        <w:rPr>
          <w:sz w:val="28"/>
          <w:szCs w:val="28"/>
          <w:lang w:val="uk-UA"/>
        </w:rPr>
        <w:t xml:space="preserve"> Таблиця 3.11</w:t>
      </w:r>
    </w:p>
    <w:p w:rsidR="00E3259F" w:rsidRPr="00952586" w:rsidRDefault="00E3259F" w:rsidP="00952586">
      <w:pPr>
        <w:spacing w:line="360" w:lineRule="auto"/>
        <w:jc w:val="center"/>
        <w:rPr>
          <w:sz w:val="28"/>
          <w:szCs w:val="28"/>
          <w:lang w:val="uk-UA"/>
        </w:rPr>
      </w:pPr>
      <w:r w:rsidRPr="00952586">
        <w:rPr>
          <w:sz w:val="28"/>
          <w:szCs w:val="28"/>
          <w:lang w:val="uk-UA"/>
        </w:rPr>
        <w:t>Кореляційний аналіз між віковими показниками, які характеризують ступінь старіння, та метаболічними й антропометричними показниками в досліджуваних групах пацієнтів  залежно від вікової підгрупи</w:t>
      </w:r>
    </w:p>
    <w:p w:rsidR="00E3259F" w:rsidRPr="00952586" w:rsidRDefault="00E3259F" w:rsidP="00952586">
      <w:pPr>
        <w:spacing w:line="360" w:lineRule="auto"/>
        <w:jc w:val="both"/>
        <w:rPr>
          <w:sz w:val="28"/>
          <w:szCs w:val="28"/>
          <w:lang w:val="uk-UA"/>
        </w:rPr>
      </w:pPr>
    </w:p>
    <w:tbl>
      <w:tblPr>
        <w:tblW w:w="5000" w:type="pct"/>
        <w:tblLook w:val="04A0" w:firstRow="1" w:lastRow="0" w:firstColumn="1" w:lastColumn="0" w:noHBand="0" w:noVBand="1"/>
      </w:tblPr>
      <w:tblGrid>
        <w:gridCol w:w="4643"/>
        <w:gridCol w:w="2693"/>
        <w:gridCol w:w="2234"/>
      </w:tblGrid>
      <w:tr w:rsidR="00E3259F" w:rsidRPr="00952586"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center"/>
              <w:rPr>
                <w:color w:val="000000"/>
                <w:sz w:val="28"/>
                <w:szCs w:val="28"/>
                <w:lang w:val="uk-UA" w:eastAsia="en-US"/>
              </w:rPr>
            </w:pPr>
            <w:r w:rsidRPr="00952586">
              <w:rPr>
                <w:bCs/>
                <w:sz w:val="28"/>
                <w:szCs w:val="28"/>
                <w:lang w:eastAsia="en-US"/>
              </w:rPr>
              <w:t>В</w:t>
            </w:r>
            <w:r w:rsidRPr="00952586">
              <w:rPr>
                <w:bCs/>
                <w:sz w:val="28"/>
                <w:szCs w:val="28"/>
                <w:lang w:val="uk-UA" w:eastAsia="en-US"/>
              </w:rPr>
              <w:t>ікова підгрупа І (44 -</w:t>
            </w:r>
            <w:r w:rsidRPr="00952586">
              <w:rPr>
                <w:bCs/>
                <w:sz w:val="28"/>
                <w:szCs w:val="28"/>
                <w:lang w:eastAsia="en-US"/>
              </w:rPr>
              <w:t xml:space="preserve"> 60</w:t>
            </w:r>
            <w:r w:rsidRPr="00952586">
              <w:rPr>
                <w:bCs/>
                <w:sz w:val="28"/>
                <w:szCs w:val="28"/>
                <w:lang w:val="uk-UA" w:eastAsia="en-US"/>
              </w:rPr>
              <w:t xml:space="preserve"> років)</w:t>
            </w:r>
          </w:p>
        </w:tc>
      </w:tr>
      <w:tr w:rsidR="00E3259F" w:rsidRPr="00952586"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center"/>
              <w:rPr>
                <w:sz w:val="28"/>
                <w:szCs w:val="28"/>
                <w:lang w:val="uk-UA" w:eastAsia="en-US"/>
              </w:rPr>
            </w:pPr>
            <w:r w:rsidRPr="00952586">
              <w:rPr>
                <w:sz w:val="28"/>
                <w:szCs w:val="28"/>
                <w:lang w:val="uk-UA" w:eastAsia="en-US"/>
              </w:rPr>
              <w:t>1 група</w:t>
            </w:r>
          </w:p>
        </w:tc>
      </w:tr>
      <w:tr w:rsidR="00E3259F" w:rsidRPr="00952586" w:rsidTr="00E3259F">
        <w:trPr>
          <w:trHeight w:val="755"/>
        </w:trPr>
        <w:tc>
          <w:tcPr>
            <w:tcW w:w="2426" w:type="pct"/>
            <w:tcBorders>
              <w:top w:val="single" w:sz="4" w:space="0" w:color="auto"/>
              <w:left w:val="single" w:sz="4" w:space="0" w:color="auto"/>
              <w:bottom w:val="single" w:sz="4" w:space="0" w:color="auto"/>
              <w:right w:val="single" w:sz="4" w:space="0" w:color="auto"/>
            </w:tcBorders>
            <w:hideMark/>
          </w:tcPr>
          <w:p w:rsidR="00E3259F" w:rsidRPr="004E7365" w:rsidRDefault="00E3259F" w:rsidP="00952586">
            <w:pPr>
              <w:widowControl w:val="0"/>
              <w:autoSpaceDE w:val="0"/>
              <w:autoSpaceDN w:val="0"/>
              <w:adjustRightInd w:val="0"/>
              <w:spacing w:line="360" w:lineRule="auto"/>
              <w:jc w:val="both"/>
              <w:rPr>
                <w:color w:val="000000"/>
                <w:sz w:val="28"/>
                <w:szCs w:val="28"/>
                <w:lang w:eastAsia="en-US"/>
              </w:rPr>
            </w:pPr>
            <w:r w:rsidRPr="004E7365">
              <w:rPr>
                <w:color w:val="000000"/>
                <w:sz w:val="28"/>
                <w:szCs w:val="28"/>
                <w:lang w:val="uk-UA" w:eastAsia="en-US"/>
              </w:rPr>
              <w:t>Показники</w:t>
            </w:r>
          </w:p>
        </w:tc>
        <w:tc>
          <w:tcPr>
            <w:tcW w:w="1407" w:type="pct"/>
            <w:tcBorders>
              <w:top w:val="single" w:sz="4" w:space="0" w:color="auto"/>
              <w:left w:val="single" w:sz="4" w:space="0" w:color="auto"/>
              <w:bottom w:val="single" w:sz="4" w:space="0" w:color="auto"/>
              <w:right w:val="single" w:sz="4" w:space="0" w:color="auto"/>
            </w:tcBorders>
            <w:hideMark/>
          </w:tcPr>
          <w:p w:rsidR="00E3259F" w:rsidRPr="004E7365" w:rsidRDefault="00E3259F" w:rsidP="00952586">
            <w:pPr>
              <w:spacing w:line="360" w:lineRule="auto"/>
              <w:jc w:val="both"/>
              <w:rPr>
                <w:sz w:val="28"/>
                <w:szCs w:val="28"/>
                <w:lang w:val="en-US" w:eastAsia="en-US"/>
              </w:rPr>
            </w:pPr>
            <w:r w:rsidRPr="004E7365">
              <w:rPr>
                <w:sz w:val="28"/>
                <w:szCs w:val="28"/>
                <w:lang w:val="uk-UA" w:eastAsia="en-US"/>
              </w:rPr>
              <w:t>Коефіцієнт к</w:t>
            </w:r>
            <w:r w:rsidRPr="004E7365">
              <w:rPr>
                <w:sz w:val="28"/>
                <w:szCs w:val="28"/>
                <w:lang w:eastAsia="en-US"/>
              </w:rPr>
              <w:t>ореляц</w:t>
            </w:r>
            <w:r w:rsidRPr="004E7365">
              <w:rPr>
                <w:sz w:val="28"/>
                <w:szCs w:val="28"/>
                <w:lang w:val="uk-UA" w:eastAsia="en-US"/>
              </w:rPr>
              <w:t>ії</w:t>
            </w:r>
            <w:r w:rsidRPr="004E7365">
              <w:rPr>
                <w:sz w:val="28"/>
                <w:szCs w:val="28"/>
                <w:lang w:eastAsia="en-US"/>
              </w:rPr>
              <w:t xml:space="preserve"> П</w:t>
            </w:r>
            <w:r w:rsidRPr="004E7365">
              <w:rPr>
                <w:sz w:val="28"/>
                <w:szCs w:val="28"/>
                <w:lang w:val="uk-UA" w:eastAsia="en-US"/>
              </w:rPr>
              <w:t>і</w:t>
            </w:r>
            <w:r w:rsidRPr="004E7365">
              <w:rPr>
                <w:sz w:val="28"/>
                <w:szCs w:val="28"/>
                <w:lang w:eastAsia="en-US"/>
              </w:rPr>
              <w:t>рсона</w:t>
            </w:r>
            <w:r w:rsidRPr="004E7365">
              <w:rPr>
                <w:sz w:val="28"/>
                <w:szCs w:val="28"/>
                <w:lang w:val="uk-UA" w:eastAsia="en-US"/>
              </w:rPr>
              <w:t>,</w:t>
            </w:r>
            <w:r w:rsidRPr="004E7365">
              <w:rPr>
                <w:sz w:val="28"/>
                <w:szCs w:val="28"/>
                <w:lang w:val="en-US" w:eastAsia="en-US"/>
              </w:rPr>
              <w:t xml:space="preserve"> r</w:t>
            </w:r>
          </w:p>
        </w:tc>
        <w:tc>
          <w:tcPr>
            <w:tcW w:w="1167" w:type="pct"/>
            <w:tcBorders>
              <w:top w:val="single" w:sz="4" w:space="0" w:color="auto"/>
              <w:left w:val="single" w:sz="4" w:space="0" w:color="auto"/>
              <w:bottom w:val="single" w:sz="4" w:space="0" w:color="auto"/>
              <w:right w:val="single" w:sz="4" w:space="0" w:color="auto"/>
            </w:tcBorders>
            <w:hideMark/>
          </w:tcPr>
          <w:p w:rsidR="00E3259F" w:rsidRPr="004E7365" w:rsidRDefault="00E3259F" w:rsidP="00952586">
            <w:pPr>
              <w:spacing w:line="360" w:lineRule="auto"/>
              <w:jc w:val="both"/>
              <w:rPr>
                <w:sz w:val="28"/>
                <w:szCs w:val="28"/>
                <w:lang w:eastAsia="en-US"/>
              </w:rPr>
            </w:pPr>
            <w:r w:rsidRPr="004E7365">
              <w:rPr>
                <w:sz w:val="28"/>
                <w:szCs w:val="28"/>
                <w:lang w:val="uk-UA" w:eastAsia="en-US"/>
              </w:rPr>
              <w:t>Рівень з</w:t>
            </w:r>
            <w:r w:rsidRPr="004E7365">
              <w:rPr>
                <w:sz w:val="28"/>
                <w:szCs w:val="28"/>
                <w:lang w:eastAsia="en-US"/>
              </w:rPr>
              <w:t>нач</w:t>
            </w:r>
            <w:r w:rsidRPr="004E7365">
              <w:rPr>
                <w:sz w:val="28"/>
                <w:szCs w:val="28"/>
                <w:lang w:val="uk-UA" w:eastAsia="en-US"/>
              </w:rPr>
              <w:t>ущості, р</w:t>
            </w:r>
          </w:p>
        </w:tc>
      </w:tr>
      <w:tr w:rsidR="00E3259F" w:rsidRPr="00952586" w:rsidTr="00E3259F">
        <w:tc>
          <w:tcPr>
            <w:tcW w:w="2426"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БВ-ХСЛПВЩ</w:t>
            </w:r>
          </w:p>
        </w:tc>
        <w:tc>
          <w:tcPr>
            <w:tcW w:w="140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,679</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val="uk-UA" w:eastAsia="en-US"/>
              </w:rPr>
              <w:t>0</w:t>
            </w:r>
            <w:r w:rsidRPr="00952586">
              <w:rPr>
                <w:color w:val="000000"/>
                <w:sz w:val="28"/>
                <w:szCs w:val="28"/>
                <w:lang w:eastAsia="en-US"/>
              </w:rPr>
              <w:t>,031</w:t>
            </w:r>
          </w:p>
        </w:tc>
      </w:tr>
      <w:tr w:rsidR="00E3259F" w:rsidRPr="00952586" w:rsidTr="00E3259F">
        <w:tc>
          <w:tcPr>
            <w:tcW w:w="2426"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БВ-ПАТ</w:t>
            </w:r>
          </w:p>
        </w:tc>
        <w:tc>
          <w:tcPr>
            <w:tcW w:w="140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val="uk-UA" w:eastAsia="en-US"/>
              </w:rPr>
              <w:t>0</w:t>
            </w:r>
            <w:r w:rsidRPr="00952586">
              <w:rPr>
                <w:color w:val="000000"/>
                <w:sz w:val="28"/>
                <w:szCs w:val="28"/>
                <w:lang w:eastAsia="en-US"/>
              </w:rPr>
              <w:t>,723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val="uk-UA" w:eastAsia="en-US"/>
              </w:rPr>
              <w:t>0</w:t>
            </w:r>
            <w:r w:rsidRPr="00952586">
              <w:rPr>
                <w:color w:val="000000"/>
                <w:sz w:val="28"/>
                <w:szCs w:val="28"/>
                <w:lang w:eastAsia="en-US"/>
              </w:rPr>
              <w:t>,018</w:t>
            </w:r>
          </w:p>
        </w:tc>
      </w:tr>
      <w:tr w:rsidR="00E3259F" w:rsidRPr="00952586" w:rsidTr="00E3259F">
        <w:tc>
          <w:tcPr>
            <w:tcW w:w="2426"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іння-ХС ЛПВЩ</w:t>
            </w:r>
          </w:p>
        </w:tc>
        <w:tc>
          <w:tcPr>
            <w:tcW w:w="140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,635</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val="uk-UA" w:eastAsia="en-US"/>
              </w:rPr>
              <w:t>0</w:t>
            </w:r>
            <w:r w:rsidRPr="00952586">
              <w:rPr>
                <w:color w:val="000000"/>
                <w:sz w:val="28"/>
                <w:szCs w:val="28"/>
                <w:lang w:eastAsia="en-US"/>
              </w:rPr>
              <w:t>,049</w:t>
            </w:r>
          </w:p>
        </w:tc>
      </w:tr>
      <w:tr w:rsidR="00E3259F" w:rsidRPr="00952586" w:rsidTr="00E3259F">
        <w:tc>
          <w:tcPr>
            <w:tcW w:w="2426"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sz w:val="28"/>
                <w:szCs w:val="28"/>
                <w:lang w:eastAsia="en-US"/>
              </w:rPr>
              <w:t xml:space="preserve"> НОМА-</w:t>
            </w:r>
            <w:r w:rsidRPr="00952586">
              <w:rPr>
                <w:sz w:val="28"/>
                <w:szCs w:val="28"/>
                <w:lang w:val="en-US" w:eastAsia="en-US"/>
              </w:rPr>
              <w:t>IR</w:t>
            </w:r>
          </w:p>
        </w:tc>
        <w:tc>
          <w:tcPr>
            <w:tcW w:w="140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,732</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,016</w:t>
            </w:r>
          </w:p>
        </w:tc>
      </w:tr>
      <w:tr w:rsidR="00E3259F" w:rsidRPr="00952586" w:rsidTr="00E3259F">
        <w:tc>
          <w:tcPr>
            <w:tcW w:w="2426"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Т3</w:t>
            </w:r>
            <w:r w:rsidRPr="00952586">
              <w:rPr>
                <w:color w:val="000000"/>
                <w:sz w:val="28"/>
                <w:szCs w:val="28"/>
                <w:lang w:val="uk-UA" w:eastAsia="en-US"/>
              </w:rPr>
              <w:t>віл</w:t>
            </w:r>
          </w:p>
        </w:tc>
        <w:tc>
          <w:tcPr>
            <w:tcW w:w="140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,702</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,024</w:t>
            </w:r>
          </w:p>
        </w:tc>
      </w:tr>
      <w:tr w:rsidR="00E3259F" w:rsidRPr="00952586" w:rsidTr="00E3259F">
        <w:tc>
          <w:tcPr>
            <w:tcW w:w="2426"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іння-САТ</w:t>
            </w:r>
          </w:p>
        </w:tc>
        <w:tc>
          <w:tcPr>
            <w:tcW w:w="140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,631</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,050</w:t>
            </w:r>
          </w:p>
        </w:tc>
      </w:tr>
    </w:tbl>
    <w:p w:rsidR="00E3259F" w:rsidRPr="00952586" w:rsidRDefault="00E3259F" w:rsidP="00952586">
      <w:pPr>
        <w:spacing w:line="360" w:lineRule="auto"/>
        <w:rPr>
          <w:sz w:val="28"/>
          <w:szCs w:val="28"/>
          <w:lang w:val="uk-UA"/>
        </w:rPr>
      </w:pPr>
    </w:p>
    <w:p w:rsidR="00E3259F" w:rsidRPr="00952586" w:rsidRDefault="00E3259F" w:rsidP="00952586">
      <w:pPr>
        <w:spacing w:line="360" w:lineRule="auto"/>
        <w:jc w:val="right"/>
        <w:rPr>
          <w:sz w:val="28"/>
          <w:szCs w:val="28"/>
        </w:rPr>
      </w:pPr>
      <w:r w:rsidRPr="00952586">
        <w:rPr>
          <w:i/>
          <w:spacing w:val="-2"/>
          <w:sz w:val="28"/>
          <w:szCs w:val="28"/>
        </w:rPr>
        <w:t>Продовження табл. 3.11</w:t>
      </w:r>
    </w:p>
    <w:tbl>
      <w:tblPr>
        <w:tblW w:w="5000" w:type="pct"/>
        <w:tblLook w:val="04A0" w:firstRow="1" w:lastRow="0" w:firstColumn="1" w:lastColumn="0" w:noHBand="0" w:noVBand="1"/>
      </w:tblPr>
      <w:tblGrid>
        <w:gridCol w:w="4785"/>
        <w:gridCol w:w="2551"/>
        <w:gridCol w:w="2234"/>
      </w:tblGrid>
      <w:tr w:rsidR="00E3259F" w:rsidRPr="00952586"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center"/>
              <w:rPr>
                <w:bCs/>
                <w:sz w:val="28"/>
                <w:szCs w:val="28"/>
                <w:lang w:val="uk-UA" w:eastAsia="en-US"/>
              </w:rPr>
            </w:pPr>
            <w:r w:rsidRPr="00952586">
              <w:rPr>
                <w:bCs/>
                <w:sz w:val="28"/>
                <w:szCs w:val="28"/>
                <w:lang w:val="uk-UA" w:eastAsia="en-US"/>
              </w:rPr>
              <w:t>2 група</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БВ</w:t>
            </w:r>
            <w:r w:rsidRPr="00952586">
              <w:rPr>
                <w:sz w:val="28"/>
                <w:szCs w:val="28"/>
                <w:lang w:val="uk-UA" w:eastAsia="en-US"/>
              </w:rPr>
              <w:t>-І</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,361</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,021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БВ-ЗХС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,381</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,014</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БВ-</w:t>
            </w:r>
            <w:r w:rsidRPr="00952586">
              <w:rPr>
                <w:color w:val="000000"/>
                <w:sz w:val="28"/>
                <w:szCs w:val="28"/>
                <w:lang w:eastAsia="en-US"/>
              </w:rPr>
              <w:t>Х</w:t>
            </w:r>
            <w:r w:rsidRPr="00952586">
              <w:rPr>
                <w:color w:val="000000"/>
                <w:sz w:val="28"/>
                <w:szCs w:val="28"/>
                <w:lang w:val="uk-UA" w:eastAsia="en-US"/>
              </w:rPr>
              <w:t xml:space="preserve">С </w:t>
            </w:r>
            <w:r w:rsidRPr="00952586">
              <w:rPr>
                <w:color w:val="000000"/>
                <w:sz w:val="28"/>
                <w:szCs w:val="28"/>
                <w:lang w:eastAsia="en-US"/>
              </w:rPr>
              <w:t>ЛПН</w:t>
            </w:r>
            <w:r w:rsidRPr="00952586">
              <w:rPr>
                <w:color w:val="000000"/>
                <w:sz w:val="28"/>
                <w:szCs w:val="28"/>
                <w:lang w:val="uk-UA" w:eastAsia="en-US"/>
              </w:rPr>
              <w:t>Щ</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,348</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,026</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БВ</w:t>
            </w:r>
            <w:r w:rsidRPr="00952586">
              <w:rPr>
                <w:sz w:val="28"/>
                <w:szCs w:val="28"/>
                <w:lang w:val="uk-UA" w:eastAsia="en-US"/>
              </w:rPr>
              <w:t>-</w:t>
            </w:r>
            <w:r w:rsidRPr="00952586">
              <w:rPr>
                <w:sz w:val="28"/>
                <w:szCs w:val="28"/>
                <w:lang w:eastAsia="en-US"/>
              </w:rPr>
              <w:t xml:space="preserve"> HbA1</w:t>
            </w:r>
            <w:r w:rsidRPr="00952586">
              <w:rPr>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w:t>
            </w:r>
            <w:r w:rsidRPr="00952586">
              <w:rPr>
                <w:sz w:val="28"/>
                <w:szCs w:val="28"/>
                <w:lang w:val="uk-UA" w:eastAsia="en-US"/>
              </w:rPr>
              <w:t>0</w:t>
            </w:r>
            <w:r w:rsidRPr="00952586">
              <w:rPr>
                <w:sz w:val="28"/>
                <w:szCs w:val="28"/>
                <w:lang w:eastAsia="en-US"/>
              </w:rPr>
              <w:t>,</w:t>
            </w:r>
            <w:r w:rsidRPr="00952586">
              <w:rPr>
                <w:sz w:val="28"/>
                <w:szCs w:val="28"/>
                <w:lang w:val="uk-UA" w:eastAsia="en-US"/>
              </w:rPr>
              <w:t>526</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w:t>
            </w:r>
            <w:r w:rsidRPr="00952586">
              <w:rPr>
                <w:sz w:val="28"/>
                <w:szCs w:val="28"/>
                <w:lang w:val="uk-UA" w:eastAsia="en-US"/>
              </w:rPr>
              <w:t>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color w:val="000000"/>
                <w:sz w:val="28"/>
                <w:szCs w:val="28"/>
                <w:lang w:val="uk-UA" w:eastAsia="en-US"/>
              </w:rPr>
              <w:t>БВ-</w:t>
            </w:r>
            <w:r w:rsidRPr="00952586">
              <w:rPr>
                <w:sz w:val="28"/>
                <w:szCs w:val="28"/>
                <w:lang w:eastAsia="en-US"/>
              </w:rPr>
              <w:t xml:space="preserve"> НОМА-</w:t>
            </w:r>
            <w:r w:rsidRPr="00952586">
              <w:rPr>
                <w:sz w:val="28"/>
                <w:szCs w:val="28"/>
                <w:lang w:val="en-US" w:eastAsia="en-US"/>
              </w:rPr>
              <w:t>IR</w:t>
            </w:r>
            <w:r w:rsidRPr="00952586">
              <w:rPr>
                <w:color w:val="000000"/>
                <w:sz w:val="28"/>
                <w:szCs w:val="28"/>
                <w:lang w:val="uk-UA" w:eastAsia="en-US"/>
              </w:rPr>
              <w:t xml:space="preserve"> </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,386</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,013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БВ</w:t>
            </w:r>
            <w:r w:rsidRPr="00952586">
              <w:rPr>
                <w:sz w:val="28"/>
                <w:szCs w:val="28"/>
                <w:lang w:val="uk-UA" w:eastAsia="en-US"/>
              </w:rPr>
              <w:t>-</w:t>
            </w:r>
            <w:r w:rsidRPr="00952586">
              <w:rPr>
                <w:sz w:val="28"/>
                <w:szCs w:val="28"/>
                <w:lang w:eastAsia="en-US"/>
              </w:rPr>
              <w:t xml:space="preserve"> СА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485</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w:t>
            </w:r>
            <w:r w:rsidRPr="00952586">
              <w:rPr>
                <w:sz w:val="28"/>
                <w:szCs w:val="28"/>
                <w:lang w:val="uk-UA" w:eastAsia="en-US"/>
              </w:rPr>
              <w:t>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БВ</w:t>
            </w:r>
            <w:r w:rsidRPr="00952586">
              <w:rPr>
                <w:sz w:val="28"/>
                <w:szCs w:val="28"/>
                <w:lang w:val="uk-UA" w:eastAsia="en-US"/>
              </w:rPr>
              <w:t>-</w:t>
            </w:r>
            <w:r w:rsidRPr="00952586">
              <w:rPr>
                <w:sz w:val="28"/>
                <w:szCs w:val="28"/>
                <w:lang w:eastAsia="en-US"/>
              </w:rPr>
              <w:t xml:space="preserve"> ДА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850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color w:val="000000"/>
                <w:sz w:val="28"/>
                <w:szCs w:val="28"/>
                <w:lang w:val="uk-UA" w:eastAsia="en-US"/>
              </w:rPr>
              <w:t>БВ-ПАТ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,420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,006</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w:t>
            </w:r>
            <w:r w:rsidRPr="00952586">
              <w:rPr>
                <w:sz w:val="28"/>
                <w:szCs w:val="28"/>
                <w:lang w:eastAsia="en-US"/>
              </w:rPr>
              <w:t>стар</w:t>
            </w:r>
            <w:r w:rsidRPr="00952586">
              <w:rPr>
                <w:sz w:val="28"/>
                <w:szCs w:val="28"/>
                <w:lang w:val="uk-UA" w:eastAsia="en-US"/>
              </w:rPr>
              <w:t>.-</w:t>
            </w:r>
            <w:r w:rsidRPr="00952586">
              <w:rPr>
                <w:color w:val="000000"/>
                <w:sz w:val="28"/>
                <w:szCs w:val="28"/>
                <w:lang w:eastAsia="en-US"/>
              </w:rPr>
              <w:t>HbA1</w:t>
            </w:r>
            <w:r w:rsidRPr="00952586">
              <w:rPr>
                <w:color w:val="000000"/>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,505</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w:t>
            </w:r>
            <w:r w:rsidRPr="00952586">
              <w:rPr>
                <w:sz w:val="28"/>
                <w:szCs w:val="28"/>
                <w:lang w:eastAsia="en-US"/>
              </w:rPr>
              <w:t xml:space="preserve">стар </w:t>
            </w:r>
            <w:r w:rsidRPr="00952586">
              <w:rPr>
                <w:sz w:val="28"/>
                <w:szCs w:val="28"/>
                <w:lang w:val="uk-UA" w:eastAsia="en-US"/>
              </w:rPr>
              <w:t>-</w:t>
            </w:r>
            <w:r w:rsidRPr="00952586">
              <w:rPr>
                <w:sz w:val="28"/>
                <w:szCs w:val="28"/>
                <w:lang w:eastAsia="en-US"/>
              </w:rPr>
              <w:t xml:space="preserve"> СА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,862</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,013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 xml:space="preserve">. </w:t>
            </w:r>
            <w:r w:rsidRPr="00952586">
              <w:rPr>
                <w:sz w:val="28"/>
                <w:szCs w:val="28"/>
                <w:lang w:eastAsia="en-US"/>
              </w:rPr>
              <w:t xml:space="preserve">стар </w:t>
            </w:r>
            <w:r w:rsidRPr="00952586">
              <w:rPr>
                <w:sz w:val="28"/>
                <w:szCs w:val="28"/>
                <w:lang w:val="uk-UA" w:eastAsia="en-US"/>
              </w:rPr>
              <w:t>-</w:t>
            </w:r>
            <w:r w:rsidRPr="00952586">
              <w:rPr>
                <w:sz w:val="28"/>
                <w:szCs w:val="28"/>
                <w:lang w:eastAsia="en-US"/>
              </w:rPr>
              <w:t xml:space="preserve"> ДА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,902</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,005</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w:t>
            </w:r>
            <w:r w:rsidRPr="00952586">
              <w:rPr>
                <w:sz w:val="28"/>
                <w:szCs w:val="28"/>
                <w:lang w:eastAsia="en-US"/>
              </w:rPr>
              <w:t>стар</w:t>
            </w:r>
            <w:r w:rsidRPr="00952586">
              <w:rPr>
                <w:sz w:val="28"/>
                <w:szCs w:val="28"/>
                <w:lang w:val="uk-UA" w:eastAsia="en-US"/>
              </w:rPr>
              <w:t>.-</w:t>
            </w:r>
            <w:r w:rsidRPr="00952586">
              <w:rPr>
                <w:color w:val="000000"/>
                <w:sz w:val="28"/>
                <w:szCs w:val="28"/>
                <w:lang w:eastAsia="en-US"/>
              </w:rPr>
              <w:t>ПА</w:t>
            </w:r>
            <w:r w:rsidRPr="00952586">
              <w:rPr>
                <w:color w:val="000000"/>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,500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,384</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,013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 ІМТ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eastAsia="en-US"/>
              </w:rPr>
            </w:pPr>
            <w:r w:rsidRPr="00952586">
              <w:rPr>
                <w:color w:val="000000"/>
                <w:sz w:val="28"/>
                <w:szCs w:val="28"/>
                <w:lang w:val="uk-UA" w:eastAsia="en-US"/>
              </w:rPr>
              <w:t>0</w:t>
            </w:r>
            <w:r w:rsidRPr="00952586">
              <w:rPr>
                <w:color w:val="000000"/>
                <w:sz w:val="28"/>
                <w:szCs w:val="28"/>
                <w:lang w:eastAsia="en-US"/>
              </w:rPr>
              <w:t>,358</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,022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 ЗХС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,309</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,050</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Х</w:t>
            </w:r>
            <w:r w:rsidRPr="00952586">
              <w:rPr>
                <w:color w:val="000000"/>
                <w:sz w:val="28"/>
                <w:szCs w:val="28"/>
                <w:lang w:val="uk-UA" w:eastAsia="en-US"/>
              </w:rPr>
              <w:t xml:space="preserve">С </w:t>
            </w:r>
            <w:r w:rsidRPr="00952586">
              <w:rPr>
                <w:color w:val="000000"/>
                <w:sz w:val="28"/>
                <w:szCs w:val="28"/>
                <w:lang w:eastAsia="en-US"/>
              </w:rPr>
              <w:t>ЛПН</w:t>
            </w:r>
            <w:r w:rsidRPr="00952586">
              <w:rPr>
                <w:color w:val="000000"/>
                <w:sz w:val="28"/>
                <w:szCs w:val="28"/>
                <w:lang w:val="uk-UA" w:eastAsia="en-US"/>
              </w:rPr>
              <w:t>Щ</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,352</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,024</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HbA1</w:t>
            </w:r>
            <w:r w:rsidRPr="00952586">
              <w:rPr>
                <w:color w:val="000000"/>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,453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,003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sz w:val="28"/>
                <w:szCs w:val="28"/>
                <w:lang w:eastAsia="en-US"/>
              </w:rPr>
              <w:t xml:space="preserve"> НОМА-</w:t>
            </w:r>
            <w:r w:rsidRPr="00952586">
              <w:rPr>
                <w:sz w:val="28"/>
                <w:szCs w:val="28"/>
                <w:lang w:val="en-US" w:eastAsia="en-US"/>
              </w:rPr>
              <w:t>IR</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w:t>
            </w:r>
            <w:r w:rsidRPr="00952586">
              <w:rPr>
                <w:sz w:val="28"/>
                <w:szCs w:val="28"/>
                <w:lang w:val="uk-UA" w:eastAsia="en-US"/>
              </w:rPr>
              <w:t>0</w:t>
            </w:r>
            <w:r w:rsidRPr="00952586">
              <w:rPr>
                <w:sz w:val="28"/>
                <w:szCs w:val="28"/>
                <w:lang w:eastAsia="en-US"/>
              </w:rPr>
              <w:t>,</w:t>
            </w:r>
            <w:r w:rsidRPr="00952586">
              <w:rPr>
                <w:sz w:val="28"/>
                <w:szCs w:val="28"/>
                <w:lang w:val="uk-UA" w:eastAsia="en-US"/>
              </w:rPr>
              <w:t>401</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w:t>
            </w:r>
            <w:r w:rsidRPr="00952586">
              <w:rPr>
                <w:sz w:val="28"/>
                <w:szCs w:val="28"/>
                <w:lang w:val="uk-UA" w:eastAsia="en-US"/>
              </w:rPr>
              <w:t>09</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sz w:val="28"/>
                <w:szCs w:val="28"/>
                <w:lang w:eastAsia="en-US"/>
              </w:rPr>
              <w:t xml:space="preserve"> СА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581</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,00</w:t>
            </w:r>
            <w:r w:rsidRPr="00952586">
              <w:rPr>
                <w:sz w:val="28"/>
                <w:szCs w:val="28"/>
                <w:lang w:val="uk-UA" w:eastAsia="en-US"/>
              </w:rPr>
              <w:t>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sz w:val="28"/>
                <w:szCs w:val="28"/>
                <w:lang w:eastAsia="en-US"/>
              </w:rPr>
              <w:t xml:space="preserve"> ДА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863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 П</w:t>
            </w:r>
            <w:r w:rsidRPr="00952586">
              <w:rPr>
                <w:sz w:val="28"/>
                <w:szCs w:val="28"/>
                <w:lang w:eastAsia="en-US"/>
              </w:rPr>
              <w:t>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467</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,00</w:t>
            </w:r>
            <w:r w:rsidRPr="00952586">
              <w:rPr>
                <w:sz w:val="28"/>
                <w:szCs w:val="28"/>
                <w:lang w:val="uk-UA" w:eastAsia="en-US"/>
              </w:rPr>
              <w:t>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,396</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,010</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 ІМТ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,356</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,022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sz w:val="28"/>
                <w:szCs w:val="28"/>
                <w:lang w:val="en-US" w:eastAsia="en-US"/>
              </w:rPr>
              <w:t xml:space="preserve"> </w:t>
            </w:r>
            <w:r w:rsidRPr="00952586">
              <w:rPr>
                <w:sz w:val="28"/>
                <w:szCs w:val="28"/>
                <w:lang w:val="uk-UA" w:eastAsia="en-US"/>
              </w:rPr>
              <w:t>ЗХС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,329</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,036</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color w:val="000000"/>
                <w:sz w:val="28"/>
                <w:szCs w:val="28"/>
                <w:lang w:eastAsia="en-US"/>
              </w:rPr>
              <w:t>Х</w:t>
            </w:r>
            <w:r w:rsidRPr="00952586">
              <w:rPr>
                <w:color w:val="000000"/>
                <w:sz w:val="28"/>
                <w:szCs w:val="28"/>
                <w:lang w:val="uk-UA" w:eastAsia="en-US"/>
              </w:rPr>
              <w:t xml:space="preserve">С </w:t>
            </w:r>
            <w:r w:rsidRPr="00952586">
              <w:rPr>
                <w:color w:val="000000"/>
                <w:sz w:val="28"/>
                <w:szCs w:val="28"/>
                <w:lang w:eastAsia="en-US"/>
              </w:rPr>
              <w:t>ЛПН</w:t>
            </w:r>
            <w:r w:rsidRPr="00952586">
              <w:rPr>
                <w:color w:val="000000"/>
                <w:sz w:val="28"/>
                <w:szCs w:val="28"/>
                <w:lang w:val="uk-UA" w:eastAsia="en-US"/>
              </w:rPr>
              <w:t>Щ</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,360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,021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sz w:val="28"/>
                <w:szCs w:val="28"/>
                <w:lang w:val="en-US" w:eastAsia="en-US"/>
              </w:rPr>
              <w:t xml:space="preserve"> </w:t>
            </w:r>
            <w:r w:rsidRPr="00952586">
              <w:rPr>
                <w:color w:val="000000"/>
                <w:sz w:val="28"/>
                <w:szCs w:val="28"/>
                <w:lang w:eastAsia="en-US"/>
              </w:rPr>
              <w:t>HbA1</w:t>
            </w:r>
            <w:r w:rsidRPr="00952586">
              <w:rPr>
                <w:color w:val="000000"/>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,463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,002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sz w:val="28"/>
                <w:szCs w:val="28"/>
                <w:lang w:eastAsia="en-US"/>
              </w:rPr>
              <w:t xml:space="preserve"> НОМА-</w:t>
            </w:r>
            <w:r w:rsidRPr="00952586">
              <w:rPr>
                <w:sz w:val="28"/>
                <w:szCs w:val="28"/>
                <w:lang w:val="en-US" w:eastAsia="en-US"/>
              </w:rPr>
              <w:t>IR</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eastAsia="en-US"/>
              </w:rPr>
              <w:t>-</w:t>
            </w:r>
            <w:r w:rsidRPr="00952586">
              <w:rPr>
                <w:color w:val="000000"/>
                <w:sz w:val="28"/>
                <w:szCs w:val="28"/>
                <w:lang w:val="uk-UA" w:eastAsia="en-US"/>
              </w:rPr>
              <w:t>0</w:t>
            </w:r>
            <w:r w:rsidRPr="00952586">
              <w:rPr>
                <w:color w:val="000000"/>
                <w:sz w:val="28"/>
                <w:szCs w:val="28"/>
                <w:lang w:eastAsia="en-US"/>
              </w:rPr>
              <w:t>,406</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,008</w:t>
            </w:r>
          </w:p>
        </w:tc>
      </w:tr>
    </w:tbl>
    <w:p w:rsidR="00E3259F" w:rsidRPr="00952586" w:rsidRDefault="00E3259F" w:rsidP="00952586">
      <w:pPr>
        <w:spacing w:line="360" w:lineRule="auto"/>
        <w:jc w:val="right"/>
        <w:rPr>
          <w:sz w:val="28"/>
          <w:szCs w:val="28"/>
        </w:rPr>
      </w:pPr>
      <w:r w:rsidRPr="00952586">
        <w:rPr>
          <w:i/>
          <w:spacing w:val="-2"/>
          <w:sz w:val="28"/>
          <w:szCs w:val="28"/>
        </w:rPr>
        <w:t>Продовження табл. 3.11</w:t>
      </w:r>
    </w:p>
    <w:tbl>
      <w:tblPr>
        <w:tblW w:w="5000" w:type="pct"/>
        <w:tblLook w:val="04A0" w:firstRow="1" w:lastRow="0" w:firstColumn="1" w:lastColumn="0" w:noHBand="0" w:noVBand="1"/>
      </w:tblPr>
      <w:tblGrid>
        <w:gridCol w:w="4785"/>
        <w:gridCol w:w="2551"/>
        <w:gridCol w:w="2234"/>
      </w:tblGrid>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sz w:val="28"/>
                <w:szCs w:val="28"/>
                <w:lang w:val="en-US" w:eastAsia="en-US"/>
              </w:rPr>
              <w:t xml:space="preserve"> </w:t>
            </w:r>
            <w:r w:rsidRPr="00952586">
              <w:rPr>
                <w:color w:val="000000"/>
                <w:sz w:val="28"/>
                <w:szCs w:val="28"/>
                <w:lang w:eastAsia="en-US"/>
              </w:rPr>
              <w:t>СА</w:t>
            </w:r>
            <w:r w:rsidRPr="00952586">
              <w:rPr>
                <w:color w:val="000000"/>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,570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w:t>
            </w:r>
            <w:r w:rsidRPr="00952586">
              <w:rPr>
                <w:color w:val="000000"/>
                <w:sz w:val="28"/>
                <w:szCs w:val="28"/>
                <w:lang w:val="uk-UA" w:eastAsia="en-US"/>
              </w:rPr>
              <w:t>01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Кт.швидкості старіння -</w:t>
            </w:r>
            <w:r w:rsidRPr="00952586">
              <w:rPr>
                <w:sz w:val="28"/>
                <w:szCs w:val="28"/>
                <w:lang w:val="en-US" w:eastAsia="en-US"/>
              </w:rPr>
              <w:t xml:space="preserve"> </w:t>
            </w:r>
            <w:r w:rsidRPr="00952586">
              <w:rPr>
                <w:color w:val="000000"/>
                <w:sz w:val="28"/>
                <w:szCs w:val="28"/>
                <w:lang w:eastAsia="en-US"/>
              </w:rPr>
              <w:t>ДА</w:t>
            </w:r>
            <w:r w:rsidRPr="00952586">
              <w:rPr>
                <w:color w:val="000000"/>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,865</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,00</w:t>
            </w:r>
            <w:r w:rsidRPr="00952586">
              <w:rPr>
                <w:color w:val="000000"/>
                <w:sz w:val="28"/>
                <w:szCs w:val="28"/>
                <w:lang w:val="uk-UA" w:eastAsia="en-US"/>
              </w:rPr>
              <w:t>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іння- П</w:t>
            </w:r>
            <w:r w:rsidRPr="00952586">
              <w:rPr>
                <w:sz w:val="28"/>
                <w:szCs w:val="28"/>
                <w:lang w:eastAsia="en-US"/>
              </w:rPr>
              <w:t>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463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,00</w:t>
            </w:r>
            <w:r w:rsidRPr="00952586">
              <w:rPr>
                <w:sz w:val="28"/>
                <w:szCs w:val="28"/>
                <w:lang w:val="uk-UA" w:eastAsia="en-US"/>
              </w:rPr>
              <w:t>2</w:t>
            </w:r>
          </w:p>
        </w:tc>
      </w:tr>
      <w:tr w:rsidR="00E3259F" w:rsidRPr="00952586"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center"/>
              <w:rPr>
                <w:sz w:val="28"/>
                <w:szCs w:val="28"/>
                <w:lang w:eastAsia="en-US"/>
              </w:rPr>
            </w:pPr>
            <w:r w:rsidRPr="00952586">
              <w:rPr>
                <w:bCs/>
                <w:sz w:val="28"/>
                <w:szCs w:val="28"/>
                <w:lang w:val="uk-UA" w:eastAsia="en-US"/>
              </w:rPr>
              <w:t>3 група</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color w:val="000000"/>
                <w:sz w:val="28"/>
                <w:szCs w:val="28"/>
                <w:lang w:val="uk-UA" w:eastAsia="en-US"/>
              </w:rPr>
              <w:t>БВ-</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,528</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,014</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color w:val="000000"/>
                <w:sz w:val="28"/>
                <w:szCs w:val="28"/>
                <w:lang w:val="uk-UA" w:eastAsia="en-US"/>
              </w:rPr>
              <w:t>БВ-</w:t>
            </w:r>
            <w:r w:rsidRPr="00952586">
              <w:rPr>
                <w:color w:val="000000"/>
                <w:sz w:val="28"/>
                <w:szCs w:val="28"/>
                <w:lang w:eastAsia="en-US"/>
              </w:rPr>
              <w:t>Глюкоза</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,443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,044</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БВ</w:t>
            </w:r>
            <w:r w:rsidRPr="00952586">
              <w:rPr>
                <w:sz w:val="28"/>
                <w:szCs w:val="28"/>
                <w:lang w:val="uk-UA" w:eastAsia="en-US"/>
              </w:rPr>
              <w:t>-</w:t>
            </w:r>
            <w:r w:rsidRPr="00952586">
              <w:rPr>
                <w:sz w:val="28"/>
                <w:szCs w:val="28"/>
                <w:lang w:eastAsia="en-US"/>
              </w:rPr>
              <w:t xml:space="preserve"> HbA1</w:t>
            </w:r>
            <w:r w:rsidRPr="00952586">
              <w:rPr>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594</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,00</w:t>
            </w:r>
            <w:r w:rsidRPr="00952586">
              <w:rPr>
                <w:sz w:val="28"/>
                <w:szCs w:val="28"/>
                <w:lang w:val="uk-UA" w:eastAsia="en-US"/>
              </w:rPr>
              <w:t>5</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БВ-ТТГ</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,466</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,033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БВ</w:t>
            </w:r>
            <w:r w:rsidRPr="00952586">
              <w:rPr>
                <w:sz w:val="28"/>
                <w:szCs w:val="28"/>
                <w:lang w:val="uk-UA" w:eastAsia="en-US"/>
              </w:rPr>
              <w:t>-</w:t>
            </w:r>
            <w:r w:rsidRPr="00952586">
              <w:rPr>
                <w:sz w:val="28"/>
                <w:szCs w:val="28"/>
                <w:lang w:eastAsia="en-US"/>
              </w:rPr>
              <w:t xml:space="preserve"> СА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468</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,0</w:t>
            </w:r>
            <w:r w:rsidRPr="00952586">
              <w:rPr>
                <w:sz w:val="28"/>
                <w:szCs w:val="28"/>
                <w:lang w:val="uk-UA" w:eastAsia="en-US"/>
              </w:rPr>
              <w:t>3</w:t>
            </w:r>
            <w:r w:rsidRPr="00952586">
              <w:rPr>
                <w:sz w:val="28"/>
                <w:szCs w:val="28"/>
                <w:lang w:eastAsia="en-US"/>
              </w:rPr>
              <w:t>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БВ</w:t>
            </w:r>
            <w:r w:rsidRPr="00952586">
              <w:rPr>
                <w:sz w:val="28"/>
                <w:szCs w:val="28"/>
                <w:lang w:val="uk-UA" w:eastAsia="en-US"/>
              </w:rPr>
              <w:t>-</w:t>
            </w:r>
            <w:r w:rsidRPr="00952586">
              <w:rPr>
                <w:sz w:val="28"/>
                <w:szCs w:val="28"/>
                <w:lang w:eastAsia="en-US"/>
              </w:rPr>
              <w:t xml:space="preserve"> ПА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480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,0</w:t>
            </w:r>
            <w:r w:rsidRPr="00952586">
              <w:rPr>
                <w:sz w:val="28"/>
                <w:szCs w:val="28"/>
                <w:lang w:val="uk-UA" w:eastAsia="en-US"/>
              </w:rPr>
              <w:t>28</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.с</w:t>
            </w:r>
            <w:r w:rsidRPr="00952586">
              <w:rPr>
                <w:sz w:val="28"/>
                <w:szCs w:val="28"/>
                <w:lang w:eastAsia="en-US"/>
              </w:rPr>
              <w:t>тар</w:t>
            </w:r>
            <w:r w:rsidRPr="00952586">
              <w:rPr>
                <w:sz w:val="28"/>
                <w:szCs w:val="28"/>
                <w:lang w:val="uk-UA" w:eastAsia="en-US"/>
              </w:rPr>
              <w:t>-</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,430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,051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.с</w:t>
            </w:r>
            <w:r w:rsidRPr="00952586">
              <w:rPr>
                <w:sz w:val="28"/>
                <w:szCs w:val="28"/>
                <w:lang w:eastAsia="en-US"/>
              </w:rPr>
              <w:t>тар</w:t>
            </w:r>
            <w:r w:rsidRPr="00952586">
              <w:rPr>
                <w:sz w:val="28"/>
                <w:szCs w:val="28"/>
                <w:lang w:val="uk-UA" w:eastAsia="en-US"/>
              </w:rPr>
              <w:t>-</w:t>
            </w:r>
            <w:r w:rsidRPr="00952586">
              <w:rPr>
                <w:sz w:val="28"/>
                <w:szCs w:val="28"/>
                <w:lang w:eastAsia="en-US"/>
              </w:rPr>
              <w:t xml:space="preserve"> HbA1</w:t>
            </w:r>
            <w:r w:rsidRPr="00952586">
              <w:rPr>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,474</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,030</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.с</w:t>
            </w:r>
            <w:r w:rsidRPr="00952586">
              <w:rPr>
                <w:sz w:val="28"/>
                <w:szCs w:val="28"/>
                <w:lang w:eastAsia="en-US"/>
              </w:rPr>
              <w:t>тар</w:t>
            </w:r>
            <w:r w:rsidRPr="00952586">
              <w:rPr>
                <w:sz w:val="28"/>
                <w:szCs w:val="28"/>
                <w:lang w:val="uk-UA" w:eastAsia="en-US"/>
              </w:rPr>
              <w:t>-</w:t>
            </w:r>
            <w:r w:rsidRPr="00952586">
              <w:rPr>
                <w:color w:val="000000"/>
                <w:sz w:val="28"/>
                <w:szCs w:val="28"/>
                <w:lang w:eastAsia="en-US"/>
              </w:rPr>
              <w:t>Т</w:t>
            </w:r>
            <w:r w:rsidRPr="00952586">
              <w:rPr>
                <w:color w:val="000000"/>
                <w:sz w:val="28"/>
                <w:szCs w:val="28"/>
                <w:lang w:val="uk-UA" w:eastAsia="en-US"/>
              </w:rPr>
              <w:t>4віл</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,447</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,042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.с</w:t>
            </w:r>
            <w:r w:rsidRPr="00952586">
              <w:rPr>
                <w:sz w:val="28"/>
                <w:szCs w:val="28"/>
                <w:lang w:eastAsia="en-US"/>
              </w:rPr>
              <w:t>тар</w:t>
            </w:r>
            <w:r w:rsidRPr="00952586">
              <w:rPr>
                <w:sz w:val="28"/>
                <w:szCs w:val="28"/>
                <w:lang w:val="uk-UA" w:eastAsia="en-US"/>
              </w:rPr>
              <w:t>-</w:t>
            </w:r>
            <w:r w:rsidRPr="00952586">
              <w:rPr>
                <w:color w:val="000000"/>
                <w:sz w:val="28"/>
                <w:szCs w:val="28"/>
                <w:lang w:eastAsia="en-US"/>
              </w:rPr>
              <w:t>СА</w:t>
            </w:r>
            <w:r w:rsidRPr="00952586">
              <w:rPr>
                <w:color w:val="000000"/>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,524</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,015</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eastAsia="en-US"/>
              </w:rPr>
              <w:t>Ко</w:t>
            </w:r>
            <w:r w:rsidRPr="00952586">
              <w:rPr>
                <w:sz w:val="28"/>
                <w:szCs w:val="28"/>
                <w:lang w:val="uk-UA" w:eastAsia="en-US"/>
              </w:rPr>
              <w:t>е</w:t>
            </w:r>
            <w:r w:rsidRPr="00952586">
              <w:rPr>
                <w:sz w:val="28"/>
                <w:szCs w:val="28"/>
                <w:lang w:eastAsia="en-US"/>
              </w:rPr>
              <w:t>ф</w:t>
            </w:r>
            <w:r w:rsidRPr="00952586">
              <w:rPr>
                <w:sz w:val="28"/>
                <w:szCs w:val="28"/>
                <w:lang w:val="uk-UA" w:eastAsia="en-US"/>
              </w:rPr>
              <w:t>.с</w:t>
            </w:r>
            <w:r w:rsidRPr="00952586">
              <w:rPr>
                <w:sz w:val="28"/>
                <w:szCs w:val="28"/>
                <w:lang w:eastAsia="en-US"/>
              </w:rPr>
              <w:t>тар</w:t>
            </w:r>
            <w:r w:rsidRPr="00952586">
              <w:rPr>
                <w:sz w:val="28"/>
                <w:szCs w:val="28"/>
                <w:lang w:val="uk-UA" w:eastAsia="en-US"/>
              </w:rPr>
              <w:t>-ПАТ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,537</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sz w:val="28"/>
                <w:szCs w:val="28"/>
                <w:lang w:val="uk-UA" w:eastAsia="en-US"/>
              </w:rPr>
            </w:pPr>
            <w:r w:rsidRPr="00952586">
              <w:rPr>
                <w:color w:val="000000"/>
                <w:sz w:val="28"/>
                <w:szCs w:val="28"/>
                <w:lang w:val="uk-UA" w:eastAsia="en-US"/>
              </w:rPr>
              <w:t>0</w:t>
            </w:r>
            <w:r w:rsidRPr="00952586">
              <w:rPr>
                <w:color w:val="000000"/>
                <w:sz w:val="28"/>
                <w:szCs w:val="28"/>
                <w:lang w:eastAsia="en-US"/>
              </w:rPr>
              <w:t>,012</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,443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,044</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w:t>
            </w:r>
            <w:r w:rsidRPr="00952586">
              <w:rPr>
                <w:sz w:val="28"/>
                <w:szCs w:val="28"/>
                <w:lang w:eastAsia="en-US"/>
              </w:rPr>
              <w:t xml:space="preserve"> HbA1</w:t>
            </w:r>
            <w:r w:rsidRPr="00952586">
              <w:rPr>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,517</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,01</w:t>
            </w:r>
            <w:r w:rsidRPr="00952586">
              <w:rPr>
                <w:color w:val="000000"/>
                <w:sz w:val="28"/>
                <w:szCs w:val="28"/>
                <w:lang w:val="uk-UA" w:eastAsia="en-US"/>
              </w:rPr>
              <w:t>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іння-САТ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,533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,013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val="uk-UA" w:eastAsia="en-US"/>
              </w:rPr>
            </w:pPr>
            <w:r w:rsidRPr="00952586">
              <w:rPr>
                <w:sz w:val="28"/>
                <w:szCs w:val="28"/>
                <w:lang w:val="uk-UA" w:eastAsia="en-US"/>
              </w:rPr>
              <w:t xml:space="preserve">Інд. швидкості </w:t>
            </w:r>
            <w:r w:rsidRPr="00952586">
              <w:rPr>
                <w:sz w:val="28"/>
                <w:szCs w:val="28"/>
                <w:lang w:eastAsia="en-US"/>
              </w:rPr>
              <w:t>стар</w:t>
            </w:r>
            <w:r w:rsidRPr="00952586">
              <w:rPr>
                <w:sz w:val="28"/>
                <w:szCs w:val="28"/>
                <w:lang w:val="uk-UA" w:eastAsia="en-US"/>
              </w:rPr>
              <w:t>іння-ПАТ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,533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,013</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МТ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,483</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,027</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Глюкоза</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,459</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,036</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іння-</w:t>
            </w:r>
            <w:r w:rsidRPr="00952586">
              <w:rPr>
                <w:sz w:val="28"/>
                <w:szCs w:val="28"/>
                <w:lang w:eastAsia="en-US"/>
              </w:rPr>
              <w:t xml:space="preserve"> HbA1</w:t>
            </w:r>
            <w:r w:rsidRPr="00952586">
              <w:rPr>
                <w:sz w:val="28"/>
                <w:szCs w:val="28"/>
                <w:lang w:val="uk-UA" w:eastAsia="en-US"/>
              </w:rPr>
              <w:t>с</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,544</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,011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sz w:val="28"/>
                <w:szCs w:val="28"/>
                <w:lang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іння-</w:t>
            </w:r>
            <w:r w:rsidRPr="00952586">
              <w:rPr>
                <w:color w:val="000000"/>
                <w:sz w:val="28"/>
                <w:szCs w:val="28"/>
                <w:lang w:eastAsia="en-US"/>
              </w:rPr>
              <w:t>ТТГ</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,431</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,051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 xml:space="preserve">іння- </w:t>
            </w:r>
            <w:r w:rsidRPr="00952586">
              <w:rPr>
                <w:sz w:val="28"/>
                <w:szCs w:val="28"/>
                <w:lang w:eastAsia="en-US"/>
              </w:rPr>
              <w:t>СА</w:t>
            </w:r>
            <w:r w:rsidRPr="00952586">
              <w:rPr>
                <w:sz w:val="28"/>
                <w:szCs w:val="28"/>
                <w:lang w:val="uk-UA" w:eastAsia="en-US"/>
              </w:rPr>
              <w:t>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eastAsia="en-US"/>
              </w:rPr>
            </w:pPr>
            <w:r w:rsidRPr="00952586">
              <w:rPr>
                <w:sz w:val="28"/>
                <w:szCs w:val="28"/>
                <w:lang w:val="uk-UA" w:eastAsia="en-US"/>
              </w:rPr>
              <w:t>0</w:t>
            </w:r>
            <w:r w:rsidRPr="00952586">
              <w:rPr>
                <w:sz w:val="28"/>
                <w:szCs w:val="28"/>
                <w:lang w:eastAsia="en-US"/>
              </w:rPr>
              <w:t>,</w:t>
            </w:r>
            <w:r w:rsidRPr="00952586">
              <w:rPr>
                <w:sz w:val="28"/>
                <w:szCs w:val="28"/>
                <w:lang w:val="uk-UA" w:eastAsia="en-US"/>
              </w:rPr>
              <w:t>499</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val="uk-UA" w:eastAsia="en-US"/>
              </w:rPr>
              <w:t>0</w:t>
            </w:r>
            <w:r w:rsidRPr="00952586">
              <w:rPr>
                <w:sz w:val="28"/>
                <w:szCs w:val="28"/>
                <w:lang w:eastAsia="en-US"/>
              </w:rPr>
              <w:t>,0</w:t>
            </w:r>
            <w:r w:rsidRPr="00952586">
              <w:rPr>
                <w:sz w:val="28"/>
                <w:szCs w:val="28"/>
                <w:lang w:val="uk-UA" w:eastAsia="en-US"/>
              </w:rPr>
              <w:t>21</w:t>
            </w:r>
          </w:p>
        </w:tc>
      </w:tr>
      <w:tr w:rsidR="00E3259F" w:rsidRPr="00952586" w:rsidTr="00E3259F">
        <w:tc>
          <w:tcPr>
            <w:tcW w:w="2500"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widowControl w:val="0"/>
              <w:autoSpaceDE w:val="0"/>
              <w:autoSpaceDN w:val="0"/>
              <w:adjustRightInd w:val="0"/>
              <w:spacing w:line="360" w:lineRule="auto"/>
              <w:jc w:val="both"/>
              <w:rPr>
                <w:color w:val="000000"/>
                <w:sz w:val="28"/>
                <w:szCs w:val="28"/>
                <w:lang w:val="uk-UA" w:eastAsia="en-US"/>
              </w:rPr>
            </w:pPr>
            <w:r w:rsidRPr="00952586">
              <w:rPr>
                <w:sz w:val="28"/>
                <w:szCs w:val="28"/>
                <w:lang w:eastAsia="en-US"/>
              </w:rPr>
              <w:t>Кт</w:t>
            </w:r>
            <w:r w:rsidRPr="00952586">
              <w:rPr>
                <w:sz w:val="28"/>
                <w:szCs w:val="28"/>
                <w:lang w:val="uk-UA" w:eastAsia="en-US"/>
              </w:rPr>
              <w:t xml:space="preserve">. швидкості </w:t>
            </w:r>
            <w:r w:rsidRPr="00952586">
              <w:rPr>
                <w:sz w:val="28"/>
                <w:szCs w:val="28"/>
                <w:lang w:eastAsia="en-US"/>
              </w:rPr>
              <w:t>стар</w:t>
            </w:r>
            <w:r w:rsidRPr="00952586">
              <w:rPr>
                <w:sz w:val="28"/>
                <w:szCs w:val="28"/>
                <w:lang w:val="uk-UA" w:eastAsia="en-US"/>
              </w:rPr>
              <w:t>іння-ПАТ</w:t>
            </w:r>
          </w:p>
        </w:tc>
        <w:tc>
          <w:tcPr>
            <w:tcW w:w="1333"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val="uk-UA" w:eastAsia="en-US"/>
              </w:rPr>
            </w:pPr>
            <w:r w:rsidRPr="00952586">
              <w:rPr>
                <w:color w:val="000000"/>
                <w:sz w:val="28"/>
                <w:szCs w:val="28"/>
                <w:lang w:val="uk-UA" w:eastAsia="en-US"/>
              </w:rPr>
              <w:t>0</w:t>
            </w:r>
            <w:r w:rsidRPr="00952586">
              <w:rPr>
                <w:color w:val="000000"/>
                <w:sz w:val="28"/>
                <w:szCs w:val="28"/>
                <w:lang w:eastAsia="en-US"/>
              </w:rPr>
              <w:t>,500</w:t>
            </w:r>
          </w:p>
        </w:tc>
        <w:tc>
          <w:tcPr>
            <w:tcW w:w="1167" w:type="pct"/>
            <w:tcBorders>
              <w:top w:val="single" w:sz="4" w:space="0" w:color="auto"/>
              <w:left w:val="single" w:sz="4" w:space="0" w:color="auto"/>
              <w:bottom w:val="single" w:sz="4" w:space="0" w:color="auto"/>
              <w:right w:val="single" w:sz="4" w:space="0" w:color="auto"/>
            </w:tcBorders>
            <w:hideMark/>
          </w:tcPr>
          <w:p w:rsidR="00E3259F" w:rsidRPr="00952586" w:rsidRDefault="00E3259F" w:rsidP="00952586">
            <w:pPr>
              <w:spacing w:line="360" w:lineRule="auto"/>
              <w:jc w:val="both"/>
              <w:rPr>
                <w:color w:val="000000"/>
                <w:sz w:val="28"/>
                <w:szCs w:val="28"/>
                <w:lang w:eastAsia="en-US"/>
              </w:rPr>
            </w:pPr>
            <w:r w:rsidRPr="00952586">
              <w:rPr>
                <w:color w:val="000000"/>
                <w:sz w:val="28"/>
                <w:szCs w:val="28"/>
                <w:lang w:val="uk-UA" w:eastAsia="en-US"/>
              </w:rPr>
              <w:t>0</w:t>
            </w:r>
            <w:r w:rsidRPr="00952586">
              <w:rPr>
                <w:color w:val="000000"/>
                <w:sz w:val="28"/>
                <w:szCs w:val="28"/>
                <w:lang w:eastAsia="en-US"/>
              </w:rPr>
              <w:t>,021</w:t>
            </w:r>
          </w:p>
        </w:tc>
      </w:tr>
    </w:tbl>
    <w:p w:rsidR="00952586" w:rsidRDefault="00952586" w:rsidP="00E3259F">
      <w:pPr>
        <w:jc w:val="right"/>
        <w:rPr>
          <w:i/>
          <w:spacing w:val="-2"/>
          <w:sz w:val="28"/>
          <w:szCs w:val="28"/>
          <w:lang w:val="uk-UA"/>
        </w:rPr>
      </w:pPr>
    </w:p>
    <w:p w:rsidR="00952586" w:rsidRDefault="00952586" w:rsidP="00E3259F">
      <w:pPr>
        <w:jc w:val="right"/>
        <w:rPr>
          <w:i/>
          <w:spacing w:val="-2"/>
          <w:sz w:val="28"/>
          <w:szCs w:val="28"/>
          <w:lang w:val="uk-UA"/>
        </w:rPr>
      </w:pPr>
    </w:p>
    <w:p w:rsidR="00952586" w:rsidRDefault="00952586" w:rsidP="00E3259F">
      <w:pPr>
        <w:jc w:val="right"/>
        <w:rPr>
          <w:i/>
          <w:spacing w:val="-2"/>
          <w:sz w:val="28"/>
          <w:szCs w:val="28"/>
          <w:lang w:val="uk-UA"/>
        </w:rPr>
      </w:pPr>
    </w:p>
    <w:p w:rsidR="004E7365" w:rsidRDefault="004E7365" w:rsidP="00E3259F">
      <w:pPr>
        <w:jc w:val="right"/>
        <w:rPr>
          <w:i/>
          <w:spacing w:val="-2"/>
          <w:sz w:val="28"/>
          <w:szCs w:val="28"/>
          <w:lang w:val="uk-UA"/>
        </w:rPr>
      </w:pPr>
    </w:p>
    <w:p w:rsidR="004E7365" w:rsidRDefault="004E7365" w:rsidP="00E3259F">
      <w:pPr>
        <w:jc w:val="right"/>
        <w:rPr>
          <w:i/>
          <w:spacing w:val="-2"/>
          <w:sz w:val="28"/>
          <w:szCs w:val="28"/>
          <w:lang w:val="uk-UA"/>
        </w:rPr>
      </w:pPr>
    </w:p>
    <w:p w:rsidR="00E3259F" w:rsidRDefault="00E3259F" w:rsidP="00E3259F">
      <w:pPr>
        <w:jc w:val="right"/>
        <w:rPr>
          <w:sz w:val="2"/>
          <w:szCs w:val="2"/>
        </w:rPr>
      </w:pPr>
      <w:r>
        <w:rPr>
          <w:i/>
          <w:spacing w:val="-2"/>
          <w:sz w:val="28"/>
          <w:szCs w:val="28"/>
        </w:rPr>
        <w:t>Продовження табл. 3.11</w:t>
      </w:r>
    </w:p>
    <w:tbl>
      <w:tblPr>
        <w:tblW w:w="5000" w:type="pct"/>
        <w:tblLook w:val="04A0" w:firstRow="1" w:lastRow="0" w:firstColumn="1" w:lastColumn="0" w:noHBand="0" w:noVBand="1"/>
      </w:tblPr>
      <w:tblGrid>
        <w:gridCol w:w="4643"/>
        <w:gridCol w:w="2693"/>
        <w:gridCol w:w="2234"/>
      </w:tblGrid>
      <w:tr w:rsidR="00E3259F"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bCs/>
                <w:sz w:val="28"/>
                <w:szCs w:val="28"/>
                <w:lang w:eastAsia="en-US"/>
              </w:rPr>
              <w:t>В</w:t>
            </w:r>
            <w:r>
              <w:rPr>
                <w:bCs/>
                <w:sz w:val="28"/>
                <w:szCs w:val="28"/>
                <w:lang w:val="uk-UA" w:eastAsia="en-US"/>
              </w:rPr>
              <w:t>ікова підгрупа ІІ (61-75 років)</w:t>
            </w:r>
          </w:p>
        </w:tc>
      </w:tr>
      <w:tr w:rsidR="00E3259F"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center"/>
              <w:rPr>
                <w:bCs/>
                <w:sz w:val="28"/>
                <w:szCs w:val="28"/>
                <w:lang w:val="uk-UA" w:eastAsia="en-US"/>
              </w:rPr>
            </w:pPr>
            <w:r>
              <w:rPr>
                <w:bCs/>
                <w:sz w:val="28"/>
                <w:szCs w:val="28"/>
                <w:lang w:val="uk-UA" w:eastAsia="en-US"/>
              </w:rPr>
              <w:t>1 група</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color w:val="000000"/>
                <w:sz w:val="28"/>
                <w:szCs w:val="28"/>
                <w:lang w:val="uk-UA" w:eastAsia="en-US"/>
              </w:rPr>
              <w:t>БВ-ХСЛПВЩ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,505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color w:val="000000"/>
                <w:sz w:val="28"/>
                <w:szCs w:val="28"/>
                <w:lang w:val="uk-UA" w:eastAsia="en-US"/>
              </w:rPr>
              <w:t>0</w:t>
            </w:r>
            <w:r>
              <w:rPr>
                <w:color w:val="000000"/>
                <w:sz w:val="28"/>
                <w:szCs w:val="28"/>
                <w:lang w:eastAsia="en-US"/>
              </w:rPr>
              <w:t>,019</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color w:val="000000"/>
                <w:sz w:val="28"/>
                <w:szCs w:val="28"/>
                <w:lang w:val="uk-UA" w:eastAsia="en-US"/>
              </w:rPr>
              <w:t>БВ-глюкоза натще</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color w:val="000000"/>
                <w:sz w:val="28"/>
                <w:szCs w:val="28"/>
                <w:lang w:val="uk-UA" w:eastAsia="en-US"/>
              </w:rPr>
              <w:t>0</w:t>
            </w:r>
            <w:r>
              <w:rPr>
                <w:color w:val="000000"/>
                <w:sz w:val="28"/>
                <w:szCs w:val="28"/>
                <w:lang w:eastAsia="en-US"/>
              </w:rPr>
              <w:t>,555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color w:val="000000"/>
                <w:sz w:val="28"/>
                <w:szCs w:val="28"/>
                <w:lang w:val="uk-UA" w:eastAsia="en-US"/>
              </w:rPr>
              <w:t>0</w:t>
            </w:r>
            <w:r>
              <w:rPr>
                <w:color w:val="000000"/>
                <w:sz w:val="28"/>
                <w:szCs w:val="28"/>
                <w:lang w:eastAsia="en-US"/>
              </w:rPr>
              <w:t>,009</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color w:val="000000"/>
                <w:sz w:val="28"/>
                <w:szCs w:val="28"/>
                <w:lang w:val="uk-UA" w:eastAsia="en-US"/>
              </w:rPr>
              <w:t>БВ-HbA1с</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,536</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,012</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-ХСЛПВЩ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,469</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,032</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-Глюкоза натще</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,531</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,013</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 HbA1с</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,467</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,033</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/САТ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,466</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,033</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/ПАТ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,445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,043</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іння-ХС ЛПВЩ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,464</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,034</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іння-глюкоза натще</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,526</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,014</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 HbA1с</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,5</w:t>
            </w:r>
            <w:r>
              <w:rPr>
                <w:color w:val="000000"/>
                <w:sz w:val="28"/>
                <w:szCs w:val="28"/>
                <w:lang w:val="uk-UA" w:eastAsia="en-US"/>
              </w:rPr>
              <w:t>04</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20</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w:t>
            </w:r>
            <w:r>
              <w:rPr>
                <w:color w:val="000000"/>
                <w:sz w:val="28"/>
                <w:szCs w:val="28"/>
                <w:lang w:eastAsia="en-US"/>
              </w:rPr>
              <w:t>Х</w:t>
            </w:r>
            <w:r>
              <w:rPr>
                <w:color w:val="000000"/>
                <w:sz w:val="28"/>
                <w:szCs w:val="28"/>
                <w:lang w:val="uk-UA" w:eastAsia="en-US"/>
              </w:rPr>
              <w:t xml:space="preserve">С </w:t>
            </w:r>
            <w:r>
              <w:rPr>
                <w:color w:val="000000"/>
                <w:sz w:val="28"/>
                <w:szCs w:val="28"/>
                <w:lang w:eastAsia="en-US"/>
              </w:rPr>
              <w:t>ЛПВ</w:t>
            </w:r>
            <w:r>
              <w:rPr>
                <w:color w:val="000000"/>
                <w:sz w:val="28"/>
                <w:szCs w:val="28"/>
                <w:lang w:val="uk-UA" w:eastAsia="en-US"/>
              </w:rPr>
              <w:t>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,473</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,030</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w:t>
            </w:r>
            <w:r>
              <w:rPr>
                <w:color w:val="000000"/>
                <w:sz w:val="28"/>
                <w:szCs w:val="28"/>
                <w:lang w:eastAsia="en-US"/>
              </w:rPr>
              <w:t>Глюкоза</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,526</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,014</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w:t>
            </w:r>
            <w:r>
              <w:rPr>
                <w:color w:val="000000"/>
                <w:sz w:val="28"/>
                <w:szCs w:val="28"/>
                <w:lang w:eastAsia="en-US"/>
              </w:rPr>
              <w:t>HbA1</w:t>
            </w:r>
            <w:r>
              <w:rPr>
                <w:color w:val="000000"/>
                <w:sz w:val="28"/>
                <w:szCs w:val="28"/>
                <w:lang w:val="uk-UA" w:eastAsia="en-US"/>
              </w:rPr>
              <w:t>с</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,523</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,015</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іння-ПАТ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,434</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,049</w:t>
            </w:r>
          </w:p>
        </w:tc>
      </w:tr>
      <w:tr w:rsidR="00E3259F"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center"/>
              <w:rPr>
                <w:sz w:val="28"/>
                <w:szCs w:val="28"/>
                <w:lang w:eastAsia="en-US"/>
              </w:rPr>
            </w:pPr>
            <w:r>
              <w:rPr>
                <w:bCs/>
                <w:sz w:val="28"/>
                <w:szCs w:val="28"/>
                <w:lang w:val="uk-UA" w:eastAsia="en-US"/>
              </w:rPr>
              <w:t>2 група</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БВ</w:t>
            </w:r>
            <w:r>
              <w:rPr>
                <w:sz w:val="28"/>
                <w:szCs w:val="28"/>
                <w:lang w:val="uk-UA" w:eastAsia="en-US"/>
              </w:rPr>
              <w:t>-</w:t>
            </w:r>
            <w:r>
              <w:rPr>
                <w:color w:val="000000"/>
                <w:sz w:val="28"/>
                <w:szCs w:val="28"/>
                <w:lang w:eastAsia="en-US"/>
              </w:rPr>
              <w:t>МТ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,261</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,017</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БВ</w:t>
            </w:r>
            <w:r>
              <w:rPr>
                <w:sz w:val="28"/>
                <w:szCs w:val="28"/>
                <w:lang w:val="uk-UA" w:eastAsia="en-US"/>
              </w:rPr>
              <w:t>-ЗХС</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,325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,003</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БВ</w:t>
            </w:r>
            <w:r>
              <w:rPr>
                <w:sz w:val="28"/>
                <w:szCs w:val="28"/>
                <w:lang w:val="uk-UA" w:eastAsia="en-US"/>
              </w:rPr>
              <w:t>-</w:t>
            </w:r>
            <w:r>
              <w:rPr>
                <w:color w:val="000000"/>
                <w:sz w:val="28"/>
                <w:szCs w:val="28"/>
                <w:lang w:eastAsia="en-US"/>
              </w:rPr>
              <w:t>Х</w:t>
            </w:r>
            <w:r>
              <w:rPr>
                <w:color w:val="000000"/>
                <w:sz w:val="28"/>
                <w:szCs w:val="28"/>
                <w:lang w:val="uk-UA" w:eastAsia="en-US"/>
              </w:rPr>
              <w:t>С</w:t>
            </w:r>
            <w:r>
              <w:rPr>
                <w:color w:val="000000"/>
                <w:sz w:val="28"/>
                <w:szCs w:val="28"/>
                <w:lang w:val="en-US" w:eastAsia="en-US"/>
              </w:rPr>
              <w:t xml:space="preserve"> </w:t>
            </w:r>
            <w:r>
              <w:rPr>
                <w:color w:val="000000"/>
                <w:sz w:val="28"/>
                <w:szCs w:val="28"/>
                <w:lang w:eastAsia="en-US"/>
              </w:rPr>
              <w:t>ЛПВ</w:t>
            </w:r>
            <w:r>
              <w:rPr>
                <w:color w:val="000000"/>
                <w:sz w:val="28"/>
                <w:szCs w:val="28"/>
                <w:lang w:val="uk-UA" w:eastAsia="en-US"/>
              </w:rPr>
              <w:t>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,252</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,021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БВ</w:t>
            </w:r>
            <w:r>
              <w:rPr>
                <w:sz w:val="28"/>
                <w:szCs w:val="28"/>
                <w:lang w:val="uk-UA" w:eastAsia="en-US"/>
              </w:rPr>
              <w:t>-</w:t>
            </w:r>
            <w:r>
              <w:rPr>
                <w:color w:val="000000"/>
                <w:sz w:val="28"/>
                <w:szCs w:val="28"/>
                <w:lang w:eastAsia="en-US"/>
              </w:rPr>
              <w:t>Х</w:t>
            </w:r>
            <w:r>
              <w:rPr>
                <w:color w:val="000000"/>
                <w:sz w:val="28"/>
                <w:szCs w:val="28"/>
                <w:lang w:val="uk-UA" w:eastAsia="en-US"/>
              </w:rPr>
              <w:t>С</w:t>
            </w:r>
            <w:r>
              <w:rPr>
                <w:color w:val="000000"/>
                <w:sz w:val="28"/>
                <w:szCs w:val="28"/>
                <w:lang w:val="en-US" w:eastAsia="en-US"/>
              </w:rPr>
              <w:t xml:space="preserve"> </w:t>
            </w:r>
            <w:r>
              <w:rPr>
                <w:color w:val="000000"/>
                <w:sz w:val="28"/>
                <w:szCs w:val="28"/>
                <w:lang w:eastAsia="en-US"/>
              </w:rPr>
              <w:t>ЛПН</w:t>
            </w:r>
            <w:r>
              <w:rPr>
                <w:color w:val="000000"/>
                <w:sz w:val="28"/>
                <w:szCs w:val="28"/>
                <w:lang w:val="uk-UA" w:eastAsia="en-US"/>
              </w:rPr>
              <w:t>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,305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,005</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 xml:space="preserve">БВ- </w:t>
            </w:r>
            <w:r>
              <w:rPr>
                <w:color w:val="000000"/>
                <w:sz w:val="28"/>
                <w:szCs w:val="28"/>
                <w:lang w:eastAsia="en-US"/>
              </w:rPr>
              <w:t>Глюкоза</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,272</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,013</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БВ</w:t>
            </w:r>
            <w:r>
              <w:rPr>
                <w:sz w:val="28"/>
                <w:szCs w:val="28"/>
                <w:lang w:val="uk-UA" w:eastAsia="en-US"/>
              </w:rPr>
              <w:t>-</w:t>
            </w:r>
            <w:r>
              <w:rPr>
                <w:color w:val="000000"/>
                <w:sz w:val="28"/>
                <w:szCs w:val="28"/>
                <w:lang w:eastAsia="en-US"/>
              </w:rPr>
              <w:t>HbA1</w:t>
            </w:r>
            <w:r>
              <w:rPr>
                <w:color w:val="000000"/>
                <w:sz w:val="28"/>
                <w:szCs w:val="28"/>
                <w:lang w:val="uk-UA" w:eastAsia="en-US"/>
              </w:rPr>
              <w:t>с</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,220</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,046</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БВ-</w:t>
            </w:r>
            <w:r>
              <w:rPr>
                <w:color w:val="000000"/>
                <w:sz w:val="28"/>
                <w:szCs w:val="28"/>
                <w:lang w:eastAsia="en-US"/>
              </w:rPr>
              <w:t>СА</w:t>
            </w:r>
            <w:r>
              <w:rPr>
                <w:color w:val="000000"/>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,288</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,008</w:t>
            </w:r>
          </w:p>
        </w:tc>
      </w:tr>
    </w:tbl>
    <w:p w:rsidR="00E3259F" w:rsidRDefault="00E3259F" w:rsidP="00E3259F">
      <w:pPr>
        <w:rPr>
          <w:lang w:val="uk-UA"/>
        </w:rPr>
      </w:pPr>
    </w:p>
    <w:p w:rsidR="00952586" w:rsidRDefault="00952586" w:rsidP="00E3259F">
      <w:pPr>
        <w:jc w:val="right"/>
        <w:rPr>
          <w:i/>
          <w:spacing w:val="-2"/>
          <w:sz w:val="28"/>
          <w:szCs w:val="28"/>
          <w:lang w:val="uk-UA"/>
        </w:rPr>
      </w:pPr>
    </w:p>
    <w:p w:rsidR="00952586" w:rsidRDefault="00952586" w:rsidP="00E3259F">
      <w:pPr>
        <w:jc w:val="right"/>
        <w:rPr>
          <w:i/>
          <w:spacing w:val="-2"/>
          <w:sz w:val="28"/>
          <w:szCs w:val="28"/>
          <w:lang w:val="uk-UA"/>
        </w:rPr>
      </w:pPr>
    </w:p>
    <w:p w:rsidR="00952586" w:rsidRDefault="00952586" w:rsidP="00E3259F">
      <w:pPr>
        <w:jc w:val="right"/>
        <w:rPr>
          <w:i/>
          <w:spacing w:val="-2"/>
          <w:sz w:val="28"/>
          <w:szCs w:val="28"/>
          <w:lang w:val="uk-UA"/>
        </w:rPr>
      </w:pPr>
    </w:p>
    <w:p w:rsidR="00E3259F" w:rsidRDefault="00E3259F" w:rsidP="00E3259F">
      <w:pPr>
        <w:jc w:val="right"/>
        <w:rPr>
          <w:sz w:val="2"/>
          <w:szCs w:val="2"/>
        </w:rPr>
      </w:pPr>
      <w:r>
        <w:rPr>
          <w:i/>
          <w:spacing w:val="-2"/>
          <w:sz w:val="28"/>
          <w:szCs w:val="28"/>
        </w:rPr>
        <w:t>Продовження табл. 3.11</w:t>
      </w:r>
    </w:p>
    <w:tbl>
      <w:tblPr>
        <w:tblW w:w="5000" w:type="pct"/>
        <w:tblLook w:val="04A0" w:firstRow="1" w:lastRow="0" w:firstColumn="1" w:lastColumn="0" w:noHBand="0" w:noVBand="1"/>
      </w:tblPr>
      <w:tblGrid>
        <w:gridCol w:w="4643"/>
        <w:gridCol w:w="2693"/>
        <w:gridCol w:w="2234"/>
      </w:tblGrid>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БВ-</w:t>
            </w:r>
            <w:r>
              <w:rPr>
                <w:color w:val="000000"/>
                <w:sz w:val="28"/>
                <w:szCs w:val="28"/>
                <w:lang w:eastAsia="en-US"/>
              </w:rPr>
              <w:t>ПА</w:t>
            </w:r>
            <w:r>
              <w:rPr>
                <w:color w:val="000000"/>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,429</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w:t>
            </w:r>
            <w:r>
              <w:rPr>
                <w:color w:val="000000"/>
                <w:sz w:val="28"/>
                <w:szCs w:val="28"/>
                <w:lang w:eastAsia="en-US"/>
              </w:rPr>
              <w:t>Х</w:t>
            </w:r>
            <w:r>
              <w:rPr>
                <w:color w:val="000000"/>
                <w:sz w:val="28"/>
                <w:szCs w:val="28"/>
                <w:lang w:val="uk-UA" w:eastAsia="en-US"/>
              </w:rPr>
              <w:t xml:space="preserve">С </w:t>
            </w:r>
            <w:r>
              <w:rPr>
                <w:color w:val="000000"/>
                <w:sz w:val="28"/>
                <w:szCs w:val="28"/>
                <w:lang w:eastAsia="en-US"/>
              </w:rPr>
              <w:t>ЛПВ</w:t>
            </w:r>
            <w:r>
              <w:rPr>
                <w:color w:val="000000"/>
                <w:sz w:val="28"/>
                <w:szCs w:val="28"/>
                <w:lang w:val="uk-UA" w:eastAsia="en-US"/>
              </w:rPr>
              <w:t>Щ</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,264</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,016</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 xml:space="preserve">Інд.швидкості </w:t>
            </w:r>
            <w:r>
              <w:rPr>
                <w:sz w:val="28"/>
                <w:szCs w:val="28"/>
                <w:lang w:eastAsia="en-US"/>
              </w:rPr>
              <w:t>стар</w:t>
            </w:r>
            <w:r>
              <w:rPr>
                <w:sz w:val="28"/>
                <w:szCs w:val="28"/>
                <w:lang w:val="uk-UA" w:eastAsia="en-US"/>
              </w:rPr>
              <w:t>іння-</w:t>
            </w:r>
            <w:r>
              <w:rPr>
                <w:sz w:val="28"/>
                <w:szCs w:val="28"/>
                <w:lang w:eastAsia="en-US"/>
              </w:rPr>
              <w:t xml:space="preserve"> НОМА-</w:t>
            </w:r>
            <w:r>
              <w:rPr>
                <w:sz w:val="28"/>
                <w:szCs w:val="28"/>
                <w:lang w:val="uk-UA" w:eastAsia="en-US"/>
              </w:rPr>
              <w:t>І</w:t>
            </w:r>
            <w:r>
              <w:rPr>
                <w:sz w:val="28"/>
                <w:szCs w:val="28"/>
                <w:lang w:val="en-US" w:eastAsia="en-US"/>
              </w:rPr>
              <w:t>R</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,365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w:t>
            </w:r>
            <w:r>
              <w:rPr>
                <w:sz w:val="28"/>
                <w:szCs w:val="28"/>
                <w:lang w:eastAsia="en-US"/>
              </w:rPr>
              <w:t xml:space="preserve"> СА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411</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,00</w:t>
            </w:r>
            <w:r>
              <w:rPr>
                <w:sz w:val="28"/>
                <w:szCs w:val="28"/>
                <w:lang w:val="uk-UA" w:eastAsia="en-US"/>
              </w:rPr>
              <w:t>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w:t>
            </w:r>
            <w:r>
              <w:rPr>
                <w:sz w:val="28"/>
                <w:szCs w:val="28"/>
                <w:lang w:eastAsia="en-US"/>
              </w:rPr>
              <w:t xml:space="preserve"> ПА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398</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,0</w:t>
            </w:r>
            <w:r>
              <w:rPr>
                <w:sz w:val="28"/>
                <w:szCs w:val="28"/>
                <w:lang w:val="uk-UA" w:eastAsia="en-US"/>
              </w:rPr>
              <w:t>0</w:t>
            </w:r>
            <w:r>
              <w:rPr>
                <w:sz w:val="28"/>
                <w:szCs w:val="28"/>
                <w:lang w:eastAsia="en-US"/>
              </w:rPr>
              <w:t>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w:t>
            </w:r>
            <w:r>
              <w:rPr>
                <w:sz w:val="28"/>
                <w:szCs w:val="28"/>
                <w:lang w:eastAsia="en-US"/>
              </w:rPr>
              <w:t>СА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371</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,0</w:t>
            </w:r>
            <w:r>
              <w:rPr>
                <w:sz w:val="28"/>
                <w:szCs w:val="28"/>
                <w:lang w:val="uk-UA" w:eastAsia="en-US"/>
              </w:rPr>
              <w:t>0</w:t>
            </w:r>
            <w:r>
              <w:rPr>
                <w:sz w:val="28"/>
                <w:szCs w:val="28"/>
                <w:lang w:eastAsia="en-US"/>
              </w:rPr>
              <w:t>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 - ДАТ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,299</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,006</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w:t>
            </w:r>
            <w:r>
              <w:rPr>
                <w:sz w:val="28"/>
                <w:szCs w:val="28"/>
                <w:lang w:eastAsia="en-US"/>
              </w:rPr>
              <w:t>ПА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340</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,0</w:t>
            </w:r>
            <w:r>
              <w:rPr>
                <w:sz w:val="28"/>
                <w:szCs w:val="28"/>
                <w:lang w:val="uk-UA" w:eastAsia="en-US"/>
              </w:rPr>
              <w:t>0</w:t>
            </w:r>
            <w:r>
              <w:rPr>
                <w:sz w:val="28"/>
                <w:szCs w:val="28"/>
                <w:lang w:eastAsia="en-US"/>
              </w:rPr>
              <w:t>2</w:t>
            </w:r>
          </w:p>
        </w:tc>
      </w:tr>
      <w:tr w:rsidR="00E3259F" w:rsidTr="00E3259F">
        <w:tc>
          <w:tcPr>
            <w:tcW w:w="5000" w:type="pct"/>
            <w:gridSpan w:val="3"/>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center"/>
              <w:rPr>
                <w:sz w:val="28"/>
                <w:szCs w:val="28"/>
                <w:lang w:val="uk-UA" w:eastAsia="en-US"/>
              </w:rPr>
            </w:pPr>
            <w:r>
              <w:rPr>
                <w:sz w:val="28"/>
                <w:szCs w:val="28"/>
                <w:lang w:val="uk-UA" w:eastAsia="en-US"/>
              </w:rPr>
              <w:t>3 група</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БВ</w:t>
            </w:r>
            <w:r>
              <w:rPr>
                <w:sz w:val="28"/>
                <w:szCs w:val="28"/>
                <w:lang w:val="uk-UA" w:eastAsia="en-US"/>
              </w:rPr>
              <w:t xml:space="preserve"> - САТ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,4</w:t>
            </w:r>
            <w:r>
              <w:rPr>
                <w:sz w:val="28"/>
                <w:szCs w:val="28"/>
                <w:lang w:val="uk-UA" w:eastAsia="en-US"/>
              </w:rPr>
              <w:t>26</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,00</w:t>
            </w:r>
            <w:r>
              <w:rPr>
                <w:sz w:val="28"/>
                <w:szCs w:val="28"/>
                <w:lang w:val="uk-UA" w:eastAsia="en-US"/>
              </w:rPr>
              <w:t>7</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БВ</w:t>
            </w:r>
            <w:r>
              <w:rPr>
                <w:sz w:val="28"/>
                <w:szCs w:val="28"/>
                <w:lang w:val="uk-UA" w:eastAsia="en-US"/>
              </w:rPr>
              <w:t xml:space="preserve"> - ПАТ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605</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,00</w:t>
            </w:r>
            <w:r>
              <w:rPr>
                <w:sz w:val="28"/>
                <w:szCs w:val="28"/>
                <w:lang w:val="uk-UA" w:eastAsia="en-US"/>
              </w:rPr>
              <w:t>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w:t>
            </w:r>
            <w:r>
              <w:rPr>
                <w:color w:val="000000"/>
                <w:sz w:val="28"/>
                <w:szCs w:val="28"/>
                <w:lang w:eastAsia="en-US"/>
              </w:rPr>
              <w:t>ТТГ</w:t>
            </w:r>
            <w:r>
              <w:rPr>
                <w:sz w:val="28"/>
                <w:szCs w:val="28"/>
                <w:lang w:val="uk-UA" w:eastAsia="en-US"/>
              </w:rPr>
              <w:t xml:space="preserve"> </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,344</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,032</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w:t>
            </w:r>
            <w:r>
              <w:rPr>
                <w:color w:val="000000"/>
                <w:sz w:val="28"/>
                <w:szCs w:val="28"/>
                <w:lang w:eastAsia="en-US"/>
              </w:rPr>
              <w:t>СА</w:t>
            </w:r>
            <w:r>
              <w:rPr>
                <w:color w:val="000000"/>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,332</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,039</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eastAsia="en-US"/>
              </w:rPr>
            </w:pPr>
            <w:r>
              <w:rPr>
                <w:sz w:val="28"/>
                <w:szCs w:val="28"/>
                <w:lang w:eastAsia="en-US"/>
              </w:rPr>
              <w:t>Ко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r>
              <w:rPr>
                <w:sz w:val="28"/>
                <w:szCs w:val="28"/>
                <w:lang w:val="uk-UA" w:eastAsia="en-US"/>
              </w:rPr>
              <w:t>.-</w:t>
            </w:r>
            <w:r>
              <w:rPr>
                <w:color w:val="000000"/>
                <w:sz w:val="28"/>
                <w:szCs w:val="28"/>
                <w:lang w:eastAsia="en-US"/>
              </w:rPr>
              <w:t>ПА</w:t>
            </w:r>
            <w:r>
              <w:rPr>
                <w:color w:val="000000"/>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,513</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 -</w:t>
            </w:r>
            <w:r>
              <w:rPr>
                <w:sz w:val="28"/>
                <w:szCs w:val="28"/>
                <w:lang w:eastAsia="en-US"/>
              </w:rPr>
              <w:t xml:space="preserve"> СА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333</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,0</w:t>
            </w:r>
            <w:r>
              <w:rPr>
                <w:sz w:val="28"/>
                <w:szCs w:val="28"/>
                <w:lang w:val="uk-UA" w:eastAsia="en-US"/>
              </w:rPr>
              <w:t>3</w:t>
            </w:r>
            <w:r>
              <w:rPr>
                <w:sz w:val="28"/>
                <w:szCs w:val="28"/>
                <w:lang w:eastAsia="en-US"/>
              </w:rPr>
              <w:t>9</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 xml:space="preserve">Інд. швидкості </w:t>
            </w:r>
            <w:r>
              <w:rPr>
                <w:sz w:val="28"/>
                <w:szCs w:val="28"/>
                <w:lang w:eastAsia="en-US"/>
              </w:rPr>
              <w:t>стар</w:t>
            </w:r>
            <w:r>
              <w:rPr>
                <w:sz w:val="28"/>
                <w:szCs w:val="28"/>
                <w:lang w:val="uk-UA" w:eastAsia="en-US"/>
              </w:rPr>
              <w:t>іння -</w:t>
            </w:r>
            <w:r>
              <w:rPr>
                <w:sz w:val="28"/>
                <w:szCs w:val="28"/>
                <w:lang w:eastAsia="en-US"/>
              </w:rPr>
              <w:t xml:space="preserve"> ПА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572</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,00</w:t>
            </w:r>
            <w:r>
              <w:rPr>
                <w:sz w:val="28"/>
                <w:szCs w:val="28"/>
                <w:lang w:val="uk-UA" w:eastAsia="en-US"/>
              </w:rPr>
              <w:t>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 -</w:t>
            </w:r>
            <w:r>
              <w:rPr>
                <w:sz w:val="28"/>
                <w:szCs w:val="28"/>
                <w:lang w:eastAsia="en-US"/>
              </w:rPr>
              <w:t xml:space="preserve"> СА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329</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,0</w:t>
            </w:r>
            <w:r>
              <w:rPr>
                <w:sz w:val="28"/>
                <w:szCs w:val="28"/>
                <w:lang w:val="uk-UA" w:eastAsia="en-US"/>
              </w:rPr>
              <w:t>41</w:t>
            </w:r>
          </w:p>
        </w:tc>
      </w:tr>
      <w:tr w:rsidR="00E3259F" w:rsidTr="00E3259F">
        <w:tc>
          <w:tcPr>
            <w:tcW w:w="2426"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Кт</w:t>
            </w:r>
            <w:r>
              <w:rPr>
                <w:sz w:val="28"/>
                <w:szCs w:val="28"/>
                <w:lang w:val="uk-UA" w:eastAsia="en-US"/>
              </w:rPr>
              <w:t xml:space="preserve">. швидкості </w:t>
            </w:r>
            <w:r>
              <w:rPr>
                <w:sz w:val="28"/>
                <w:szCs w:val="28"/>
                <w:lang w:eastAsia="en-US"/>
              </w:rPr>
              <w:t>стар</w:t>
            </w:r>
            <w:r>
              <w:rPr>
                <w:sz w:val="28"/>
                <w:szCs w:val="28"/>
                <w:lang w:val="uk-UA" w:eastAsia="en-US"/>
              </w:rPr>
              <w:t>іння-</w:t>
            </w:r>
            <w:r>
              <w:rPr>
                <w:sz w:val="28"/>
                <w:szCs w:val="28"/>
                <w:lang w:eastAsia="en-US"/>
              </w:rPr>
              <w:t xml:space="preserve"> ПА</w:t>
            </w:r>
            <w:r>
              <w:rPr>
                <w:sz w:val="28"/>
                <w:szCs w:val="28"/>
                <w:lang w:val="uk-UA" w:eastAsia="en-US"/>
              </w:rPr>
              <w:t>Т</w:t>
            </w:r>
          </w:p>
        </w:tc>
        <w:tc>
          <w:tcPr>
            <w:tcW w:w="140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w:t>
            </w:r>
            <w:r>
              <w:rPr>
                <w:sz w:val="28"/>
                <w:szCs w:val="28"/>
                <w:lang w:val="uk-UA" w:eastAsia="en-US"/>
              </w:rPr>
              <w:t>570</w:t>
            </w:r>
          </w:p>
        </w:tc>
        <w:tc>
          <w:tcPr>
            <w:tcW w:w="116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0</w:t>
            </w:r>
            <w:r>
              <w:rPr>
                <w:sz w:val="28"/>
                <w:szCs w:val="28"/>
                <w:lang w:eastAsia="en-US"/>
              </w:rPr>
              <w:t>,00</w:t>
            </w:r>
            <w:r>
              <w:rPr>
                <w:sz w:val="28"/>
                <w:szCs w:val="28"/>
                <w:lang w:val="uk-UA" w:eastAsia="en-US"/>
              </w:rPr>
              <w:t>1</w:t>
            </w:r>
          </w:p>
        </w:tc>
      </w:tr>
    </w:tbl>
    <w:p w:rsidR="00E3259F" w:rsidRDefault="00E3259F" w:rsidP="00E3259F">
      <w:pPr>
        <w:ind w:firstLine="709"/>
        <w:jc w:val="both"/>
        <w:rPr>
          <w:rStyle w:val="tlid-translation"/>
          <w:rFonts w:eastAsiaTheme="majorEastAsia"/>
          <w:sz w:val="28"/>
          <w:szCs w:val="28"/>
          <w:lang w:val="uk-UA" w:eastAsia="en-US"/>
        </w:rPr>
      </w:pPr>
    </w:p>
    <w:p w:rsidR="00E3259F" w:rsidRPr="00E3259F" w:rsidRDefault="00E3259F" w:rsidP="008C0864">
      <w:pPr>
        <w:spacing w:line="360" w:lineRule="auto"/>
        <w:ind w:firstLine="709"/>
        <w:jc w:val="both"/>
        <w:rPr>
          <w:sz w:val="22"/>
          <w:szCs w:val="22"/>
          <w:lang w:val="uk-UA"/>
        </w:rPr>
      </w:pPr>
      <w:r>
        <w:rPr>
          <w:sz w:val="28"/>
          <w:szCs w:val="28"/>
          <w:lang w:val="uk-UA"/>
        </w:rPr>
        <w:t xml:space="preserve">З віком наявність та прогресування метаболічних змін організму призводить до значного зниження всіх компенсаторних механізмів, що прискорює процеси старіння. Наявність у пацієнтів ЦД 2 типу та СГТ сприяє змінам фундаментальних механізмів старіння, що обумовлює більш швидке виникнення вікової патології, впливаючи на якість і тривалість життя та стимулюючі процеси ПС. </w:t>
      </w:r>
    </w:p>
    <w:p w:rsidR="00E3259F" w:rsidRDefault="00E3259F" w:rsidP="008C0864">
      <w:pPr>
        <w:widowControl w:val="0"/>
        <w:autoSpaceDE w:val="0"/>
        <w:autoSpaceDN w:val="0"/>
        <w:adjustRightInd w:val="0"/>
        <w:spacing w:line="360" w:lineRule="auto"/>
        <w:ind w:firstLine="709"/>
        <w:jc w:val="both"/>
        <w:rPr>
          <w:spacing w:val="-1"/>
          <w:sz w:val="28"/>
          <w:szCs w:val="28"/>
          <w:lang w:val="uk-UA"/>
        </w:rPr>
      </w:pPr>
      <w:r>
        <w:rPr>
          <w:rStyle w:val="tlid-translation"/>
          <w:rFonts w:eastAsiaTheme="majorEastAsia"/>
          <w:sz w:val="28"/>
          <w:szCs w:val="28"/>
          <w:lang w:val="uk-UA"/>
        </w:rPr>
        <w:t xml:space="preserve">Був проведений аналіз </w:t>
      </w:r>
      <w:r>
        <w:rPr>
          <w:spacing w:val="-1"/>
          <w:sz w:val="28"/>
          <w:szCs w:val="28"/>
          <w:lang w:val="uk-UA"/>
        </w:rPr>
        <w:t xml:space="preserve">метаболічних  та антропометричних показників в групах з урахуванням темпу старіння – УТС та ПТС </w:t>
      </w:r>
      <w:r>
        <w:rPr>
          <w:rStyle w:val="tlid-translation"/>
          <w:rFonts w:eastAsiaTheme="majorEastAsia"/>
          <w:sz w:val="28"/>
          <w:szCs w:val="28"/>
          <w:lang w:val="uk-UA"/>
        </w:rPr>
        <w:t>(Таблиця 3.12)</w:t>
      </w:r>
      <w:r>
        <w:rPr>
          <w:spacing w:val="-1"/>
          <w:sz w:val="28"/>
          <w:szCs w:val="28"/>
          <w:lang w:val="uk-UA"/>
        </w:rPr>
        <w:t xml:space="preserve">. Пацієнти з ФС до цього аналізу не залучались.  </w:t>
      </w:r>
    </w:p>
    <w:p w:rsidR="00E3259F" w:rsidRPr="00E3259F" w:rsidRDefault="00E3259F" w:rsidP="008C0864">
      <w:pPr>
        <w:widowControl w:val="0"/>
        <w:autoSpaceDE w:val="0"/>
        <w:autoSpaceDN w:val="0"/>
        <w:adjustRightInd w:val="0"/>
        <w:spacing w:line="360" w:lineRule="auto"/>
        <w:ind w:firstLine="709"/>
        <w:jc w:val="both"/>
        <w:rPr>
          <w:rStyle w:val="tlid-translation"/>
          <w:rFonts w:eastAsiaTheme="majorEastAsia"/>
          <w:lang w:val="uk-UA"/>
        </w:rPr>
      </w:pPr>
      <w:r>
        <w:rPr>
          <w:rStyle w:val="tlid-translation"/>
          <w:rFonts w:eastAsiaTheme="majorEastAsia"/>
          <w:sz w:val="28"/>
          <w:szCs w:val="28"/>
          <w:lang w:val="uk-UA"/>
        </w:rPr>
        <w:t>При порівняльному аналізі було виявлено, що в осіб з ПТС у групі 2 мала місце достовірно більша МТ (р=0,049), нижчі рівні ХС ЛПВЩ (р=0,017), ХС ЛПНЩ (р=0,024), вищі рівні ТТГ (р=0,036) ніж при УТС, в інших групах достовірних відмінностей знайдено не було</w:t>
      </w:r>
      <w:r>
        <w:rPr>
          <w:sz w:val="28"/>
          <w:szCs w:val="28"/>
          <w:lang w:val="uk-UA" w:eastAsia="en-US"/>
        </w:rPr>
        <w:t xml:space="preserve">. </w:t>
      </w:r>
      <w:r>
        <w:rPr>
          <w:rStyle w:val="tlid-translation"/>
          <w:rFonts w:eastAsiaTheme="majorEastAsia"/>
          <w:sz w:val="28"/>
          <w:szCs w:val="28"/>
          <w:lang w:val="uk-UA"/>
        </w:rPr>
        <w:t xml:space="preserve"> </w:t>
      </w:r>
      <w:r>
        <w:rPr>
          <w:sz w:val="28"/>
          <w:szCs w:val="28"/>
          <w:lang w:val="uk-UA"/>
        </w:rPr>
        <w:t xml:space="preserve">Цікавим є факт, що при УТС в усіх групах досліджених було визначено більш </w:t>
      </w:r>
      <w:r>
        <w:rPr>
          <w:rStyle w:val="tlid-translation"/>
          <w:rFonts w:eastAsiaTheme="majorEastAsia"/>
          <w:sz w:val="28"/>
          <w:szCs w:val="28"/>
          <w:lang w:val="uk-UA"/>
        </w:rPr>
        <w:t xml:space="preserve">виражену дисліпідемію, що проявлялося більш високими значеннями ЗХ, ТГ та ХС ЛПНЩ, та нижчий індекс </w:t>
      </w:r>
      <w:r>
        <w:rPr>
          <w:sz w:val="28"/>
          <w:szCs w:val="28"/>
          <w:lang w:val="uk-UA"/>
        </w:rPr>
        <w:t>НОМА-</w:t>
      </w:r>
      <w:r>
        <w:rPr>
          <w:sz w:val="28"/>
          <w:szCs w:val="28"/>
          <w:lang w:val="en-US"/>
        </w:rPr>
        <w:t>IR</w:t>
      </w:r>
      <w:r>
        <w:rPr>
          <w:rStyle w:val="tlid-translation"/>
          <w:rFonts w:eastAsiaTheme="majorEastAsia"/>
          <w:sz w:val="28"/>
          <w:szCs w:val="28"/>
          <w:lang w:val="uk-UA"/>
        </w:rPr>
        <w:t xml:space="preserve"> порівняно з особами з ПТС, хоча ці відмінності не мали статистичної достовірності (крім рівнів ХС ЛПНЩ у групі 2, р=0,024).</w:t>
      </w:r>
      <w:r>
        <w:rPr>
          <w:sz w:val="28"/>
          <w:szCs w:val="28"/>
          <w:lang w:val="uk-UA"/>
        </w:rPr>
        <w:t xml:space="preserve"> </w:t>
      </w:r>
      <w:r>
        <w:rPr>
          <w:rStyle w:val="tlid-translation"/>
          <w:rFonts w:eastAsiaTheme="majorEastAsia"/>
          <w:sz w:val="28"/>
          <w:szCs w:val="28"/>
          <w:lang w:val="uk-UA"/>
        </w:rPr>
        <w:t xml:space="preserve">Достовірних відмінностей рівня </w:t>
      </w:r>
      <w:r>
        <w:rPr>
          <w:sz w:val="28"/>
          <w:szCs w:val="28"/>
        </w:rPr>
        <w:t>HbA1</w:t>
      </w:r>
      <w:r>
        <w:rPr>
          <w:sz w:val="28"/>
          <w:szCs w:val="28"/>
          <w:lang w:val="uk-UA"/>
        </w:rPr>
        <w:t>с в залежності від темпу старіння в групах отримано не було. У пацієнтів з ознаками</w:t>
      </w:r>
      <w:r>
        <w:rPr>
          <w:rStyle w:val="tlid-translation"/>
          <w:rFonts w:eastAsiaTheme="majorEastAsia"/>
          <w:sz w:val="28"/>
          <w:szCs w:val="28"/>
          <w:lang w:val="uk-UA"/>
        </w:rPr>
        <w:t xml:space="preserve"> ПТС, незалежно від групи, були виявлені достовірно вищі значення рівнів АТ ніж при УТС: САТ (1 група -</w:t>
      </w:r>
      <w:r>
        <w:rPr>
          <w:sz w:val="28"/>
          <w:szCs w:val="28"/>
          <w:lang w:val="uk-UA"/>
        </w:rPr>
        <w:t xml:space="preserve"> р=0,015, </w:t>
      </w:r>
      <w:r>
        <w:rPr>
          <w:rStyle w:val="tlid-translation"/>
          <w:rFonts w:eastAsiaTheme="majorEastAsia"/>
          <w:sz w:val="28"/>
          <w:szCs w:val="28"/>
          <w:lang w:val="uk-UA"/>
        </w:rPr>
        <w:t xml:space="preserve">2 група -р=0,001, 3 група – р=0,016), ДАТ (1 група - </w:t>
      </w:r>
      <w:r>
        <w:rPr>
          <w:sz w:val="28"/>
          <w:szCs w:val="28"/>
          <w:lang w:val="uk-UA"/>
        </w:rPr>
        <w:t xml:space="preserve">р=0,025, </w:t>
      </w:r>
      <w:r>
        <w:rPr>
          <w:rStyle w:val="tlid-translation"/>
          <w:rFonts w:eastAsiaTheme="majorEastAsia"/>
          <w:sz w:val="28"/>
          <w:szCs w:val="28"/>
          <w:lang w:val="uk-UA"/>
        </w:rPr>
        <w:t>2 група-р =0,001) і ПАТ (2 група-р=0,002,</w:t>
      </w:r>
      <w:r>
        <w:rPr>
          <w:rStyle w:val="10"/>
          <w:rFonts w:eastAsiaTheme="minorHAnsi"/>
          <w:sz w:val="28"/>
          <w:szCs w:val="28"/>
          <w:lang w:val="uk-UA"/>
        </w:rPr>
        <w:t xml:space="preserve"> </w:t>
      </w:r>
      <w:r>
        <w:rPr>
          <w:rStyle w:val="tlid-translation"/>
          <w:rFonts w:eastAsiaTheme="majorEastAsia"/>
          <w:sz w:val="28"/>
          <w:szCs w:val="28"/>
          <w:lang w:val="uk-UA"/>
        </w:rPr>
        <w:t xml:space="preserve">3 група – р=0,001). ПАТ в групі пацієнтів з ізольованою ГХ і ДАТ у групі ГХ, ЦД 2 типу та СГТ залежно від темпу старіння вірогідно не відрізнялись (р&gt;0,05). </w:t>
      </w:r>
      <w:r w:rsidRPr="004E7365">
        <w:rPr>
          <w:rStyle w:val="tlid-translation"/>
          <w:rFonts w:eastAsiaTheme="majorEastAsia"/>
          <w:sz w:val="28"/>
          <w:szCs w:val="28"/>
          <w:lang w:val="uk-UA"/>
        </w:rPr>
        <w:t xml:space="preserve">Підвищений ПАТ важається незалежним серцево-судинним фактором ризику </w:t>
      </w:r>
      <w:r w:rsidRPr="004E7365">
        <w:rPr>
          <w:rStyle w:val="tlid-translation"/>
          <w:sz w:val="28"/>
          <w:szCs w:val="28"/>
          <w:lang w:val="uk-UA"/>
        </w:rPr>
        <w:t>[</w:t>
      </w:r>
      <w:r w:rsidRPr="004E7365">
        <w:rPr>
          <w:sz w:val="28"/>
          <w:szCs w:val="28"/>
          <w:lang w:val="uk-UA"/>
        </w:rPr>
        <w:t>94</w:t>
      </w:r>
      <w:r w:rsidRPr="004E7365">
        <w:rPr>
          <w:rStyle w:val="tlid-translation"/>
          <w:sz w:val="28"/>
          <w:szCs w:val="28"/>
          <w:lang w:val="uk-UA"/>
        </w:rPr>
        <w:t>],</w:t>
      </w:r>
      <w:r w:rsidRPr="004E7365">
        <w:rPr>
          <w:rStyle w:val="tlid-translation"/>
          <w:rFonts w:eastAsiaTheme="majorEastAsia"/>
          <w:sz w:val="28"/>
          <w:szCs w:val="28"/>
          <w:lang w:val="uk-UA"/>
        </w:rPr>
        <w:t xml:space="preserve"> а його підвищення відбувається за рахунок судинного старіння, яке виражається</w:t>
      </w:r>
      <w:r>
        <w:rPr>
          <w:rStyle w:val="tlid-translation"/>
          <w:rFonts w:eastAsiaTheme="majorEastAsia"/>
          <w:sz w:val="28"/>
          <w:szCs w:val="28"/>
          <w:lang w:val="uk-UA"/>
        </w:rPr>
        <w:t xml:space="preserve"> в зниженні еластичності судин. Наявність достовірно вищіх рівнів ПАТ у пацієнтів з ПТС, ніж при УТС, у групах пацієнтів з коморбідною патологією можна розцінювати як непряме підтвердження значущості ПАТ як маркера судинного віку.</w:t>
      </w:r>
    </w:p>
    <w:p w:rsidR="00E3259F" w:rsidRDefault="00E3259F" w:rsidP="008C0864">
      <w:pPr>
        <w:spacing w:line="360" w:lineRule="auto"/>
        <w:ind w:firstLine="709"/>
        <w:jc w:val="both"/>
        <w:rPr>
          <w:rStyle w:val="tlid-translation"/>
          <w:rFonts w:eastAsiaTheme="majorEastAsia"/>
          <w:lang w:val="uk-UA" w:eastAsia="en-US"/>
        </w:rPr>
      </w:pPr>
    </w:p>
    <w:p w:rsidR="00E3259F" w:rsidRDefault="00E3259F" w:rsidP="00E3259F">
      <w:pPr>
        <w:ind w:firstLine="709"/>
        <w:jc w:val="right"/>
        <w:rPr>
          <w:rStyle w:val="tlid-translation"/>
          <w:rFonts w:eastAsiaTheme="majorEastAsia"/>
          <w:sz w:val="28"/>
          <w:szCs w:val="28"/>
          <w:lang w:val="uk-UA"/>
        </w:rPr>
      </w:pPr>
    </w:p>
    <w:p w:rsidR="00E3259F" w:rsidRDefault="00E3259F" w:rsidP="00E3259F">
      <w:pPr>
        <w:rPr>
          <w:rStyle w:val="tlid-translation"/>
          <w:rFonts w:eastAsiaTheme="majorEastAsia"/>
          <w:sz w:val="28"/>
          <w:szCs w:val="28"/>
          <w:lang w:val="uk-UA"/>
        </w:rPr>
        <w:sectPr w:rsidR="00E3259F">
          <w:type w:val="continuous"/>
          <w:pgSz w:w="11906" w:h="16838"/>
          <w:pgMar w:top="1134" w:right="851" w:bottom="1134" w:left="1701" w:header="709" w:footer="709" w:gutter="0"/>
          <w:cols w:space="720"/>
        </w:sectPr>
      </w:pPr>
    </w:p>
    <w:p w:rsidR="00E3259F" w:rsidRDefault="00E3259F" w:rsidP="00E3259F">
      <w:pPr>
        <w:ind w:firstLine="709"/>
        <w:jc w:val="right"/>
        <w:rPr>
          <w:rStyle w:val="tlid-translation"/>
          <w:rFonts w:eastAsiaTheme="majorEastAsia"/>
          <w:sz w:val="28"/>
          <w:szCs w:val="28"/>
          <w:lang w:val="uk-UA"/>
        </w:rPr>
      </w:pPr>
      <w:r>
        <w:rPr>
          <w:rStyle w:val="tlid-translation"/>
          <w:rFonts w:eastAsiaTheme="majorEastAsia"/>
          <w:sz w:val="28"/>
          <w:szCs w:val="28"/>
          <w:lang w:val="uk-UA"/>
        </w:rPr>
        <w:t>Таблиця 3.12</w:t>
      </w:r>
    </w:p>
    <w:p w:rsidR="00E3259F" w:rsidRDefault="00E3259F" w:rsidP="00E3259F">
      <w:pPr>
        <w:ind w:firstLine="709"/>
        <w:jc w:val="center"/>
        <w:rPr>
          <w:rStyle w:val="tlid-translation"/>
          <w:rFonts w:eastAsiaTheme="majorEastAsia"/>
          <w:sz w:val="28"/>
          <w:szCs w:val="28"/>
          <w:lang w:val="uk-UA"/>
        </w:rPr>
      </w:pPr>
      <w:r>
        <w:rPr>
          <w:rStyle w:val="tlid-translation"/>
          <w:rFonts w:eastAsiaTheme="majorEastAsia"/>
          <w:sz w:val="28"/>
          <w:szCs w:val="28"/>
          <w:lang w:val="uk-UA"/>
        </w:rPr>
        <w:t>Порівняльний аналіз  антропометричних та метаболічних показників в залежності від темпу старіння</w:t>
      </w:r>
    </w:p>
    <w:p w:rsidR="00E3259F" w:rsidRDefault="00E3259F" w:rsidP="00E3259F">
      <w:pPr>
        <w:ind w:firstLine="709"/>
        <w:jc w:val="center"/>
        <w:rPr>
          <w:rStyle w:val="tlid-translation"/>
          <w:rFonts w:eastAsiaTheme="majorEastAsia"/>
          <w:sz w:val="28"/>
          <w:szCs w:val="28"/>
          <w:lang w:val="uk-UA"/>
        </w:rPr>
      </w:pPr>
    </w:p>
    <w:tbl>
      <w:tblPr>
        <w:tblW w:w="5000" w:type="pct"/>
        <w:tblLook w:val="04A0" w:firstRow="1" w:lastRow="0" w:firstColumn="1" w:lastColumn="0" w:noHBand="0" w:noVBand="1"/>
      </w:tblPr>
      <w:tblGrid>
        <w:gridCol w:w="3227"/>
        <w:gridCol w:w="1985"/>
        <w:gridCol w:w="2126"/>
        <w:gridCol w:w="1703"/>
        <w:gridCol w:w="1987"/>
        <w:gridCol w:w="1845"/>
        <w:gridCol w:w="1913"/>
      </w:tblGrid>
      <w:tr w:rsidR="00E3259F" w:rsidTr="00E3259F">
        <w:trPr>
          <w:trHeight w:val="713"/>
        </w:trPr>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 xml:space="preserve">Показник </w:t>
            </w:r>
          </w:p>
        </w:tc>
        <w:tc>
          <w:tcPr>
            <w:tcW w:w="1390" w:type="pct"/>
            <w:gridSpan w:val="2"/>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en-US" w:eastAsia="en-US"/>
              </w:rPr>
            </w:pPr>
            <w:r>
              <w:rPr>
                <w:sz w:val="28"/>
                <w:szCs w:val="28"/>
                <w:lang w:val="uk-UA" w:eastAsia="en-US"/>
              </w:rPr>
              <w:t>Група 1 (</w:t>
            </w:r>
            <w:r>
              <w:rPr>
                <w:sz w:val="28"/>
                <w:szCs w:val="28"/>
                <w:lang w:val="en-US" w:eastAsia="en-US"/>
              </w:rPr>
              <w:t>n=106)</w:t>
            </w:r>
          </w:p>
        </w:tc>
        <w:tc>
          <w:tcPr>
            <w:tcW w:w="1248" w:type="pct"/>
            <w:gridSpan w:val="2"/>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en-US" w:eastAsia="en-US"/>
              </w:rPr>
            </w:pPr>
            <w:r>
              <w:rPr>
                <w:sz w:val="28"/>
                <w:szCs w:val="28"/>
                <w:lang w:val="uk-UA" w:eastAsia="en-US"/>
              </w:rPr>
              <w:t>Група 2 (</w:t>
            </w:r>
            <w:r>
              <w:rPr>
                <w:sz w:val="28"/>
                <w:szCs w:val="28"/>
                <w:lang w:val="en-US" w:eastAsia="en-US"/>
              </w:rPr>
              <w:t>n=156)</w:t>
            </w:r>
          </w:p>
        </w:tc>
        <w:tc>
          <w:tcPr>
            <w:tcW w:w="1271" w:type="pct"/>
            <w:gridSpan w:val="2"/>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en-US" w:eastAsia="en-US"/>
              </w:rPr>
            </w:pPr>
            <w:r>
              <w:rPr>
                <w:sz w:val="28"/>
                <w:szCs w:val="28"/>
                <w:lang w:val="uk-UA" w:eastAsia="en-US"/>
              </w:rPr>
              <w:t xml:space="preserve">Група 3 </w:t>
            </w:r>
            <w:r>
              <w:rPr>
                <w:sz w:val="28"/>
                <w:szCs w:val="28"/>
                <w:lang w:val="en-US" w:eastAsia="en-US"/>
              </w:rPr>
              <w:t>(n=93)</w:t>
            </w:r>
          </w:p>
        </w:tc>
      </w:tr>
      <w:tr w:rsidR="00E3259F" w:rsidTr="00E3259F">
        <w:trPr>
          <w:trHeight w:val="754"/>
        </w:trPr>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Темп старіння</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У</w:t>
            </w:r>
            <w:r>
              <w:rPr>
                <w:sz w:val="28"/>
                <w:szCs w:val="28"/>
                <w:lang w:eastAsia="en-US"/>
              </w:rPr>
              <w:t>ТС</w:t>
            </w:r>
          </w:p>
          <w:p w:rsidR="00E3259F" w:rsidRDefault="00E3259F">
            <w:pPr>
              <w:spacing w:line="360" w:lineRule="auto"/>
              <w:jc w:val="both"/>
              <w:rPr>
                <w:sz w:val="28"/>
                <w:szCs w:val="28"/>
                <w:lang w:val="uk-UA" w:eastAsia="en-US"/>
              </w:rPr>
            </w:pPr>
            <w:r>
              <w:rPr>
                <w:sz w:val="28"/>
                <w:szCs w:val="28"/>
                <w:lang w:eastAsia="en-US"/>
              </w:rPr>
              <w:t>(</w:t>
            </w:r>
            <w:r>
              <w:rPr>
                <w:sz w:val="28"/>
                <w:szCs w:val="28"/>
                <w:lang w:val="en-US" w:eastAsia="en-US"/>
              </w:rPr>
              <w:t>n=59)</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П</w:t>
            </w:r>
            <w:r>
              <w:rPr>
                <w:sz w:val="28"/>
                <w:szCs w:val="28"/>
                <w:lang w:eastAsia="en-US"/>
              </w:rPr>
              <w:t>ТС</w:t>
            </w:r>
          </w:p>
          <w:p w:rsidR="00E3259F" w:rsidRDefault="00E3259F">
            <w:pPr>
              <w:spacing w:line="360" w:lineRule="auto"/>
              <w:jc w:val="both"/>
              <w:rPr>
                <w:sz w:val="28"/>
                <w:szCs w:val="28"/>
                <w:lang w:val="uk-UA" w:eastAsia="en-US"/>
              </w:rPr>
            </w:pPr>
            <w:r>
              <w:rPr>
                <w:sz w:val="28"/>
                <w:szCs w:val="28"/>
                <w:lang w:eastAsia="en-US"/>
              </w:rPr>
              <w:t>(</w:t>
            </w:r>
            <w:r>
              <w:rPr>
                <w:sz w:val="28"/>
                <w:szCs w:val="28"/>
                <w:lang w:val="en-US" w:eastAsia="en-US"/>
              </w:rPr>
              <w:t>n=33)</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У</w:t>
            </w:r>
            <w:r>
              <w:rPr>
                <w:sz w:val="28"/>
                <w:szCs w:val="28"/>
                <w:lang w:eastAsia="en-US"/>
              </w:rPr>
              <w:t>ТС</w:t>
            </w:r>
          </w:p>
          <w:p w:rsidR="00E3259F" w:rsidRDefault="00E3259F">
            <w:pPr>
              <w:spacing w:line="360" w:lineRule="auto"/>
              <w:jc w:val="both"/>
              <w:rPr>
                <w:sz w:val="28"/>
                <w:szCs w:val="28"/>
                <w:lang w:val="uk-UA" w:eastAsia="en-US"/>
              </w:rPr>
            </w:pPr>
            <w:r>
              <w:rPr>
                <w:sz w:val="28"/>
                <w:szCs w:val="28"/>
                <w:lang w:eastAsia="en-US"/>
              </w:rPr>
              <w:t>(</w:t>
            </w:r>
            <w:r>
              <w:rPr>
                <w:sz w:val="28"/>
                <w:szCs w:val="28"/>
                <w:lang w:val="en-US" w:eastAsia="en-US"/>
              </w:rPr>
              <w:t>n=57)</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П</w:t>
            </w:r>
            <w:r>
              <w:rPr>
                <w:sz w:val="28"/>
                <w:szCs w:val="28"/>
                <w:lang w:eastAsia="en-US"/>
              </w:rPr>
              <w:t>ТС</w:t>
            </w:r>
          </w:p>
          <w:p w:rsidR="00E3259F" w:rsidRDefault="00E3259F">
            <w:pPr>
              <w:spacing w:line="360" w:lineRule="auto"/>
              <w:jc w:val="both"/>
              <w:rPr>
                <w:sz w:val="28"/>
                <w:szCs w:val="28"/>
                <w:lang w:val="uk-UA" w:eastAsia="en-US"/>
              </w:rPr>
            </w:pPr>
            <w:r>
              <w:rPr>
                <w:sz w:val="28"/>
                <w:szCs w:val="28"/>
                <w:lang w:eastAsia="en-US"/>
              </w:rPr>
              <w:t>(</w:t>
            </w:r>
            <w:r>
              <w:rPr>
                <w:sz w:val="28"/>
                <w:szCs w:val="28"/>
                <w:lang w:val="en-US" w:eastAsia="en-US"/>
              </w:rPr>
              <w:t>n=84)</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У</w:t>
            </w:r>
            <w:r>
              <w:rPr>
                <w:sz w:val="28"/>
                <w:szCs w:val="28"/>
                <w:lang w:eastAsia="en-US"/>
              </w:rPr>
              <w:t>ТС</w:t>
            </w:r>
          </w:p>
          <w:p w:rsidR="00E3259F" w:rsidRDefault="00E3259F">
            <w:pPr>
              <w:spacing w:line="360" w:lineRule="auto"/>
              <w:jc w:val="both"/>
              <w:rPr>
                <w:sz w:val="28"/>
                <w:szCs w:val="28"/>
                <w:lang w:val="uk-UA" w:eastAsia="en-US"/>
              </w:rPr>
            </w:pPr>
            <w:r>
              <w:rPr>
                <w:sz w:val="28"/>
                <w:szCs w:val="28"/>
                <w:lang w:eastAsia="en-US"/>
              </w:rPr>
              <w:t>(</w:t>
            </w:r>
            <w:r>
              <w:rPr>
                <w:sz w:val="28"/>
                <w:szCs w:val="28"/>
                <w:lang w:val="en-US" w:eastAsia="en-US"/>
              </w:rPr>
              <w:t>n=38)</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П</w:t>
            </w:r>
            <w:r>
              <w:rPr>
                <w:sz w:val="28"/>
                <w:szCs w:val="28"/>
                <w:lang w:eastAsia="en-US"/>
              </w:rPr>
              <w:t>ТС</w:t>
            </w:r>
          </w:p>
          <w:p w:rsidR="00E3259F" w:rsidRDefault="00E3259F">
            <w:pPr>
              <w:spacing w:line="360" w:lineRule="auto"/>
              <w:jc w:val="both"/>
              <w:rPr>
                <w:sz w:val="28"/>
                <w:szCs w:val="28"/>
                <w:lang w:val="uk-UA" w:eastAsia="en-US"/>
              </w:rPr>
            </w:pPr>
            <w:r>
              <w:rPr>
                <w:sz w:val="28"/>
                <w:szCs w:val="28"/>
                <w:lang w:eastAsia="en-US"/>
              </w:rPr>
              <w:t>(</w:t>
            </w:r>
            <w:r>
              <w:rPr>
                <w:sz w:val="28"/>
                <w:szCs w:val="28"/>
                <w:lang w:val="en-US" w:eastAsia="en-US"/>
              </w:rPr>
              <w:t>n=51)</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МТ, кг</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8</w:t>
            </w:r>
            <w:r>
              <w:rPr>
                <w:sz w:val="28"/>
                <w:szCs w:val="28"/>
                <w:lang w:val="uk-UA" w:eastAsia="en-US"/>
              </w:rPr>
              <w:t>3</w:t>
            </w:r>
            <w:r>
              <w:rPr>
                <w:sz w:val="28"/>
                <w:szCs w:val="28"/>
                <w:lang w:eastAsia="en-US"/>
              </w:rPr>
              <w:t>,</w:t>
            </w:r>
            <w:r>
              <w:rPr>
                <w:sz w:val="28"/>
                <w:szCs w:val="28"/>
                <w:lang w:val="uk-UA" w:eastAsia="en-US"/>
              </w:rPr>
              <w:t>38</w:t>
            </w:r>
            <w:r>
              <w:rPr>
                <w:sz w:val="28"/>
                <w:szCs w:val="28"/>
                <w:lang w:eastAsia="en-US"/>
              </w:rPr>
              <w:t>±</w:t>
            </w:r>
            <w:r>
              <w:rPr>
                <w:sz w:val="28"/>
                <w:szCs w:val="28"/>
                <w:lang w:val="uk-UA" w:eastAsia="en-US"/>
              </w:rPr>
              <w:t>1</w:t>
            </w:r>
            <w:r>
              <w:rPr>
                <w:sz w:val="28"/>
                <w:szCs w:val="28"/>
                <w:lang w:eastAsia="en-US"/>
              </w:rPr>
              <w:t>,</w:t>
            </w:r>
            <w:r>
              <w:rPr>
                <w:sz w:val="28"/>
                <w:szCs w:val="28"/>
                <w:lang w:val="uk-UA" w:eastAsia="en-US"/>
              </w:rPr>
              <w:t>09</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83,</w:t>
            </w:r>
            <w:r>
              <w:rPr>
                <w:sz w:val="28"/>
                <w:szCs w:val="28"/>
                <w:lang w:val="uk-UA" w:eastAsia="en-US"/>
              </w:rPr>
              <w:t>45</w:t>
            </w:r>
            <w:r>
              <w:rPr>
                <w:sz w:val="28"/>
                <w:szCs w:val="28"/>
                <w:lang w:eastAsia="en-US"/>
              </w:rPr>
              <w:t>±1,</w:t>
            </w:r>
            <w:r>
              <w:rPr>
                <w:sz w:val="28"/>
                <w:szCs w:val="28"/>
                <w:lang w:val="uk-UA" w:eastAsia="en-US"/>
              </w:rPr>
              <w:t>61</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8</w:t>
            </w:r>
            <w:r>
              <w:rPr>
                <w:sz w:val="28"/>
                <w:szCs w:val="28"/>
                <w:lang w:val="uk-UA" w:eastAsia="en-US"/>
              </w:rPr>
              <w:t>5</w:t>
            </w:r>
            <w:r>
              <w:rPr>
                <w:sz w:val="28"/>
                <w:szCs w:val="28"/>
                <w:lang w:eastAsia="en-US"/>
              </w:rPr>
              <w:t>,</w:t>
            </w:r>
            <w:r>
              <w:rPr>
                <w:sz w:val="28"/>
                <w:szCs w:val="28"/>
                <w:lang w:val="uk-UA" w:eastAsia="en-US"/>
              </w:rPr>
              <w:t>77</w:t>
            </w:r>
            <w:r>
              <w:rPr>
                <w:sz w:val="28"/>
                <w:szCs w:val="28"/>
                <w:lang w:eastAsia="en-US"/>
              </w:rPr>
              <w:t>±</w:t>
            </w:r>
            <w:r>
              <w:rPr>
                <w:sz w:val="28"/>
                <w:szCs w:val="28"/>
                <w:lang w:val="uk-UA" w:eastAsia="en-US"/>
              </w:rPr>
              <w:t>1</w:t>
            </w:r>
            <w:r>
              <w:rPr>
                <w:sz w:val="28"/>
                <w:szCs w:val="28"/>
                <w:lang w:eastAsia="en-US"/>
              </w:rPr>
              <w:t>,</w:t>
            </w:r>
            <w:r>
              <w:rPr>
                <w:sz w:val="28"/>
                <w:szCs w:val="28"/>
                <w:lang w:val="uk-UA" w:eastAsia="en-US"/>
              </w:rPr>
              <w:t>43</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89</w:t>
            </w:r>
            <w:r>
              <w:rPr>
                <w:sz w:val="28"/>
                <w:szCs w:val="28"/>
                <w:lang w:eastAsia="en-US"/>
              </w:rPr>
              <w:t>,</w:t>
            </w:r>
            <w:r>
              <w:rPr>
                <w:sz w:val="28"/>
                <w:szCs w:val="28"/>
                <w:lang w:val="uk-UA" w:eastAsia="en-US"/>
              </w:rPr>
              <w:t>98</w:t>
            </w:r>
            <w:r>
              <w:rPr>
                <w:sz w:val="28"/>
                <w:szCs w:val="28"/>
                <w:lang w:eastAsia="en-US"/>
              </w:rPr>
              <w:t>±</w:t>
            </w:r>
            <w:r>
              <w:rPr>
                <w:sz w:val="28"/>
                <w:szCs w:val="28"/>
                <w:lang w:val="uk-UA" w:eastAsia="en-US"/>
              </w:rPr>
              <w:t>1</w:t>
            </w:r>
            <w:r>
              <w:rPr>
                <w:sz w:val="28"/>
                <w:szCs w:val="28"/>
                <w:lang w:eastAsia="en-US"/>
              </w:rPr>
              <w:t>,</w:t>
            </w:r>
            <w:r>
              <w:rPr>
                <w:sz w:val="28"/>
                <w:szCs w:val="28"/>
                <w:lang w:val="uk-UA" w:eastAsia="en-US"/>
              </w:rPr>
              <w:t>17</w:t>
            </w:r>
          </w:p>
          <w:p w:rsidR="00E3259F" w:rsidRDefault="00E3259F">
            <w:pPr>
              <w:spacing w:line="360" w:lineRule="auto"/>
              <w:jc w:val="both"/>
              <w:rPr>
                <w:sz w:val="28"/>
                <w:szCs w:val="28"/>
                <w:lang w:val="uk-UA" w:eastAsia="en-US"/>
              </w:rPr>
            </w:pPr>
            <w:r>
              <w:rPr>
                <w:sz w:val="28"/>
                <w:szCs w:val="28"/>
                <w:lang w:val="uk-UA" w:eastAsia="en-US"/>
              </w:rPr>
              <w:t>р=0</w:t>
            </w:r>
            <w:r>
              <w:rPr>
                <w:sz w:val="28"/>
                <w:szCs w:val="28"/>
                <w:lang w:eastAsia="en-US"/>
              </w:rPr>
              <w:t>,0</w:t>
            </w:r>
            <w:r>
              <w:rPr>
                <w:sz w:val="28"/>
                <w:szCs w:val="28"/>
                <w:lang w:val="uk-UA" w:eastAsia="en-US"/>
              </w:rPr>
              <w:t>49</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8</w:t>
            </w:r>
            <w:r>
              <w:rPr>
                <w:sz w:val="28"/>
                <w:szCs w:val="28"/>
                <w:lang w:val="uk-UA" w:eastAsia="en-US"/>
              </w:rPr>
              <w:t>0</w:t>
            </w:r>
            <w:r>
              <w:rPr>
                <w:sz w:val="28"/>
                <w:szCs w:val="28"/>
                <w:lang w:eastAsia="en-US"/>
              </w:rPr>
              <w:t>,</w:t>
            </w:r>
            <w:r>
              <w:rPr>
                <w:sz w:val="28"/>
                <w:szCs w:val="28"/>
                <w:lang w:val="uk-UA" w:eastAsia="en-US"/>
              </w:rPr>
              <w:t>39</w:t>
            </w:r>
            <w:r>
              <w:rPr>
                <w:sz w:val="28"/>
                <w:szCs w:val="28"/>
                <w:lang w:eastAsia="en-US"/>
              </w:rPr>
              <w:t>±</w:t>
            </w:r>
            <w:r>
              <w:rPr>
                <w:sz w:val="28"/>
                <w:szCs w:val="28"/>
                <w:lang w:val="uk-UA" w:eastAsia="en-US"/>
              </w:rPr>
              <w:t>1</w:t>
            </w:r>
            <w:r>
              <w:rPr>
                <w:sz w:val="28"/>
                <w:szCs w:val="28"/>
                <w:lang w:eastAsia="en-US"/>
              </w:rPr>
              <w:t>,</w:t>
            </w:r>
            <w:r>
              <w:rPr>
                <w:sz w:val="28"/>
                <w:szCs w:val="28"/>
                <w:lang w:val="uk-UA" w:eastAsia="en-US"/>
              </w:rPr>
              <w:t>50</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8</w:t>
            </w:r>
            <w:r>
              <w:rPr>
                <w:sz w:val="28"/>
                <w:szCs w:val="28"/>
                <w:lang w:val="uk-UA" w:eastAsia="en-US"/>
              </w:rPr>
              <w:t>2</w:t>
            </w:r>
            <w:r>
              <w:rPr>
                <w:sz w:val="28"/>
                <w:szCs w:val="28"/>
                <w:lang w:eastAsia="en-US"/>
              </w:rPr>
              <w:t>,</w:t>
            </w:r>
            <w:r>
              <w:rPr>
                <w:sz w:val="28"/>
                <w:szCs w:val="28"/>
                <w:lang w:val="uk-UA" w:eastAsia="en-US"/>
              </w:rPr>
              <w:t>55</w:t>
            </w:r>
            <w:r>
              <w:rPr>
                <w:sz w:val="28"/>
                <w:szCs w:val="28"/>
                <w:lang w:eastAsia="en-US"/>
              </w:rPr>
              <w:t>±</w:t>
            </w:r>
            <w:r>
              <w:rPr>
                <w:sz w:val="28"/>
                <w:szCs w:val="28"/>
                <w:lang w:val="uk-UA" w:eastAsia="en-US"/>
              </w:rPr>
              <w:t>1</w:t>
            </w:r>
            <w:r>
              <w:rPr>
                <w:sz w:val="28"/>
                <w:szCs w:val="28"/>
                <w:lang w:eastAsia="en-US"/>
              </w:rPr>
              <w:t>,</w:t>
            </w:r>
            <w:r>
              <w:rPr>
                <w:sz w:val="28"/>
                <w:szCs w:val="28"/>
                <w:lang w:val="uk-UA" w:eastAsia="en-US"/>
              </w:rPr>
              <w:t>65</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І</w:t>
            </w:r>
            <w:r>
              <w:rPr>
                <w:sz w:val="28"/>
                <w:szCs w:val="28"/>
                <w:lang w:eastAsia="en-US"/>
              </w:rPr>
              <w:t>МТ, кг/м</w:t>
            </w:r>
            <w:r>
              <w:rPr>
                <w:sz w:val="28"/>
                <w:szCs w:val="28"/>
                <w:vertAlign w:val="superscript"/>
                <w:lang w:eastAsia="en-US"/>
              </w:rPr>
              <w:t>2</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28,</w:t>
            </w:r>
            <w:r>
              <w:rPr>
                <w:sz w:val="28"/>
                <w:szCs w:val="28"/>
                <w:lang w:val="uk-UA" w:eastAsia="en-US"/>
              </w:rPr>
              <w:t>89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38</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29</w:t>
            </w:r>
            <w:r>
              <w:rPr>
                <w:sz w:val="28"/>
                <w:szCs w:val="28"/>
                <w:lang w:eastAsia="en-US"/>
              </w:rPr>
              <w:t>,</w:t>
            </w:r>
            <w:r>
              <w:rPr>
                <w:sz w:val="28"/>
                <w:szCs w:val="28"/>
                <w:lang w:val="uk-UA" w:eastAsia="en-US"/>
              </w:rPr>
              <w:t>63±0</w:t>
            </w:r>
            <w:r>
              <w:rPr>
                <w:sz w:val="28"/>
                <w:szCs w:val="28"/>
                <w:lang w:eastAsia="en-US"/>
              </w:rPr>
              <w:t>,</w:t>
            </w:r>
            <w:r>
              <w:rPr>
                <w:sz w:val="28"/>
                <w:szCs w:val="28"/>
                <w:lang w:val="uk-UA" w:eastAsia="en-US"/>
              </w:rPr>
              <w:t>58</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29</w:t>
            </w:r>
            <w:r>
              <w:rPr>
                <w:sz w:val="28"/>
                <w:szCs w:val="28"/>
                <w:lang w:eastAsia="en-US"/>
              </w:rPr>
              <w:t>,</w:t>
            </w:r>
            <w:r>
              <w:rPr>
                <w:sz w:val="28"/>
                <w:szCs w:val="28"/>
                <w:lang w:val="uk-UA" w:eastAsia="en-US"/>
              </w:rPr>
              <w:t>99</w:t>
            </w:r>
            <w:r>
              <w:rPr>
                <w:sz w:val="28"/>
                <w:szCs w:val="28"/>
                <w:lang w:eastAsia="en-US"/>
              </w:rPr>
              <w:t>±</w:t>
            </w:r>
            <w:r>
              <w:rPr>
                <w:sz w:val="28"/>
                <w:szCs w:val="28"/>
                <w:lang w:val="uk-UA" w:eastAsia="en-US"/>
              </w:rPr>
              <w:t>0,46</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31,</w:t>
            </w:r>
            <w:r>
              <w:rPr>
                <w:sz w:val="28"/>
                <w:szCs w:val="28"/>
                <w:lang w:val="uk-UA" w:eastAsia="en-US"/>
              </w:rPr>
              <w:t>43</w:t>
            </w:r>
            <w:r>
              <w:rPr>
                <w:sz w:val="28"/>
                <w:szCs w:val="28"/>
                <w:lang w:eastAsia="en-US"/>
              </w:rPr>
              <w:t>±</w:t>
            </w:r>
            <w:r>
              <w:rPr>
                <w:sz w:val="28"/>
                <w:szCs w:val="28"/>
                <w:lang w:val="uk-UA" w:eastAsia="en-US"/>
              </w:rPr>
              <w:t>0</w:t>
            </w:r>
            <w:r>
              <w:rPr>
                <w:sz w:val="28"/>
                <w:szCs w:val="28"/>
                <w:lang w:eastAsia="en-US"/>
              </w:rPr>
              <w:t>,</w:t>
            </w:r>
            <w:r>
              <w:rPr>
                <w:sz w:val="28"/>
                <w:szCs w:val="28"/>
                <w:lang w:val="uk-UA" w:eastAsia="en-US"/>
              </w:rPr>
              <w:t>42</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2</w:t>
            </w:r>
            <w:r>
              <w:rPr>
                <w:sz w:val="28"/>
                <w:szCs w:val="28"/>
                <w:lang w:val="uk-UA" w:eastAsia="en-US"/>
              </w:rPr>
              <w:t>8</w:t>
            </w:r>
            <w:r>
              <w:rPr>
                <w:sz w:val="28"/>
                <w:szCs w:val="28"/>
                <w:lang w:eastAsia="en-US"/>
              </w:rPr>
              <w:t>,</w:t>
            </w:r>
            <w:r>
              <w:rPr>
                <w:sz w:val="28"/>
                <w:szCs w:val="28"/>
                <w:lang w:val="uk-UA" w:eastAsia="en-US"/>
              </w:rPr>
              <w:t>4</w:t>
            </w:r>
            <w:r>
              <w:rPr>
                <w:sz w:val="28"/>
                <w:szCs w:val="28"/>
                <w:lang w:eastAsia="en-US"/>
              </w:rPr>
              <w:t>1±</w:t>
            </w:r>
            <w:r>
              <w:rPr>
                <w:sz w:val="28"/>
                <w:szCs w:val="28"/>
                <w:lang w:val="uk-UA" w:eastAsia="en-US"/>
              </w:rPr>
              <w:t>0</w:t>
            </w:r>
            <w:r>
              <w:rPr>
                <w:sz w:val="28"/>
                <w:szCs w:val="28"/>
                <w:lang w:eastAsia="en-US"/>
              </w:rPr>
              <w:t>,</w:t>
            </w:r>
            <w:r>
              <w:rPr>
                <w:sz w:val="28"/>
                <w:szCs w:val="28"/>
                <w:lang w:val="uk-UA" w:eastAsia="en-US"/>
              </w:rPr>
              <w:t>42</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28,6</w:t>
            </w:r>
            <w:r>
              <w:rPr>
                <w:sz w:val="28"/>
                <w:szCs w:val="28"/>
                <w:lang w:val="uk-UA" w:eastAsia="en-US"/>
              </w:rPr>
              <w:t>8</w:t>
            </w:r>
            <w:r>
              <w:rPr>
                <w:sz w:val="28"/>
                <w:szCs w:val="28"/>
                <w:lang w:eastAsia="en-US"/>
              </w:rPr>
              <w:t>±</w:t>
            </w:r>
            <w:r>
              <w:rPr>
                <w:sz w:val="28"/>
                <w:szCs w:val="28"/>
                <w:lang w:val="uk-UA" w:eastAsia="en-US"/>
              </w:rPr>
              <w:t>0</w:t>
            </w:r>
            <w:r>
              <w:rPr>
                <w:sz w:val="28"/>
                <w:szCs w:val="28"/>
                <w:lang w:eastAsia="en-US"/>
              </w:rPr>
              <w:t>,</w:t>
            </w:r>
            <w:r>
              <w:rPr>
                <w:sz w:val="28"/>
                <w:szCs w:val="28"/>
                <w:lang w:val="uk-UA" w:eastAsia="en-US"/>
              </w:rPr>
              <w:t>42</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З</w:t>
            </w:r>
            <w:r>
              <w:rPr>
                <w:sz w:val="28"/>
                <w:szCs w:val="28"/>
                <w:lang w:eastAsia="en-US"/>
              </w:rPr>
              <w:t>Х</w:t>
            </w:r>
            <w:r>
              <w:rPr>
                <w:sz w:val="28"/>
                <w:szCs w:val="28"/>
                <w:lang w:val="uk-UA" w:eastAsia="en-US"/>
              </w:rPr>
              <w:t>С</w:t>
            </w:r>
            <w:r>
              <w:rPr>
                <w:sz w:val="28"/>
                <w:szCs w:val="28"/>
                <w:lang w:eastAsia="en-US"/>
              </w:rPr>
              <w:t>, ммоль/л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6,</w:t>
            </w:r>
            <w:r>
              <w:rPr>
                <w:sz w:val="28"/>
                <w:szCs w:val="28"/>
                <w:lang w:val="uk-UA" w:eastAsia="en-US"/>
              </w:rPr>
              <w:t>2</w:t>
            </w:r>
            <w:r>
              <w:rPr>
                <w:sz w:val="28"/>
                <w:szCs w:val="28"/>
                <w:lang w:eastAsia="en-US"/>
              </w:rPr>
              <w:t>9±</w:t>
            </w:r>
            <w:r>
              <w:rPr>
                <w:sz w:val="28"/>
                <w:szCs w:val="28"/>
                <w:lang w:val="uk-UA" w:eastAsia="en-US"/>
              </w:rPr>
              <w:t>0</w:t>
            </w:r>
            <w:r>
              <w:rPr>
                <w:sz w:val="28"/>
                <w:szCs w:val="28"/>
                <w:lang w:eastAsia="en-US"/>
              </w:rPr>
              <w:t>,</w:t>
            </w:r>
            <w:r>
              <w:rPr>
                <w:sz w:val="28"/>
                <w:szCs w:val="28"/>
                <w:lang w:val="uk-UA" w:eastAsia="en-US"/>
              </w:rPr>
              <w:t>19</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5,</w:t>
            </w:r>
            <w:r>
              <w:rPr>
                <w:sz w:val="28"/>
                <w:szCs w:val="28"/>
                <w:lang w:val="uk-UA" w:eastAsia="en-US"/>
              </w:rPr>
              <w:t>58±0</w:t>
            </w:r>
            <w:r>
              <w:rPr>
                <w:sz w:val="28"/>
                <w:szCs w:val="28"/>
                <w:lang w:eastAsia="en-US"/>
              </w:rPr>
              <w:t>,</w:t>
            </w:r>
            <w:r>
              <w:rPr>
                <w:sz w:val="28"/>
                <w:szCs w:val="28"/>
                <w:lang w:val="uk-UA" w:eastAsia="en-US"/>
              </w:rPr>
              <w:t>22</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5,</w:t>
            </w:r>
            <w:r>
              <w:rPr>
                <w:sz w:val="28"/>
                <w:szCs w:val="28"/>
                <w:lang w:val="uk-UA" w:eastAsia="en-US"/>
              </w:rPr>
              <w:t>35</w:t>
            </w:r>
            <w:r>
              <w:rPr>
                <w:sz w:val="28"/>
                <w:szCs w:val="28"/>
                <w:lang w:eastAsia="en-US"/>
              </w:rPr>
              <w:t>±0,</w:t>
            </w:r>
            <w:r>
              <w:rPr>
                <w:sz w:val="28"/>
                <w:szCs w:val="28"/>
                <w:lang w:val="uk-UA" w:eastAsia="en-US"/>
              </w:rPr>
              <w:t>19</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5,</w:t>
            </w:r>
            <w:r>
              <w:rPr>
                <w:sz w:val="28"/>
                <w:szCs w:val="28"/>
                <w:lang w:val="uk-UA" w:eastAsia="en-US"/>
              </w:rPr>
              <w:t>13</w:t>
            </w:r>
            <w:r>
              <w:rPr>
                <w:sz w:val="28"/>
                <w:szCs w:val="28"/>
                <w:lang w:eastAsia="en-US"/>
              </w:rPr>
              <w:t>±0,</w:t>
            </w:r>
            <w:r>
              <w:rPr>
                <w:sz w:val="28"/>
                <w:szCs w:val="28"/>
                <w:lang w:val="uk-UA" w:eastAsia="en-US"/>
              </w:rPr>
              <w:t>13</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5,9</w:t>
            </w:r>
            <w:r>
              <w:rPr>
                <w:sz w:val="28"/>
                <w:szCs w:val="28"/>
                <w:lang w:val="uk-UA" w:eastAsia="en-US"/>
              </w:rPr>
              <w:t>0</w:t>
            </w:r>
            <w:r>
              <w:rPr>
                <w:sz w:val="28"/>
                <w:szCs w:val="28"/>
                <w:lang w:eastAsia="en-US"/>
              </w:rPr>
              <w:t>±</w:t>
            </w:r>
            <w:r>
              <w:rPr>
                <w:sz w:val="28"/>
                <w:szCs w:val="28"/>
                <w:lang w:val="uk-UA" w:eastAsia="en-US"/>
              </w:rPr>
              <w:t>0</w:t>
            </w:r>
            <w:r>
              <w:rPr>
                <w:sz w:val="28"/>
                <w:szCs w:val="28"/>
                <w:lang w:eastAsia="en-US"/>
              </w:rPr>
              <w:t>,2</w:t>
            </w:r>
            <w:r>
              <w:rPr>
                <w:sz w:val="28"/>
                <w:szCs w:val="28"/>
                <w:lang w:val="uk-UA" w:eastAsia="en-US"/>
              </w:rPr>
              <w:t>0</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5,</w:t>
            </w:r>
            <w:r>
              <w:rPr>
                <w:sz w:val="28"/>
                <w:szCs w:val="28"/>
                <w:lang w:val="uk-UA" w:eastAsia="en-US"/>
              </w:rPr>
              <w:t>66</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19</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ТГ, ммоль/л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1,</w:t>
            </w:r>
            <w:r>
              <w:rPr>
                <w:sz w:val="28"/>
                <w:szCs w:val="28"/>
                <w:lang w:val="uk-UA" w:eastAsia="en-US"/>
              </w:rPr>
              <w:t>61</w:t>
            </w:r>
            <w:r>
              <w:rPr>
                <w:sz w:val="28"/>
                <w:szCs w:val="28"/>
                <w:lang w:eastAsia="en-US"/>
              </w:rPr>
              <w:t>±</w:t>
            </w:r>
            <w:r>
              <w:rPr>
                <w:sz w:val="28"/>
                <w:szCs w:val="28"/>
                <w:lang w:val="uk-UA" w:eastAsia="en-US"/>
              </w:rPr>
              <w:t>0</w:t>
            </w:r>
            <w:r>
              <w:rPr>
                <w:sz w:val="28"/>
                <w:szCs w:val="28"/>
                <w:lang w:eastAsia="en-US"/>
              </w:rPr>
              <w:t>,</w:t>
            </w:r>
            <w:r>
              <w:rPr>
                <w:sz w:val="28"/>
                <w:szCs w:val="28"/>
                <w:lang w:val="uk-UA" w:eastAsia="en-US"/>
              </w:rPr>
              <w:t>96</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1,</w:t>
            </w:r>
            <w:r>
              <w:rPr>
                <w:sz w:val="28"/>
                <w:szCs w:val="28"/>
                <w:lang w:val="uk-UA" w:eastAsia="en-US"/>
              </w:rPr>
              <w:t>62</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16</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1</w:t>
            </w:r>
            <w:r>
              <w:rPr>
                <w:sz w:val="28"/>
                <w:szCs w:val="28"/>
                <w:lang w:eastAsia="en-US"/>
              </w:rPr>
              <w:t>,</w:t>
            </w:r>
            <w:r>
              <w:rPr>
                <w:sz w:val="28"/>
                <w:szCs w:val="28"/>
                <w:lang w:val="uk-UA" w:eastAsia="en-US"/>
              </w:rPr>
              <w:t>92</w:t>
            </w:r>
            <w:r>
              <w:rPr>
                <w:sz w:val="28"/>
                <w:szCs w:val="28"/>
                <w:lang w:eastAsia="en-US"/>
              </w:rPr>
              <w:t>±0,14</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w:t>
            </w:r>
            <w:r>
              <w:rPr>
                <w:sz w:val="28"/>
                <w:szCs w:val="28"/>
                <w:lang w:val="uk-UA" w:eastAsia="en-US"/>
              </w:rPr>
              <w:t>89</w:t>
            </w:r>
            <w:r>
              <w:rPr>
                <w:sz w:val="28"/>
                <w:szCs w:val="28"/>
                <w:lang w:eastAsia="en-US"/>
              </w:rPr>
              <w:t>±0,</w:t>
            </w:r>
            <w:r>
              <w:rPr>
                <w:sz w:val="28"/>
                <w:szCs w:val="28"/>
                <w:lang w:val="uk-UA" w:eastAsia="en-US"/>
              </w:rPr>
              <w:t>87</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2,</w:t>
            </w:r>
            <w:r>
              <w:rPr>
                <w:sz w:val="28"/>
                <w:szCs w:val="28"/>
                <w:lang w:val="uk-UA" w:eastAsia="en-US"/>
              </w:rPr>
              <w:t>09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24</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w:t>
            </w:r>
            <w:r>
              <w:rPr>
                <w:sz w:val="28"/>
                <w:szCs w:val="28"/>
                <w:lang w:val="uk-UA" w:eastAsia="en-US"/>
              </w:rPr>
              <w:t>93</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14</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ХС ЛП</w:t>
            </w:r>
            <w:r>
              <w:rPr>
                <w:sz w:val="28"/>
                <w:szCs w:val="28"/>
                <w:lang w:val="uk-UA" w:eastAsia="en-US"/>
              </w:rPr>
              <w:t>Д</w:t>
            </w:r>
            <w:r>
              <w:rPr>
                <w:sz w:val="28"/>
                <w:szCs w:val="28"/>
                <w:lang w:eastAsia="en-US"/>
              </w:rPr>
              <w:t>Н</w:t>
            </w:r>
            <w:r>
              <w:rPr>
                <w:sz w:val="28"/>
                <w:szCs w:val="28"/>
                <w:lang w:val="uk-UA" w:eastAsia="en-US"/>
              </w:rPr>
              <w:t xml:space="preserve">Щ,  </w:t>
            </w:r>
            <w:r>
              <w:rPr>
                <w:sz w:val="28"/>
                <w:szCs w:val="28"/>
                <w:lang w:eastAsia="en-US"/>
              </w:rPr>
              <w:t>ммоль/л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70</w:t>
            </w:r>
            <w:r>
              <w:rPr>
                <w:sz w:val="28"/>
                <w:szCs w:val="28"/>
                <w:lang w:eastAsia="en-US"/>
              </w:rPr>
              <w:t>±</w:t>
            </w:r>
            <w:r>
              <w:rPr>
                <w:sz w:val="28"/>
                <w:szCs w:val="28"/>
                <w:lang w:val="uk-UA" w:eastAsia="en-US"/>
              </w:rPr>
              <w:t>0</w:t>
            </w:r>
            <w:r>
              <w:rPr>
                <w:sz w:val="28"/>
                <w:szCs w:val="28"/>
                <w:lang w:eastAsia="en-US"/>
              </w:rPr>
              <w:t>,0</w:t>
            </w:r>
            <w:r>
              <w:rPr>
                <w:sz w:val="28"/>
                <w:szCs w:val="28"/>
                <w:lang w:val="uk-UA" w:eastAsia="en-US"/>
              </w:rPr>
              <w:t>4</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0</w:t>
            </w:r>
            <w:r>
              <w:rPr>
                <w:sz w:val="28"/>
                <w:szCs w:val="28"/>
                <w:lang w:eastAsia="en-US"/>
              </w:rPr>
              <w:t>,</w:t>
            </w:r>
            <w:r>
              <w:rPr>
                <w:sz w:val="28"/>
                <w:szCs w:val="28"/>
                <w:lang w:val="uk-UA" w:eastAsia="en-US"/>
              </w:rPr>
              <w:t>72</w:t>
            </w:r>
            <w:r>
              <w:rPr>
                <w:sz w:val="28"/>
                <w:szCs w:val="28"/>
                <w:lang w:eastAsia="en-US"/>
              </w:rPr>
              <w:t>±</w:t>
            </w:r>
            <w:r>
              <w:rPr>
                <w:sz w:val="28"/>
                <w:szCs w:val="28"/>
                <w:lang w:val="uk-UA" w:eastAsia="en-US"/>
              </w:rPr>
              <w:t>0</w:t>
            </w:r>
            <w:r>
              <w:rPr>
                <w:sz w:val="28"/>
                <w:szCs w:val="28"/>
                <w:lang w:eastAsia="en-US"/>
              </w:rPr>
              <w:t>,</w:t>
            </w:r>
            <w:r>
              <w:rPr>
                <w:sz w:val="28"/>
                <w:szCs w:val="28"/>
                <w:lang w:val="uk-UA" w:eastAsia="en-US"/>
              </w:rPr>
              <w:t>07</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0,8</w:t>
            </w:r>
            <w:r>
              <w:rPr>
                <w:sz w:val="28"/>
                <w:szCs w:val="28"/>
                <w:lang w:val="uk-UA" w:eastAsia="en-US"/>
              </w:rPr>
              <w:t>0</w:t>
            </w:r>
            <w:r>
              <w:rPr>
                <w:sz w:val="28"/>
                <w:szCs w:val="28"/>
                <w:lang w:eastAsia="en-US"/>
              </w:rPr>
              <w:t xml:space="preserve"> ±0,0</w:t>
            </w:r>
            <w:r>
              <w:rPr>
                <w:sz w:val="28"/>
                <w:szCs w:val="28"/>
                <w:lang w:val="uk-UA" w:eastAsia="en-US"/>
              </w:rPr>
              <w:t>4</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0,9</w:t>
            </w:r>
            <w:r>
              <w:rPr>
                <w:sz w:val="28"/>
                <w:szCs w:val="28"/>
                <w:lang w:val="uk-UA" w:eastAsia="en-US"/>
              </w:rPr>
              <w:t>2</w:t>
            </w:r>
            <w:r>
              <w:rPr>
                <w:sz w:val="28"/>
                <w:szCs w:val="28"/>
                <w:lang w:eastAsia="en-US"/>
              </w:rPr>
              <w:t>±0,</w:t>
            </w:r>
            <w:r>
              <w:rPr>
                <w:sz w:val="28"/>
                <w:szCs w:val="28"/>
                <w:lang w:val="uk-UA" w:eastAsia="en-US"/>
              </w:rPr>
              <w:t>76</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0</w:t>
            </w:r>
            <w:r>
              <w:rPr>
                <w:sz w:val="28"/>
                <w:szCs w:val="28"/>
                <w:lang w:eastAsia="en-US"/>
              </w:rPr>
              <w:t>,9</w:t>
            </w:r>
            <w:r>
              <w:rPr>
                <w:sz w:val="28"/>
                <w:szCs w:val="28"/>
                <w:lang w:val="uk-UA" w:eastAsia="en-US"/>
              </w:rPr>
              <w:t>4</w:t>
            </w:r>
            <w:r>
              <w:rPr>
                <w:sz w:val="28"/>
                <w:szCs w:val="28"/>
                <w:lang w:eastAsia="en-US"/>
              </w:rPr>
              <w:t>±</w:t>
            </w:r>
            <w:r>
              <w:rPr>
                <w:sz w:val="28"/>
                <w:szCs w:val="28"/>
                <w:lang w:val="uk-UA" w:eastAsia="en-US"/>
              </w:rPr>
              <w:t>0</w:t>
            </w:r>
            <w:r>
              <w:rPr>
                <w:sz w:val="28"/>
                <w:szCs w:val="28"/>
                <w:lang w:eastAsia="en-US"/>
              </w:rPr>
              <w:t>,1</w:t>
            </w:r>
            <w:r>
              <w:rPr>
                <w:sz w:val="28"/>
                <w:szCs w:val="28"/>
                <w:lang w:val="uk-UA" w:eastAsia="en-US"/>
              </w:rPr>
              <w:t>1</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0</w:t>
            </w:r>
            <w:r>
              <w:rPr>
                <w:sz w:val="28"/>
                <w:szCs w:val="28"/>
                <w:lang w:eastAsia="en-US"/>
              </w:rPr>
              <w:t>,</w:t>
            </w:r>
            <w:r>
              <w:rPr>
                <w:sz w:val="28"/>
                <w:szCs w:val="28"/>
                <w:lang w:val="uk-UA" w:eastAsia="en-US"/>
              </w:rPr>
              <w:t>83</w:t>
            </w:r>
            <w:r>
              <w:rPr>
                <w:sz w:val="28"/>
                <w:szCs w:val="28"/>
                <w:lang w:eastAsia="en-US"/>
              </w:rPr>
              <w:t xml:space="preserve"> ±</w:t>
            </w:r>
            <w:r>
              <w:rPr>
                <w:sz w:val="28"/>
                <w:szCs w:val="28"/>
                <w:lang w:val="uk-UA" w:eastAsia="en-US"/>
              </w:rPr>
              <w:t>0</w:t>
            </w:r>
            <w:r>
              <w:rPr>
                <w:sz w:val="28"/>
                <w:szCs w:val="28"/>
                <w:lang w:eastAsia="en-US"/>
              </w:rPr>
              <w:t>,0</w:t>
            </w:r>
            <w:r>
              <w:rPr>
                <w:sz w:val="28"/>
                <w:szCs w:val="28"/>
                <w:lang w:val="uk-UA" w:eastAsia="en-US"/>
              </w:rPr>
              <w:t>5</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ХС</w:t>
            </w:r>
            <w:r>
              <w:rPr>
                <w:sz w:val="28"/>
                <w:szCs w:val="28"/>
                <w:lang w:val="uk-UA" w:eastAsia="en-US"/>
              </w:rPr>
              <w:t xml:space="preserve"> </w:t>
            </w:r>
            <w:r>
              <w:rPr>
                <w:sz w:val="28"/>
                <w:szCs w:val="28"/>
                <w:lang w:eastAsia="en-US"/>
              </w:rPr>
              <w:t>ЛПВ</w:t>
            </w:r>
            <w:r>
              <w:rPr>
                <w:sz w:val="28"/>
                <w:szCs w:val="28"/>
                <w:lang w:val="uk-UA" w:eastAsia="en-US"/>
              </w:rPr>
              <w:t>Щ</w:t>
            </w:r>
            <w:r>
              <w:rPr>
                <w:sz w:val="28"/>
                <w:szCs w:val="28"/>
                <w:lang w:eastAsia="en-US"/>
              </w:rPr>
              <w:t>, ммоль/л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1,</w:t>
            </w:r>
            <w:r>
              <w:rPr>
                <w:sz w:val="28"/>
                <w:szCs w:val="28"/>
                <w:lang w:val="uk-UA" w:eastAsia="en-US"/>
              </w:rPr>
              <w:t>38</w:t>
            </w:r>
            <w:r>
              <w:rPr>
                <w:sz w:val="28"/>
                <w:szCs w:val="28"/>
                <w:lang w:eastAsia="en-US"/>
              </w:rPr>
              <w:t>±</w:t>
            </w:r>
            <w:r>
              <w:rPr>
                <w:sz w:val="28"/>
                <w:szCs w:val="28"/>
                <w:lang w:val="uk-UA" w:eastAsia="en-US"/>
              </w:rPr>
              <w:t>0</w:t>
            </w:r>
            <w:r>
              <w:rPr>
                <w:sz w:val="28"/>
                <w:szCs w:val="28"/>
                <w:lang w:eastAsia="en-US"/>
              </w:rPr>
              <w:t>,</w:t>
            </w:r>
            <w:r>
              <w:rPr>
                <w:sz w:val="28"/>
                <w:szCs w:val="28"/>
                <w:lang w:val="uk-UA" w:eastAsia="en-US"/>
              </w:rPr>
              <w:t>05</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1,</w:t>
            </w:r>
            <w:r>
              <w:rPr>
                <w:sz w:val="28"/>
                <w:szCs w:val="28"/>
                <w:lang w:val="uk-UA" w:eastAsia="en-US"/>
              </w:rPr>
              <w:t>47</w:t>
            </w:r>
            <w:r>
              <w:rPr>
                <w:sz w:val="28"/>
                <w:szCs w:val="28"/>
                <w:lang w:eastAsia="en-US"/>
              </w:rPr>
              <w:t>±</w:t>
            </w:r>
            <w:r>
              <w:rPr>
                <w:sz w:val="28"/>
                <w:szCs w:val="28"/>
                <w:lang w:val="uk-UA" w:eastAsia="en-US"/>
              </w:rPr>
              <w:t>0</w:t>
            </w:r>
            <w:r>
              <w:rPr>
                <w:sz w:val="28"/>
                <w:szCs w:val="28"/>
                <w:lang w:eastAsia="en-US"/>
              </w:rPr>
              <w:t>,0</w:t>
            </w:r>
            <w:r>
              <w:rPr>
                <w:sz w:val="28"/>
                <w:szCs w:val="28"/>
                <w:lang w:val="uk-UA" w:eastAsia="en-US"/>
              </w:rPr>
              <w:t>8</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1,</w:t>
            </w:r>
            <w:r>
              <w:rPr>
                <w:sz w:val="28"/>
                <w:szCs w:val="28"/>
                <w:lang w:val="uk-UA" w:eastAsia="en-US"/>
              </w:rPr>
              <w:t>30</w:t>
            </w:r>
            <w:r>
              <w:rPr>
                <w:sz w:val="28"/>
                <w:szCs w:val="28"/>
                <w:lang w:eastAsia="en-US"/>
              </w:rPr>
              <w:t>±0,06</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1,1</w:t>
            </w:r>
            <w:r>
              <w:rPr>
                <w:sz w:val="28"/>
                <w:szCs w:val="28"/>
                <w:lang w:val="uk-UA" w:eastAsia="en-US"/>
              </w:rPr>
              <w:t>4</w:t>
            </w:r>
            <w:r>
              <w:rPr>
                <w:sz w:val="28"/>
                <w:szCs w:val="28"/>
                <w:lang w:eastAsia="en-US"/>
              </w:rPr>
              <w:t>±0,0</w:t>
            </w:r>
            <w:r>
              <w:rPr>
                <w:sz w:val="28"/>
                <w:szCs w:val="28"/>
                <w:lang w:val="uk-UA" w:eastAsia="en-US"/>
              </w:rPr>
              <w:t>3</w:t>
            </w:r>
          </w:p>
          <w:p w:rsidR="00E3259F" w:rsidRDefault="00E3259F">
            <w:pPr>
              <w:spacing w:line="360" w:lineRule="auto"/>
              <w:jc w:val="both"/>
              <w:rPr>
                <w:sz w:val="28"/>
                <w:szCs w:val="28"/>
                <w:lang w:val="uk-UA" w:eastAsia="en-US"/>
              </w:rPr>
            </w:pPr>
            <w:r>
              <w:rPr>
                <w:sz w:val="28"/>
                <w:szCs w:val="28"/>
                <w:lang w:val="uk-UA" w:eastAsia="en-US"/>
              </w:rPr>
              <w:t>р=0</w:t>
            </w:r>
            <w:r>
              <w:rPr>
                <w:sz w:val="28"/>
                <w:szCs w:val="28"/>
                <w:lang w:eastAsia="en-US"/>
              </w:rPr>
              <w:t>,017</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1,2</w:t>
            </w:r>
            <w:r>
              <w:rPr>
                <w:sz w:val="28"/>
                <w:szCs w:val="28"/>
                <w:lang w:val="uk-UA" w:eastAsia="en-US"/>
              </w:rPr>
              <w:t>4</w:t>
            </w:r>
            <w:r>
              <w:rPr>
                <w:sz w:val="28"/>
                <w:szCs w:val="28"/>
                <w:lang w:eastAsia="en-US"/>
              </w:rPr>
              <w:t>±</w:t>
            </w:r>
            <w:r>
              <w:rPr>
                <w:sz w:val="28"/>
                <w:szCs w:val="28"/>
                <w:lang w:val="uk-UA" w:eastAsia="en-US"/>
              </w:rPr>
              <w:t>0</w:t>
            </w:r>
            <w:r>
              <w:rPr>
                <w:sz w:val="28"/>
                <w:szCs w:val="28"/>
                <w:lang w:eastAsia="en-US"/>
              </w:rPr>
              <w:t>,0</w:t>
            </w:r>
            <w:r>
              <w:rPr>
                <w:sz w:val="28"/>
                <w:szCs w:val="28"/>
                <w:lang w:val="uk-UA" w:eastAsia="en-US"/>
              </w:rPr>
              <w:t>4</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w:t>
            </w:r>
            <w:r>
              <w:rPr>
                <w:sz w:val="28"/>
                <w:szCs w:val="28"/>
                <w:lang w:val="uk-UA" w:eastAsia="en-US"/>
              </w:rPr>
              <w:t>30</w:t>
            </w:r>
            <w:r>
              <w:rPr>
                <w:sz w:val="28"/>
                <w:szCs w:val="28"/>
                <w:lang w:eastAsia="en-US"/>
              </w:rPr>
              <w:t>±</w:t>
            </w:r>
            <w:r>
              <w:rPr>
                <w:sz w:val="28"/>
                <w:szCs w:val="28"/>
                <w:lang w:val="uk-UA" w:eastAsia="en-US"/>
              </w:rPr>
              <w:t>0</w:t>
            </w:r>
            <w:r>
              <w:rPr>
                <w:sz w:val="28"/>
                <w:szCs w:val="28"/>
                <w:lang w:eastAsia="en-US"/>
              </w:rPr>
              <w:t>,0</w:t>
            </w:r>
            <w:r>
              <w:rPr>
                <w:sz w:val="28"/>
                <w:szCs w:val="28"/>
                <w:lang w:val="uk-UA" w:eastAsia="en-US"/>
              </w:rPr>
              <w:t>5</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ХС ЛПН</w:t>
            </w:r>
            <w:r>
              <w:rPr>
                <w:sz w:val="28"/>
                <w:szCs w:val="28"/>
                <w:lang w:val="uk-UA" w:eastAsia="en-US"/>
              </w:rPr>
              <w:t>Щ</w:t>
            </w:r>
            <w:r>
              <w:rPr>
                <w:sz w:val="28"/>
                <w:szCs w:val="28"/>
                <w:lang w:eastAsia="en-US"/>
              </w:rPr>
              <w:t>, ммоль/л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4,</w:t>
            </w:r>
            <w:r>
              <w:rPr>
                <w:sz w:val="28"/>
                <w:szCs w:val="28"/>
                <w:lang w:val="uk-UA" w:eastAsia="en-US"/>
              </w:rPr>
              <w:t>14</w:t>
            </w:r>
            <w:r>
              <w:rPr>
                <w:sz w:val="28"/>
                <w:szCs w:val="28"/>
                <w:lang w:eastAsia="en-US"/>
              </w:rPr>
              <w:t>±</w:t>
            </w:r>
            <w:r>
              <w:rPr>
                <w:sz w:val="28"/>
                <w:szCs w:val="28"/>
                <w:lang w:val="uk-UA" w:eastAsia="en-US"/>
              </w:rPr>
              <w:t>0</w:t>
            </w:r>
            <w:r>
              <w:rPr>
                <w:sz w:val="28"/>
                <w:szCs w:val="28"/>
                <w:lang w:eastAsia="en-US"/>
              </w:rPr>
              <w:t>,</w:t>
            </w:r>
            <w:r>
              <w:rPr>
                <w:sz w:val="28"/>
                <w:szCs w:val="28"/>
                <w:lang w:val="uk-UA" w:eastAsia="en-US"/>
              </w:rPr>
              <w:t>20</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3,</w:t>
            </w:r>
            <w:r>
              <w:rPr>
                <w:sz w:val="28"/>
                <w:szCs w:val="28"/>
                <w:lang w:val="uk-UA" w:eastAsia="en-US"/>
              </w:rPr>
              <w:t>31</w:t>
            </w:r>
            <w:r>
              <w:rPr>
                <w:sz w:val="28"/>
                <w:szCs w:val="28"/>
                <w:lang w:eastAsia="en-US"/>
              </w:rPr>
              <w:t>±</w:t>
            </w:r>
            <w:r>
              <w:rPr>
                <w:sz w:val="28"/>
                <w:szCs w:val="28"/>
                <w:lang w:val="uk-UA" w:eastAsia="en-US"/>
              </w:rPr>
              <w:t>0</w:t>
            </w:r>
            <w:r>
              <w:rPr>
                <w:sz w:val="28"/>
                <w:szCs w:val="28"/>
                <w:lang w:eastAsia="en-US"/>
              </w:rPr>
              <w:t>,</w:t>
            </w:r>
            <w:r>
              <w:rPr>
                <w:sz w:val="28"/>
                <w:szCs w:val="28"/>
                <w:lang w:val="uk-UA" w:eastAsia="en-US"/>
              </w:rPr>
              <w:t>22</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3,</w:t>
            </w:r>
            <w:r>
              <w:rPr>
                <w:sz w:val="28"/>
                <w:szCs w:val="28"/>
                <w:lang w:val="uk-UA" w:eastAsia="en-US"/>
              </w:rPr>
              <w:t>51</w:t>
            </w:r>
            <w:r>
              <w:rPr>
                <w:sz w:val="28"/>
                <w:szCs w:val="28"/>
                <w:lang w:eastAsia="en-US"/>
              </w:rPr>
              <w:t>±0,</w:t>
            </w:r>
            <w:r>
              <w:rPr>
                <w:sz w:val="28"/>
                <w:szCs w:val="28"/>
                <w:lang w:val="uk-UA" w:eastAsia="en-US"/>
              </w:rPr>
              <w:t>21</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2</w:t>
            </w:r>
            <w:r>
              <w:rPr>
                <w:sz w:val="28"/>
                <w:szCs w:val="28"/>
                <w:lang w:eastAsia="en-US"/>
              </w:rPr>
              <w:t>,</w:t>
            </w:r>
            <w:r>
              <w:rPr>
                <w:sz w:val="28"/>
                <w:szCs w:val="28"/>
                <w:lang w:val="uk-UA" w:eastAsia="en-US"/>
              </w:rPr>
              <w:t>95</w:t>
            </w:r>
            <w:r>
              <w:rPr>
                <w:sz w:val="28"/>
                <w:szCs w:val="28"/>
                <w:lang w:eastAsia="en-US"/>
              </w:rPr>
              <w:t>±0,2</w:t>
            </w:r>
            <w:r>
              <w:rPr>
                <w:sz w:val="28"/>
                <w:szCs w:val="28"/>
                <w:lang w:val="uk-UA" w:eastAsia="en-US"/>
              </w:rPr>
              <w:t>9</w:t>
            </w:r>
          </w:p>
          <w:p w:rsidR="00E3259F" w:rsidRDefault="00E3259F">
            <w:pPr>
              <w:spacing w:line="360" w:lineRule="auto"/>
              <w:jc w:val="both"/>
              <w:rPr>
                <w:sz w:val="28"/>
                <w:szCs w:val="28"/>
                <w:lang w:val="uk-UA" w:eastAsia="en-US"/>
              </w:rPr>
            </w:pPr>
            <w:r>
              <w:rPr>
                <w:sz w:val="28"/>
                <w:szCs w:val="28"/>
                <w:lang w:val="uk-UA" w:eastAsia="en-US"/>
              </w:rPr>
              <w:t>р=0</w:t>
            </w:r>
            <w:r>
              <w:rPr>
                <w:sz w:val="28"/>
                <w:szCs w:val="28"/>
                <w:lang w:eastAsia="en-US"/>
              </w:rPr>
              <w:t>,024</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3,</w:t>
            </w:r>
            <w:r>
              <w:rPr>
                <w:sz w:val="28"/>
                <w:szCs w:val="28"/>
                <w:lang w:val="uk-UA" w:eastAsia="en-US"/>
              </w:rPr>
              <w:t>65</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15</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3,4</w:t>
            </w:r>
            <w:r>
              <w:rPr>
                <w:sz w:val="28"/>
                <w:szCs w:val="28"/>
                <w:lang w:val="uk-UA" w:eastAsia="en-US"/>
              </w:rPr>
              <w:t>6</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17</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Глюкоза нат</w:t>
            </w:r>
            <w:r>
              <w:rPr>
                <w:sz w:val="28"/>
                <w:szCs w:val="28"/>
                <w:lang w:val="uk-UA" w:eastAsia="en-US"/>
              </w:rPr>
              <w:t>ще</w:t>
            </w:r>
            <w:r>
              <w:rPr>
                <w:sz w:val="28"/>
                <w:szCs w:val="28"/>
                <w:lang w:eastAsia="en-US"/>
              </w:rPr>
              <w:t>, ммоль/л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5,</w:t>
            </w:r>
            <w:r>
              <w:rPr>
                <w:sz w:val="28"/>
                <w:szCs w:val="28"/>
                <w:lang w:val="uk-UA" w:eastAsia="en-US"/>
              </w:rPr>
              <w:t>30</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11</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5,</w:t>
            </w:r>
            <w:r>
              <w:rPr>
                <w:sz w:val="28"/>
                <w:szCs w:val="28"/>
                <w:lang w:val="uk-UA" w:eastAsia="en-US"/>
              </w:rPr>
              <w:t>5</w:t>
            </w:r>
            <w:r>
              <w:rPr>
                <w:sz w:val="28"/>
                <w:szCs w:val="28"/>
                <w:lang w:eastAsia="en-US"/>
              </w:rPr>
              <w:t>0±</w:t>
            </w:r>
            <w:r>
              <w:rPr>
                <w:sz w:val="28"/>
                <w:szCs w:val="28"/>
                <w:lang w:val="uk-UA" w:eastAsia="en-US"/>
              </w:rPr>
              <w:t>0</w:t>
            </w:r>
            <w:r>
              <w:rPr>
                <w:sz w:val="28"/>
                <w:szCs w:val="28"/>
                <w:lang w:eastAsia="en-US"/>
              </w:rPr>
              <w:t>,</w:t>
            </w:r>
            <w:r>
              <w:rPr>
                <w:sz w:val="28"/>
                <w:szCs w:val="28"/>
                <w:lang w:val="uk-UA" w:eastAsia="en-US"/>
              </w:rPr>
              <w:t>08</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8,</w:t>
            </w:r>
            <w:r>
              <w:rPr>
                <w:sz w:val="28"/>
                <w:szCs w:val="28"/>
                <w:lang w:val="uk-UA" w:eastAsia="en-US"/>
              </w:rPr>
              <w:t>60</w:t>
            </w:r>
            <w:r>
              <w:rPr>
                <w:sz w:val="28"/>
                <w:szCs w:val="28"/>
                <w:lang w:eastAsia="en-US"/>
              </w:rPr>
              <w:t>±0,</w:t>
            </w:r>
            <w:r>
              <w:rPr>
                <w:sz w:val="28"/>
                <w:szCs w:val="28"/>
                <w:lang w:val="uk-UA" w:eastAsia="en-US"/>
              </w:rPr>
              <w:t>32</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8</w:t>
            </w:r>
            <w:r>
              <w:rPr>
                <w:sz w:val="28"/>
                <w:szCs w:val="28"/>
                <w:lang w:eastAsia="en-US"/>
              </w:rPr>
              <w:t>,</w:t>
            </w:r>
            <w:r>
              <w:rPr>
                <w:sz w:val="28"/>
                <w:szCs w:val="28"/>
                <w:lang w:val="uk-UA" w:eastAsia="en-US"/>
              </w:rPr>
              <w:t>67</w:t>
            </w:r>
            <w:r>
              <w:rPr>
                <w:sz w:val="28"/>
                <w:szCs w:val="28"/>
                <w:lang w:eastAsia="en-US"/>
              </w:rPr>
              <w:t>±0,3</w:t>
            </w:r>
            <w:r>
              <w:rPr>
                <w:sz w:val="28"/>
                <w:szCs w:val="28"/>
                <w:lang w:val="uk-UA" w:eastAsia="en-US"/>
              </w:rPr>
              <w:t>8</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6</w:t>
            </w:r>
            <w:r>
              <w:rPr>
                <w:sz w:val="28"/>
                <w:szCs w:val="28"/>
                <w:lang w:eastAsia="en-US"/>
              </w:rPr>
              <w:t>,</w:t>
            </w:r>
            <w:r>
              <w:rPr>
                <w:sz w:val="28"/>
                <w:szCs w:val="28"/>
                <w:lang w:val="uk-UA" w:eastAsia="en-US"/>
              </w:rPr>
              <w:t>99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30</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7,</w:t>
            </w:r>
            <w:r>
              <w:rPr>
                <w:sz w:val="28"/>
                <w:szCs w:val="28"/>
                <w:lang w:val="uk-UA" w:eastAsia="en-US"/>
              </w:rPr>
              <w:t>01</w:t>
            </w:r>
            <w:r>
              <w:rPr>
                <w:sz w:val="28"/>
                <w:szCs w:val="28"/>
                <w:lang w:eastAsia="en-US"/>
              </w:rPr>
              <w:t>±</w:t>
            </w:r>
            <w:r>
              <w:rPr>
                <w:sz w:val="28"/>
                <w:szCs w:val="28"/>
                <w:lang w:val="uk-UA" w:eastAsia="en-US"/>
              </w:rPr>
              <w:t>0</w:t>
            </w:r>
            <w:r>
              <w:rPr>
                <w:sz w:val="28"/>
                <w:szCs w:val="28"/>
                <w:lang w:eastAsia="en-US"/>
              </w:rPr>
              <w:t>,</w:t>
            </w:r>
            <w:r>
              <w:rPr>
                <w:sz w:val="28"/>
                <w:szCs w:val="28"/>
                <w:lang w:val="uk-UA" w:eastAsia="en-US"/>
              </w:rPr>
              <w:t>36</w:t>
            </w:r>
          </w:p>
        </w:tc>
      </w:tr>
    </w:tbl>
    <w:p w:rsidR="00E3259F" w:rsidRDefault="00E3259F" w:rsidP="00E3259F">
      <w:pPr>
        <w:rPr>
          <w:lang w:val="uk-UA"/>
        </w:rPr>
      </w:pPr>
    </w:p>
    <w:p w:rsidR="00E3259F" w:rsidRDefault="00E3259F" w:rsidP="00E3259F">
      <w:pPr>
        <w:jc w:val="right"/>
        <w:rPr>
          <w:i/>
          <w:spacing w:val="-2"/>
          <w:sz w:val="28"/>
          <w:szCs w:val="28"/>
          <w:lang w:val="uk-UA"/>
        </w:rPr>
      </w:pPr>
    </w:p>
    <w:p w:rsidR="00E3259F" w:rsidRDefault="00E3259F" w:rsidP="00E3259F">
      <w:pPr>
        <w:jc w:val="right"/>
        <w:rPr>
          <w:lang w:val="uk-UA"/>
        </w:rPr>
      </w:pPr>
      <w:r>
        <w:rPr>
          <w:i/>
          <w:spacing w:val="-2"/>
          <w:sz w:val="28"/>
          <w:szCs w:val="28"/>
        </w:rPr>
        <w:t>Продовження табл. 3.1</w:t>
      </w:r>
      <w:r>
        <w:rPr>
          <w:i/>
          <w:spacing w:val="-2"/>
          <w:sz w:val="28"/>
          <w:szCs w:val="28"/>
          <w:lang w:val="uk-UA"/>
        </w:rPr>
        <w:t>2</w:t>
      </w:r>
    </w:p>
    <w:tbl>
      <w:tblPr>
        <w:tblW w:w="5000" w:type="pct"/>
        <w:tblLook w:val="04A0" w:firstRow="1" w:lastRow="0" w:firstColumn="1" w:lastColumn="0" w:noHBand="0" w:noVBand="1"/>
      </w:tblPr>
      <w:tblGrid>
        <w:gridCol w:w="3227"/>
        <w:gridCol w:w="1985"/>
        <w:gridCol w:w="2126"/>
        <w:gridCol w:w="1703"/>
        <w:gridCol w:w="1987"/>
        <w:gridCol w:w="1845"/>
        <w:gridCol w:w="1913"/>
      </w:tblGrid>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HbA1</w:t>
            </w:r>
            <w:r>
              <w:rPr>
                <w:sz w:val="28"/>
                <w:szCs w:val="28"/>
                <w:lang w:val="uk-UA" w:eastAsia="en-US"/>
              </w:rPr>
              <w:t>с,</w:t>
            </w:r>
            <w:r>
              <w:rPr>
                <w:sz w:val="28"/>
                <w:szCs w:val="28"/>
                <w:lang w:eastAsia="en-US"/>
              </w:rPr>
              <w:t xml:space="preserve"> (%)</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6</w:t>
            </w:r>
            <w:r>
              <w:rPr>
                <w:sz w:val="28"/>
                <w:szCs w:val="28"/>
                <w:lang w:eastAsia="en-US"/>
              </w:rPr>
              <w:t>,</w:t>
            </w:r>
            <w:r>
              <w:rPr>
                <w:sz w:val="28"/>
                <w:szCs w:val="28"/>
                <w:lang w:val="uk-UA" w:eastAsia="en-US"/>
              </w:rPr>
              <w:t>14</w:t>
            </w:r>
            <w:r>
              <w:rPr>
                <w:sz w:val="28"/>
                <w:szCs w:val="28"/>
                <w:lang w:eastAsia="en-US"/>
              </w:rPr>
              <w:t>±</w:t>
            </w:r>
            <w:r>
              <w:rPr>
                <w:sz w:val="28"/>
                <w:szCs w:val="28"/>
                <w:lang w:val="uk-UA" w:eastAsia="en-US"/>
              </w:rPr>
              <w:t>0</w:t>
            </w:r>
            <w:r>
              <w:rPr>
                <w:sz w:val="28"/>
                <w:szCs w:val="28"/>
                <w:lang w:eastAsia="en-US"/>
              </w:rPr>
              <w:t>,</w:t>
            </w:r>
            <w:r>
              <w:rPr>
                <w:sz w:val="28"/>
                <w:szCs w:val="28"/>
                <w:lang w:val="uk-UA" w:eastAsia="en-US"/>
              </w:rPr>
              <w:t>09</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6,</w:t>
            </w:r>
            <w:r>
              <w:rPr>
                <w:sz w:val="28"/>
                <w:szCs w:val="28"/>
                <w:lang w:val="uk-UA" w:eastAsia="en-US"/>
              </w:rPr>
              <w:t>18</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12</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7,</w:t>
            </w:r>
            <w:r>
              <w:rPr>
                <w:sz w:val="28"/>
                <w:szCs w:val="28"/>
                <w:lang w:val="uk-UA" w:eastAsia="en-US"/>
              </w:rPr>
              <w:t>71</w:t>
            </w:r>
            <w:r>
              <w:rPr>
                <w:sz w:val="28"/>
                <w:szCs w:val="28"/>
                <w:lang w:eastAsia="en-US"/>
              </w:rPr>
              <w:t>±0,</w:t>
            </w:r>
            <w:r>
              <w:rPr>
                <w:sz w:val="28"/>
                <w:szCs w:val="28"/>
                <w:lang w:val="uk-UA" w:eastAsia="en-US"/>
              </w:rPr>
              <w:t>18</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7,</w:t>
            </w:r>
            <w:r>
              <w:rPr>
                <w:sz w:val="28"/>
                <w:szCs w:val="28"/>
                <w:lang w:val="uk-UA" w:eastAsia="en-US"/>
              </w:rPr>
              <w:t>48</w:t>
            </w:r>
            <w:r>
              <w:rPr>
                <w:sz w:val="28"/>
                <w:szCs w:val="28"/>
                <w:lang w:eastAsia="en-US"/>
              </w:rPr>
              <w:t>±0,</w:t>
            </w:r>
            <w:r>
              <w:rPr>
                <w:sz w:val="28"/>
                <w:szCs w:val="28"/>
                <w:lang w:val="uk-UA" w:eastAsia="en-US"/>
              </w:rPr>
              <w:t>14</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7,0</w:t>
            </w:r>
            <w:r>
              <w:rPr>
                <w:sz w:val="28"/>
                <w:szCs w:val="28"/>
                <w:lang w:val="uk-UA" w:eastAsia="en-US"/>
              </w:rPr>
              <w:t>8</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16</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7,</w:t>
            </w:r>
            <w:r>
              <w:rPr>
                <w:sz w:val="28"/>
                <w:szCs w:val="28"/>
                <w:lang w:val="uk-UA" w:eastAsia="en-US"/>
              </w:rPr>
              <w:t>30</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15</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І</w:t>
            </w:r>
            <w:r>
              <w:rPr>
                <w:sz w:val="28"/>
                <w:szCs w:val="28"/>
                <w:lang w:eastAsia="en-US"/>
              </w:rPr>
              <w:t>нсул</w:t>
            </w:r>
            <w:r>
              <w:rPr>
                <w:sz w:val="28"/>
                <w:szCs w:val="28"/>
                <w:lang w:val="uk-UA" w:eastAsia="en-US"/>
              </w:rPr>
              <w:t>і</w:t>
            </w:r>
            <w:r>
              <w:rPr>
                <w:sz w:val="28"/>
                <w:szCs w:val="28"/>
                <w:lang w:eastAsia="en-US"/>
              </w:rPr>
              <w:t>н нат</w:t>
            </w:r>
            <w:r>
              <w:rPr>
                <w:sz w:val="28"/>
                <w:szCs w:val="28"/>
                <w:lang w:val="uk-UA" w:eastAsia="en-US"/>
              </w:rPr>
              <w:t>ще</w:t>
            </w:r>
            <w:r>
              <w:rPr>
                <w:sz w:val="28"/>
                <w:szCs w:val="28"/>
                <w:lang w:eastAsia="en-US"/>
              </w:rPr>
              <w:t>, мкМ</w:t>
            </w:r>
            <w:r>
              <w:rPr>
                <w:sz w:val="28"/>
                <w:szCs w:val="28"/>
                <w:lang w:val="uk-UA" w:eastAsia="en-US"/>
              </w:rPr>
              <w:t>О</w:t>
            </w:r>
            <w:r>
              <w:rPr>
                <w:sz w:val="28"/>
                <w:szCs w:val="28"/>
                <w:lang w:eastAsia="en-US"/>
              </w:rPr>
              <w:t>/мл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1</w:t>
            </w:r>
            <w:r>
              <w:rPr>
                <w:sz w:val="28"/>
                <w:szCs w:val="28"/>
                <w:lang w:val="uk-UA" w:eastAsia="en-US"/>
              </w:rPr>
              <w:t>7</w:t>
            </w:r>
            <w:r>
              <w:rPr>
                <w:sz w:val="28"/>
                <w:szCs w:val="28"/>
                <w:lang w:eastAsia="en-US"/>
              </w:rPr>
              <w:t>,</w:t>
            </w:r>
            <w:r>
              <w:rPr>
                <w:sz w:val="28"/>
                <w:szCs w:val="28"/>
                <w:lang w:val="uk-UA" w:eastAsia="en-US"/>
              </w:rPr>
              <w:t>1</w:t>
            </w:r>
            <w:r>
              <w:rPr>
                <w:sz w:val="28"/>
                <w:szCs w:val="28"/>
                <w:lang w:eastAsia="en-US"/>
              </w:rPr>
              <w:t>8±</w:t>
            </w:r>
            <w:r>
              <w:rPr>
                <w:sz w:val="28"/>
                <w:szCs w:val="28"/>
                <w:lang w:val="uk-UA" w:eastAsia="en-US"/>
              </w:rPr>
              <w:t>1</w:t>
            </w:r>
            <w:r>
              <w:rPr>
                <w:sz w:val="28"/>
                <w:szCs w:val="28"/>
                <w:lang w:eastAsia="en-US"/>
              </w:rPr>
              <w:t>,</w:t>
            </w:r>
            <w:r>
              <w:rPr>
                <w:sz w:val="28"/>
                <w:szCs w:val="28"/>
                <w:lang w:val="uk-UA" w:eastAsia="en-US"/>
              </w:rPr>
              <w:t>33</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1</w:t>
            </w:r>
            <w:r>
              <w:rPr>
                <w:sz w:val="28"/>
                <w:szCs w:val="28"/>
                <w:lang w:val="uk-UA" w:eastAsia="en-US"/>
              </w:rPr>
              <w:t>8</w:t>
            </w:r>
            <w:r>
              <w:rPr>
                <w:sz w:val="28"/>
                <w:szCs w:val="28"/>
                <w:lang w:eastAsia="en-US"/>
              </w:rPr>
              <w:t>,</w:t>
            </w:r>
            <w:r>
              <w:rPr>
                <w:sz w:val="28"/>
                <w:szCs w:val="28"/>
                <w:lang w:val="uk-UA" w:eastAsia="en-US"/>
              </w:rPr>
              <w:t>86</w:t>
            </w:r>
            <w:r>
              <w:rPr>
                <w:sz w:val="28"/>
                <w:szCs w:val="28"/>
                <w:lang w:eastAsia="en-US"/>
              </w:rPr>
              <w:t>±</w:t>
            </w:r>
            <w:r>
              <w:rPr>
                <w:sz w:val="28"/>
                <w:szCs w:val="28"/>
                <w:lang w:val="uk-UA" w:eastAsia="en-US"/>
              </w:rPr>
              <w:t>2</w:t>
            </w:r>
            <w:r>
              <w:rPr>
                <w:sz w:val="28"/>
                <w:szCs w:val="28"/>
                <w:lang w:eastAsia="en-US"/>
              </w:rPr>
              <w:t>,</w:t>
            </w:r>
            <w:r>
              <w:rPr>
                <w:sz w:val="28"/>
                <w:szCs w:val="28"/>
                <w:lang w:val="uk-UA" w:eastAsia="en-US"/>
              </w:rPr>
              <w:t>14</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1</w:t>
            </w:r>
            <w:r>
              <w:rPr>
                <w:sz w:val="28"/>
                <w:szCs w:val="28"/>
                <w:lang w:val="uk-UA" w:eastAsia="en-US"/>
              </w:rPr>
              <w:t>8</w:t>
            </w:r>
            <w:r>
              <w:rPr>
                <w:sz w:val="28"/>
                <w:szCs w:val="28"/>
                <w:lang w:eastAsia="en-US"/>
              </w:rPr>
              <w:t>,</w:t>
            </w:r>
            <w:r>
              <w:rPr>
                <w:sz w:val="28"/>
                <w:szCs w:val="28"/>
                <w:lang w:val="uk-UA" w:eastAsia="en-US"/>
              </w:rPr>
              <w:t>68</w:t>
            </w:r>
            <w:r>
              <w:rPr>
                <w:sz w:val="28"/>
                <w:szCs w:val="28"/>
                <w:lang w:eastAsia="en-US"/>
              </w:rPr>
              <w:t>±</w:t>
            </w:r>
            <w:r>
              <w:rPr>
                <w:sz w:val="28"/>
                <w:szCs w:val="28"/>
                <w:lang w:val="uk-UA" w:eastAsia="en-US"/>
              </w:rPr>
              <w:t>1</w:t>
            </w:r>
            <w:r>
              <w:rPr>
                <w:sz w:val="28"/>
                <w:szCs w:val="28"/>
                <w:lang w:eastAsia="en-US"/>
              </w:rPr>
              <w:t>,</w:t>
            </w:r>
            <w:r>
              <w:rPr>
                <w:sz w:val="28"/>
                <w:szCs w:val="28"/>
                <w:lang w:val="uk-UA" w:eastAsia="en-US"/>
              </w:rPr>
              <w:t>03</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25</w:t>
            </w:r>
            <w:r>
              <w:rPr>
                <w:sz w:val="28"/>
                <w:szCs w:val="28"/>
                <w:lang w:eastAsia="en-US"/>
              </w:rPr>
              <w:t>,</w:t>
            </w:r>
            <w:r>
              <w:rPr>
                <w:sz w:val="28"/>
                <w:szCs w:val="28"/>
                <w:lang w:val="uk-UA" w:eastAsia="en-US"/>
              </w:rPr>
              <w:t>94</w:t>
            </w:r>
            <w:r>
              <w:rPr>
                <w:sz w:val="28"/>
                <w:szCs w:val="28"/>
                <w:lang w:eastAsia="en-US"/>
              </w:rPr>
              <w:t>±2,</w:t>
            </w:r>
            <w:r>
              <w:rPr>
                <w:sz w:val="28"/>
                <w:szCs w:val="28"/>
                <w:lang w:val="uk-UA" w:eastAsia="en-US"/>
              </w:rPr>
              <w:t>00</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w:t>
            </w:r>
            <w:r>
              <w:rPr>
                <w:sz w:val="28"/>
                <w:szCs w:val="28"/>
                <w:lang w:val="uk-UA" w:eastAsia="en-US"/>
              </w:rPr>
              <w:t>9</w:t>
            </w:r>
            <w:r>
              <w:rPr>
                <w:sz w:val="28"/>
                <w:szCs w:val="28"/>
                <w:lang w:eastAsia="en-US"/>
              </w:rPr>
              <w:t>,</w:t>
            </w:r>
            <w:r>
              <w:rPr>
                <w:sz w:val="28"/>
                <w:szCs w:val="28"/>
                <w:lang w:val="uk-UA" w:eastAsia="en-US"/>
              </w:rPr>
              <w:t>70</w:t>
            </w:r>
            <w:r>
              <w:rPr>
                <w:sz w:val="28"/>
                <w:szCs w:val="28"/>
                <w:lang w:eastAsia="en-US"/>
              </w:rPr>
              <w:t>±1,</w:t>
            </w:r>
            <w:r>
              <w:rPr>
                <w:sz w:val="28"/>
                <w:szCs w:val="28"/>
                <w:lang w:val="uk-UA" w:eastAsia="en-US"/>
              </w:rPr>
              <w:t>97</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20</w:t>
            </w:r>
            <w:r>
              <w:rPr>
                <w:sz w:val="28"/>
                <w:szCs w:val="28"/>
                <w:lang w:eastAsia="en-US"/>
              </w:rPr>
              <w:t>,5</w:t>
            </w:r>
            <w:r>
              <w:rPr>
                <w:sz w:val="28"/>
                <w:szCs w:val="28"/>
                <w:lang w:val="uk-UA" w:eastAsia="en-US"/>
              </w:rPr>
              <w:t>9</w:t>
            </w:r>
            <w:r>
              <w:rPr>
                <w:sz w:val="28"/>
                <w:szCs w:val="28"/>
                <w:lang w:eastAsia="en-US"/>
              </w:rPr>
              <w:t>±</w:t>
            </w:r>
            <w:r>
              <w:rPr>
                <w:sz w:val="28"/>
                <w:szCs w:val="28"/>
                <w:lang w:val="uk-UA" w:eastAsia="en-US"/>
              </w:rPr>
              <w:t>1</w:t>
            </w:r>
            <w:r>
              <w:rPr>
                <w:sz w:val="28"/>
                <w:szCs w:val="28"/>
                <w:lang w:eastAsia="en-US"/>
              </w:rPr>
              <w:t>,14</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НОМА-</w:t>
            </w:r>
            <w:r>
              <w:rPr>
                <w:sz w:val="28"/>
                <w:szCs w:val="28"/>
                <w:lang w:val="en-US" w:eastAsia="en-US"/>
              </w:rPr>
              <w:t>IR</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4</w:t>
            </w:r>
            <w:r>
              <w:rPr>
                <w:sz w:val="28"/>
                <w:szCs w:val="28"/>
                <w:lang w:eastAsia="en-US"/>
              </w:rPr>
              <w:t>,</w:t>
            </w:r>
            <w:r>
              <w:rPr>
                <w:sz w:val="28"/>
                <w:szCs w:val="28"/>
                <w:lang w:val="uk-UA" w:eastAsia="en-US"/>
              </w:rPr>
              <w:t>29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39</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4,</w:t>
            </w:r>
            <w:r>
              <w:rPr>
                <w:sz w:val="28"/>
                <w:szCs w:val="28"/>
                <w:lang w:val="uk-UA" w:eastAsia="en-US"/>
              </w:rPr>
              <w:t>46</w:t>
            </w:r>
            <w:r>
              <w:rPr>
                <w:sz w:val="28"/>
                <w:szCs w:val="28"/>
                <w:lang w:eastAsia="en-US"/>
              </w:rPr>
              <w:t>±</w:t>
            </w:r>
            <w:r>
              <w:rPr>
                <w:sz w:val="28"/>
                <w:szCs w:val="28"/>
                <w:lang w:val="uk-UA" w:eastAsia="en-US"/>
              </w:rPr>
              <w:t>0</w:t>
            </w:r>
            <w:r>
              <w:rPr>
                <w:sz w:val="28"/>
                <w:szCs w:val="28"/>
                <w:lang w:eastAsia="en-US"/>
              </w:rPr>
              <w:t>,</w:t>
            </w:r>
            <w:r>
              <w:rPr>
                <w:sz w:val="28"/>
                <w:szCs w:val="28"/>
                <w:lang w:val="uk-UA" w:eastAsia="en-US"/>
              </w:rPr>
              <w:t>5</w:t>
            </w:r>
            <w:r>
              <w:rPr>
                <w:sz w:val="28"/>
                <w:szCs w:val="28"/>
                <w:lang w:eastAsia="en-US"/>
              </w:rPr>
              <w:t>3</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7</w:t>
            </w:r>
            <w:r>
              <w:rPr>
                <w:sz w:val="28"/>
                <w:szCs w:val="28"/>
                <w:lang w:eastAsia="en-US"/>
              </w:rPr>
              <w:t>,</w:t>
            </w:r>
            <w:r>
              <w:rPr>
                <w:sz w:val="28"/>
                <w:szCs w:val="28"/>
                <w:lang w:val="uk-UA" w:eastAsia="en-US"/>
              </w:rPr>
              <w:t>01</w:t>
            </w:r>
            <w:r>
              <w:rPr>
                <w:sz w:val="28"/>
                <w:szCs w:val="28"/>
                <w:lang w:eastAsia="en-US"/>
              </w:rPr>
              <w:t>±0,</w:t>
            </w:r>
            <w:r>
              <w:rPr>
                <w:sz w:val="28"/>
                <w:szCs w:val="28"/>
                <w:lang w:val="uk-UA" w:eastAsia="en-US"/>
              </w:rPr>
              <w:t>38</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9</w:t>
            </w:r>
            <w:r>
              <w:rPr>
                <w:sz w:val="28"/>
                <w:szCs w:val="28"/>
                <w:lang w:eastAsia="en-US"/>
              </w:rPr>
              <w:t>,</w:t>
            </w:r>
            <w:r>
              <w:rPr>
                <w:sz w:val="28"/>
                <w:szCs w:val="28"/>
                <w:lang w:val="uk-UA" w:eastAsia="en-US"/>
              </w:rPr>
              <w:t>25</w:t>
            </w:r>
            <w:r>
              <w:rPr>
                <w:sz w:val="28"/>
                <w:szCs w:val="28"/>
                <w:lang w:eastAsia="en-US"/>
              </w:rPr>
              <w:t>±0,</w:t>
            </w:r>
            <w:r>
              <w:rPr>
                <w:sz w:val="28"/>
                <w:szCs w:val="28"/>
                <w:lang w:val="uk-UA" w:eastAsia="en-US"/>
              </w:rPr>
              <w:t>55</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6</w:t>
            </w:r>
            <w:r>
              <w:rPr>
                <w:sz w:val="28"/>
                <w:szCs w:val="28"/>
                <w:lang w:eastAsia="en-US"/>
              </w:rPr>
              <w:t>,</w:t>
            </w:r>
            <w:r>
              <w:rPr>
                <w:sz w:val="28"/>
                <w:szCs w:val="28"/>
                <w:lang w:val="uk-UA" w:eastAsia="en-US"/>
              </w:rPr>
              <w:t>22</w:t>
            </w:r>
            <w:r>
              <w:rPr>
                <w:sz w:val="28"/>
                <w:szCs w:val="28"/>
                <w:lang w:eastAsia="en-US"/>
              </w:rPr>
              <w:t>±</w:t>
            </w:r>
            <w:r>
              <w:rPr>
                <w:sz w:val="28"/>
                <w:szCs w:val="28"/>
                <w:lang w:val="uk-UA" w:eastAsia="en-US"/>
              </w:rPr>
              <w:t>0</w:t>
            </w:r>
            <w:r>
              <w:rPr>
                <w:sz w:val="28"/>
                <w:szCs w:val="28"/>
                <w:lang w:eastAsia="en-US"/>
              </w:rPr>
              <w:t>,</w:t>
            </w:r>
            <w:r>
              <w:rPr>
                <w:sz w:val="28"/>
                <w:szCs w:val="28"/>
                <w:lang w:val="uk-UA" w:eastAsia="en-US"/>
              </w:rPr>
              <w:t>79</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6</w:t>
            </w:r>
            <w:r>
              <w:rPr>
                <w:sz w:val="28"/>
                <w:szCs w:val="28"/>
                <w:lang w:eastAsia="en-US"/>
              </w:rPr>
              <w:t>,</w:t>
            </w:r>
            <w:r>
              <w:rPr>
                <w:sz w:val="28"/>
                <w:szCs w:val="28"/>
                <w:lang w:val="uk-UA" w:eastAsia="en-US"/>
              </w:rPr>
              <w:t>60</w:t>
            </w:r>
            <w:r>
              <w:rPr>
                <w:sz w:val="28"/>
                <w:szCs w:val="28"/>
                <w:lang w:eastAsia="en-US"/>
              </w:rPr>
              <w:t>±</w:t>
            </w:r>
            <w:r>
              <w:rPr>
                <w:sz w:val="28"/>
                <w:szCs w:val="28"/>
                <w:lang w:val="uk-UA" w:eastAsia="en-US"/>
              </w:rPr>
              <w:t>0</w:t>
            </w:r>
            <w:r>
              <w:rPr>
                <w:sz w:val="28"/>
                <w:szCs w:val="28"/>
                <w:lang w:eastAsia="en-US"/>
              </w:rPr>
              <w:t>,</w:t>
            </w:r>
            <w:r>
              <w:rPr>
                <w:sz w:val="28"/>
                <w:szCs w:val="28"/>
                <w:lang w:val="uk-UA" w:eastAsia="en-US"/>
              </w:rPr>
              <w:t>52</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rPr>
                <w:color w:val="000000"/>
                <w:sz w:val="28"/>
                <w:szCs w:val="28"/>
                <w:lang w:val="uk-UA" w:eastAsia="en-US"/>
              </w:rPr>
            </w:pPr>
            <w:r>
              <w:rPr>
                <w:sz w:val="28"/>
                <w:szCs w:val="28"/>
                <w:lang w:eastAsia="en-US"/>
              </w:rPr>
              <w:t>ТТГ</w:t>
            </w:r>
            <w:r>
              <w:rPr>
                <w:sz w:val="28"/>
                <w:szCs w:val="28"/>
                <w:lang w:val="uk-UA" w:eastAsia="en-US"/>
              </w:rPr>
              <w:t>, мкМОд/мл</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2,</w:t>
            </w:r>
            <w:r>
              <w:rPr>
                <w:sz w:val="28"/>
                <w:szCs w:val="28"/>
                <w:lang w:val="uk-UA" w:eastAsia="en-US"/>
              </w:rPr>
              <w:t>79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w:t>
            </w:r>
            <w:r>
              <w:rPr>
                <w:sz w:val="28"/>
                <w:szCs w:val="28"/>
                <w:lang w:eastAsia="en-US"/>
              </w:rPr>
              <w:t>2</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2</w:t>
            </w:r>
            <w:r>
              <w:rPr>
                <w:sz w:val="28"/>
                <w:szCs w:val="28"/>
                <w:lang w:eastAsia="en-US"/>
              </w:rPr>
              <w:t>,</w:t>
            </w:r>
            <w:r>
              <w:rPr>
                <w:sz w:val="28"/>
                <w:szCs w:val="28"/>
                <w:lang w:val="uk-UA" w:eastAsia="en-US"/>
              </w:rPr>
              <w:t>81</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18</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2</w:t>
            </w:r>
            <w:r>
              <w:rPr>
                <w:sz w:val="28"/>
                <w:szCs w:val="28"/>
                <w:lang w:eastAsia="en-US"/>
              </w:rPr>
              <w:t>,</w:t>
            </w:r>
            <w:r>
              <w:rPr>
                <w:sz w:val="28"/>
                <w:szCs w:val="28"/>
                <w:lang w:val="uk-UA" w:eastAsia="en-US"/>
              </w:rPr>
              <w:t>28</w:t>
            </w:r>
            <w:r>
              <w:rPr>
                <w:sz w:val="28"/>
                <w:szCs w:val="28"/>
                <w:lang w:eastAsia="en-US"/>
              </w:rPr>
              <w:t>±</w:t>
            </w:r>
            <w:r>
              <w:rPr>
                <w:sz w:val="28"/>
                <w:szCs w:val="28"/>
                <w:lang w:val="uk-UA" w:eastAsia="en-US"/>
              </w:rPr>
              <w:t>0</w:t>
            </w:r>
            <w:r>
              <w:rPr>
                <w:sz w:val="28"/>
                <w:szCs w:val="28"/>
                <w:lang w:eastAsia="en-US"/>
              </w:rPr>
              <w:t>,1</w:t>
            </w:r>
            <w:r>
              <w:rPr>
                <w:sz w:val="28"/>
                <w:szCs w:val="28"/>
                <w:lang w:val="uk-UA" w:eastAsia="en-US"/>
              </w:rPr>
              <w:t>2</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2,</w:t>
            </w:r>
            <w:r>
              <w:rPr>
                <w:sz w:val="28"/>
                <w:szCs w:val="28"/>
                <w:lang w:val="uk-UA" w:eastAsia="en-US"/>
              </w:rPr>
              <w:t>69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15</w:t>
            </w:r>
          </w:p>
          <w:p w:rsidR="00E3259F" w:rsidRDefault="00E3259F">
            <w:pPr>
              <w:spacing w:line="360" w:lineRule="auto"/>
              <w:jc w:val="both"/>
              <w:rPr>
                <w:sz w:val="28"/>
                <w:szCs w:val="28"/>
                <w:lang w:eastAsia="en-US"/>
              </w:rPr>
            </w:pPr>
            <w:r>
              <w:rPr>
                <w:sz w:val="28"/>
                <w:szCs w:val="28"/>
                <w:lang w:val="uk-UA" w:eastAsia="en-US"/>
              </w:rPr>
              <w:t>р=0</w:t>
            </w:r>
            <w:r>
              <w:rPr>
                <w:sz w:val="28"/>
                <w:szCs w:val="28"/>
                <w:lang w:eastAsia="en-US"/>
              </w:rPr>
              <w:t>,0</w:t>
            </w:r>
            <w:r>
              <w:rPr>
                <w:sz w:val="28"/>
                <w:szCs w:val="28"/>
                <w:lang w:val="uk-UA" w:eastAsia="en-US"/>
              </w:rPr>
              <w:t>3</w:t>
            </w:r>
            <w:r>
              <w:rPr>
                <w:sz w:val="28"/>
                <w:szCs w:val="28"/>
                <w:lang w:eastAsia="en-US"/>
              </w:rPr>
              <w:t>6</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6,</w:t>
            </w:r>
            <w:r>
              <w:rPr>
                <w:sz w:val="28"/>
                <w:szCs w:val="28"/>
                <w:lang w:val="uk-UA" w:eastAsia="en-US"/>
              </w:rPr>
              <w:t>06</w:t>
            </w:r>
            <w:r>
              <w:rPr>
                <w:sz w:val="28"/>
                <w:szCs w:val="28"/>
                <w:lang w:eastAsia="en-US"/>
              </w:rPr>
              <w:t>±</w:t>
            </w:r>
            <w:r>
              <w:rPr>
                <w:sz w:val="28"/>
                <w:szCs w:val="28"/>
                <w:lang w:val="uk-UA" w:eastAsia="en-US"/>
              </w:rPr>
              <w:t>0</w:t>
            </w:r>
            <w:r>
              <w:rPr>
                <w:sz w:val="28"/>
                <w:szCs w:val="28"/>
                <w:lang w:eastAsia="en-US"/>
              </w:rPr>
              <w:t>,</w:t>
            </w:r>
            <w:r>
              <w:rPr>
                <w:sz w:val="28"/>
                <w:szCs w:val="28"/>
                <w:lang w:val="uk-UA" w:eastAsia="en-US"/>
              </w:rPr>
              <w:t>26</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5,</w:t>
            </w:r>
            <w:r>
              <w:rPr>
                <w:sz w:val="28"/>
                <w:szCs w:val="28"/>
                <w:lang w:val="uk-UA" w:eastAsia="en-US"/>
              </w:rPr>
              <w:t>89</w:t>
            </w:r>
            <w:r>
              <w:rPr>
                <w:sz w:val="28"/>
                <w:szCs w:val="28"/>
                <w:lang w:eastAsia="en-US"/>
              </w:rPr>
              <w:t>±</w:t>
            </w:r>
            <w:r>
              <w:rPr>
                <w:sz w:val="28"/>
                <w:szCs w:val="28"/>
                <w:lang w:val="uk-UA" w:eastAsia="en-US"/>
              </w:rPr>
              <w:t>0</w:t>
            </w:r>
            <w:r>
              <w:rPr>
                <w:sz w:val="28"/>
                <w:szCs w:val="28"/>
                <w:lang w:eastAsia="en-US"/>
              </w:rPr>
              <w:t>,</w:t>
            </w:r>
            <w:r>
              <w:rPr>
                <w:sz w:val="28"/>
                <w:szCs w:val="28"/>
                <w:lang w:val="uk-UA" w:eastAsia="en-US"/>
              </w:rPr>
              <w:t>20</w:t>
            </w:r>
          </w:p>
        </w:tc>
      </w:tr>
      <w:tr w:rsidR="00E3259F" w:rsidRPr="008C0864" w:rsidTr="00E3259F">
        <w:tc>
          <w:tcPr>
            <w:tcW w:w="1091"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rPr>
                <w:color w:val="000000"/>
                <w:sz w:val="28"/>
                <w:szCs w:val="28"/>
                <w:lang w:val="uk-UA" w:eastAsia="en-US"/>
              </w:rPr>
            </w:pPr>
            <w:r w:rsidRPr="008C0864">
              <w:rPr>
                <w:sz w:val="28"/>
                <w:szCs w:val="28"/>
                <w:lang w:eastAsia="en-US"/>
              </w:rPr>
              <w:t>Т4</w:t>
            </w:r>
            <w:r w:rsidRPr="008C0864">
              <w:rPr>
                <w:sz w:val="28"/>
                <w:szCs w:val="28"/>
                <w:lang w:val="uk-UA" w:eastAsia="en-US"/>
              </w:rPr>
              <w:t>віл,</w:t>
            </w:r>
            <w:r w:rsidRPr="008C0864">
              <w:rPr>
                <w:rFonts w:eastAsia="Calibri"/>
                <w:sz w:val="28"/>
                <w:szCs w:val="28"/>
                <w:lang w:val="uk-UA" w:eastAsia="en-US"/>
              </w:rPr>
              <w:t xml:space="preserve"> пмоль/л</w:t>
            </w:r>
          </w:p>
        </w:tc>
        <w:tc>
          <w:tcPr>
            <w:tcW w:w="671"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color w:val="000000"/>
                <w:sz w:val="28"/>
                <w:szCs w:val="28"/>
                <w:lang w:eastAsia="en-US"/>
              </w:rPr>
            </w:pPr>
            <w:r w:rsidRPr="008C0864">
              <w:rPr>
                <w:sz w:val="28"/>
                <w:szCs w:val="28"/>
                <w:lang w:eastAsia="en-US"/>
              </w:rPr>
              <w:t>1</w:t>
            </w:r>
            <w:r w:rsidRPr="008C0864">
              <w:rPr>
                <w:sz w:val="28"/>
                <w:szCs w:val="28"/>
                <w:lang w:val="uk-UA" w:eastAsia="en-US"/>
              </w:rPr>
              <w:t>4</w:t>
            </w:r>
            <w:r w:rsidRPr="008C0864">
              <w:rPr>
                <w:sz w:val="28"/>
                <w:szCs w:val="28"/>
                <w:lang w:eastAsia="en-US"/>
              </w:rPr>
              <w:t>,</w:t>
            </w:r>
            <w:r w:rsidRPr="008C0864">
              <w:rPr>
                <w:sz w:val="28"/>
                <w:szCs w:val="28"/>
                <w:lang w:val="uk-UA" w:eastAsia="en-US"/>
              </w:rPr>
              <w:t>83</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57</w:t>
            </w:r>
          </w:p>
        </w:tc>
        <w:tc>
          <w:tcPr>
            <w:tcW w:w="719"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color w:val="000000"/>
                <w:sz w:val="28"/>
                <w:szCs w:val="28"/>
                <w:lang w:eastAsia="en-US"/>
              </w:rPr>
            </w:pPr>
            <w:r w:rsidRPr="008C0864">
              <w:rPr>
                <w:sz w:val="28"/>
                <w:szCs w:val="28"/>
                <w:lang w:eastAsia="en-US"/>
              </w:rPr>
              <w:t>2</w:t>
            </w:r>
            <w:r w:rsidRPr="008C0864">
              <w:rPr>
                <w:sz w:val="28"/>
                <w:szCs w:val="28"/>
                <w:lang w:val="uk-UA" w:eastAsia="en-US"/>
              </w:rPr>
              <w:t>1</w:t>
            </w:r>
            <w:r w:rsidRPr="008C0864">
              <w:rPr>
                <w:sz w:val="28"/>
                <w:szCs w:val="28"/>
                <w:lang w:eastAsia="en-US"/>
              </w:rPr>
              <w:t>,</w:t>
            </w:r>
            <w:r w:rsidRPr="008C0864">
              <w:rPr>
                <w:sz w:val="28"/>
                <w:szCs w:val="28"/>
                <w:lang w:val="uk-UA" w:eastAsia="en-US"/>
              </w:rPr>
              <w:t>84</w:t>
            </w:r>
            <w:r w:rsidRPr="008C0864">
              <w:rPr>
                <w:sz w:val="28"/>
                <w:szCs w:val="28"/>
                <w:lang w:eastAsia="en-US"/>
              </w:rPr>
              <w:t>±</w:t>
            </w:r>
            <w:r w:rsidRPr="008C0864">
              <w:rPr>
                <w:sz w:val="28"/>
                <w:szCs w:val="28"/>
                <w:lang w:val="uk-UA" w:eastAsia="en-US"/>
              </w:rPr>
              <w:t>4</w:t>
            </w:r>
            <w:r w:rsidRPr="008C0864">
              <w:rPr>
                <w:sz w:val="28"/>
                <w:szCs w:val="28"/>
                <w:lang w:eastAsia="en-US"/>
              </w:rPr>
              <w:t>,</w:t>
            </w:r>
            <w:r w:rsidRPr="008C0864">
              <w:rPr>
                <w:sz w:val="28"/>
                <w:szCs w:val="28"/>
                <w:lang w:val="uk-UA" w:eastAsia="en-US"/>
              </w:rPr>
              <w:t>37</w:t>
            </w:r>
          </w:p>
        </w:tc>
        <w:tc>
          <w:tcPr>
            <w:tcW w:w="576" w:type="pct"/>
            <w:tcBorders>
              <w:top w:val="single" w:sz="4" w:space="0" w:color="auto"/>
              <w:left w:val="single" w:sz="4" w:space="0" w:color="auto"/>
              <w:bottom w:val="single" w:sz="4" w:space="0" w:color="auto"/>
              <w:right w:val="single" w:sz="4" w:space="0" w:color="auto"/>
            </w:tcBorders>
            <w:hideMark/>
          </w:tcPr>
          <w:p w:rsidR="00E3259F" w:rsidRPr="008C0864" w:rsidRDefault="00E3259F">
            <w:pPr>
              <w:spacing w:line="360" w:lineRule="auto"/>
              <w:jc w:val="both"/>
              <w:rPr>
                <w:sz w:val="28"/>
                <w:szCs w:val="28"/>
                <w:lang w:val="uk-UA" w:eastAsia="en-US"/>
              </w:rPr>
            </w:pPr>
            <w:r w:rsidRPr="008C0864">
              <w:rPr>
                <w:sz w:val="28"/>
                <w:szCs w:val="28"/>
                <w:lang w:eastAsia="en-US"/>
              </w:rPr>
              <w:t>14,</w:t>
            </w:r>
            <w:r w:rsidRPr="008C0864">
              <w:rPr>
                <w:sz w:val="28"/>
                <w:szCs w:val="28"/>
                <w:lang w:val="uk-UA" w:eastAsia="en-US"/>
              </w:rPr>
              <w:t>27</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21</w:t>
            </w:r>
          </w:p>
        </w:tc>
        <w:tc>
          <w:tcPr>
            <w:tcW w:w="672" w:type="pct"/>
            <w:tcBorders>
              <w:top w:val="single" w:sz="4" w:space="0" w:color="auto"/>
              <w:left w:val="single" w:sz="4" w:space="0" w:color="auto"/>
              <w:bottom w:val="single" w:sz="4" w:space="0" w:color="auto"/>
              <w:right w:val="single" w:sz="4" w:space="0" w:color="auto"/>
            </w:tcBorders>
            <w:hideMark/>
          </w:tcPr>
          <w:p w:rsidR="00E3259F" w:rsidRPr="008C0864" w:rsidRDefault="00E3259F">
            <w:pPr>
              <w:spacing w:line="360" w:lineRule="auto"/>
              <w:jc w:val="both"/>
              <w:rPr>
                <w:sz w:val="28"/>
                <w:szCs w:val="28"/>
                <w:lang w:eastAsia="en-US"/>
              </w:rPr>
            </w:pPr>
            <w:r w:rsidRPr="008C0864">
              <w:rPr>
                <w:sz w:val="28"/>
                <w:szCs w:val="28"/>
                <w:lang w:eastAsia="en-US"/>
              </w:rPr>
              <w:t>14,</w:t>
            </w:r>
            <w:r w:rsidRPr="008C0864">
              <w:rPr>
                <w:sz w:val="28"/>
                <w:szCs w:val="28"/>
                <w:lang w:val="uk-UA" w:eastAsia="en-US"/>
              </w:rPr>
              <w:t>45</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35</w:t>
            </w:r>
          </w:p>
        </w:tc>
        <w:tc>
          <w:tcPr>
            <w:tcW w:w="624"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color w:val="000000"/>
                <w:sz w:val="28"/>
                <w:szCs w:val="28"/>
                <w:lang w:val="uk-UA" w:eastAsia="en-US"/>
              </w:rPr>
            </w:pPr>
            <w:r w:rsidRPr="008C0864">
              <w:rPr>
                <w:sz w:val="28"/>
                <w:szCs w:val="28"/>
                <w:lang w:eastAsia="en-US"/>
              </w:rPr>
              <w:t>1</w:t>
            </w:r>
            <w:r w:rsidRPr="008C0864">
              <w:rPr>
                <w:sz w:val="28"/>
                <w:szCs w:val="28"/>
                <w:lang w:val="uk-UA" w:eastAsia="en-US"/>
              </w:rPr>
              <w:t>4</w:t>
            </w:r>
            <w:r w:rsidRPr="008C0864">
              <w:rPr>
                <w:sz w:val="28"/>
                <w:szCs w:val="28"/>
                <w:lang w:eastAsia="en-US"/>
              </w:rPr>
              <w:t>,5</w:t>
            </w:r>
            <w:r w:rsidRPr="008C0864">
              <w:rPr>
                <w:sz w:val="28"/>
                <w:szCs w:val="28"/>
                <w:lang w:val="uk-UA" w:eastAsia="en-US"/>
              </w:rPr>
              <w:t>4</w:t>
            </w:r>
            <w:r w:rsidRPr="008C0864">
              <w:rPr>
                <w:sz w:val="28"/>
                <w:szCs w:val="28"/>
                <w:lang w:eastAsia="en-US"/>
              </w:rPr>
              <w:t>±</w:t>
            </w:r>
            <w:r w:rsidRPr="008C0864">
              <w:rPr>
                <w:sz w:val="28"/>
                <w:szCs w:val="28"/>
                <w:lang w:val="uk-UA" w:eastAsia="en-US"/>
              </w:rPr>
              <w:t>0</w:t>
            </w:r>
            <w:r w:rsidRPr="008C0864">
              <w:rPr>
                <w:sz w:val="28"/>
                <w:szCs w:val="28"/>
                <w:lang w:eastAsia="en-US"/>
              </w:rPr>
              <w:t>,4</w:t>
            </w:r>
            <w:r w:rsidRPr="008C0864">
              <w:rPr>
                <w:sz w:val="28"/>
                <w:szCs w:val="28"/>
                <w:lang w:val="uk-UA" w:eastAsia="en-US"/>
              </w:rPr>
              <w:t>2</w:t>
            </w:r>
          </w:p>
        </w:tc>
        <w:tc>
          <w:tcPr>
            <w:tcW w:w="647"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color w:val="000000"/>
                <w:sz w:val="28"/>
                <w:szCs w:val="28"/>
                <w:lang w:eastAsia="en-US"/>
              </w:rPr>
            </w:pPr>
            <w:r w:rsidRPr="008C0864">
              <w:rPr>
                <w:sz w:val="28"/>
                <w:szCs w:val="28"/>
                <w:lang w:val="uk-UA" w:eastAsia="en-US"/>
              </w:rPr>
              <w:t>14</w:t>
            </w:r>
            <w:r w:rsidRPr="008C0864">
              <w:rPr>
                <w:sz w:val="28"/>
                <w:szCs w:val="28"/>
                <w:lang w:eastAsia="en-US"/>
              </w:rPr>
              <w:t>,</w:t>
            </w:r>
            <w:r w:rsidRPr="008C0864">
              <w:rPr>
                <w:sz w:val="28"/>
                <w:szCs w:val="28"/>
                <w:lang w:val="uk-UA" w:eastAsia="en-US"/>
              </w:rPr>
              <w:t>14</w:t>
            </w:r>
            <w:r w:rsidRPr="008C0864">
              <w:rPr>
                <w:sz w:val="28"/>
                <w:szCs w:val="28"/>
                <w:lang w:eastAsia="en-US"/>
              </w:rPr>
              <w:t>±</w:t>
            </w:r>
            <w:r w:rsidRPr="008C0864">
              <w:rPr>
                <w:sz w:val="28"/>
                <w:szCs w:val="28"/>
                <w:lang w:val="uk-UA" w:eastAsia="en-US"/>
              </w:rPr>
              <w:t>0</w:t>
            </w:r>
            <w:r w:rsidRPr="008C0864">
              <w:rPr>
                <w:sz w:val="28"/>
                <w:szCs w:val="28"/>
                <w:lang w:eastAsia="en-US"/>
              </w:rPr>
              <w:t>,4</w:t>
            </w:r>
            <w:r w:rsidRPr="008C0864">
              <w:rPr>
                <w:sz w:val="28"/>
                <w:szCs w:val="28"/>
                <w:lang w:val="uk-UA" w:eastAsia="en-US"/>
              </w:rPr>
              <w:t>09</w:t>
            </w:r>
          </w:p>
        </w:tc>
      </w:tr>
      <w:tr w:rsidR="00E3259F" w:rsidTr="00E3259F">
        <w:tc>
          <w:tcPr>
            <w:tcW w:w="1091" w:type="pct"/>
            <w:tcBorders>
              <w:top w:val="single" w:sz="4" w:space="0" w:color="auto"/>
              <w:left w:val="single" w:sz="4" w:space="0" w:color="auto"/>
              <w:bottom w:val="single" w:sz="4" w:space="0" w:color="auto"/>
              <w:right w:val="single" w:sz="4" w:space="0" w:color="auto"/>
            </w:tcBorders>
            <w:vAlign w:val="center"/>
            <w:hideMark/>
          </w:tcPr>
          <w:p w:rsidR="00E3259F" w:rsidRPr="008C0864" w:rsidRDefault="00E3259F">
            <w:pPr>
              <w:widowControl w:val="0"/>
              <w:autoSpaceDE w:val="0"/>
              <w:autoSpaceDN w:val="0"/>
              <w:adjustRightInd w:val="0"/>
              <w:spacing w:line="360" w:lineRule="auto"/>
              <w:jc w:val="both"/>
              <w:rPr>
                <w:color w:val="000000"/>
                <w:sz w:val="28"/>
                <w:szCs w:val="28"/>
                <w:lang w:val="uk-UA" w:eastAsia="en-US"/>
              </w:rPr>
            </w:pPr>
            <w:r w:rsidRPr="008C0864">
              <w:rPr>
                <w:sz w:val="28"/>
                <w:szCs w:val="28"/>
                <w:lang w:eastAsia="en-US"/>
              </w:rPr>
              <w:t>Т3</w:t>
            </w:r>
            <w:r w:rsidRPr="008C0864">
              <w:rPr>
                <w:sz w:val="28"/>
                <w:szCs w:val="28"/>
                <w:lang w:val="uk-UA" w:eastAsia="en-US"/>
              </w:rPr>
              <w:t>віл,</w:t>
            </w:r>
            <w:r w:rsidRPr="008C0864">
              <w:rPr>
                <w:rFonts w:eastAsia="Arial Unicode MS"/>
                <w:kern w:val="2"/>
                <w:sz w:val="28"/>
                <w:szCs w:val="28"/>
                <w:lang w:val="uk-UA" w:eastAsia="en-US"/>
              </w:rPr>
              <w:t xml:space="preserve"> пг/мл</w:t>
            </w:r>
          </w:p>
        </w:tc>
        <w:tc>
          <w:tcPr>
            <w:tcW w:w="671"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color w:val="000000"/>
                <w:sz w:val="28"/>
                <w:szCs w:val="28"/>
                <w:lang w:val="uk-UA" w:eastAsia="en-US"/>
              </w:rPr>
            </w:pPr>
            <w:r w:rsidRPr="008C0864">
              <w:rPr>
                <w:sz w:val="28"/>
                <w:szCs w:val="28"/>
                <w:lang w:eastAsia="en-US"/>
              </w:rPr>
              <w:t>5,</w:t>
            </w:r>
            <w:r w:rsidRPr="008C0864">
              <w:rPr>
                <w:sz w:val="28"/>
                <w:szCs w:val="28"/>
                <w:lang w:val="uk-UA" w:eastAsia="en-US"/>
              </w:rPr>
              <w:t>70</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26</w:t>
            </w:r>
          </w:p>
        </w:tc>
        <w:tc>
          <w:tcPr>
            <w:tcW w:w="719"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sz w:val="28"/>
                <w:szCs w:val="28"/>
                <w:lang w:val="uk-UA" w:eastAsia="en-US"/>
              </w:rPr>
            </w:pPr>
            <w:r w:rsidRPr="008C0864">
              <w:rPr>
                <w:sz w:val="28"/>
                <w:szCs w:val="28"/>
                <w:lang w:val="uk-UA" w:eastAsia="en-US"/>
              </w:rPr>
              <w:t>6</w:t>
            </w:r>
            <w:r w:rsidRPr="008C0864">
              <w:rPr>
                <w:sz w:val="28"/>
                <w:szCs w:val="28"/>
                <w:lang w:eastAsia="en-US"/>
              </w:rPr>
              <w:t>,</w:t>
            </w:r>
            <w:r w:rsidRPr="008C0864">
              <w:rPr>
                <w:sz w:val="28"/>
                <w:szCs w:val="28"/>
                <w:lang w:val="uk-UA" w:eastAsia="en-US"/>
              </w:rPr>
              <w:t>89</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40</w:t>
            </w:r>
          </w:p>
          <w:p w:rsidR="00E3259F" w:rsidRPr="008C0864" w:rsidRDefault="00E3259F">
            <w:pPr>
              <w:widowControl w:val="0"/>
              <w:autoSpaceDE w:val="0"/>
              <w:autoSpaceDN w:val="0"/>
              <w:adjustRightInd w:val="0"/>
              <w:spacing w:line="360" w:lineRule="auto"/>
              <w:jc w:val="both"/>
              <w:rPr>
                <w:color w:val="000000"/>
                <w:sz w:val="28"/>
                <w:szCs w:val="28"/>
                <w:lang w:val="uk-UA" w:eastAsia="en-US"/>
              </w:rPr>
            </w:pPr>
            <w:r w:rsidRPr="008C0864">
              <w:rPr>
                <w:sz w:val="28"/>
                <w:szCs w:val="28"/>
                <w:lang w:val="uk-UA" w:eastAsia="en-US"/>
              </w:rPr>
              <w:t>р=0</w:t>
            </w:r>
            <w:r w:rsidRPr="008C0864">
              <w:rPr>
                <w:sz w:val="28"/>
                <w:szCs w:val="28"/>
                <w:lang w:eastAsia="en-US"/>
              </w:rPr>
              <w:t>,010</w:t>
            </w:r>
          </w:p>
        </w:tc>
        <w:tc>
          <w:tcPr>
            <w:tcW w:w="576" w:type="pct"/>
            <w:tcBorders>
              <w:top w:val="single" w:sz="4" w:space="0" w:color="auto"/>
              <w:left w:val="single" w:sz="4" w:space="0" w:color="auto"/>
              <w:bottom w:val="single" w:sz="4" w:space="0" w:color="auto"/>
              <w:right w:val="single" w:sz="4" w:space="0" w:color="auto"/>
            </w:tcBorders>
            <w:hideMark/>
          </w:tcPr>
          <w:p w:rsidR="00E3259F" w:rsidRPr="008C0864" w:rsidRDefault="00E3259F">
            <w:pPr>
              <w:spacing w:line="360" w:lineRule="auto"/>
              <w:jc w:val="both"/>
              <w:rPr>
                <w:sz w:val="28"/>
                <w:szCs w:val="28"/>
                <w:lang w:val="uk-UA" w:eastAsia="en-US"/>
              </w:rPr>
            </w:pPr>
            <w:r w:rsidRPr="008C0864">
              <w:rPr>
                <w:sz w:val="28"/>
                <w:szCs w:val="28"/>
                <w:lang w:eastAsia="en-US"/>
              </w:rPr>
              <w:t>5,</w:t>
            </w:r>
            <w:r w:rsidRPr="008C0864">
              <w:rPr>
                <w:sz w:val="28"/>
                <w:szCs w:val="28"/>
                <w:lang w:val="uk-UA" w:eastAsia="en-US"/>
              </w:rPr>
              <w:t>52</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24</w:t>
            </w:r>
          </w:p>
        </w:tc>
        <w:tc>
          <w:tcPr>
            <w:tcW w:w="672" w:type="pct"/>
            <w:tcBorders>
              <w:top w:val="single" w:sz="4" w:space="0" w:color="auto"/>
              <w:left w:val="single" w:sz="4" w:space="0" w:color="auto"/>
              <w:bottom w:val="single" w:sz="4" w:space="0" w:color="auto"/>
              <w:right w:val="single" w:sz="4" w:space="0" w:color="auto"/>
            </w:tcBorders>
            <w:hideMark/>
          </w:tcPr>
          <w:p w:rsidR="00E3259F" w:rsidRPr="008C0864" w:rsidRDefault="00E3259F">
            <w:pPr>
              <w:spacing w:line="360" w:lineRule="auto"/>
              <w:jc w:val="both"/>
              <w:rPr>
                <w:sz w:val="28"/>
                <w:szCs w:val="28"/>
                <w:lang w:val="uk-UA" w:eastAsia="en-US"/>
              </w:rPr>
            </w:pPr>
            <w:r w:rsidRPr="008C0864">
              <w:rPr>
                <w:sz w:val="28"/>
                <w:szCs w:val="28"/>
                <w:lang w:val="uk-UA" w:eastAsia="en-US"/>
              </w:rPr>
              <w:t>6</w:t>
            </w:r>
            <w:r w:rsidRPr="008C0864">
              <w:rPr>
                <w:sz w:val="28"/>
                <w:szCs w:val="28"/>
                <w:lang w:eastAsia="en-US"/>
              </w:rPr>
              <w:t>,</w:t>
            </w:r>
            <w:r w:rsidRPr="008C0864">
              <w:rPr>
                <w:sz w:val="28"/>
                <w:szCs w:val="28"/>
                <w:lang w:val="uk-UA" w:eastAsia="en-US"/>
              </w:rPr>
              <w:t>03</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29</w:t>
            </w:r>
          </w:p>
        </w:tc>
        <w:tc>
          <w:tcPr>
            <w:tcW w:w="624" w:type="pct"/>
            <w:tcBorders>
              <w:top w:val="single" w:sz="4" w:space="0" w:color="auto"/>
              <w:left w:val="single" w:sz="4" w:space="0" w:color="auto"/>
              <w:bottom w:val="single" w:sz="4" w:space="0" w:color="auto"/>
              <w:right w:val="single" w:sz="4" w:space="0" w:color="auto"/>
            </w:tcBorders>
            <w:hideMark/>
          </w:tcPr>
          <w:p w:rsidR="00E3259F" w:rsidRPr="008C0864" w:rsidRDefault="00E3259F">
            <w:pPr>
              <w:widowControl w:val="0"/>
              <w:autoSpaceDE w:val="0"/>
              <w:autoSpaceDN w:val="0"/>
              <w:adjustRightInd w:val="0"/>
              <w:spacing w:line="360" w:lineRule="auto"/>
              <w:jc w:val="both"/>
              <w:rPr>
                <w:color w:val="000000"/>
                <w:sz w:val="28"/>
                <w:szCs w:val="28"/>
                <w:lang w:val="uk-UA" w:eastAsia="en-US"/>
              </w:rPr>
            </w:pPr>
            <w:r w:rsidRPr="008C0864">
              <w:rPr>
                <w:sz w:val="28"/>
                <w:szCs w:val="28"/>
                <w:lang w:val="uk-UA" w:eastAsia="en-US"/>
              </w:rPr>
              <w:t>5</w:t>
            </w:r>
            <w:r w:rsidRPr="008C0864">
              <w:rPr>
                <w:sz w:val="28"/>
                <w:szCs w:val="28"/>
                <w:lang w:eastAsia="en-US"/>
              </w:rPr>
              <w:t>,</w:t>
            </w:r>
            <w:r w:rsidRPr="008C0864">
              <w:rPr>
                <w:sz w:val="28"/>
                <w:szCs w:val="28"/>
                <w:lang w:val="uk-UA" w:eastAsia="en-US"/>
              </w:rPr>
              <w:t>24</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24</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sidRPr="008C0864">
              <w:rPr>
                <w:sz w:val="28"/>
                <w:szCs w:val="28"/>
                <w:lang w:val="uk-UA" w:eastAsia="en-US"/>
              </w:rPr>
              <w:t>4</w:t>
            </w:r>
            <w:r w:rsidRPr="008C0864">
              <w:rPr>
                <w:sz w:val="28"/>
                <w:szCs w:val="28"/>
                <w:lang w:eastAsia="en-US"/>
              </w:rPr>
              <w:t>,</w:t>
            </w:r>
            <w:r w:rsidRPr="008C0864">
              <w:rPr>
                <w:sz w:val="28"/>
                <w:szCs w:val="28"/>
                <w:lang w:val="uk-UA" w:eastAsia="en-US"/>
              </w:rPr>
              <w:t>90</w:t>
            </w:r>
            <w:r w:rsidRPr="008C0864">
              <w:rPr>
                <w:sz w:val="28"/>
                <w:szCs w:val="28"/>
                <w:lang w:eastAsia="en-US"/>
              </w:rPr>
              <w:t>±</w:t>
            </w:r>
            <w:r w:rsidRPr="008C0864">
              <w:rPr>
                <w:sz w:val="28"/>
                <w:szCs w:val="28"/>
                <w:lang w:val="uk-UA" w:eastAsia="en-US"/>
              </w:rPr>
              <w:t>0</w:t>
            </w:r>
            <w:r w:rsidRPr="008C0864">
              <w:rPr>
                <w:sz w:val="28"/>
                <w:szCs w:val="28"/>
                <w:lang w:eastAsia="en-US"/>
              </w:rPr>
              <w:t>,</w:t>
            </w:r>
            <w:r w:rsidRPr="008C0864">
              <w:rPr>
                <w:sz w:val="28"/>
                <w:szCs w:val="28"/>
                <w:lang w:val="uk-UA" w:eastAsia="en-US"/>
              </w:rPr>
              <w:t>23</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СА</w:t>
            </w:r>
            <w:r>
              <w:rPr>
                <w:sz w:val="28"/>
                <w:szCs w:val="28"/>
                <w:lang w:val="uk-UA" w:eastAsia="en-US"/>
              </w:rPr>
              <w:t>Т</w:t>
            </w:r>
            <w:r>
              <w:rPr>
                <w:sz w:val="28"/>
                <w:szCs w:val="28"/>
                <w:lang w:eastAsia="en-US"/>
              </w:rPr>
              <w:t>, мм.рт.ст</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rPr>
                <w:color w:val="000000"/>
                <w:sz w:val="28"/>
                <w:szCs w:val="28"/>
                <w:lang w:val="uk-UA" w:eastAsia="en-US"/>
              </w:rPr>
            </w:pPr>
            <w:r>
              <w:rPr>
                <w:sz w:val="28"/>
                <w:szCs w:val="28"/>
                <w:lang w:eastAsia="en-US"/>
              </w:rPr>
              <w:t>1</w:t>
            </w:r>
            <w:r>
              <w:rPr>
                <w:sz w:val="28"/>
                <w:szCs w:val="28"/>
                <w:lang w:val="uk-UA" w:eastAsia="en-US"/>
              </w:rPr>
              <w:t>41</w:t>
            </w:r>
            <w:r>
              <w:rPr>
                <w:sz w:val="28"/>
                <w:szCs w:val="28"/>
                <w:lang w:eastAsia="en-US"/>
              </w:rPr>
              <w:t>,</w:t>
            </w:r>
            <w:r>
              <w:rPr>
                <w:sz w:val="28"/>
                <w:szCs w:val="28"/>
                <w:lang w:val="uk-UA" w:eastAsia="en-US"/>
              </w:rPr>
              <w:t>67</w:t>
            </w:r>
            <w:r>
              <w:rPr>
                <w:sz w:val="28"/>
                <w:szCs w:val="28"/>
                <w:lang w:eastAsia="en-US"/>
              </w:rPr>
              <w:t>±</w:t>
            </w:r>
            <w:r>
              <w:rPr>
                <w:sz w:val="28"/>
                <w:szCs w:val="28"/>
                <w:lang w:val="uk-UA" w:eastAsia="en-US"/>
              </w:rPr>
              <w:t>2</w:t>
            </w:r>
            <w:r>
              <w:rPr>
                <w:sz w:val="28"/>
                <w:szCs w:val="28"/>
                <w:lang w:eastAsia="en-US"/>
              </w:rPr>
              <w:t>,</w:t>
            </w:r>
            <w:r>
              <w:rPr>
                <w:sz w:val="28"/>
                <w:szCs w:val="28"/>
                <w:lang w:val="uk-UA" w:eastAsia="en-US"/>
              </w:rPr>
              <w:t>42</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1</w:t>
            </w:r>
            <w:r>
              <w:rPr>
                <w:sz w:val="28"/>
                <w:szCs w:val="28"/>
                <w:lang w:val="uk-UA" w:eastAsia="en-US"/>
              </w:rPr>
              <w:t>50</w:t>
            </w:r>
            <w:r>
              <w:rPr>
                <w:sz w:val="28"/>
                <w:szCs w:val="28"/>
                <w:lang w:eastAsia="en-US"/>
              </w:rPr>
              <w:t>,9</w:t>
            </w:r>
            <w:r>
              <w:rPr>
                <w:sz w:val="28"/>
                <w:szCs w:val="28"/>
                <w:lang w:val="uk-UA" w:eastAsia="en-US"/>
              </w:rPr>
              <w:t>4</w:t>
            </w:r>
            <w:r>
              <w:rPr>
                <w:sz w:val="28"/>
                <w:szCs w:val="28"/>
                <w:lang w:eastAsia="en-US"/>
              </w:rPr>
              <w:t>±</w:t>
            </w:r>
            <w:r>
              <w:rPr>
                <w:sz w:val="28"/>
                <w:szCs w:val="28"/>
                <w:lang w:val="uk-UA" w:eastAsia="en-US"/>
              </w:rPr>
              <w:t>1</w:t>
            </w:r>
            <w:r>
              <w:rPr>
                <w:sz w:val="28"/>
                <w:szCs w:val="28"/>
                <w:lang w:eastAsia="en-US"/>
              </w:rPr>
              <w:t>,</w:t>
            </w:r>
            <w:r>
              <w:rPr>
                <w:sz w:val="28"/>
                <w:szCs w:val="28"/>
                <w:lang w:val="uk-UA" w:eastAsia="en-US"/>
              </w:rPr>
              <w:t>09</w:t>
            </w:r>
          </w:p>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р=0,015</w:t>
            </w:r>
          </w:p>
        </w:tc>
        <w:tc>
          <w:tcPr>
            <w:tcW w:w="576" w:type="pct"/>
            <w:tcBorders>
              <w:top w:val="single" w:sz="4" w:space="0" w:color="auto"/>
              <w:left w:val="single" w:sz="4" w:space="0" w:color="auto"/>
              <w:bottom w:val="single" w:sz="4" w:space="0" w:color="auto"/>
              <w:right w:val="single" w:sz="4" w:space="0" w:color="auto"/>
            </w:tcBorders>
          </w:tcPr>
          <w:p w:rsidR="00E3259F" w:rsidRDefault="00E3259F">
            <w:pPr>
              <w:spacing w:line="360" w:lineRule="auto"/>
              <w:jc w:val="both"/>
              <w:rPr>
                <w:sz w:val="28"/>
                <w:szCs w:val="28"/>
                <w:lang w:val="uk-UA" w:eastAsia="en-US"/>
              </w:rPr>
            </w:pPr>
            <w:r>
              <w:rPr>
                <w:sz w:val="28"/>
                <w:szCs w:val="28"/>
                <w:lang w:eastAsia="en-US"/>
              </w:rPr>
              <w:t>1</w:t>
            </w:r>
            <w:r>
              <w:rPr>
                <w:sz w:val="28"/>
                <w:szCs w:val="28"/>
                <w:lang w:val="uk-UA" w:eastAsia="en-US"/>
              </w:rPr>
              <w:t>40</w:t>
            </w:r>
            <w:r>
              <w:rPr>
                <w:sz w:val="28"/>
                <w:szCs w:val="28"/>
                <w:lang w:eastAsia="en-US"/>
              </w:rPr>
              <w:t>,73±</w:t>
            </w:r>
            <w:r>
              <w:rPr>
                <w:sz w:val="28"/>
                <w:szCs w:val="28"/>
                <w:lang w:val="uk-UA" w:eastAsia="en-US"/>
              </w:rPr>
              <w:t>1</w:t>
            </w:r>
            <w:r>
              <w:rPr>
                <w:sz w:val="28"/>
                <w:szCs w:val="28"/>
                <w:lang w:eastAsia="en-US"/>
              </w:rPr>
              <w:t>,</w:t>
            </w:r>
            <w:r>
              <w:rPr>
                <w:sz w:val="28"/>
                <w:szCs w:val="28"/>
                <w:lang w:val="uk-UA" w:eastAsia="en-US"/>
              </w:rPr>
              <w:t>29</w:t>
            </w:r>
          </w:p>
          <w:p w:rsidR="00E3259F" w:rsidRDefault="00E3259F">
            <w:pPr>
              <w:spacing w:line="360" w:lineRule="auto"/>
              <w:jc w:val="both"/>
              <w:rPr>
                <w:sz w:val="28"/>
                <w:szCs w:val="28"/>
                <w:lang w:val="uk-UA" w:eastAsia="en-US"/>
              </w:rPr>
            </w:pP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15</w:t>
            </w:r>
            <w:r>
              <w:rPr>
                <w:sz w:val="28"/>
                <w:szCs w:val="28"/>
                <w:lang w:val="uk-UA" w:eastAsia="en-US"/>
              </w:rPr>
              <w:t>0</w:t>
            </w:r>
            <w:r>
              <w:rPr>
                <w:sz w:val="28"/>
                <w:szCs w:val="28"/>
                <w:lang w:eastAsia="en-US"/>
              </w:rPr>
              <w:t>,</w:t>
            </w:r>
            <w:r>
              <w:rPr>
                <w:sz w:val="28"/>
                <w:szCs w:val="28"/>
                <w:lang w:val="uk-UA" w:eastAsia="en-US"/>
              </w:rPr>
              <w:t>94</w:t>
            </w:r>
            <w:r>
              <w:rPr>
                <w:sz w:val="28"/>
                <w:szCs w:val="28"/>
                <w:lang w:eastAsia="en-US"/>
              </w:rPr>
              <w:t>±</w:t>
            </w:r>
            <w:r>
              <w:rPr>
                <w:sz w:val="28"/>
                <w:szCs w:val="28"/>
                <w:lang w:val="uk-UA" w:eastAsia="en-US"/>
              </w:rPr>
              <w:t>1</w:t>
            </w:r>
            <w:r>
              <w:rPr>
                <w:sz w:val="28"/>
                <w:szCs w:val="28"/>
                <w:lang w:eastAsia="en-US"/>
              </w:rPr>
              <w:t>,</w:t>
            </w:r>
            <w:r>
              <w:rPr>
                <w:sz w:val="28"/>
                <w:szCs w:val="28"/>
                <w:lang w:val="uk-UA" w:eastAsia="en-US"/>
              </w:rPr>
              <w:t>09</w:t>
            </w:r>
          </w:p>
          <w:p w:rsidR="00E3259F" w:rsidRDefault="00E3259F">
            <w:pPr>
              <w:spacing w:line="360" w:lineRule="auto"/>
              <w:jc w:val="both"/>
              <w:rPr>
                <w:sz w:val="28"/>
                <w:szCs w:val="28"/>
                <w:lang w:val="uk-UA" w:eastAsia="en-US"/>
              </w:rPr>
            </w:pPr>
            <w:r>
              <w:rPr>
                <w:sz w:val="28"/>
                <w:szCs w:val="28"/>
                <w:lang w:val="uk-UA" w:eastAsia="en-US"/>
              </w:rPr>
              <w:t>р=0</w:t>
            </w:r>
            <w:r>
              <w:rPr>
                <w:sz w:val="28"/>
                <w:szCs w:val="28"/>
                <w:lang w:eastAsia="en-US"/>
              </w:rPr>
              <w:t>,00</w:t>
            </w:r>
            <w:r>
              <w:rPr>
                <w:sz w:val="28"/>
                <w:szCs w:val="28"/>
                <w:lang w:val="uk-UA" w:eastAsia="en-US"/>
              </w:rPr>
              <w:t>1</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13</w:t>
            </w:r>
            <w:r>
              <w:rPr>
                <w:sz w:val="28"/>
                <w:szCs w:val="28"/>
                <w:lang w:val="uk-UA" w:eastAsia="en-US"/>
              </w:rPr>
              <w:t>8</w:t>
            </w:r>
            <w:r>
              <w:rPr>
                <w:sz w:val="28"/>
                <w:szCs w:val="28"/>
                <w:lang w:eastAsia="en-US"/>
              </w:rPr>
              <w:t>,8</w:t>
            </w:r>
            <w:r>
              <w:rPr>
                <w:sz w:val="28"/>
                <w:szCs w:val="28"/>
                <w:lang w:val="uk-UA" w:eastAsia="en-US"/>
              </w:rPr>
              <w:t>2</w:t>
            </w:r>
            <w:r>
              <w:rPr>
                <w:sz w:val="28"/>
                <w:szCs w:val="28"/>
                <w:lang w:eastAsia="en-US"/>
              </w:rPr>
              <w:t>±</w:t>
            </w:r>
            <w:r>
              <w:rPr>
                <w:sz w:val="28"/>
                <w:szCs w:val="28"/>
                <w:lang w:val="uk-UA" w:eastAsia="en-US"/>
              </w:rPr>
              <w:t>1</w:t>
            </w:r>
            <w:r>
              <w:rPr>
                <w:sz w:val="28"/>
                <w:szCs w:val="28"/>
                <w:lang w:eastAsia="en-US"/>
              </w:rPr>
              <w:t>,</w:t>
            </w:r>
            <w:r>
              <w:rPr>
                <w:sz w:val="28"/>
                <w:szCs w:val="28"/>
                <w:lang w:val="uk-UA" w:eastAsia="en-US"/>
              </w:rPr>
              <w:t>88</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1</w:t>
            </w:r>
            <w:r>
              <w:rPr>
                <w:sz w:val="28"/>
                <w:szCs w:val="28"/>
                <w:lang w:val="uk-UA" w:eastAsia="en-US"/>
              </w:rPr>
              <w:t>4</w:t>
            </w:r>
            <w:r>
              <w:rPr>
                <w:sz w:val="28"/>
                <w:szCs w:val="28"/>
                <w:lang w:eastAsia="en-US"/>
              </w:rPr>
              <w:t>4,</w:t>
            </w:r>
            <w:r>
              <w:rPr>
                <w:sz w:val="28"/>
                <w:szCs w:val="28"/>
                <w:lang w:val="uk-UA" w:eastAsia="en-US"/>
              </w:rPr>
              <w:t>7</w:t>
            </w:r>
            <w:r>
              <w:rPr>
                <w:sz w:val="28"/>
                <w:szCs w:val="28"/>
                <w:lang w:eastAsia="en-US"/>
              </w:rPr>
              <w:t>1±</w:t>
            </w:r>
            <w:r>
              <w:rPr>
                <w:sz w:val="28"/>
                <w:szCs w:val="28"/>
                <w:lang w:val="uk-UA" w:eastAsia="en-US"/>
              </w:rPr>
              <w:t>1</w:t>
            </w:r>
            <w:r>
              <w:rPr>
                <w:sz w:val="28"/>
                <w:szCs w:val="28"/>
                <w:lang w:eastAsia="en-US"/>
              </w:rPr>
              <w:t>,</w:t>
            </w:r>
            <w:r>
              <w:rPr>
                <w:sz w:val="28"/>
                <w:szCs w:val="28"/>
                <w:lang w:val="uk-UA" w:eastAsia="en-US"/>
              </w:rPr>
              <w:t>76</w:t>
            </w:r>
          </w:p>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р=0,016</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ДА</w:t>
            </w:r>
            <w:r>
              <w:rPr>
                <w:sz w:val="28"/>
                <w:szCs w:val="28"/>
                <w:lang w:val="uk-UA" w:eastAsia="en-US"/>
              </w:rPr>
              <w:t>Т</w:t>
            </w:r>
            <w:r>
              <w:rPr>
                <w:sz w:val="28"/>
                <w:szCs w:val="28"/>
                <w:lang w:eastAsia="en-US"/>
              </w:rPr>
              <w:t>, мм.рт.ст</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8</w:t>
            </w:r>
            <w:r>
              <w:rPr>
                <w:sz w:val="28"/>
                <w:szCs w:val="28"/>
                <w:lang w:val="uk-UA" w:eastAsia="en-US"/>
              </w:rPr>
              <w:t>5</w:t>
            </w:r>
            <w:r>
              <w:rPr>
                <w:sz w:val="28"/>
                <w:szCs w:val="28"/>
                <w:lang w:eastAsia="en-US"/>
              </w:rPr>
              <w:t>,</w:t>
            </w:r>
            <w:r>
              <w:rPr>
                <w:sz w:val="28"/>
                <w:szCs w:val="28"/>
                <w:lang w:val="uk-UA" w:eastAsia="en-US"/>
              </w:rPr>
              <w:t>37</w:t>
            </w:r>
            <w:r>
              <w:rPr>
                <w:sz w:val="28"/>
                <w:szCs w:val="28"/>
                <w:lang w:eastAsia="en-US"/>
              </w:rPr>
              <w:t>±</w:t>
            </w:r>
            <w:r>
              <w:rPr>
                <w:sz w:val="28"/>
                <w:szCs w:val="28"/>
                <w:lang w:val="uk-UA" w:eastAsia="en-US"/>
              </w:rPr>
              <w:t>1</w:t>
            </w:r>
            <w:r>
              <w:rPr>
                <w:sz w:val="28"/>
                <w:szCs w:val="28"/>
                <w:lang w:eastAsia="en-US"/>
              </w:rPr>
              <w:t>,</w:t>
            </w:r>
            <w:r>
              <w:rPr>
                <w:sz w:val="28"/>
                <w:szCs w:val="28"/>
                <w:lang w:val="uk-UA" w:eastAsia="en-US"/>
              </w:rPr>
              <w:t>91</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88</w:t>
            </w:r>
            <w:r>
              <w:rPr>
                <w:sz w:val="28"/>
                <w:szCs w:val="28"/>
                <w:lang w:eastAsia="en-US"/>
              </w:rPr>
              <w:t>,0</w:t>
            </w:r>
            <w:r>
              <w:rPr>
                <w:sz w:val="28"/>
                <w:szCs w:val="28"/>
                <w:lang w:val="uk-UA" w:eastAsia="en-US"/>
              </w:rPr>
              <w:t>3</w:t>
            </w:r>
            <w:r>
              <w:rPr>
                <w:sz w:val="28"/>
                <w:szCs w:val="28"/>
                <w:lang w:eastAsia="en-US"/>
              </w:rPr>
              <w:t>±</w:t>
            </w:r>
            <w:r>
              <w:rPr>
                <w:sz w:val="28"/>
                <w:szCs w:val="28"/>
                <w:lang w:val="uk-UA" w:eastAsia="en-US"/>
              </w:rPr>
              <w:t>1</w:t>
            </w:r>
            <w:r>
              <w:rPr>
                <w:sz w:val="28"/>
                <w:szCs w:val="28"/>
                <w:lang w:eastAsia="en-US"/>
              </w:rPr>
              <w:t>,</w:t>
            </w:r>
            <w:r>
              <w:rPr>
                <w:sz w:val="28"/>
                <w:szCs w:val="28"/>
                <w:lang w:val="uk-UA" w:eastAsia="en-US"/>
              </w:rPr>
              <w:t>5</w:t>
            </w:r>
          </w:p>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р=0,025</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8</w:t>
            </w:r>
            <w:r>
              <w:rPr>
                <w:sz w:val="28"/>
                <w:szCs w:val="28"/>
                <w:lang w:val="uk-UA" w:eastAsia="en-US"/>
              </w:rPr>
              <w:t>5</w:t>
            </w:r>
            <w:r>
              <w:rPr>
                <w:sz w:val="28"/>
                <w:szCs w:val="28"/>
                <w:lang w:eastAsia="en-US"/>
              </w:rPr>
              <w:t>,</w:t>
            </w:r>
            <w:r>
              <w:rPr>
                <w:sz w:val="28"/>
                <w:szCs w:val="28"/>
                <w:lang w:val="uk-UA" w:eastAsia="en-US"/>
              </w:rPr>
              <w:t>08</w:t>
            </w:r>
            <w:r>
              <w:rPr>
                <w:sz w:val="28"/>
                <w:szCs w:val="28"/>
                <w:lang w:eastAsia="en-US"/>
              </w:rPr>
              <w:t>±</w:t>
            </w:r>
            <w:r>
              <w:rPr>
                <w:sz w:val="28"/>
                <w:szCs w:val="28"/>
                <w:lang w:val="uk-UA" w:eastAsia="en-US"/>
              </w:rPr>
              <w:t>1</w:t>
            </w:r>
            <w:r>
              <w:rPr>
                <w:sz w:val="28"/>
                <w:szCs w:val="28"/>
                <w:lang w:eastAsia="en-US"/>
              </w:rPr>
              <w:t>,</w:t>
            </w:r>
            <w:r>
              <w:rPr>
                <w:sz w:val="28"/>
                <w:szCs w:val="28"/>
                <w:lang w:val="uk-UA" w:eastAsia="en-US"/>
              </w:rPr>
              <w:t>21</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9</w:t>
            </w:r>
            <w:r>
              <w:rPr>
                <w:sz w:val="28"/>
                <w:szCs w:val="28"/>
                <w:lang w:val="uk-UA" w:eastAsia="en-US"/>
              </w:rPr>
              <w:t>3</w:t>
            </w:r>
            <w:r>
              <w:rPr>
                <w:sz w:val="28"/>
                <w:szCs w:val="28"/>
                <w:lang w:eastAsia="en-US"/>
              </w:rPr>
              <w:t>,</w:t>
            </w:r>
            <w:r>
              <w:rPr>
                <w:sz w:val="28"/>
                <w:szCs w:val="28"/>
                <w:lang w:val="uk-UA" w:eastAsia="en-US"/>
              </w:rPr>
              <w:t>24</w:t>
            </w:r>
            <w:r>
              <w:rPr>
                <w:sz w:val="28"/>
                <w:szCs w:val="28"/>
                <w:lang w:eastAsia="en-US"/>
              </w:rPr>
              <w:t>±</w:t>
            </w:r>
            <w:r>
              <w:rPr>
                <w:sz w:val="28"/>
                <w:szCs w:val="28"/>
                <w:lang w:val="uk-UA" w:eastAsia="en-US"/>
              </w:rPr>
              <w:t>0</w:t>
            </w:r>
            <w:r>
              <w:rPr>
                <w:sz w:val="28"/>
                <w:szCs w:val="28"/>
                <w:lang w:eastAsia="en-US"/>
              </w:rPr>
              <w:t>,</w:t>
            </w:r>
            <w:r>
              <w:rPr>
                <w:sz w:val="28"/>
                <w:szCs w:val="28"/>
                <w:lang w:val="uk-UA" w:eastAsia="en-US"/>
              </w:rPr>
              <w:t>64</w:t>
            </w:r>
          </w:p>
          <w:p w:rsidR="00E3259F" w:rsidRDefault="00E3259F">
            <w:pPr>
              <w:spacing w:line="360" w:lineRule="auto"/>
              <w:jc w:val="both"/>
              <w:rPr>
                <w:sz w:val="28"/>
                <w:szCs w:val="28"/>
                <w:lang w:val="uk-UA" w:eastAsia="en-US"/>
              </w:rPr>
            </w:pPr>
            <w:r>
              <w:rPr>
                <w:sz w:val="28"/>
                <w:szCs w:val="28"/>
                <w:lang w:val="uk-UA" w:eastAsia="en-US"/>
              </w:rPr>
              <w:t>р=0</w:t>
            </w:r>
            <w:r>
              <w:rPr>
                <w:sz w:val="28"/>
                <w:szCs w:val="28"/>
                <w:lang w:eastAsia="en-US"/>
              </w:rPr>
              <w:t>,00</w:t>
            </w:r>
            <w:r>
              <w:rPr>
                <w:sz w:val="28"/>
                <w:szCs w:val="28"/>
                <w:lang w:val="uk-UA" w:eastAsia="en-US"/>
              </w:rPr>
              <w:t>1</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eastAsia="en-US"/>
              </w:rPr>
              <w:t>8</w:t>
            </w:r>
            <w:r>
              <w:rPr>
                <w:sz w:val="28"/>
                <w:szCs w:val="28"/>
                <w:lang w:val="uk-UA" w:eastAsia="en-US"/>
              </w:rPr>
              <w:t>6</w:t>
            </w:r>
            <w:r>
              <w:rPr>
                <w:sz w:val="28"/>
                <w:szCs w:val="28"/>
                <w:lang w:eastAsia="en-US"/>
              </w:rPr>
              <w:t>,</w:t>
            </w:r>
            <w:r>
              <w:rPr>
                <w:sz w:val="28"/>
                <w:szCs w:val="28"/>
                <w:lang w:val="uk-UA" w:eastAsia="en-US"/>
              </w:rPr>
              <w:t>29</w:t>
            </w:r>
            <w:r>
              <w:rPr>
                <w:sz w:val="28"/>
                <w:szCs w:val="28"/>
                <w:lang w:eastAsia="en-US"/>
              </w:rPr>
              <w:t>±</w:t>
            </w:r>
            <w:r>
              <w:rPr>
                <w:sz w:val="28"/>
                <w:szCs w:val="28"/>
                <w:lang w:val="uk-UA" w:eastAsia="en-US"/>
              </w:rPr>
              <w:t>1</w:t>
            </w:r>
            <w:r>
              <w:rPr>
                <w:sz w:val="28"/>
                <w:szCs w:val="28"/>
                <w:lang w:eastAsia="en-US"/>
              </w:rPr>
              <w:t>,</w:t>
            </w:r>
            <w:r>
              <w:rPr>
                <w:sz w:val="28"/>
                <w:szCs w:val="28"/>
                <w:lang w:val="uk-UA" w:eastAsia="en-US"/>
              </w:rPr>
              <w:t>53</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eastAsia="en-US"/>
              </w:rPr>
              <w:t>8</w:t>
            </w:r>
            <w:r>
              <w:rPr>
                <w:sz w:val="28"/>
                <w:szCs w:val="28"/>
                <w:lang w:val="uk-UA" w:eastAsia="en-US"/>
              </w:rPr>
              <w:t>7</w:t>
            </w:r>
            <w:r>
              <w:rPr>
                <w:sz w:val="28"/>
                <w:szCs w:val="28"/>
                <w:lang w:eastAsia="en-US"/>
              </w:rPr>
              <w:t>,</w:t>
            </w:r>
            <w:r>
              <w:rPr>
                <w:sz w:val="28"/>
                <w:szCs w:val="28"/>
                <w:lang w:val="uk-UA" w:eastAsia="en-US"/>
              </w:rPr>
              <w:t>57</w:t>
            </w:r>
            <w:r>
              <w:rPr>
                <w:sz w:val="28"/>
                <w:szCs w:val="28"/>
                <w:lang w:eastAsia="en-US"/>
              </w:rPr>
              <w:t>±</w:t>
            </w:r>
            <w:r>
              <w:rPr>
                <w:sz w:val="28"/>
                <w:szCs w:val="28"/>
                <w:lang w:val="uk-UA" w:eastAsia="en-US"/>
              </w:rPr>
              <w:t>1</w:t>
            </w:r>
            <w:r>
              <w:rPr>
                <w:sz w:val="28"/>
                <w:szCs w:val="28"/>
                <w:lang w:eastAsia="en-US"/>
              </w:rPr>
              <w:t>,</w:t>
            </w:r>
            <w:r>
              <w:rPr>
                <w:sz w:val="28"/>
                <w:szCs w:val="28"/>
                <w:lang w:val="uk-UA" w:eastAsia="en-US"/>
              </w:rPr>
              <w:t>11</w:t>
            </w:r>
          </w:p>
        </w:tc>
      </w:tr>
      <w:tr w:rsidR="00E3259F" w:rsidTr="00E3259F">
        <w:tc>
          <w:tcPr>
            <w:tcW w:w="1091"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ПА</w:t>
            </w:r>
            <w:r>
              <w:rPr>
                <w:sz w:val="28"/>
                <w:szCs w:val="28"/>
                <w:lang w:val="uk-UA" w:eastAsia="en-US"/>
              </w:rPr>
              <w:t>Т</w:t>
            </w:r>
            <w:r>
              <w:rPr>
                <w:sz w:val="28"/>
                <w:szCs w:val="28"/>
                <w:lang w:eastAsia="en-US"/>
              </w:rPr>
              <w:t>, мм.рт.ст.</w:t>
            </w:r>
          </w:p>
        </w:tc>
        <w:tc>
          <w:tcPr>
            <w:tcW w:w="671"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51</w:t>
            </w:r>
            <w:r>
              <w:rPr>
                <w:sz w:val="28"/>
                <w:szCs w:val="28"/>
                <w:lang w:eastAsia="en-US"/>
              </w:rPr>
              <w:t>,47±1,</w:t>
            </w:r>
            <w:r>
              <w:rPr>
                <w:sz w:val="28"/>
                <w:szCs w:val="28"/>
                <w:lang w:val="uk-UA" w:eastAsia="en-US"/>
              </w:rPr>
              <w:t>04</w:t>
            </w:r>
          </w:p>
        </w:tc>
        <w:tc>
          <w:tcPr>
            <w:tcW w:w="719"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eastAsia="en-US"/>
              </w:rPr>
              <w:t>52,</w:t>
            </w:r>
            <w:r>
              <w:rPr>
                <w:sz w:val="28"/>
                <w:szCs w:val="28"/>
                <w:lang w:val="uk-UA" w:eastAsia="en-US"/>
              </w:rPr>
              <w:t>86</w:t>
            </w:r>
            <w:r>
              <w:rPr>
                <w:sz w:val="28"/>
                <w:szCs w:val="28"/>
                <w:lang w:eastAsia="en-US"/>
              </w:rPr>
              <w:t>±</w:t>
            </w:r>
            <w:r>
              <w:rPr>
                <w:sz w:val="28"/>
                <w:szCs w:val="28"/>
                <w:lang w:val="uk-UA" w:eastAsia="en-US"/>
              </w:rPr>
              <w:t>1</w:t>
            </w:r>
            <w:r>
              <w:rPr>
                <w:sz w:val="28"/>
                <w:szCs w:val="28"/>
                <w:lang w:eastAsia="en-US"/>
              </w:rPr>
              <w:t>,</w:t>
            </w:r>
            <w:r>
              <w:rPr>
                <w:sz w:val="28"/>
                <w:szCs w:val="28"/>
                <w:lang w:val="uk-UA" w:eastAsia="en-US"/>
              </w:rPr>
              <w:t>34</w:t>
            </w:r>
          </w:p>
        </w:tc>
        <w:tc>
          <w:tcPr>
            <w:tcW w:w="576"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5</w:t>
            </w:r>
            <w:r>
              <w:rPr>
                <w:sz w:val="28"/>
                <w:szCs w:val="28"/>
                <w:lang w:val="uk-UA" w:eastAsia="en-US"/>
              </w:rPr>
              <w:t>2</w:t>
            </w:r>
            <w:r>
              <w:rPr>
                <w:sz w:val="28"/>
                <w:szCs w:val="28"/>
                <w:lang w:eastAsia="en-US"/>
              </w:rPr>
              <w:t>,</w:t>
            </w:r>
            <w:r>
              <w:rPr>
                <w:sz w:val="28"/>
                <w:szCs w:val="28"/>
                <w:lang w:val="uk-UA" w:eastAsia="en-US"/>
              </w:rPr>
              <w:t>86</w:t>
            </w:r>
            <w:r>
              <w:rPr>
                <w:sz w:val="28"/>
                <w:szCs w:val="28"/>
                <w:lang w:eastAsia="en-US"/>
              </w:rPr>
              <w:t>±</w:t>
            </w:r>
            <w:r>
              <w:rPr>
                <w:sz w:val="28"/>
                <w:szCs w:val="28"/>
                <w:lang w:val="uk-UA" w:eastAsia="en-US"/>
              </w:rPr>
              <w:t>1</w:t>
            </w:r>
            <w:r>
              <w:rPr>
                <w:sz w:val="28"/>
                <w:szCs w:val="28"/>
                <w:lang w:eastAsia="en-US"/>
              </w:rPr>
              <w:t>,</w:t>
            </w:r>
            <w:r>
              <w:rPr>
                <w:sz w:val="28"/>
                <w:szCs w:val="28"/>
                <w:lang w:val="uk-UA" w:eastAsia="en-US"/>
              </w:rPr>
              <w:t>34</w:t>
            </w:r>
          </w:p>
        </w:tc>
        <w:tc>
          <w:tcPr>
            <w:tcW w:w="672" w:type="pc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59,55±2,90</w:t>
            </w:r>
          </w:p>
          <w:p w:rsidR="00E3259F" w:rsidRDefault="00E3259F">
            <w:pPr>
              <w:spacing w:line="360" w:lineRule="auto"/>
              <w:jc w:val="both"/>
              <w:rPr>
                <w:sz w:val="28"/>
                <w:szCs w:val="28"/>
                <w:lang w:val="uk-UA" w:eastAsia="en-US"/>
              </w:rPr>
            </w:pPr>
            <w:r>
              <w:rPr>
                <w:sz w:val="28"/>
                <w:szCs w:val="28"/>
                <w:lang w:val="uk-UA" w:eastAsia="en-US"/>
              </w:rPr>
              <w:t>р=0</w:t>
            </w:r>
            <w:r>
              <w:rPr>
                <w:sz w:val="28"/>
                <w:szCs w:val="28"/>
                <w:lang w:eastAsia="en-US"/>
              </w:rPr>
              <w:t>,0</w:t>
            </w:r>
            <w:r>
              <w:rPr>
                <w:sz w:val="28"/>
                <w:szCs w:val="28"/>
                <w:lang w:val="uk-UA" w:eastAsia="en-US"/>
              </w:rPr>
              <w:t>0</w:t>
            </w:r>
            <w:r>
              <w:rPr>
                <w:sz w:val="28"/>
                <w:szCs w:val="28"/>
                <w:lang w:eastAsia="en-US"/>
              </w:rPr>
              <w:t>2</w:t>
            </w:r>
          </w:p>
        </w:tc>
        <w:tc>
          <w:tcPr>
            <w:tcW w:w="624"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color w:val="000000"/>
                <w:sz w:val="28"/>
                <w:szCs w:val="28"/>
                <w:lang w:eastAsia="en-US"/>
              </w:rPr>
            </w:pPr>
            <w:r>
              <w:rPr>
                <w:sz w:val="28"/>
                <w:szCs w:val="28"/>
                <w:lang w:val="uk-UA" w:eastAsia="en-US"/>
              </w:rPr>
              <w:t>52</w:t>
            </w:r>
            <w:r>
              <w:rPr>
                <w:sz w:val="28"/>
                <w:szCs w:val="28"/>
                <w:lang w:eastAsia="en-US"/>
              </w:rPr>
              <w:t>,</w:t>
            </w:r>
            <w:r>
              <w:rPr>
                <w:sz w:val="28"/>
                <w:szCs w:val="28"/>
                <w:lang w:val="uk-UA" w:eastAsia="en-US"/>
              </w:rPr>
              <w:t>2</w:t>
            </w:r>
            <w:r>
              <w:rPr>
                <w:sz w:val="28"/>
                <w:szCs w:val="28"/>
                <w:lang w:eastAsia="en-US"/>
              </w:rPr>
              <w:t>6±1,</w:t>
            </w:r>
            <w:r>
              <w:rPr>
                <w:sz w:val="28"/>
                <w:szCs w:val="28"/>
                <w:lang w:val="uk-UA" w:eastAsia="en-US"/>
              </w:rPr>
              <w:t>18</w:t>
            </w:r>
          </w:p>
        </w:tc>
        <w:tc>
          <w:tcPr>
            <w:tcW w:w="647" w:type="pct"/>
            <w:tcBorders>
              <w:top w:val="single" w:sz="4" w:space="0" w:color="auto"/>
              <w:left w:val="single" w:sz="4" w:space="0" w:color="auto"/>
              <w:bottom w:val="single" w:sz="4" w:space="0" w:color="auto"/>
              <w:right w:val="single" w:sz="4" w:space="0" w:color="auto"/>
            </w:tcBorders>
            <w:hideMark/>
          </w:tcPr>
          <w:p w:rsidR="00E3259F" w:rsidRDefault="00E3259F">
            <w:pPr>
              <w:widowControl w:val="0"/>
              <w:autoSpaceDE w:val="0"/>
              <w:autoSpaceDN w:val="0"/>
              <w:adjustRightInd w:val="0"/>
              <w:spacing w:line="360" w:lineRule="auto"/>
              <w:jc w:val="both"/>
              <w:rPr>
                <w:sz w:val="28"/>
                <w:szCs w:val="28"/>
                <w:lang w:val="uk-UA" w:eastAsia="en-US"/>
              </w:rPr>
            </w:pPr>
            <w:r>
              <w:rPr>
                <w:sz w:val="28"/>
                <w:szCs w:val="28"/>
                <w:lang w:val="uk-UA" w:eastAsia="en-US"/>
              </w:rPr>
              <w:t>57</w:t>
            </w:r>
            <w:r>
              <w:rPr>
                <w:sz w:val="28"/>
                <w:szCs w:val="28"/>
                <w:lang w:eastAsia="en-US"/>
              </w:rPr>
              <w:t>,</w:t>
            </w:r>
            <w:r>
              <w:rPr>
                <w:sz w:val="28"/>
                <w:szCs w:val="28"/>
                <w:lang w:val="uk-UA" w:eastAsia="en-US"/>
              </w:rPr>
              <w:t>57</w:t>
            </w:r>
            <w:r>
              <w:rPr>
                <w:sz w:val="28"/>
                <w:szCs w:val="28"/>
                <w:lang w:eastAsia="en-US"/>
              </w:rPr>
              <w:t xml:space="preserve"> ±</w:t>
            </w:r>
            <w:r>
              <w:rPr>
                <w:sz w:val="28"/>
                <w:szCs w:val="28"/>
                <w:lang w:val="uk-UA" w:eastAsia="en-US"/>
              </w:rPr>
              <w:t>1</w:t>
            </w:r>
            <w:r>
              <w:rPr>
                <w:sz w:val="28"/>
                <w:szCs w:val="28"/>
                <w:lang w:eastAsia="en-US"/>
              </w:rPr>
              <w:t>,</w:t>
            </w:r>
            <w:r>
              <w:rPr>
                <w:sz w:val="28"/>
                <w:szCs w:val="28"/>
                <w:lang w:val="uk-UA" w:eastAsia="en-US"/>
              </w:rPr>
              <w:t>45</w:t>
            </w:r>
          </w:p>
          <w:p w:rsidR="00E3259F" w:rsidRDefault="00E3259F">
            <w:pPr>
              <w:widowControl w:val="0"/>
              <w:autoSpaceDE w:val="0"/>
              <w:autoSpaceDN w:val="0"/>
              <w:adjustRightInd w:val="0"/>
              <w:spacing w:line="360" w:lineRule="auto"/>
              <w:jc w:val="both"/>
              <w:rPr>
                <w:color w:val="000000"/>
                <w:sz w:val="28"/>
                <w:szCs w:val="28"/>
                <w:lang w:val="uk-UA" w:eastAsia="en-US"/>
              </w:rPr>
            </w:pPr>
            <w:r>
              <w:rPr>
                <w:sz w:val="28"/>
                <w:szCs w:val="28"/>
                <w:lang w:val="uk-UA" w:eastAsia="en-US"/>
              </w:rPr>
              <w:t>р=0,001</w:t>
            </w:r>
          </w:p>
        </w:tc>
      </w:tr>
    </w:tbl>
    <w:p w:rsidR="00E3259F" w:rsidRPr="008C0864" w:rsidRDefault="00E3259F" w:rsidP="00E3259F">
      <w:pPr>
        <w:ind w:firstLine="709"/>
        <w:jc w:val="both"/>
        <w:rPr>
          <w:rFonts w:eastAsiaTheme="minorHAnsi"/>
          <w:sz w:val="18"/>
          <w:szCs w:val="18"/>
          <w:lang w:val="uk-UA" w:eastAsia="en-US"/>
        </w:rPr>
      </w:pPr>
      <w:r w:rsidRPr="008C0864">
        <w:rPr>
          <w:sz w:val="28"/>
          <w:szCs w:val="28"/>
          <w:lang w:val="uk-UA"/>
        </w:rPr>
        <w:t>Примітка: р- рівнь значущості відмінностей при порівнянні пацієнтів з УТС та ПТС в групах</w:t>
      </w:r>
    </w:p>
    <w:p w:rsidR="00E3259F" w:rsidRDefault="00E3259F" w:rsidP="00E3259F">
      <w:pPr>
        <w:ind w:firstLine="709"/>
        <w:jc w:val="both"/>
        <w:rPr>
          <w:sz w:val="18"/>
          <w:szCs w:val="18"/>
          <w:lang w:val="uk-UA"/>
        </w:rPr>
      </w:pPr>
    </w:p>
    <w:p w:rsidR="00E3259F" w:rsidRDefault="00E3259F" w:rsidP="00E3259F">
      <w:pPr>
        <w:spacing w:line="360" w:lineRule="auto"/>
        <w:rPr>
          <w:sz w:val="28"/>
          <w:szCs w:val="28"/>
          <w:lang w:val="uk-UA"/>
        </w:rPr>
        <w:sectPr w:rsidR="00E3259F">
          <w:pgSz w:w="16838" w:h="11906" w:orient="landscape"/>
          <w:pgMar w:top="851" w:right="1134" w:bottom="1701" w:left="1134" w:header="709" w:footer="709" w:gutter="0"/>
          <w:cols w:space="720"/>
        </w:sectPr>
      </w:pPr>
    </w:p>
    <w:p w:rsidR="00E3259F" w:rsidRPr="008C0864" w:rsidRDefault="00E3259F" w:rsidP="008C0864">
      <w:pPr>
        <w:widowControl w:val="0"/>
        <w:autoSpaceDE w:val="0"/>
        <w:autoSpaceDN w:val="0"/>
        <w:adjustRightInd w:val="0"/>
        <w:spacing w:line="360" w:lineRule="auto"/>
        <w:ind w:firstLine="709"/>
        <w:jc w:val="both"/>
        <w:rPr>
          <w:rFonts w:eastAsiaTheme="minorHAnsi"/>
          <w:sz w:val="28"/>
          <w:szCs w:val="28"/>
        </w:rPr>
      </w:pPr>
      <w:r w:rsidRPr="008C0864">
        <w:rPr>
          <w:sz w:val="28"/>
          <w:szCs w:val="28"/>
          <w:lang w:val="uk-UA"/>
        </w:rPr>
        <w:t>Порівняльний аналіз антропометричних та метаболічних показників  залежно від діагнозу при однаковому темпі старіння виявив, що при ПТС пацієнти з коморбідною патологією при наявності СГТ мали достовірно вищі  МТ (р</w:t>
      </w:r>
      <w:r w:rsidRPr="008C0864">
        <w:rPr>
          <w:sz w:val="28"/>
          <w:szCs w:val="28"/>
          <w:vertAlign w:val="subscript"/>
          <w:lang w:val="uk-UA"/>
        </w:rPr>
        <w:t>2-3</w:t>
      </w:r>
      <w:r w:rsidRPr="008C0864">
        <w:rPr>
          <w:sz w:val="28"/>
          <w:szCs w:val="28"/>
          <w:lang w:val="uk-UA"/>
        </w:rPr>
        <w:t>=0,001) та ІМТ (р</w:t>
      </w:r>
      <w:r w:rsidRPr="008C0864">
        <w:rPr>
          <w:sz w:val="28"/>
          <w:szCs w:val="28"/>
          <w:vertAlign w:val="subscript"/>
          <w:lang w:val="uk-UA"/>
        </w:rPr>
        <w:t>2-3</w:t>
      </w:r>
      <w:r w:rsidRPr="008C0864">
        <w:rPr>
          <w:sz w:val="28"/>
          <w:szCs w:val="28"/>
          <w:lang w:val="uk-UA"/>
        </w:rPr>
        <w:t>=0,001). При ПТС у пацієнтів з ГХ , ЦД 2 типу і СГТ спостерігалися достовірно вищі рівні ЗХС (р=0,018), ХС ЛПНЩ (р=0,010) та нижчий індекс НОМА-</w:t>
      </w:r>
      <w:r w:rsidRPr="008C0864">
        <w:rPr>
          <w:sz w:val="28"/>
          <w:szCs w:val="28"/>
          <w:lang w:val="en-US"/>
        </w:rPr>
        <w:t>IR</w:t>
      </w:r>
      <w:r w:rsidRPr="008C0864">
        <w:rPr>
          <w:sz w:val="28"/>
          <w:szCs w:val="28"/>
          <w:lang w:val="uk-UA"/>
        </w:rPr>
        <w:t xml:space="preserve"> (р=0,001), рівні САТ (р=0,002), ДАТ (р=0,001) ніж пацієнти з ГХ та ЦД 2 типу. При УТС достовірних відмінностей при порівнянні показників ліпідного обміну незалежно від діагнозу виявлено не було, за винятком рівня ХС ЛПНЩ, що достовірно був вище в  групі 1 порівняно з  групою 2 (р=0,032) та  групою 3 (р=0,047) та рівнем ЗХС, що в  групі 1був вірогідно вище, ніж у  групі 2 (р=0,001). Значні відмінності спостерігались при порівнянні показників вуглеводного обміну в групах з коморбідною патологією: в групі 3 у порівнянні з групою 2 виявлено достовірно нижчі рівні глюкози незалежно від ТС (при УТС р</w:t>
      </w:r>
      <w:r w:rsidRPr="008C0864">
        <w:rPr>
          <w:sz w:val="28"/>
          <w:szCs w:val="28"/>
          <w:vertAlign w:val="subscript"/>
          <w:lang w:val="uk-UA"/>
        </w:rPr>
        <w:t>2-3</w:t>
      </w:r>
      <w:r w:rsidRPr="008C0864">
        <w:rPr>
          <w:sz w:val="28"/>
          <w:szCs w:val="28"/>
          <w:lang w:val="uk-UA"/>
        </w:rPr>
        <w:t>=0,040, при ПТС р</w:t>
      </w:r>
      <w:r w:rsidRPr="008C0864">
        <w:rPr>
          <w:sz w:val="28"/>
          <w:szCs w:val="28"/>
          <w:vertAlign w:val="subscript"/>
          <w:lang w:val="uk-UA"/>
        </w:rPr>
        <w:t>2-3</w:t>
      </w:r>
      <w:r w:rsidRPr="008C0864">
        <w:rPr>
          <w:sz w:val="28"/>
          <w:szCs w:val="28"/>
          <w:lang w:val="uk-UA"/>
        </w:rPr>
        <w:t xml:space="preserve">=0,001) та рівні </w:t>
      </w:r>
      <w:r w:rsidRPr="008C0864">
        <w:rPr>
          <w:sz w:val="28"/>
          <w:szCs w:val="28"/>
        </w:rPr>
        <w:t>HbA</w:t>
      </w:r>
      <w:r w:rsidRPr="008C0864">
        <w:rPr>
          <w:sz w:val="28"/>
          <w:szCs w:val="28"/>
          <w:lang w:val="uk-UA"/>
        </w:rPr>
        <w:t>1с при УТС (р</w:t>
      </w:r>
      <w:r w:rsidRPr="008C0864">
        <w:rPr>
          <w:sz w:val="28"/>
          <w:szCs w:val="28"/>
          <w:vertAlign w:val="subscript"/>
          <w:lang w:val="uk-UA"/>
        </w:rPr>
        <w:t>2-3</w:t>
      </w:r>
      <w:r w:rsidRPr="008C0864">
        <w:rPr>
          <w:sz w:val="28"/>
          <w:szCs w:val="28"/>
          <w:lang w:val="uk-UA"/>
        </w:rPr>
        <w:t>= 0,002). При УТС вірогідних відмінностей рівней АТ між групами виявлено не було.</w:t>
      </w:r>
    </w:p>
    <w:p w:rsidR="00E3259F" w:rsidRPr="008C0864" w:rsidRDefault="00E3259F" w:rsidP="008C0864">
      <w:pPr>
        <w:widowControl w:val="0"/>
        <w:autoSpaceDE w:val="0"/>
        <w:autoSpaceDN w:val="0"/>
        <w:adjustRightInd w:val="0"/>
        <w:spacing w:line="360" w:lineRule="auto"/>
        <w:ind w:firstLine="709"/>
        <w:jc w:val="both"/>
        <w:rPr>
          <w:sz w:val="28"/>
          <w:szCs w:val="28"/>
          <w:lang w:val="uk-UA"/>
        </w:rPr>
      </w:pPr>
      <w:r w:rsidRPr="008C0864">
        <w:rPr>
          <w:sz w:val="28"/>
          <w:szCs w:val="28"/>
          <w:lang w:val="uk-UA"/>
        </w:rPr>
        <w:t xml:space="preserve">Проведення кореляційного аналізу між віковими показниками, які характеризують ТС, та метаболічними й антропометричними показниками  залежно від ТС виявило значну кількість достовірних зв`язків різного характеру та сили що свідчить про наявність взаємозв'язку між процесами метаболізму та темпами старіння (Таблиця 3.13). </w:t>
      </w:r>
    </w:p>
    <w:p w:rsidR="00E3259F" w:rsidRDefault="00E3259F" w:rsidP="00E3259F">
      <w:pPr>
        <w:jc w:val="right"/>
        <w:rPr>
          <w:rStyle w:val="tlid-translation"/>
          <w:rFonts w:eastAsiaTheme="majorEastAsia"/>
        </w:rPr>
      </w:pPr>
      <w:r>
        <w:rPr>
          <w:rStyle w:val="tlid-translation"/>
          <w:rFonts w:eastAsiaTheme="majorEastAsia"/>
          <w:sz w:val="28"/>
          <w:szCs w:val="28"/>
          <w:lang w:val="uk-UA"/>
        </w:rPr>
        <w:t>Таблиця 3.13</w:t>
      </w:r>
    </w:p>
    <w:p w:rsidR="00E3259F" w:rsidRDefault="00E3259F" w:rsidP="00E3259F">
      <w:pPr>
        <w:spacing w:line="360" w:lineRule="auto"/>
        <w:jc w:val="center"/>
      </w:pPr>
      <w:r>
        <w:rPr>
          <w:sz w:val="28"/>
          <w:szCs w:val="28"/>
          <w:lang w:val="uk-UA"/>
        </w:rPr>
        <w:t>Кореляційний аналіз між метаболічними та антропометричними показниками в досліджувальних групах пацієнтів в залежності від темпу старіння</w:t>
      </w:r>
    </w:p>
    <w:tbl>
      <w:tblPr>
        <w:tblW w:w="0" w:type="auto"/>
        <w:tblLook w:val="04A0" w:firstRow="1" w:lastRow="0" w:firstColumn="1" w:lastColumn="0" w:noHBand="0" w:noVBand="1"/>
      </w:tblPr>
      <w:tblGrid>
        <w:gridCol w:w="4928"/>
        <w:gridCol w:w="2693"/>
        <w:gridCol w:w="1949"/>
      </w:tblGrid>
      <w:tr w:rsidR="008C0864" w:rsidRPr="008C0864" w:rsidTr="00E3259F">
        <w:trPr>
          <w:trHeight w:val="244"/>
        </w:trPr>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група 1</w:t>
            </w:r>
          </w:p>
        </w:tc>
      </w:tr>
      <w:tr w:rsidR="008C0864" w:rsidRPr="008C0864" w:rsidTr="00E3259F">
        <w:trPr>
          <w:trHeight w:val="244"/>
        </w:trPr>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УТС</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Показник</w:t>
            </w:r>
          </w:p>
        </w:tc>
        <w:tc>
          <w:tcPr>
            <w:tcW w:w="269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en-US" w:eastAsia="en-US"/>
              </w:rPr>
            </w:pPr>
            <w:r w:rsidRPr="008C0864">
              <w:rPr>
                <w:sz w:val="28"/>
                <w:szCs w:val="28"/>
                <w:lang w:val="uk-UA" w:eastAsia="en-US"/>
              </w:rPr>
              <w:t>Коефіцієнт к</w:t>
            </w:r>
            <w:r w:rsidRPr="008C0864">
              <w:rPr>
                <w:sz w:val="28"/>
                <w:szCs w:val="28"/>
                <w:lang w:eastAsia="en-US"/>
              </w:rPr>
              <w:t>ореляц</w:t>
            </w:r>
            <w:r w:rsidRPr="008C0864">
              <w:rPr>
                <w:sz w:val="28"/>
                <w:szCs w:val="28"/>
                <w:lang w:val="uk-UA" w:eastAsia="en-US"/>
              </w:rPr>
              <w:t>ії</w:t>
            </w:r>
            <w:r w:rsidRPr="008C0864">
              <w:rPr>
                <w:sz w:val="28"/>
                <w:szCs w:val="28"/>
                <w:lang w:eastAsia="en-US"/>
              </w:rPr>
              <w:t xml:space="preserve"> П</w:t>
            </w:r>
            <w:r w:rsidRPr="008C0864">
              <w:rPr>
                <w:sz w:val="28"/>
                <w:szCs w:val="28"/>
                <w:lang w:val="uk-UA" w:eastAsia="en-US"/>
              </w:rPr>
              <w:t>і</w:t>
            </w:r>
            <w:r w:rsidRPr="008C0864">
              <w:rPr>
                <w:sz w:val="28"/>
                <w:szCs w:val="28"/>
                <w:lang w:eastAsia="en-US"/>
              </w:rPr>
              <w:t>рсона</w:t>
            </w:r>
            <w:r w:rsidRPr="008C0864">
              <w:rPr>
                <w:sz w:val="28"/>
                <w:szCs w:val="28"/>
                <w:lang w:val="uk-UA" w:eastAsia="en-US"/>
              </w:rPr>
              <w:t>,</w:t>
            </w:r>
            <w:r w:rsidRPr="008C0864">
              <w:rPr>
                <w:sz w:val="28"/>
                <w:szCs w:val="28"/>
                <w:lang w:val="en-US" w:eastAsia="en-US"/>
              </w:rPr>
              <w:t xml:space="preserve"> r</w:t>
            </w:r>
          </w:p>
        </w:tc>
        <w:tc>
          <w:tcPr>
            <w:tcW w:w="194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Рівень з</w:t>
            </w:r>
            <w:r w:rsidRPr="008C0864">
              <w:rPr>
                <w:sz w:val="28"/>
                <w:szCs w:val="28"/>
                <w:lang w:eastAsia="en-US"/>
              </w:rPr>
              <w:t>нач</w:t>
            </w:r>
            <w:r w:rsidRPr="008C0864">
              <w:rPr>
                <w:sz w:val="28"/>
                <w:szCs w:val="28"/>
                <w:lang w:val="uk-UA" w:eastAsia="en-US"/>
              </w:rPr>
              <w:t>ущості, р</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БВ-ХСЛПВЩ</w:t>
            </w:r>
          </w:p>
        </w:tc>
        <w:tc>
          <w:tcPr>
            <w:tcW w:w="269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,280</w:t>
            </w:r>
          </w:p>
        </w:tc>
        <w:tc>
          <w:tcPr>
            <w:tcW w:w="194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,032</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Коеф.стар.-САТ</w:t>
            </w:r>
          </w:p>
        </w:tc>
        <w:tc>
          <w:tcPr>
            <w:tcW w:w="269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,259</w:t>
            </w:r>
          </w:p>
        </w:tc>
        <w:tc>
          <w:tcPr>
            <w:tcW w:w="194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,047</w:t>
            </w:r>
          </w:p>
        </w:tc>
      </w:tr>
    </w:tbl>
    <w:p w:rsidR="008C0864" w:rsidRDefault="008C0864" w:rsidP="008C0864">
      <w:pPr>
        <w:jc w:val="right"/>
      </w:pPr>
      <w:r>
        <w:rPr>
          <w:i/>
          <w:spacing w:val="-2"/>
          <w:sz w:val="28"/>
          <w:szCs w:val="28"/>
        </w:rPr>
        <w:t>Продовження табл. 3.1</w:t>
      </w:r>
      <w:r>
        <w:rPr>
          <w:i/>
          <w:spacing w:val="-2"/>
          <w:sz w:val="28"/>
          <w:szCs w:val="28"/>
          <w:lang w:val="uk-UA"/>
        </w:rPr>
        <w:t>3</w:t>
      </w:r>
    </w:p>
    <w:tbl>
      <w:tblPr>
        <w:tblW w:w="0" w:type="auto"/>
        <w:tblLook w:val="04A0" w:firstRow="1" w:lastRow="0" w:firstColumn="1" w:lastColumn="0" w:noHBand="0" w:noVBand="1"/>
      </w:tblPr>
      <w:tblGrid>
        <w:gridCol w:w="4928"/>
        <w:gridCol w:w="2409"/>
        <w:gridCol w:w="284"/>
        <w:gridCol w:w="1949"/>
      </w:tblGrid>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Коеф.стар.-ДАТ</w:t>
            </w:r>
          </w:p>
        </w:tc>
        <w:tc>
          <w:tcPr>
            <w:tcW w:w="269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,317</w:t>
            </w:r>
          </w:p>
        </w:tc>
        <w:tc>
          <w:tcPr>
            <w:tcW w:w="194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,014</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Кт.швидкості старіння -ХСЛПВЩ</w:t>
            </w:r>
          </w:p>
        </w:tc>
        <w:tc>
          <w:tcPr>
            <w:tcW w:w="269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,272</w:t>
            </w:r>
          </w:p>
        </w:tc>
        <w:tc>
          <w:tcPr>
            <w:tcW w:w="194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,037</w:t>
            </w:r>
          </w:p>
        </w:tc>
      </w:tr>
      <w:tr w:rsidR="008C0864" w:rsidRPr="008C0864" w:rsidTr="00E3259F">
        <w:tc>
          <w:tcPr>
            <w:tcW w:w="9570" w:type="dxa"/>
            <w:gridSpan w:val="4"/>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група 2</w:t>
            </w:r>
          </w:p>
        </w:tc>
      </w:tr>
      <w:tr w:rsidR="008C0864" w:rsidRPr="008C0864" w:rsidTr="00E3259F">
        <w:tc>
          <w:tcPr>
            <w:tcW w:w="9570" w:type="dxa"/>
            <w:gridSpan w:val="4"/>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УТС</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0,371</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0,003</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БВ-ІМТ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,296</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,019</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БВ-ЗХС</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,268</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,035</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БВ-ХС ЛПНЩ</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,281</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,027</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БВ-Т4віл</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,375</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,003</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БВ-Т3віл</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,357</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,004</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БВ-САТ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,309</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,015</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БВ-ПАТ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,623</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w:t>
            </w:r>
            <w:r w:rsidRPr="008C0864">
              <w:rPr>
                <w:sz w:val="28"/>
                <w:szCs w:val="28"/>
                <w:lang w:val="uk-UA" w:eastAsia="en-US"/>
              </w:rPr>
              <w:t>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 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,315</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,013</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-ХСЛПВЩ</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,300</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,018</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-ТТГ</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,315</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,013</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-Т4віл</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,312</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,014</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-Т3віл</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,320</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,011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-ДАТ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eastAsia="en-US"/>
              </w:rPr>
              <w:t>-</w:t>
            </w:r>
            <w:r w:rsidRPr="008C0864">
              <w:rPr>
                <w:sz w:val="28"/>
                <w:szCs w:val="28"/>
                <w:lang w:val="uk-UA" w:eastAsia="en-US"/>
              </w:rPr>
              <w:t>0</w:t>
            </w:r>
            <w:r w:rsidRPr="008C0864">
              <w:rPr>
                <w:sz w:val="28"/>
                <w:szCs w:val="28"/>
                <w:lang w:eastAsia="en-US"/>
              </w:rPr>
              <w:t>,350</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,005</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-ПАТ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,427</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-інсулін</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0,485</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-НОМА</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0,393</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0,002</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 Т3віл.</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0,244</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0,050</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-САТ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0,434</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-ПАТ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0,404</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старіння-ТГ</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0,285</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0,021</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старіння-ХС ЛПДНЩ</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0,370</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0,002</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w:t>
            </w:r>
            <w:r w:rsidRPr="008C0864">
              <w:rPr>
                <w:sz w:val="28"/>
                <w:szCs w:val="28"/>
                <w:lang w:eastAsia="en-US"/>
              </w:rPr>
              <w:t xml:space="preserve"> HbA1</w:t>
            </w:r>
            <w:r w:rsidRPr="008C0864">
              <w:rPr>
                <w:sz w:val="28"/>
                <w:szCs w:val="28"/>
                <w:lang w:val="uk-UA" w:eastAsia="en-US"/>
              </w:rPr>
              <w:t>с</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-0,312</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0,009</w:t>
            </w:r>
          </w:p>
        </w:tc>
      </w:tr>
      <w:tr w:rsidR="008C0864" w:rsidRPr="008C0864" w:rsidTr="00E3259F">
        <w:tc>
          <w:tcPr>
            <w:tcW w:w="4928"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іння-САТ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0,417</w:t>
            </w:r>
          </w:p>
        </w:tc>
        <w:tc>
          <w:tcPr>
            <w:tcW w:w="2233"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0,001</w:t>
            </w:r>
          </w:p>
        </w:tc>
      </w:tr>
    </w:tbl>
    <w:p w:rsidR="008C0864" w:rsidRDefault="008C0864">
      <w:pPr>
        <w:rPr>
          <w:lang w:val="uk-UA"/>
        </w:rPr>
      </w:pPr>
    </w:p>
    <w:p w:rsidR="008C0864" w:rsidRPr="008C0864" w:rsidRDefault="008C0864" w:rsidP="008C0864">
      <w:pPr>
        <w:jc w:val="right"/>
        <w:rPr>
          <w:lang w:val="uk-UA"/>
        </w:rPr>
      </w:pPr>
      <w:r>
        <w:rPr>
          <w:i/>
          <w:spacing w:val="-2"/>
          <w:sz w:val="28"/>
          <w:szCs w:val="28"/>
        </w:rPr>
        <w:t>Продовження табл. 3.1</w:t>
      </w:r>
      <w:r>
        <w:rPr>
          <w:i/>
          <w:spacing w:val="-2"/>
          <w:sz w:val="28"/>
          <w:szCs w:val="28"/>
          <w:lang w:val="uk-UA"/>
        </w:rPr>
        <w:t>3</w:t>
      </w:r>
    </w:p>
    <w:tbl>
      <w:tblPr>
        <w:tblW w:w="0" w:type="auto"/>
        <w:tblLook w:val="04A0" w:firstRow="1" w:lastRow="0" w:firstColumn="1" w:lastColumn="0" w:noHBand="0" w:noVBand="1"/>
      </w:tblPr>
      <w:tblGrid>
        <w:gridCol w:w="4502"/>
        <w:gridCol w:w="426"/>
        <w:gridCol w:w="2409"/>
        <w:gridCol w:w="2233"/>
      </w:tblGrid>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іння-ПАТ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0,367</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0,003</w:t>
            </w:r>
          </w:p>
        </w:tc>
      </w:tr>
      <w:tr w:rsidR="008C0864" w:rsidRPr="008C0864" w:rsidTr="00E3259F">
        <w:tc>
          <w:tcPr>
            <w:tcW w:w="9570" w:type="dxa"/>
            <w:gridSpan w:val="4"/>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ПТС</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БВ-ЗХС</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-0,269</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0,016</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0,227</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0,043</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–ХС ЛПДНЩ</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0,282</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0,011</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Коеф.стар. -</w:t>
            </w:r>
            <w:r w:rsidRPr="008C0864">
              <w:rPr>
                <w:sz w:val="28"/>
                <w:szCs w:val="28"/>
                <w:lang w:eastAsia="en-US"/>
              </w:rPr>
              <w:t xml:space="preserve"> НОМА-</w:t>
            </w:r>
            <w:r w:rsidRPr="008C0864">
              <w:rPr>
                <w:sz w:val="28"/>
                <w:szCs w:val="28"/>
                <w:lang w:val="uk-UA" w:eastAsia="en-US"/>
              </w:rPr>
              <w:t>І</w:t>
            </w:r>
            <w:r w:rsidRPr="008C0864">
              <w:rPr>
                <w:sz w:val="28"/>
                <w:szCs w:val="28"/>
                <w:lang w:val="en-US" w:eastAsia="en-US"/>
              </w:rPr>
              <w:t>R</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-0,269</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0,016</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Коеф.стар. -ДАТ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0,267</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0,017</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 xml:space="preserve">Інд. швидкості </w:t>
            </w:r>
            <w:r w:rsidRPr="008C0864">
              <w:rPr>
                <w:sz w:val="28"/>
                <w:szCs w:val="28"/>
                <w:lang w:eastAsia="en-US"/>
              </w:rPr>
              <w:t>стар</w:t>
            </w:r>
            <w:r w:rsidRPr="008C0864">
              <w:rPr>
                <w:sz w:val="28"/>
                <w:szCs w:val="28"/>
                <w:lang w:val="uk-UA" w:eastAsia="en-US"/>
              </w:rPr>
              <w:t>іння -МТ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0,315</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0,004</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 xml:space="preserve">Інд. швидкості </w:t>
            </w:r>
            <w:r w:rsidRPr="008C0864">
              <w:rPr>
                <w:sz w:val="28"/>
                <w:szCs w:val="28"/>
                <w:lang w:eastAsia="en-US"/>
              </w:rPr>
              <w:t>стар</w:t>
            </w:r>
            <w:r w:rsidRPr="008C0864">
              <w:rPr>
                <w:sz w:val="28"/>
                <w:szCs w:val="28"/>
                <w:lang w:val="uk-UA" w:eastAsia="en-US"/>
              </w:rPr>
              <w:t>іння -ІМТ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0,268</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0,016</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 xml:space="preserve">Інд. швидкості </w:t>
            </w:r>
            <w:r w:rsidRPr="008C0864">
              <w:rPr>
                <w:sz w:val="28"/>
                <w:szCs w:val="28"/>
                <w:lang w:eastAsia="en-US"/>
              </w:rPr>
              <w:t>стар</w:t>
            </w:r>
            <w:r w:rsidRPr="008C0864">
              <w:rPr>
                <w:sz w:val="28"/>
                <w:szCs w:val="28"/>
                <w:lang w:val="uk-UA" w:eastAsia="en-US"/>
              </w:rPr>
              <w:t>іння -глюкоза</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-0,261</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0,019</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 xml:space="preserve">Інд. швидкості </w:t>
            </w:r>
            <w:r w:rsidRPr="008C0864">
              <w:rPr>
                <w:sz w:val="28"/>
                <w:szCs w:val="28"/>
                <w:lang w:eastAsia="en-US"/>
              </w:rPr>
              <w:t>стар</w:t>
            </w:r>
            <w:r w:rsidRPr="008C0864">
              <w:rPr>
                <w:sz w:val="28"/>
                <w:szCs w:val="28"/>
                <w:lang w:val="uk-UA" w:eastAsia="en-US"/>
              </w:rPr>
              <w:t>іння-</w:t>
            </w:r>
            <w:r w:rsidRPr="008C0864">
              <w:rPr>
                <w:sz w:val="28"/>
                <w:szCs w:val="28"/>
                <w:lang w:eastAsia="en-US"/>
              </w:rPr>
              <w:t xml:space="preserve"> НОМА-</w:t>
            </w:r>
            <w:r w:rsidRPr="008C0864">
              <w:rPr>
                <w:sz w:val="28"/>
                <w:szCs w:val="28"/>
                <w:lang w:val="uk-UA" w:eastAsia="en-US"/>
              </w:rPr>
              <w:t>І</w:t>
            </w:r>
            <w:r w:rsidRPr="008C0864">
              <w:rPr>
                <w:sz w:val="28"/>
                <w:szCs w:val="28"/>
                <w:lang w:val="en-US" w:eastAsia="en-US"/>
              </w:rPr>
              <w:t>R</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-0,325</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0,003</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val="uk-UA" w:eastAsia="en-US"/>
              </w:rPr>
              <w:t xml:space="preserve">Інд. швидкості </w:t>
            </w:r>
            <w:r w:rsidRPr="008C0864">
              <w:rPr>
                <w:sz w:val="28"/>
                <w:szCs w:val="28"/>
                <w:lang w:eastAsia="en-US"/>
              </w:rPr>
              <w:t>стар</w:t>
            </w:r>
            <w:r w:rsidRPr="008C0864">
              <w:rPr>
                <w:sz w:val="28"/>
                <w:szCs w:val="28"/>
                <w:lang w:val="uk-UA" w:eastAsia="en-US"/>
              </w:rPr>
              <w:t>іння -ДАТ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0,325</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0,003</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0,328</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0,003</w:t>
            </w:r>
          </w:p>
        </w:tc>
      </w:tr>
      <w:tr w:rsidR="008C0864" w:rsidRPr="008C0864" w:rsidTr="00E3259F">
        <w:trPr>
          <w:trHeight w:val="469"/>
        </w:trPr>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іння-ІМТ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0,309</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0,005</w:t>
            </w:r>
          </w:p>
        </w:tc>
      </w:tr>
      <w:tr w:rsidR="008C0864" w:rsidRPr="008C0864" w:rsidTr="00E3259F">
        <w:trPr>
          <w:trHeight w:val="449"/>
        </w:trPr>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іння-глюкоза</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-0,438</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0,001</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val="uk-UA"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w:t>
            </w:r>
            <w:r w:rsidRPr="008C0864">
              <w:rPr>
                <w:sz w:val="28"/>
                <w:szCs w:val="28"/>
                <w:lang w:eastAsia="en-US"/>
              </w:rPr>
              <w:t xml:space="preserve"> HbA1</w:t>
            </w:r>
            <w:r w:rsidRPr="008C0864">
              <w:rPr>
                <w:sz w:val="28"/>
                <w:szCs w:val="28"/>
                <w:lang w:val="uk-UA" w:eastAsia="en-US"/>
              </w:rPr>
              <w:t>с</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-0,342</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0,002</w:t>
            </w:r>
          </w:p>
        </w:tc>
      </w:tr>
      <w:tr w:rsidR="008C0864" w:rsidRPr="008C0864" w:rsidTr="00E3259F">
        <w:trPr>
          <w:trHeight w:val="518"/>
        </w:trPr>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w:t>
            </w:r>
            <w:r w:rsidRPr="008C0864">
              <w:rPr>
                <w:sz w:val="28"/>
                <w:szCs w:val="28"/>
                <w:lang w:eastAsia="en-US"/>
              </w:rPr>
              <w:t xml:space="preserve"> НОМА-</w:t>
            </w:r>
            <w:r w:rsidRPr="008C0864">
              <w:rPr>
                <w:sz w:val="28"/>
                <w:szCs w:val="28"/>
                <w:lang w:val="uk-UA" w:eastAsia="en-US"/>
              </w:rPr>
              <w:t>І</w:t>
            </w:r>
            <w:r w:rsidRPr="008C0864">
              <w:rPr>
                <w:sz w:val="28"/>
                <w:szCs w:val="28"/>
                <w:lang w:val="en-US" w:eastAsia="en-US"/>
              </w:rPr>
              <w:t>R</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-0,310</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0,005</w:t>
            </w:r>
          </w:p>
        </w:tc>
      </w:tr>
      <w:tr w:rsidR="008C0864" w:rsidRPr="008C0864" w:rsidTr="00E3259F">
        <w:tc>
          <w:tcPr>
            <w:tcW w:w="4928"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rPr>
                <w:sz w:val="28"/>
                <w:szCs w:val="28"/>
                <w:lang w:eastAsia="en-US"/>
              </w:rPr>
            </w:pPr>
            <w:r w:rsidRPr="008C0864">
              <w:rPr>
                <w:sz w:val="28"/>
                <w:szCs w:val="28"/>
                <w:lang w:eastAsia="en-US"/>
              </w:rPr>
              <w:t>Кт</w:t>
            </w:r>
            <w:r w:rsidRPr="008C0864">
              <w:rPr>
                <w:sz w:val="28"/>
                <w:szCs w:val="28"/>
                <w:lang w:val="uk-UA" w:eastAsia="en-US"/>
              </w:rPr>
              <w:t xml:space="preserve">. швидкості </w:t>
            </w:r>
            <w:r w:rsidRPr="008C0864">
              <w:rPr>
                <w:sz w:val="28"/>
                <w:szCs w:val="28"/>
                <w:lang w:eastAsia="en-US"/>
              </w:rPr>
              <w:t>стар</w:t>
            </w:r>
            <w:r w:rsidRPr="008C0864">
              <w:rPr>
                <w:sz w:val="28"/>
                <w:szCs w:val="28"/>
                <w:lang w:val="uk-UA" w:eastAsia="en-US"/>
              </w:rPr>
              <w:t>іння-ДАТ</w:t>
            </w:r>
          </w:p>
        </w:tc>
        <w:tc>
          <w:tcPr>
            <w:tcW w:w="2409"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0,271</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0,015</w:t>
            </w:r>
          </w:p>
        </w:tc>
      </w:tr>
      <w:tr w:rsidR="008C0864" w:rsidRPr="008C0864" w:rsidTr="00E3259F">
        <w:tc>
          <w:tcPr>
            <w:tcW w:w="9570" w:type="dxa"/>
            <w:gridSpan w:val="4"/>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3 група</w:t>
            </w:r>
          </w:p>
        </w:tc>
      </w:tr>
      <w:tr w:rsidR="008C0864" w:rsidRPr="008C0864" w:rsidTr="00E3259F">
        <w:tc>
          <w:tcPr>
            <w:tcW w:w="9570" w:type="dxa"/>
            <w:gridSpan w:val="4"/>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УТС</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 МТ</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,426</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,008</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-ПАТ</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,376</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,020</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старіння-ПАТ</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,346</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,033</w:t>
            </w:r>
          </w:p>
        </w:tc>
      </w:tr>
      <w:tr w:rsidR="008C0864" w:rsidRPr="008C0864" w:rsidTr="00E3259F">
        <w:tc>
          <w:tcPr>
            <w:tcW w:w="9570" w:type="dxa"/>
            <w:gridSpan w:val="4"/>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center"/>
              <w:rPr>
                <w:sz w:val="28"/>
                <w:szCs w:val="28"/>
                <w:lang w:val="uk-UA" w:eastAsia="en-US"/>
              </w:rPr>
            </w:pPr>
            <w:r w:rsidRPr="008C0864">
              <w:rPr>
                <w:sz w:val="28"/>
                <w:szCs w:val="28"/>
                <w:lang w:val="uk-UA" w:eastAsia="en-US"/>
              </w:rPr>
              <w:t>ПТС</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БВ-МТ</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,364</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,009</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БВ-глюкоза</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,388</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,005</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w:t>
            </w:r>
            <w:r w:rsidRPr="008C0864">
              <w:rPr>
                <w:sz w:val="28"/>
                <w:szCs w:val="28"/>
                <w:lang w:val="en-US" w:eastAsia="en-US"/>
              </w:rPr>
              <w:t xml:space="preserve"> HbA1c</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,513</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val="uk-UA" w:eastAsia="en-US"/>
              </w:rPr>
            </w:pPr>
            <w:r w:rsidRPr="008C0864">
              <w:rPr>
                <w:sz w:val="28"/>
                <w:szCs w:val="28"/>
                <w:lang w:val="uk-UA" w:eastAsia="en-US"/>
              </w:rPr>
              <w:t>0</w:t>
            </w:r>
            <w:r w:rsidRPr="008C0864">
              <w:rPr>
                <w:sz w:val="28"/>
                <w:szCs w:val="28"/>
                <w:lang w:eastAsia="en-US"/>
              </w:rPr>
              <w:t>,00</w:t>
            </w:r>
            <w:r w:rsidRPr="008C0864">
              <w:rPr>
                <w:sz w:val="28"/>
                <w:szCs w:val="28"/>
                <w:lang w:val="uk-UA" w:eastAsia="en-US"/>
              </w:rPr>
              <w:t>1</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БВ-ТТГ</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,293</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,037</w:t>
            </w:r>
          </w:p>
        </w:tc>
      </w:tr>
    </w:tbl>
    <w:p w:rsidR="008C0864" w:rsidRDefault="008C0864" w:rsidP="008C0864">
      <w:pPr>
        <w:jc w:val="right"/>
      </w:pPr>
      <w:r>
        <w:rPr>
          <w:i/>
          <w:spacing w:val="-2"/>
          <w:sz w:val="28"/>
          <w:szCs w:val="28"/>
        </w:rPr>
        <w:t>Продовження табл. 3.1</w:t>
      </w:r>
      <w:r>
        <w:rPr>
          <w:i/>
          <w:spacing w:val="-2"/>
          <w:sz w:val="28"/>
          <w:szCs w:val="28"/>
          <w:lang w:val="uk-UA"/>
        </w:rPr>
        <w:t>3</w:t>
      </w:r>
    </w:p>
    <w:tbl>
      <w:tblPr>
        <w:tblW w:w="0" w:type="auto"/>
        <w:tblLook w:val="04A0" w:firstRow="1" w:lastRow="0" w:firstColumn="1" w:lastColumn="0" w:noHBand="0" w:noVBand="1"/>
      </w:tblPr>
      <w:tblGrid>
        <w:gridCol w:w="4502"/>
        <w:gridCol w:w="2835"/>
        <w:gridCol w:w="2233"/>
      </w:tblGrid>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Коеф.стар. –Т3віл</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,405</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,003</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-глюкоза</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,308</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,028</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w:t>
            </w:r>
            <w:r w:rsidRPr="008C0864">
              <w:rPr>
                <w:sz w:val="28"/>
                <w:szCs w:val="28"/>
                <w:lang w:val="en-US" w:eastAsia="en-US"/>
              </w:rPr>
              <w:t xml:space="preserve"> HbA1c</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,394</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,004</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Інд. швидкості старіння –Т4віл</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,413</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,003</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старіння-глюкоза</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,359</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,010</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старіння-HbA1С</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,424</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,002</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 ТТГ</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,284</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,044</w:t>
            </w:r>
          </w:p>
        </w:tc>
      </w:tr>
      <w:tr w:rsidR="008C0864" w:rsidRPr="008C086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pStyle w:val="a4"/>
              <w:spacing w:line="360" w:lineRule="auto"/>
              <w:ind w:left="0"/>
              <w:jc w:val="both"/>
              <w:rPr>
                <w:sz w:val="28"/>
                <w:szCs w:val="28"/>
                <w:lang w:val="uk-UA" w:eastAsia="en-US"/>
              </w:rPr>
            </w:pPr>
            <w:r w:rsidRPr="008C0864">
              <w:rPr>
                <w:sz w:val="28"/>
                <w:szCs w:val="28"/>
                <w:lang w:val="uk-UA" w:eastAsia="en-US"/>
              </w:rPr>
              <w:t>Кт. швидкості старіння-Т4віл</w:t>
            </w:r>
          </w:p>
        </w:tc>
        <w:tc>
          <w:tcPr>
            <w:tcW w:w="2835"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,410</w:t>
            </w:r>
          </w:p>
        </w:tc>
        <w:tc>
          <w:tcPr>
            <w:tcW w:w="2233" w:type="dxa"/>
            <w:tcBorders>
              <w:top w:val="single" w:sz="4" w:space="0" w:color="auto"/>
              <w:left w:val="single" w:sz="4" w:space="0" w:color="auto"/>
              <w:bottom w:val="single" w:sz="4" w:space="0" w:color="auto"/>
              <w:right w:val="single" w:sz="4" w:space="0" w:color="auto"/>
            </w:tcBorders>
            <w:hideMark/>
          </w:tcPr>
          <w:p w:rsidR="00E3259F" w:rsidRPr="008C0864" w:rsidRDefault="00E3259F" w:rsidP="008C0864">
            <w:pPr>
              <w:spacing w:line="360" w:lineRule="auto"/>
              <w:jc w:val="both"/>
              <w:rPr>
                <w:sz w:val="28"/>
                <w:szCs w:val="28"/>
                <w:lang w:eastAsia="en-US"/>
              </w:rPr>
            </w:pPr>
            <w:r w:rsidRPr="008C0864">
              <w:rPr>
                <w:sz w:val="28"/>
                <w:szCs w:val="28"/>
                <w:lang w:val="uk-UA" w:eastAsia="en-US"/>
              </w:rPr>
              <w:t>0</w:t>
            </w:r>
            <w:r w:rsidRPr="008C0864">
              <w:rPr>
                <w:sz w:val="28"/>
                <w:szCs w:val="28"/>
                <w:lang w:eastAsia="en-US"/>
              </w:rPr>
              <w:t>,003</w:t>
            </w:r>
          </w:p>
        </w:tc>
      </w:tr>
    </w:tbl>
    <w:p w:rsidR="00E3259F" w:rsidRDefault="00E3259F" w:rsidP="00E3259F">
      <w:pPr>
        <w:widowControl w:val="0"/>
        <w:autoSpaceDE w:val="0"/>
        <w:autoSpaceDN w:val="0"/>
        <w:adjustRightInd w:val="0"/>
        <w:spacing w:line="360" w:lineRule="auto"/>
        <w:ind w:firstLine="709"/>
        <w:jc w:val="both"/>
        <w:rPr>
          <w:sz w:val="28"/>
          <w:szCs w:val="28"/>
          <w:lang w:val="uk-UA"/>
        </w:rPr>
      </w:pPr>
    </w:p>
    <w:p w:rsidR="00E3259F" w:rsidRPr="008C0864" w:rsidRDefault="00E3259F" w:rsidP="008C0864">
      <w:pPr>
        <w:widowControl w:val="0"/>
        <w:autoSpaceDE w:val="0"/>
        <w:autoSpaceDN w:val="0"/>
        <w:adjustRightInd w:val="0"/>
        <w:spacing w:line="360" w:lineRule="auto"/>
        <w:ind w:firstLine="709"/>
        <w:jc w:val="both"/>
        <w:rPr>
          <w:sz w:val="28"/>
          <w:szCs w:val="28"/>
          <w:lang w:val="uk-UA"/>
        </w:rPr>
      </w:pPr>
      <w:r w:rsidRPr="008C0864">
        <w:rPr>
          <w:sz w:val="28"/>
          <w:szCs w:val="28"/>
          <w:lang w:val="uk-UA"/>
        </w:rPr>
        <w:t xml:space="preserve">При ізольованій ГХ проведення кореляційного аналізу виявило наявність кореляційних зв`язків негативного характеру між </w:t>
      </w:r>
      <w:r w:rsidRPr="008C0864">
        <w:rPr>
          <w:sz w:val="28"/>
          <w:szCs w:val="28"/>
          <w:lang w:val="uk-UA" w:eastAsia="en-US"/>
        </w:rPr>
        <w:t>БВ</w:t>
      </w:r>
      <w:r w:rsidRPr="008C0864">
        <w:rPr>
          <w:sz w:val="28"/>
          <w:szCs w:val="28"/>
          <w:lang w:val="uk-UA"/>
        </w:rPr>
        <w:t xml:space="preserve"> та ХС ЛПВЩ (</w:t>
      </w:r>
      <w:r w:rsidRPr="008C0864">
        <w:rPr>
          <w:sz w:val="28"/>
          <w:szCs w:val="28"/>
          <w:lang w:val="en-US"/>
        </w:rPr>
        <w:t>r</w:t>
      </w:r>
      <w:r w:rsidRPr="008C0864">
        <w:rPr>
          <w:sz w:val="28"/>
          <w:szCs w:val="28"/>
          <w:lang w:val="uk-UA"/>
        </w:rPr>
        <w:t>=-0,280,р=0,032) та позитивного характеру між віковими показниками та  рівнями АТ (САТ і ДАТ) при УТС. При наявності ознак ПТС кореляційних зв</w:t>
      </w:r>
      <w:r w:rsidRPr="008C0864">
        <w:rPr>
          <w:sz w:val="28"/>
          <w:szCs w:val="28"/>
        </w:rPr>
        <w:t>`</w:t>
      </w:r>
      <w:r w:rsidRPr="008C0864">
        <w:rPr>
          <w:sz w:val="28"/>
          <w:szCs w:val="28"/>
          <w:lang w:val="uk-UA"/>
        </w:rPr>
        <w:t xml:space="preserve">язків з метаболічними та антропометричними показниками в цій групі виявлено не було.  </w:t>
      </w:r>
    </w:p>
    <w:p w:rsidR="00E3259F" w:rsidRPr="008C0864" w:rsidRDefault="00E3259F" w:rsidP="008C0864">
      <w:pPr>
        <w:widowControl w:val="0"/>
        <w:autoSpaceDE w:val="0"/>
        <w:autoSpaceDN w:val="0"/>
        <w:adjustRightInd w:val="0"/>
        <w:spacing w:line="360" w:lineRule="auto"/>
        <w:ind w:firstLine="709"/>
        <w:jc w:val="both"/>
        <w:rPr>
          <w:sz w:val="28"/>
          <w:szCs w:val="28"/>
          <w:lang w:val="uk-UA"/>
        </w:rPr>
      </w:pPr>
      <w:r w:rsidRPr="008C0864">
        <w:rPr>
          <w:rStyle w:val="tlid-translation"/>
          <w:rFonts w:eastAsiaTheme="majorEastAsia"/>
          <w:sz w:val="28"/>
          <w:szCs w:val="28"/>
          <w:lang w:val="uk-UA"/>
        </w:rPr>
        <w:t xml:space="preserve">У пацієнтів  групи 2 проведення кореляційного аналізу виявило значну кількість достовірних кореляційних </w:t>
      </w:r>
      <w:r w:rsidRPr="008C0864">
        <w:rPr>
          <w:sz w:val="28"/>
          <w:szCs w:val="28"/>
          <w:lang w:val="uk-UA"/>
        </w:rPr>
        <w:t xml:space="preserve">зв`язків різної сили та напрямку як при УТС так і при ПТС </w:t>
      </w:r>
      <w:r w:rsidRPr="008C0864">
        <w:rPr>
          <w:rStyle w:val="tlid-translation"/>
          <w:rFonts w:eastAsiaTheme="majorEastAsia"/>
          <w:sz w:val="28"/>
          <w:szCs w:val="28"/>
          <w:lang w:val="uk-UA"/>
        </w:rPr>
        <w:t xml:space="preserve">(Таблиця 3.13). У підгрупах як УТС, так і ПТС практично всі показники, що характеризують БВ і ТС, демонструють наявність кореляційних зв'язків з показниками артеріального тиску (САТ, ПАТ, ДАТ), що підтверджує існуючу думку про те, що рівень АТ, який входить в усі формули розрахунку БВ, є одним з найважливіших показників старіння. </w:t>
      </w:r>
      <w:r w:rsidRPr="008C0864">
        <w:rPr>
          <w:sz w:val="28"/>
          <w:szCs w:val="28"/>
          <w:lang w:val="uk-UA"/>
        </w:rPr>
        <w:t xml:space="preserve">  Наявність кореляційних зв'язків  індексу НОМА-І</w:t>
      </w:r>
      <w:r w:rsidRPr="008C0864">
        <w:rPr>
          <w:sz w:val="28"/>
          <w:szCs w:val="28"/>
          <w:lang w:val="en-US"/>
        </w:rPr>
        <w:t>R</w:t>
      </w:r>
      <w:r w:rsidRPr="008C0864">
        <w:rPr>
          <w:sz w:val="28"/>
          <w:szCs w:val="28"/>
          <w:lang w:val="uk-UA"/>
        </w:rPr>
        <w:t xml:space="preserve"> з віковими показниками спостерігалася тільки в групі 2, причому при УТС зв'язкі мали позитивний характер (</w:t>
      </w:r>
      <w:r w:rsidRPr="008C0864">
        <w:rPr>
          <w:sz w:val="28"/>
          <w:szCs w:val="28"/>
          <w:lang w:val="uk-UA" w:eastAsia="en-US"/>
        </w:rPr>
        <w:t xml:space="preserve">Інд. швидкості старіння –НОМА </w:t>
      </w:r>
      <w:r w:rsidRPr="008C0864">
        <w:rPr>
          <w:sz w:val="28"/>
          <w:szCs w:val="28"/>
          <w:lang w:val="uk-UA"/>
        </w:rPr>
        <w:t>(</w:t>
      </w:r>
      <w:r w:rsidRPr="008C0864">
        <w:rPr>
          <w:sz w:val="28"/>
          <w:szCs w:val="28"/>
          <w:lang w:val="en-US"/>
        </w:rPr>
        <w:t>r</w:t>
      </w:r>
      <w:r w:rsidRPr="008C0864">
        <w:rPr>
          <w:sz w:val="28"/>
          <w:szCs w:val="28"/>
          <w:lang w:val="uk-UA"/>
        </w:rPr>
        <w:t>=0,393, р=0,002)), а при ПТС – негативний (</w:t>
      </w:r>
      <w:r w:rsidRPr="008C0864">
        <w:rPr>
          <w:sz w:val="28"/>
          <w:szCs w:val="28"/>
          <w:lang w:val="uk-UA" w:eastAsia="en-US"/>
        </w:rPr>
        <w:t>Коеф.стар. - НОМА-І</w:t>
      </w:r>
      <w:r w:rsidRPr="008C0864">
        <w:rPr>
          <w:sz w:val="28"/>
          <w:szCs w:val="28"/>
          <w:lang w:val="en-US" w:eastAsia="en-US"/>
        </w:rPr>
        <w:t>R</w:t>
      </w:r>
      <w:r w:rsidRPr="008C0864">
        <w:rPr>
          <w:sz w:val="28"/>
          <w:szCs w:val="28"/>
          <w:lang w:val="uk-UA" w:eastAsia="en-US"/>
        </w:rPr>
        <w:t xml:space="preserve"> </w:t>
      </w:r>
      <w:r w:rsidRPr="008C0864">
        <w:rPr>
          <w:sz w:val="28"/>
          <w:szCs w:val="28"/>
          <w:lang w:val="uk-UA"/>
        </w:rPr>
        <w:t>(</w:t>
      </w:r>
      <w:r w:rsidRPr="008C0864">
        <w:rPr>
          <w:sz w:val="28"/>
          <w:szCs w:val="28"/>
          <w:lang w:val="en-US"/>
        </w:rPr>
        <w:t>r</w:t>
      </w:r>
      <w:r w:rsidRPr="008C0864">
        <w:rPr>
          <w:sz w:val="28"/>
          <w:szCs w:val="28"/>
          <w:lang w:val="uk-UA"/>
        </w:rPr>
        <w:t>=-0,269, р=0,016),</w:t>
      </w:r>
      <w:r w:rsidRPr="008C0864">
        <w:rPr>
          <w:sz w:val="28"/>
          <w:szCs w:val="28"/>
          <w:lang w:val="uk-UA" w:eastAsia="en-US"/>
        </w:rPr>
        <w:t xml:space="preserve"> Інд. швидкості старіння- НОМА-І</w:t>
      </w:r>
      <w:r w:rsidRPr="008C0864">
        <w:rPr>
          <w:sz w:val="28"/>
          <w:szCs w:val="28"/>
          <w:lang w:val="en-US" w:eastAsia="en-US"/>
        </w:rPr>
        <w:t>R</w:t>
      </w:r>
      <w:r w:rsidRPr="008C0864">
        <w:rPr>
          <w:sz w:val="28"/>
          <w:szCs w:val="28"/>
          <w:lang w:val="uk-UA" w:eastAsia="en-US"/>
        </w:rPr>
        <w:t xml:space="preserve"> </w:t>
      </w:r>
      <w:r w:rsidRPr="008C0864">
        <w:rPr>
          <w:sz w:val="28"/>
          <w:szCs w:val="28"/>
          <w:lang w:val="uk-UA"/>
        </w:rPr>
        <w:t>(</w:t>
      </w:r>
      <w:r w:rsidRPr="008C0864">
        <w:rPr>
          <w:sz w:val="28"/>
          <w:szCs w:val="28"/>
          <w:lang w:val="en-US"/>
        </w:rPr>
        <w:t>r</w:t>
      </w:r>
      <w:r w:rsidRPr="008C0864">
        <w:rPr>
          <w:sz w:val="28"/>
          <w:szCs w:val="28"/>
          <w:lang w:val="uk-UA"/>
        </w:rPr>
        <w:t xml:space="preserve">=-0,325, р=0,003), </w:t>
      </w:r>
      <w:r w:rsidRPr="008C0864">
        <w:rPr>
          <w:sz w:val="28"/>
          <w:szCs w:val="28"/>
          <w:lang w:val="uk-UA" w:eastAsia="en-US"/>
        </w:rPr>
        <w:t>Кт. швидкості старіння - НОМА-І</w:t>
      </w:r>
      <w:r w:rsidRPr="008C0864">
        <w:rPr>
          <w:sz w:val="28"/>
          <w:szCs w:val="28"/>
          <w:lang w:val="en-US" w:eastAsia="en-US"/>
        </w:rPr>
        <w:t>R</w:t>
      </w:r>
      <w:r w:rsidRPr="008C0864">
        <w:rPr>
          <w:sz w:val="28"/>
          <w:szCs w:val="28"/>
          <w:lang w:val="uk-UA"/>
        </w:rPr>
        <w:t>(</w:t>
      </w:r>
      <w:r w:rsidRPr="008C0864">
        <w:rPr>
          <w:sz w:val="28"/>
          <w:szCs w:val="28"/>
          <w:lang w:val="en-US"/>
        </w:rPr>
        <w:t>r</w:t>
      </w:r>
      <w:r w:rsidRPr="008C0864">
        <w:rPr>
          <w:sz w:val="28"/>
          <w:szCs w:val="28"/>
          <w:lang w:val="uk-UA"/>
        </w:rPr>
        <w:t xml:space="preserve">=-0,310, р=0,005)). </w:t>
      </w:r>
      <w:r w:rsidRPr="008C0864">
        <w:rPr>
          <w:rStyle w:val="tlid-translation"/>
          <w:rFonts w:eastAsiaTheme="majorEastAsia"/>
          <w:sz w:val="28"/>
          <w:szCs w:val="28"/>
          <w:lang w:val="uk-UA"/>
        </w:rPr>
        <w:t xml:space="preserve">Наявність кореляційних </w:t>
      </w:r>
      <w:r w:rsidRPr="008C0864">
        <w:rPr>
          <w:sz w:val="28"/>
          <w:szCs w:val="28"/>
          <w:lang w:val="uk-UA"/>
        </w:rPr>
        <w:t>зв`язків між МТ, ІМТ і індексом НОМА-</w:t>
      </w:r>
      <w:r w:rsidRPr="008C0864">
        <w:rPr>
          <w:sz w:val="28"/>
          <w:szCs w:val="28"/>
          <w:lang w:val="en-US"/>
        </w:rPr>
        <w:t>IR</w:t>
      </w:r>
      <w:r w:rsidRPr="008C0864">
        <w:rPr>
          <w:sz w:val="28"/>
          <w:szCs w:val="28"/>
          <w:lang w:val="uk-UA"/>
        </w:rPr>
        <w:t xml:space="preserve"> та показниками, що характеризують ТС, при УТС та при ПТС свідчить про значну роль інсулінорезистентності та МТ в процесах передчасного старіння [217,249]. Вважається, що ІР має велике значення в розвитку несприятливих фенотипів старіння та вік-асоційованих захворювань [</w:t>
      </w:r>
      <w:r w:rsidRPr="008C0864">
        <w:rPr>
          <w:sz w:val="28"/>
          <w:szCs w:val="28"/>
          <w:shd w:val="clear" w:color="auto" w:fill="FFFFFF"/>
          <w:lang w:val="uk-UA"/>
        </w:rPr>
        <w:t>37], проте</w:t>
      </w:r>
      <w:r w:rsidRPr="008C0864">
        <w:rPr>
          <w:sz w:val="28"/>
          <w:szCs w:val="28"/>
          <w:lang w:val="uk-UA"/>
        </w:rPr>
        <w:t xml:space="preserve"> її негативний вплив на тривалість життя не настільки однозначний. ІР, з одного боку, сприяє розвитку метаболічних порушень та пов'язаних з ними захворювань (атеросклероз, ЦД), з іншого - забезпечує реалізацію деяких захисних механізмів, що сприяють довголіттю [</w:t>
      </w:r>
      <w:r w:rsidRPr="008C0864">
        <w:rPr>
          <w:sz w:val="28"/>
          <w:szCs w:val="28"/>
          <w:shd w:val="clear" w:color="auto" w:fill="FFFFFF"/>
          <w:lang w:val="uk-UA"/>
        </w:rPr>
        <w:t>37,366</w:t>
      </w:r>
      <w:r w:rsidRPr="008C0864">
        <w:rPr>
          <w:sz w:val="28"/>
          <w:szCs w:val="28"/>
          <w:lang w:val="uk-UA"/>
        </w:rPr>
        <w:t>]. Проте механізми узаємозв'язку ІР з ожирінням і запаленням до сих пір залишаються не до кінця визначеними, в тому числі у випадку вік-асоційованих захворювань.</w:t>
      </w:r>
    </w:p>
    <w:p w:rsidR="00E3259F" w:rsidRPr="008C0864" w:rsidRDefault="00E3259F" w:rsidP="008C0864">
      <w:pPr>
        <w:spacing w:line="360" w:lineRule="auto"/>
        <w:ind w:firstLine="709"/>
        <w:jc w:val="both"/>
        <w:rPr>
          <w:rStyle w:val="tlid-translation"/>
          <w:rFonts w:eastAsiaTheme="majorEastAsia"/>
        </w:rPr>
      </w:pPr>
      <w:r w:rsidRPr="008C0864">
        <w:rPr>
          <w:rStyle w:val="tlid-translation"/>
          <w:rFonts w:eastAsiaTheme="majorEastAsia"/>
          <w:sz w:val="28"/>
          <w:szCs w:val="28"/>
          <w:lang w:val="uk-UA"/>
        </w:rPr>
        <w:t>Наявність достовірних позитивних кореляційних зв</w:t>
      </w:r>
      <w:r w:rsidRPr="008C0864">
        <w:rPr>
          <w:rStyle w:val="tlid-translation"/>
          <w:rFonts w:eastAsiaTheme="majorEastAsia"/>
          <w:sz w:val="28"/>
          <w:szCs w:val="28"/>
        </w:rPr>
        <w:t>`я</w:t>
      </w:r>
      <w:r w:rsidRPr="008C0864">
        <w:rPr>
          <w:rStyle w:val="tlid-translation"/>
          <w:rFonts w:eastAsiaTheme="majorEastAsia"/>
          <w:sz w:val="28"/>
          <w:szCs w:val="28"/>
          <w:lang w:val="uk-UA"/>
        </w:rPr>
        <w:t>зків між показниками тиреоїдного обміну та віковими показниками в  групі 3 ще раз свідчить на користь вагомої ролі рівня ТТГ у процесах старіння.</w:t>
      </w:r>
    </w:p>
    <w:p w:rsidR="00E3259F" w:rsidRPr="008C0864" w:rsidRDefault="00E3259F" w:rsidP="008C0864">
      <w:pPr>
        <w:pStyle w:val="a4"/>
        <w:spacing w:line="360" w:lineRule="auto"/>
        <w:ind w:left="0" w:firstLine="709"/>
        <w:jc w:val="both"/>
        <w:rPr>
          <w:rStyle w:val="tlid-translation"/>
          <w:rFonts w:eastAsiaTheme="majorEastAsia"/>
          <w:sz w:val="28"/>
          <w:szCs w:val="28"/>
          <w:lang w:val="uk-UA" w:eastAsia="uk-UA"/>
        </w:rPr>
      </w:pPr>
      <w:r w:rsidRPr="008C0864">
        <w:rPr>
          <w:rStyle w:val="tlid-translation"/>
          <w:rFonts w:eastAsiaTheme="majorEastAsia"/>
          <w:sz w:val="28"/>
          <w:szCs w:val="28"/>
          <w:lang w:val="uk-UA" w:eastAsia="uk-UA"/>
        </w:rPr>
        <w:t>Значна кількість достовірних кореляційних зв’язків між показниками вуглеводного обміну (</w:t>
      </w:r>
      <w:r w:rsidRPr="008C0864">
        <w:rPr>
          <w:sz w:val="28"/>
          <w:szCs w:val="28"/>
          <w:lang w:val="en-US" w:eastAsia="uk-UA"/>
        </w:rPr>
        <w:t>HbA</w:t>
      </w:r>
      <w:r w:rsidRPr="008C0864">
        <w:rPr>
          <w:sz w:val="28"/>
          <w:szCs w:val="28"/>
          <w:lang w:val="uk-UA" w:eastAsia="uk-UA"/>
        </w:rPr>
        <w:t>1</w:t>
      </w:r>
      <w:r w:rsidRPr="008C0864">
        <w:rPr>
          <w:sz w:val="28"/>
          <w:szCs w:val="28"/>
          <w:lang w:val="en-US" w:eastAsia="uk-UA"/>
        </w:rPr>
        <w:t>c</w:t>
      </w:r>
      <w:r w:rsidRPr="008C0864">
        <w:rPr>
          <w:rStyle w:val="tlid-translation"/>
          <w:rFonts w:eastAsiaTheme="majorEastAsia"/>
          <w:sz w:val="28"/>
          <w:szCs w:val="28"/>
          <w:lang w:val="uk-UA" w:eastAsia="uk-UA"/>
        </w:rPr>
        <w:t xml:space="preserve"> і глюкоза натще) та віковими показниками при ПТС  в групах з коморбідною патологією незалежно від функціонального стану ЩЗ свідчить про суттєвий вплив порушень вуглеводного обміну на прогресування процесів старіння у цієї категорії хворих, причому в пацієнтів без порушення функції ЩЗ ці зв`язки мали негативний характер (</w:t>
      </w:r>
      <w:r w:rsidRPr="008C0864">
        <w:rPr>
          <w:sz w:val="28"/>
          <w:szCs w:val="28"/>
          <w:lang w:val="uk-UA" w:eastAsia="uk-UA"/>
        </w:rPr>
        <w:t>інд. швидкості старіння – глюкоза (</w:t>
      </w:r>
      <w:r w:rsidRPr="008C0864">
        <w:rPr>
          <w:sz w:val="28"/>
          <w:szCs w:val="28"/>
          <w:lang w:val="en-US" w:eastAsia="uk-UA"/>
        </w:rPr>
        <w:t>r</w:t>
      </w:r>
      <w:r w:rsidRPr="008C0864">
        <w:rPr>
          <w:sz w:val="28"/>
          <w:szCs w:val="28"/>
          <w:lang w:val="uk-UA" w:eastAsia="uk-UA"/>
        </w:rPr>
        <w:t>=-0,261, р=0,019), кт. швидкості старіння-глюкоза (</w:t>
      </w:r>
      <w:r w:rsidRPr="008C0864">
        <w:rPr>
          <w:sz w:val="28"/>
          <w:szCs w:val="28"/>
          <w:lang w:val="en-US" w:eastAsia="uk-UA"/>
        </w:rPr>
        <w:t>r</w:t>
      </w:r>
      <w:r w:rsidRPr="008C0864">
        <w:rPr>
          <w:sz w:val="28"/>
          <w:szCs w:val="28"/>
          <w:lang w:val="uk-UA" w:eastAsia="uk-UA"/>
        </w:rPr>
        <w:t>=-0,438, р=0,001), кт. швидкості старіння - HbA1с (</w:t>
      </w:r>
      <w:r w:rsidRPr="008C0864">
        <w:rPr>
          <w:sz w:val="28"/>
          <w:szCs w:val="28"/>
          <w:lang w:val="en-US" w:eastAsia="uk-UA"/>
        </w:rPr>
        <w:t>r</w:t>
      </w:r>
      <w:r w:rsidRPr="008C0864">
        <w:rPr>
          <w:sz w:val="28"/>
          <w:szCs w:val="28"/>
          <w:lang w:val="uk-UA" w:eastAsia="uk-UA"/>
        </w:rPr>
        <w:t>=-0,342, р=0,002)), а при наявності СГТ – позитивний (БВ-глюкоза (</w:t>
      </w:r>
      <w:r w:rsidRPr="008C0864">
        <w:rPr>
          <w:sz w:val="28"/>
          <w:szCs w:val="28"/>
          <w:lang w:val="en-US" w:eastAsia="uk-UA"/>
        </w:rPr>
        <w:t>r</w:t>
      </w:r>
      <w:r w:rsidRPr="008C0864">
        <w:rPr>
          <w:sz w:val="28"/>
          <w:szCs w:val="28"/>
          <w:lang w:val="uk-UA" w:eastAsia="uk-UA"/>
        </w:rPr>
        <w:t xml:space="preserve">=0,388, р=0,005), БВ- </w:t>
      </w:r>
      <w:r w:rsidRPr="008C0864">
        <w:rPr>
          <w:sz w:val="28"/>
          <w:szCs w:val="28"/>
          <w:lang w:val="en-US" w:eastAsia="uk-UA"/>
        </w:rPr>
        <w:t>HbA</w:t>
      </w:r>
      <w:r w:rsidRPr="008C0864">
        <w:rPr>
          <w:sz w:val="28"/>
          <w:szCs w:val="28"/>
          <w:lang w:val="uk-UA" w:eastAsia="uk-UA"/>
        </w:rPr>
        <w:t>1</w:t>
      </w:r>
      <w:r w:rsidRPr="008C0864">
        <w:rPr>
          <w:sz w:val="28"/>
          <w:szCs w:val="28"/>
          <w:lang w:val="en-US" w:eastAsia="uk-UA"/>
        </w:rPr>
        <w:t>c</w:t>
      </w:r>
      <w:r w:rsidRPr="008C0864">
        <w:rPr>
          <w:sz w:val="28"/>
          <w:szCs w:val="28"/>
          <w:lang w:val="uk-UA" w:eastAsia="uk-UA"/>
        </w:rPr>
        <w:t xml:space="preserve"> (</w:t>
      </w:r>
      <w:r w:rsidRPr="008C0864">
        <w:rPr>
          <w:sz w:val="28"/>
          <w:szCs w:val="28"/>
          <w:lang w:val="en-US" w:eastAsia="uk-UA"/>
        </w:rPr>
        <w:t>r</w:t>
      </w:r>
      <w:r w:rsidRPr="008C0864">
        <w:rPr>
          <w:sz w:val="28"/>
          <w:szCs w:val="28"/>
          <w:lang w:val="uk-UA" w:eastAsia="uk-UA"/>
        </w:rPr>
        <w:t>=0,513, р=0,001), інд. швидкості старіння -глюкоза (</w:t>
      </w:r>
      <w:r w:rsidRPr="008C0864">
        <w:rPr>
          <w:sz w:val="28"/>
          <w:szCs w:val="28"/>
          <w:lang w:val="en-US" w:eastAsia="uk-UA"/>
        </w:rPr>
        <w:t>r</w:t>
      </w:r>
      <w:r w:rsidRPr="008C0864">
        <w:rPr>
          <w:sz w:val="28"/>
          <w:szCs w:val="28"/>
          <w:lang w:val="uk-UA" w:eastAsia="uk-UA"/>
        </w:rPr>
        <w:t xml:space="preserve">=0,308,р=0,028), інд. швидкості старіння - </w:t>
      </w:r>
      <w:r w:rsidRPr="008C0864">
        <w:rPr>
          <w:sz w:val="28"/>
          <w:szCs w:val="28"/>
          <w:lang w:val="en-US" w:eastAsia="uk-UA"/>
        </w:rPr>
        <w:t>HbA</w:t>
      </w:r>
      <w:r w:rsidRPr="008C0864">
        <w:rPr>
          <w:sz w:val="28"/>
          <w:szCs w:val="28"/>
          <w:lang w:val="uk-UA" w:eastAsia="uk-UA"/>
        </w:rPr>
        <w:t>1</w:t>
      </w:r>
      <w:r w:rsidRPr="008C0864">
        <w:rPr>
          <w:sz w:val="28"/>
          <w:szCs w:val="28"/>
          <w:lang w:val="en-US" w:eastAsia="uk-UA"/>
        </w:rPr>
        <w:t>c</w:t>
      </w:r>
      <w:r w:rsidRPr="008C0864">
        <w:rPr>
          <w:sz w:val="28"/>
          <w:szCs w:val="28"/>
          <w:lang w:val="uk-UA" w:eastAsia="uk-UA"/>
        </w:rPr>
        <w:t xml:space="preserve"> (</w:t>
      </w:r>
      <w:r w:rsidRPr="008C0864">
        <w:rPr>
          <w:sz w:val="28"/>
          <w:szCs w:val="28"/>
          <w:lang w:val="en-US" w:eastAsia="uk-UA"/>
        </w:rPr>
        <w:t>r</w:t>
      </w:r>
      <w:r w:rsidRPr="008C0864">
        <w:rPr>
          <w:sz w:val="28"/>
          <w:szCs w:val="28"/>
          <w:lang w:val="uk-UA" w:eastAsia="uk-UA"/>
        </w:rPr>
        <w:t>=0,394, р=0,004), кт. швидкості старіння-глюкоза (</w:t>
      </w:r>
      <w:r w:rsidRPr="008C0864">
        <w:rPr>
          <w:sz w:val="28"/>
          <w:szCs w:val="28"/>
          <w:lang w:val="en-US" w:eastAsia="uk-UA"/>
        </w:rPr>
        <w:t>r</w:t>
      </w:r>
      <w:r w:rsidRPr="008C0864">
        <w:rPr>
          <w:sz w:val="28"/>
          <w:szCs w:val="28"/>
          <w:lang w:val="uk-UA" w:eastAsia="uk-UA"/>
        </w:rPr>
        <w:t>=0,359, р=0,010), кт. швидкості старіння-HbA1С (</w:t>
      </w:r>
      <w:r w:rsidRPr="008C0864">
        <w:rPr>
          <w:sz w:val="28"/>
          <w:szCs w:val="28"/>
          <w:lang w:val="en-US" w:eastAsia="uk-UA"/>
        </w:rPr>
        <w:t>r</w:t>
      </w:r>
      <w:r w:rsidRPr="008C0864">
        <w:rPr>
          <w:sz w:val="28"/>
          <w:szCs w:val="28"/>
          <w:lang w:val="uk-UA" w:eastAsia="uk-UA"/>
        </w:rPr>
        <w:t>=-0,424, р=0,002)).</w:t>
      </w:r>
    </w:p>
    <w:p w:rsidR="00E3259F" w:rsidRPr="00ED67B0" w:rsidRDefault="00E3259F" w:rsidP="00ED67B0">
      <w:pPr>
        <w:spacing w:line="360" w:lineRule="auto"/>
        <w:ind w:firstLine="709"/>
        <w:jc w:val="both"/>
        <w:rPr>
          <w:rFonts w:eastAsiaTheme="minorHAnsi"/>
          <w:lang w:val="uk-UA"/>
        </w:rPr>
      </w:pPr>
      <w:r w:rsidRPr="00ED67B0">
        <w:rPr>
          <w:sz w:val="28"/>
          <w:szCs w:val="28"/>
          <w:lang w:val="uk-UA"/>
        </w:rPr>
        <w:t>При аналізі заповнених хворими анкет для суб'єктивної оцінки здоров'я (СОЗ) стан свого здоров'я оцінили як «добре» або «задовільно» 16,04±3,56% пацієнтів</w:t>
      </w:r>
      <w:r w:rsidRPr="00ED67B0">
        <w:rPr>
          <w:b/>
          <w:bCs/>
          <w:sz w:val="28"/>
          <w:szCs w:val="28"/>
          <w:lang w:val="uk-UA"/>
        </w:rPr>
        <w:t xml:space="preserve"> </w:t>
      </w:r>
      <w:r w:rsidRPr="00ED67B0">
        <w:rPr>
          <w:bCs/>
          <w:sz w:val="28"/>
          <w:szCs w:val="28"/>
          <w:lang w:val="uk-UA"/>
        </w:rPr>
        <w:t xml:space="preserve"> групи 1</w:t>
      </w:r>
      <w:r w:rsidRPr="00ED67B0">
        <w:rPr>
          <w:b/>
          <w:bCs/>
          <w:sz w:val="28"/>
          <w:szCs w:val="28"/>
          <w:lang w:val="uk-UA"/>
        </w:rPr>
        <w:t xml:space="preserve">, </w:t>
      </w:r>
      <w:r w:rsidRPr="00ED67B0">
        <w:rPr>
          <w:sz w:val="28"/>
          <w:szCs w:val="28"/>
          <w:lang w:val="uk-UA"/>
        </w:rPr>
        <w:t xml:space="preserve">69,87±3,67% пацієнтів групи 2 та </w:t>
      </w:r>
      <w:r w:rsidRPr="00ED67B0">
        <w:rPr>
          <w:bCs/>
          <w:sz w:val="28"/>
          <w:szCs w:val="28"/>
          <w:shd w:val="clear" w:color="auto" w:fill="FAFAFA"/>
          <w:lang w:val="uk-UA"/>
        </w:rPr>
        <w:t>63,44±4,99%</w:t>
      </w:r>
      <w:r w:rsidRPr="00ED67B0">
        <w:rPr>
          <w:b/>
          <w:bCs/>
          <w:sz w:val="28"/>
          <w:szCs w:val="28"/>
          <w:lang w:val="uk-UA"/>
        </w:rPr>
        <w:t xml:space="preserve"> - </w:t>
      </w:r>
      <w:r w:rsidRPr="00ED67B0">
        <w:rPr>
          <w:bCs/>
          <w:sz w:val="28"/>
          <w:szCs w:val="28"/>
          <w:shd w:val="clear" w:color="auto" w:fill="FAFAFA"/>
          <w:lang w:val="uk-UA"/>
        </w:rPr>
        <w:t xml:space="preserve"> групи 3</w:t>
      </w:r>
      <w:r w:rsidRPr="00ED67B0">
        <w:rPr>
          <w:b/>
          <w:bCs/>
          <w:sz w:val="28"/>
          <w:szCs w:val="28"/>
          <w:shd w:val="clear" w:color="auto" w:fill="FAFAFA"/>
          <w:lang w:val="uk-UA"/>
        </w:rPr>
        <w:t>,</w:t>
      </w:r>
      <w:r w:rsidRPr="00ED67B0">
        <w:rPr>
          <w:sz w:val="28"/>
          <w:szCs w:val="28"/>
          <w:lang w:val="uk-UA"/>
        </w:rPr>
        <w:t xml:space="preserve"> як «погане» або «дуже погане» – </w:t>
      </w:r>
      <w:r w:rsidRPr="00ED67B0">
        <w:rPr>
          <w:bCs/>
          <w:sz w:val="28"/>
          <w:szCs w:val="28"/>
          <w:shd w:val="clear" w:color="auto" w:fill="FAFAFA"/>
          <w:lang w:val="uk-UA"/>
        </w:rPr>
        <w:t>83,96±3,56%</w:t>
      </w:r>
      <w:r w:rsidRPr="00ED67B0">
        <w:rPr>
          <w:bCs/>
          <w:sz w:val="28"/>
          <w:szCs w:val="28"/>
          <w:lang w:val="uk-UA"/>
        </w:rPr>
        <w:t xml:space="preserve"> пацієнтів</w:t>
      </w:r>
      <w:r w:rsidRPr="00ED67B0">
        <w:rPr>
          <w:b/>
          <w:bCs/>
          <w:sz w:val="28"/>
          <w:szCs w:val="28"/>
          <w:lang w:val="uk-UA"/>
        </w:rPr>
        <w:t xml:space="preserve"> </w:t>
      </w:r>
      <w:r w:rsidRPr="00ED67B0">
        <w:rPr>
          <w:bCs/>
          <w:sz w:val="28"/>
          <w:szCs w:val="28"/>
          <w:lang w:val="uk-UA"/>
        </w:rPr>
        <w:t>групи 1</w:t>
      </w:r>
      <w:r w:rsidRPr="00ED67B0">
        <w:rPr>
          <w:b/>
          <w:bCs/>
          <w:sz w:val="28"/>
          <w:szCs w:val="28"/>
          <w:lang w:val="uk-UA"/>
        </w:rPr>
        <w:t xml:space="preserve">, </w:t>
      </w:r>
      <w:r w:rsidRPr="00ED67B0">
        <w:rPr>
          <w:bCs/>
          <w:sz w:val="28"/>
          <w:szCs w:val="28"/>
          <w:shd w:val="clear" w:color="auto" w:fill="FAFAFA"/>
          <w:lang w:val="uk-UA"/>
        </w:rPr>
        <w:t>32,05±3,74</w:t>
      </w:r>
      <w:r w:rsidRPr="00ED67B0">
        <w:rPr>
          <w:sz w:val="28"/>
          <w:szCs w:val="28"/>
          <w:lang w:val="uk-UA"/>
        </w:rPr>
        <w:t xml:space="preserve">% пацієнтів  групи 2 та </w:t>
      </w:r>
      <w:r w:rsidRPr="00ED67B0">
        <w:rPr>
          <w:bCs/>
          <w:sz w:val="28"/>
          <w:szCs w:val="28"/>
          <w:shd w:val="clear" w:color="auto" w:fill="FAFAFA"/>
          <w:lang w:val="uk-UA"/>
        </w:rPr>
        <w:t>36,56±4,99</w:t>
      </w:r>
      <w:r w:rsidRPr="00ED67B0">
        <w:rPr>
          <w:b/>
          <w:bCs/>
          <w:sz w:val="28"/>
          <w:szCs w:val="28"/>
          <w:shd w:val="clear" w:color="auto" w:fill="FAFAFA"/>
          <w:lang w:val="uk-UA"/>
        </w:rPr>
        <w:t>%</w:t>
      </w:r>
      <w:r w:rsidRPr="00ED67B0">
        <w:rPr>
          <w:b/>
          <w:bCs/>
          <w:sz w:val="28"/>
          <w:szCs w:val="28"/>
          <w:lang w:val="uk-UA"/>
        </w:rPr>
        <w:t xml:space="preserve"> </w:t>
      </w:r>
      <w:r w:rsidRPr="00ED67B0">
        <w:rPr>
          <w:bCs/>
          <w:sz w:val="28"/>
          <w:szCs w:val="28"/>
          <w:lang w:val="uk-UA"/>
        </w:rPr>
        <w:t>пацієнтів</w:t>
      </w:r>
      <w:r w:rsidRPr="00ED67B0">
        <w:rPr>
          <w:b/>
          <w:bCs/>
          <w:sz w:val="28"/>
          <w:szCs w:val="28"/>
          <w:lang w:val="uk-UA"/>
        </w:rPr>
        <w:t xml:space="preserve"> </w:t>
      </w:r>
      <w:r w:rsidRPr="00ED67B0">
        <w:rPr>
          <w:bCs/>
          <w:sz w:val="28"/>
          <w:szCs w:val="28"/>
          <w:lang w:val="uk-UA"/>
        </w:rPr>
        <w:t xml:space="preserve"> групи 3</w:t>
      </w:r>
      <w:r w:rsidRPr="00ED67B0">
        <w:rPr>
          <w:sz w:val="28"/>
          <w:szCs w:val="28"/>
          <w:lang w:val="uk-UA"/>
        </w:rPr>
        <w:t xml:space="preserve">. </w:t>
      </w:r>
    </w:p>
    <w:p w:rsidR="00E3259F" w:rsidRPr="00ED67B0" w:rsidRDefault="00E3259F" w:rsidP="00ED67B0">
      <w:pPr>
        <w:spacing w:line="360" w:lineRule="auto"/>
        <w:ind w:firstLine="709"/>
        <w:jc w:val="both"/>
        <w:rPr>
          <w:lang w:val="uk-UA"/>
        </w:rPr>
      </w:pPr>
      <w:r w:rsidRPr="00ED67B0">
        <w:rPr>
          <w:sz w:val="28"/>
          <w:szCs w:val="28"/>
          <w:lang w:val="uk-UA"/>
        </w:rPr>
        <w:t>Серед осіб, які оцінили своє здоров'я як «задовільне» або «добре» за допомогою анкетування, спостерігалися більш низькі рівні проатерогенних фракцій ліпідного обміну  порівняно з особами, які оцінили своє здоров'я як «погане» або «дуже погане», особливо серед осіб з коморбідною патологією, проте достовірні відмінності спостерігались тільки при порівнянні рівнів ХС ЛПНЩ в групі 2 ( рівні ЗХС : група 1- 5,84±0,45ммоль/л проти-6,31±0,32 ммоль/л, р&gt;0,05, група 2 - 5,11±0,20 ммоль/л проти 5,88± 0,47 ммоль/л, р&gt;0,05,  група 3- 5,69±0,20 ммоль/л проти 5,86±0,36 ммоль/л, р&gt;0,05; рівні ТГ: (група 1-1,65±0,18 ммоль/л проти 1,49±0,16 ммоль/л, р&gt;0,05, група 2 -1,85±0,13 ммоль/л проти 2,08±0,32 ммоль/л, р&gt;0,05,  група 3 - 1,85±0,17 ммоль/л проти 2,27±0,40 ммоль/л, р&gt;0,05), ХС ЛПНЩ (група 1 -3,47±0,66 ммоль/л проти 4,23±0,33 ммоль/л, р&gt;0,05, 2 група -2,93±0,19 ммоль/л проти 4,05±0,44 ммоль/л, р=0,021, група 3 - 3,51±0,17 ммоль/л проти 3,60±0,29 ммоль/л, р&gt;0,05). Рівень ХС ЛПВЩ залежно від оцінки стану здоров’я достовірно не відрізнявся в усіх групах осіб (група 1-1,03±0,47 ммоль/л та 1,49±0,82 ммоль/л, відповідно, р&gt;0,05, група 2 - 1,20±0,04 ммоль/л та 1,32±0,16 ммоль/л, відповідно, р&gt;0,05, група 3 - 1,26±0,59 ммоль/л та 1,29±0,70 ммоль/л, відповідно, р&gt;0,05).</w:t>
      </w:r>
    </w:p>
    <w:p w:rsidR="00E3259F" w:rsidRPr="00ED67B0" w:rsidRDefault="00E3259F" w:rsidP="00ED67B0">
      <w:pPr>
        <w:spacing w:line="360" w:lineRule="auto"/>
        <w:ind w:firstLine="709"/>
        <w:jc w:val="both"/>
        <w:rPr>
          <w:sz w:val="28"/>
          <w:szCs w:val="28"/>
          <w:lang w:val="uk-UA"/>
        </w:rPr>
      </w:pPr>
      <w:r w:rsidRPr="00ED67B0">
        <w:rPr>
          <w:sz w:val="28"/>
          <w:szCs w:val="28"/>
          <w:lang w:val="uk-UA"/>
        </w:rPr>
        <w:t xml:space="preserve">При аналізі показників вуглеводного обміну рівень глюкози натще серед осіб з коморбідною патологією із задовільною оцінкою здоров'я був нижче, ніж в осіб з оцінкою стану здоров'я як «погане» або «дуже погане», досягаючи статистично значимих відмінностей в групі 3 (група 2 - 8,35±0,50 ммоль/л та  9,71±0,98 ммоль/л відповідно р&gt;0,05,  група 3- 6,16±0,24 ммоль/л та 8,28±0,60 ммоль/л, відповідно, р=0,001). Рівні </w:t>
      </w:r>
      <w:r w:rsidRPr="00ED67B0">
        <w:rPr>
          <w:sz w:val="28"/>
          <w:szCs w:val="28"/>
        </w:rPr>
        <w:t>HbA</w:t>
      </w:r>
      <w:r w:rsidRPr="00ED67B0">
        <w:rPr>
          <w:sz w:val="28"/>
          <w:szCs w:val="28"/>
          <w:lang w:val="uk-UA"/>
        </w:rPr>
        <w:t>1с також відрізнялись – більш низькі рівні спостерігались при оцінці здоров’я як «задовільне» ніж при оцінці як «погане» або «дуже погане», достовірні відмінності спостерігаись в групі 3 (група 2 - 7,33±0,23%  та 7,36±0,30 % відповідно, р&gt;0,05, група 3- 6,80±0,16 % та 7,86±0,24 %, відповідно, р&lt;0,001). Подібні тенденції не спостерігались в групі з ізольованою ГХ. Між особами, які за даними анкетування оцінили своє здоров`я як «задовільно» та як «погане», рівні АТ достовірно не відрізнялись.</w:t>
      </w:r>
    </w:p>
    <w:p w:rsidR="00E3259F" w:rsidRPr="00ED67B0" w:rsidRDefault="00E3259F" w:rsidP="00ED67B0">
      <w:pPr>
        <w:spacing w:line="360" w:lineRule="auto"/>
        <w:ind w:firstLine="709"/>
        <w:jc w:val="both"/>
        <w:rPr>
          <w:sz w:val="28"/>
          <w:szCs w:val="28"/>
          <w:lang w:val="uk-UA"/>
        </w:rPr>
      </w:pPr>
      <w:r w:rsidRPr="00ED67B0">
        <w:rPr>
          <w:sz w:val="28"/>
          <w:szCs w:val="28"/>
          <w:lang w:val="uk-UA"/>
        </w:rPr>
        <w:t>Відомо, що чоловіча стать сама по собі є чинником ризику ССЗ [130]. На думку геронтологів на підставі біологічних процесів, що перебігають в організмі в чоловіків, органічні зміни в тканинах наступають раніше на 6 - 8 років, у них сильніше та швидше перебігають склеротичні процеси ніж у жінок, тобто біологічне старіння чоловіків відбувається раніше і БВ у чоловіків вищий. При дослідженні значення статі в процесах старіння в нашій вибірці було виявлено, що  135 (59,47±3,25%) жінок і 49 (38,28±4,29%) чоловіків мали УТС, у той час як 67 (29,52±3,03%) жінок і 76 (59,38±4,34%) чоловіків характеризувалися наявністю ознак прискореного старіння.</w:t>
      </w:r>
    </w:p>
    <w:p w:rsidR="00ED67B0" w:rsidRDefault="00E3259F" w:rsidP="00ED67B0">
      <w:pPr>
        <w:spacing w:line="360" w:lineRule="auto"/>
        <w:ind w:firstLine="709"/>
        <w:jc w:val="both"/>
        <w:rPr>
          <w:sz w:val="28"/>
          <w:szCs w:val="28"/>
          <w:lang w:val="uk-UA"/>
        </w:rPr>
      </w:pPr>
      <w:r w:rsidRPr="00ED67B0">
        <w:rPr>
          <w:sz w:val="28"/>
          <w:szCs w:val="28"/>
          <w:lang w:val="uk-UA"/>
        </w:rPr>
        <w:t>У групі ГХ, ЦД 2 типу та СГТ серед жінок ФС спостерігався серед  4,94±2,41% жінок, що було значно рідше, ніж серед жінок групи поєднаного перебігу ГХ та ЦД 2 типу  (25,58±6,65%, р=0,037), серед чоловіків групі ГХ, ЦД 2 типу та СГТ осіб з ФС виявлено не було, проте при поєднаному перебігу ГХ та ЦД 2 типу ФС спостерігався в 8,54</w:t>
      </w:r>
      <w:r w:rsidR="00ED67B0">
        <w:rPr>
          <w:sz w:val="28"/>
          <w:szCs w:val="28"/>
          <w:lang w:val="uk-UA"/>
        </w:rPr>
        <w:t>±3,08%</w:t>
      </w:r>
      <w:r w:rsidRPr="00ED67B0">
        <w:rPr>
          <w:sz w:val="28"/>
          <w:szCs w:val="28"/>
          <w:lang w:val="uk-UA"/>
        </w:rPr>
        <w:t xml:space="preserve"> чоловіків. У групах з коморбідною патологією УТС у групі 2 спостерігався частіше в жінок, ніж </w:t>
      </w:r>
      <w:r w:rsidR="00ED67B0" w:rsidRPr="00ED67B0">
        <w:rPr>
          <w:sz w:val="28"/>
          <w:szCs w:val="28"/>
          <w:lang w:val="uk-UA"/>
        </w:rPr>
        <w:t>чоловіків (44,59 ± 5,78% проти 28,05 ± 4,96%, відповідно, р=0,032), у групі 3 достовірних відмінностей наявності УТС між чоловіками та жінками знайдено не було (40,74±5,46% проти 41,67±14,23%, відповідно, р&gt; 0,05). Частота ПТС у групі людей з ГХ, ЦД 2 типу та СГТ між жінками та чоловіками достовірно не відрізняється (54,32 ± 5,53% проти 58,33±14,23% відповідно, р&gt;0,05), але в групі ГХ та ЦД 2 типу ПТС у чоловіків зустрічалися достовірно частіше, ніж у жінок (62,20 ± 5,35% проти 43,24 ± 5,76%, відповідно, р=0,018).</w:t>
      </w:r>
    </w:p>
    <w:p w:rsidR="00E3259F" w:rsidRPr="00ED67B0" w:rsidRDefault="00E3259F" w:rsidP="00ED67B0">
      <w:pPr>
        <w:spacing w:line="360" w:lineRule="auto"/>
        <w:ind w:firstLine="709"/>
        <w:jc w:val="both"/>
        <w:rPr>
          <w:rFonts w:eastAsiaTheme="minorHAnsi"/>
          <w:b/>
          <w:sz w:val="28"/>
          <w:szCs w:val="28"/>
          <w:lang w:val="uk-UA" w:eastAsia="en-US"/>
        </w:rPr>
      </w:pPr>
      <w:r w:rsidRPr="00ED67B0">
        <w:rPr>
          <w:sz w:val="28"/>
          <w:szCs w:val="28"/>
          <w:lang w:val="uk-UA"/>
        </w:rPr>
        <w:t xml:space="preserve">Таким чином, у осіб середнього та похилого віку з коморбідною патологією, що включає ГХ та ЦД 2 типу без пошкодження функції ЩЗ або СГТ, біологічний вік був вище, ніж при ізольованій ГХ, крім того, коефіцієнти, що характеризують темп старіння, продемонстрували більш виражені ознаки передчасного старіння в цієї категорії пацієнтів. Пацієнти з поєднаним перебігом ГХ та ЦД 2 типу, які оцінюють за суб'єктивними ознаками своє здоров'я як «незадовільне», мали більш виражені порушення як ліпідного обміну так і вуглеводного обміну. При наявності ізольованої ГХ подібний зв'язок був не настільки виражений. Виявлення зв'язку БВ з показниками ліпідного та вуглеводного обміну роблять цей параметр досить універсальним і дозволяє використовувати його не тільки для оцінки функціонального стану організму в цілому, а й оцінки серцево-судинного ризику. Корекція показників ліпідного та вуглеводного обміну дозволить не тільки знизити загальний КВР, але й знизити темпи передчасного старіння, спрямувавши його за фізіологічним типом, що також буде сприяти активному довголіттю. </w:t>
      </w:r>
      <w:r w:rsidRPr="00ED67B0">
        <w:rPr>
          <w:rStyle w:val="tlid-translation"/>
          <w:rFonts w:eastAsiaTheme="majorEastAsia"/>
          <w:sz w:val="28"/>
          <w:szCs w:val="28"/>
          <w:lang w:val="uk-UA"/>
        </w:rPr>
        <w:t>Незважаючи на наявність у роботі високого КВР у осіб обох статей, у чоловіків тенденція до розвитку ПТС була більш вираженою, ніж у жінок, що підтверджує припущення, що чоловіча стать може бути чинником не тільки КВР, але й передчасного старіння.</w:t>
      </w:r>
    </w:p>
    <w:p w:rsidR="00E3259F" w:rsidRPr="00ED67B0" w:rsidRDefault="00E3259F" w:rsidP="00ED67B0">
      <w:pPr>
        <w:spacing w:line="360" w:lineRule="auto"/>
        <w:ind w:firstLine="709"/>
        <w:jc w:val="both"/>
        <w:rPr>
          <w:sz w:val="28"/>
          <w:szCs w:val="28"/>
          <w:lang w:val="uk-UA"/>
        </w:rPr>
      </w:pPr>
      <w:r w:rsidRPr="00ED67B0">
        <w:rPr>
          <w:sz w:val="28"/>
          <w:szCs w:val="28"/>
          <w:lang w:val="uk-UA"/>
        </w:rPr>
        <w:t>Визначення БВ і темпу старіння в осіб високого КВР з досить високою часткою вірогідності відображає ступінь порушень фізіологічної адаптації організму, що розвивається в результаті поєднання вік-залежних та патологічних процесів. В осіб з коморбідною патологією високого КВР був виявлений переважно ПТС. Отримані результати можуть свідчити, що не тільки наявність патології серцево-судинної системи, зокрема ГХ, а й комплекс антропометричних і метаболічних порушень, обумовлений зокрема наявністю ендокринологічних захворювань, може виступати в ролі ініціюючого синдрому прискореного старіння, посилюючи тим самим наявний рівень ризику.</w:t>
      </w:r>
    </w:p>
    <w:p w:rsidR="00E3259F" w:rsidRDefault="00E3259F" w:rsidP="00E3259F">
      <w:pPr>
        <w:spacing w:line="360" w:lineRule="auto"/>
        <w:ind w:firstLine="709"/>
        <w:jc w:val="both"/>
        <w:rPr>
          <w:rFonts w:eastAsia="Calibri"/>
          <w:color w:val="000000"/>
          <w:sz w:val="28"/>
          <w:szCs w:val="28"/>
          <w:lang w:val="uk-UA"/>
        </w:rPr>
      </w:pPr>
    </w:p>
    <w:p w:rsidR="00E3259F" w:rsidRDefault="00E3259F" w:rsidP="00E3259F">
      <w:pPr>
        <w:spacing w:line="360" w:lineRule="auto"/>
        <w:ind w:firstLine="709"/>
        <w:jc w:val="both"/>
        <w:rPr>
          <w:rFonts w:eastAsia="Calibri"/>
          <w:color w:val="000000"/>
          <w:sz w:val="28"/>
          <w:szCs w:val="28"/>
          <w:lang w:val="uk-UA"/>
        </w:rPr>
      </w:pPr>
      <w:r w:rsidRPr="00ED67B0">
        <w:rPr>
          <w:rFonts w:eastAsia="Calibri"/>
          <w:color w:val="000000"/>
          <w:sz w:val="28"/>
          <w:szCs w:val="28"/>
        </w:rPr>
        <w:t xml:space="preserve">Результати власних досліджень розділу </w:t>
      </w:r>
      <w:r w:rsidRPr="00ED67B0">
        <w:rPr>
          <w:rFonts w:eastAsia="Calibri"/>
          <w:color w:val="000000"/>
          <w:sz w:val="28"/>
          <w:szCs w:val="28"/>
          <w:lang w:val="uk-UA"/>
        </w:rPr>
        <w:t>3 викладені в статті [10,73,74,81,82,290]</w:t>
      </w:r>
      <w:r w:rsidRPr="00ED67B0">
        <w:rPr>
          <w:rFonts w:eastAsia="Calibri"/>
          <w:color w:val="000000"/>
          <w:sz w:val="28"/>
          <w:szCs w:val="28"/>
        </w:rPr>
        <w:t>, апробовані на наукових форумах [</w:t>
      </w:r>
      <w:r w:rsidRPr="00ED67B0">
        <w:rPr>
          <w:rFonts w:eastAsia="Calibri"/>
          <w:color w:val="000000"/>
          <w:sz w:val="28"/>
          <w:szCs w:val="28"/>
          <w:lang w:val="uk-UA"/>
        </w:rPr>
        <w:t>9</w:t>
      </w:r>
      <w:r w:rsidRPr="00ED67B0">
        <w:rPr>
          <w:rFonts w:eastAsia="Calibri"/>
          <w:color w:val="000000"/>
          <w:sz w:val="28"/>
          <w:szCs w:val="28"/>
        </w:rPr>
        <w:t>].</w:t>
      </w:r>
    </w:p>
    <w:p w:rsidR="00E3259F" w:rsidRDefault="00E3259F" w:rsidP="00E3259F">
      <w:pPr>
        <w:spacing w:line="360" w:lineRule="auto"/>
        <w:ind w:firstLine="709"/>
        <w:jc w:val="both"/>
        <w:rPr>
          <w:rFonts w:eastAsia="Calibri"/>
          <w:color w:val="000000"/>
          <w:sz w:val="28"/>
          <w:szCs w:val="28"/>
          <w:lang w:val="uk-UA"/>
        </w:rPr>
      </w:pPr>
    </w:p>
    <w:p w:rsidR="00E3259F" w:rsidRDefault="00E3259F" w:rsidP="00E3259F">
      <w:pPr>
        <w:spacing w:after="200" w:line="276" w:lineRule="auto"/>
        <w:rPr>
          <w:rFonts w:eastAsia="Calibri"/>
          <w:color w:val="000000"/>
          <w:sz w:val="28"/>
          <w:szCs w:val="28"/>
          <w:lang w:val="uk-UA"/>
        </w:rPr>
      </w:pPr>
      <w:r>
        <w:rPr>
          <w:rFonts w:eastAsia="Calibri"/>
          <w:color w:val="000000"/>
          <w:sz w:val="28"/>
          <w:szCs w:val="28"/>
          <w:lang w:val="uk-UA"/>
        </w:rPr>
        <w:br w:type="page"/>
      </w:r>
    </w:p>
    <w:p w:rsidR="00E3259F" w:rsidRDefault="00E3259F" w:rsidP="00E3259F">
      <w:pPr>
        <w:ind w:hanging="284"/>
        <w:jc w:val="center"/>
        <w:rPr>
          <w:sz w:val="28"/>
          <w:szCs w:val="28"/>
          <w:lang w:val="uk-UA"/>
        </w:rPr>
      </w:pPr>
      <w:r>
        <w:rPr>
          <w:sz w:val="28"/>
          <w:szCs w:val="28"/>
          <w:lang w:val="uk-UA"/>
        </w:rPr>
        <w:t>РОЗДІЛ 4.</w:t>
      </w:r>
    </w:p>
    <w:p w:rsidR="00E3259F" w:rsidRDefault="00E3259F" w:rsidP="00E3259F">
      <w:pPr>
        <w:spacing w:line="360" w:lineRule="auto"/>
        <w:ind w:firstLine="709"/>
        <w:jc w:val="both"/>
        <w:rPr>
          <w:sz w:val="28"/>
          <w:szCs w:val="28"/>
          <w:lang w:val="uk-UA"/>
        </w:rPr>
      </w:pPr>
      <w:r>
        <w:rPr>
          <w:sz w:val="28"/>
          <w:szCs w:val="28"/>
          <w:lang w:val="uk-UA"/>
        </w:rPr>
        <w:t>ОЦІНКА ОКСИДАТИВНОГО СТРЕСУ У ХВОРИХ НА ГІПЕРТОНІЧНУ ХВОРОБУ В ПОЄДНАННІ З ЦУКРОВИМ ДІАБЕТОМ 2 ТИПУ БЕЗ ПОРУШЕННЯ ФУНКЦІЇ ЩИТОПОДІБНОЇ ЗАЛОЗИ ТА З СУБКЛІНІЧНИМ ГІПОТИРЕОЗОМ</w:t>
      </w:r>
    </w:p>
    <w:p w:rsidR="00E3259F" w:rsidRDefault="00E3259F" w:rsidP="00E3259F">
      <w:pPr>
        <w:spacing w:line="360" w:lineRule="auto"/>
        <w:ind w:firstLine="709"/>
        <w:jc w:val="both"/>
        <w:rPr>
          <w:rFonts w:eastAsiaTheme="minorHAnsi"/>
          <w:sz w:val="28"/>
          <w:szCs w:val="28"/>
          <w:lang w:val="uk-UA" w:eastAsia="en-US"/>
        </w:rPr>
      </w:pPr>
    </w:p>
    <w:p w:rsidR="00E3259F" w:rsidRDefault="00E3259F" w:rsidP="00E3259F">
      <w:pPr>
        <w:spacing w:line="360" w:lineRule="auto"/>
        <w:ind w:firstLine="709"/>
        <w:jc w:val="both"/>
        <w:rPr>
          <w:sz w:val="28"/>
          <w:szCs w:val="28"/>
          <w:lang w:val="uk-UA"/>
        </w:rPr>
      </w:pPr>
      <w:r>
        <w:rPr>
          <w:sz w:val="28"/>
          <w:szCs w:val="28"/>
          <w:lang w:val="uk-UA"/>
        </w:rPr>
        <w:t>4.1</w:t>
      </w:r>
      <w:r w:rsidRPr="004E7365">
        <w:rPr>
          <w:sz w:val="28"/>
          <w:szCs w:val="28"/>
          <w:lang w:val="uk-UA"/>
        </w:rPr>
        <w:t xml:space="preserve">.  Особливості оксидативного стресу у хворих на гіпертонічну хворобу в поєднанні з цукровим діабетом 2 типу без порушення функції щитоподібної залози та з субклінічним гіпотиреозом </w:t>
      </w:r>
    </w:p>
    <w:p w:rsidR="00E3259F" w:rsidRDefault="00E3259F" w:rsidP="00E3259F">
      <w:pPr>
        <w:shd w:val="clear" w:color="auto" w:fill="FFFFFF"/>
        <w:spacing w:line="360" w:lineRule="auto"/>
        <w:ind w:firstLine="709"/>
        <w:jc w:val="both"/>
        <w:rPr>
          <w:sz w:val="28"/>
          <w:szCs w:val="28"/>
          <w:lang w:val="uk-UA"/>
        </w:rPr>
      </w:pPr>
    </w:p>
    <w:p w:rsidR="00E3259F" w:rsidRPr="00ED67B0" w:rsidRDefault="00E3259F" w:rsidP="00ED67B0">
      <w:pPr>
        <w:shd w:val="clear" w:color="auto" w:fill="FFFFFF"/>
        <w:spacing w:line="360" w:lineRule="auto"/>
        <w:ind w:firstLine="709"/>
        <w:jc w:val="both"/>
        <w:rPr>
          <w:sz w:val="28"/>
          <w:szCs w:val="28"/>
          <w:lang w:val="uk-UA"/>
        </w:rPr>
      </w:pPr>
      <w:r w:rsidRPr="00ED67B0">
        <w:rPr>
          <w:sz w:val="28"/>
          <w:szCs w:val="28"/>
          <w:lang w:val="uk-UA"/>
        </w:rPr>
        <w:t>Окидативний стрес - це порушення в організмі балансу між прооксидантами та компонентами системи АОЗ. Антиоксидантна система (АОС) організму відіграє ключову роль у виникненні та прогресуванні багатьох захворювань. Від функціональної спроможності й активності, швидкості й повноцінності АОЗ залежить динамічне підтримання гомеостазу та можливість або неможливість розвитку патологічних змін. На цей час теорія ОС вважається однією з найбільш популярних, що пояснюють виникнення та прогресування багатьох захворювань, особливо ССС, ЦД, а також узаємозв'язок між ОС та старінням організму [</w:t>
      </w:r>
      <w:bookmarkStart w:id="15" w:name="_Hlk43587701"/>
      <w:r w:rsidRPr="00ED67B0">
        <w:rPr>
          <w:sz w:val="28"/>
          <w:szCs w:val="28"/>
          <w:lang w:val="uk-UA"/>
        </w:rPr>
        <w:t>44,1</w:t>
      </w:r>
      <w:bookmarkEnd w:id="15"/>
      <w:r w:rsidRPr="00ED67B0">
        <w:rPr>
          <w:sz w:val="28"/>
          <w:szCs w:val="28"/>
          <w:lang w:val="uk-UA"/>
        </w:rPr>
        <w:t>33]. З огляду на неухильне збільшення коморбідних станів, пов'язане зі збільшенням тривалості життя населення, узаємоускладнюючої дії різних патологій, питання змін та можливості впливу на різні патологічні процеси, що відбуваються в організмі, зокрема й ОС, є надзвичайно актуальними.</w:t>
      </w:r>
    </w:p>
    <w:p w:rsidR="00E3259F" w:rsidRPr="00ED67B0" w:rsidRDefault="00E3259F" w:rsidP="00ED67B0">
      <w:pPr>
        <w:shd w:val="clear" w:color="auto" w:fill="FFFFFF"/>
        <w:spacing w:line="360" w:lineRule="auto"/>
        <w:ind w:firstLine="709"/>
        <w:jc w:val="both"/>
        <w:outlineLvl w:val="0"/>
        <w:rPr>
          <w:sz w:val="28"/>
          <w:szCs w:val="28"/>
          <w:lang w:val="uk-UA"/>
        </w:rPr>
      </w:pPr>
      <w:r w:rsidRPr="00ED67B0">
        <w:rPr>
          <w:sz w:val="28"/>
          <w:szCs w:val="28"/>
          <w:lang w:val="uk-UA"/>
        </w:rPr>
        <w:t>Ендокринні порушення значно впливають на ОС та АОЗ. Вважається, що в умовах гіперглікемії збільшується швидкість аутоокисления глюкози, з подальшим посиленням проявів ОС, який в свою чергу, супроводжується різним ступенем вираженості дефіциту інсуліну й розвитком ІР, що є факторами раннього розвитку судинних ускладнень при ЦД  [</w:t>
      </w:r>
      <w:r w:rsidRPr="00ED67B0">
        <w:rPr>
          <w:sz w:val="28"/>
          <w:szCs w:val="28"/>
          <w:shd w:val="clear" w:color="auto" w:fill="FFFFFF"/>
          <w:lang w:val="uk-UA"/>
        </w:rPr>
        <w:t>138,333,372</w:t>
      </w:r>
      <w:r w:rsidRPr="00ED67B0">
        <w:rPr>
          <w:sz w:val="28"/>
          <w:szCs w:val="28"/>
          <w:lang w:val="uk-UA"/>
        </w:rPr>
        <w:t>]. При гіпотиреозі відбуваються зміни, пов'язані з нестачею тиреоїдних гормонів, які впливають на антиоксидантну активність, регулюючи метаболічні процеси, уміст антиоксидантів та ПОЛ. В умовах нестачі тиреоїдних гормонів відбуваються значні метаболічні порушення, зокрема посилення проявів ОС [</w:t>
      </w:r>
      <w:r w:rsidRPr="00ED67B0">
        <w:rPr>
          <w:sz w:val="28"/>
          <w:szCs w:val="28"/>
        </w:rPr>
        <w:t>2</w:t>
      </w:r>
      <w:r w:rsidRPr="00ED67B0">
        <w:rPr>
          <w:sz w:val="28"/>
          <w:szCs w:val="28"/>
          <w:lang w:val="uk-UA"/>
        </w:rPr>
        <w:t xml:space="preserve">76]. Дані щодо впливу СГТ на оксидантно-антиоксидантний баланс, зокрема в різних вікових групах, мають суперечливий характер. </w:t>
      </w:r>
    </w:p>
    <w:p w:rsidR="00E3259F" w:rsidRPr="00ED67B0" w:rsidRDefault="00E3259F" w:rsidP="00ED67B0">
      <w:pPr>
        <w:shd w:val="clear" w:color="auto" w:fill="FFFFFF"/>
        <w:spacing w:line="360" w:lineRule="auto"/>
        <w:ind w:firstLine="709"/>
        <w:jc w:val="both"/>
        <w:rPr>
          <w:b/>
          <w:sz w:val="28"/>
          <w:szCs w:val="28"/>
          <w:lang w:val="uk-UA"/>
        </w:rPr>
      </w:pPr>
      <w:r w:rsidRPr="00ED67B0">
        <w:rPr>
          <w:sz w:val="28"/>
          <w:szCs w:val="28"/>
          <w:lang w:val="uk-UA"/>
        </w:rPr>
        <w:t xml:space="preserve">Незважаючи на наявні дані про сприятливий вплив сучасної антигіпертензивної [135,337] та антидіабетичної [20,90,277] терапії на окислювальний стрес, результати нашого дослідження демонструють наявність ОС в групах досліджуваних хворих: спостерігалися достовірне зниження АОЗ та підвищення рівня МДА між досліджуваними групами хворих, незалежно від наявності коморбідності та функціонального стану ЩЗ, і групою контролю (таблиця 4.1). При порівняльному аналізі показників ОС було виявлено наявність більш високих рівней МДА при коморбідній патології ніж при ізольованій ГХ, проте достовірні відмінності спостерігалися тільки при порівнянні груп 1 та 3 (р=0,020), між групами 2 та 3 рівні МДА достовірно не відрізнялись (р&gt;0,05). </w:t>
      </w:r>
    </w:p>
    <w:p w:rsidR="00E3259F" w:rsidRDefault="00E3259F" w:rsidP="00E3259F">
      <w:pPr>
        <w:spacing w:line="360" w:lineRule="auto"/>
        <w:ind w:firstLine="709"/>
        <w:jc w:val="right"/>
        <w:rPr>
          <w:sz w:val="28"/>
          <w:szCs w:val="28"/>
          <w:lang w:val="uk-UA"/>
        </w:rPr>
      </w:pPr>
      <w:r>
        <w:rPr>
          <w:sz w:val="28"/>
          <w:szCs w:val="28"/>
          <w:lang w:val="uk-UA"/>
        </w:rPr>
        <w:t>Таблиця 4.1</w:t>
      </w:r>
    </w:p>
    <w:p w:rsidR="00E3259F" w:rsidRDefault="00E3259F" w:rsidP="00E3259F">
      <w:pPr>
        <w:spacing w:line="360" w:lineRule="auto"/>
        <w:ind w:firstLine="709"/>
        <w:jc w:val="center"/>
        <w:rPr>
          <w:sz w:val="28"/>
          <w:szCs w:val="28"/>
          <w:lang w:val="uk-UA"/>
        </w:rPr>
      </w:pPr>
      <w:r>
        <w:rPr>
          <w:sz w:val="28"/>
          <w:szCs w:val="28"/>
          <w:lang w:val="uk-UA"/>
        </w:rPr>
        <w:t>Показники оксидантно-антиоксидантної системи, (</w:t>
      </w:r>
      <w:r>
        <w:rPr>
          <w:sz w:val="28"/>
          <w:szCs w:val="28"/>
          <w:lang w:val="en-US"/>
        </w:rPr>
        <w:t>M</w:t>
      </w:r>
      <w:r>
        <w:rPr>
          <w:sz w:val="28"/>
          <w:szCs w:val="28"/>
        </w:rPr>
        <w:t>±</w:t>
      </w:r>
      <w:r>
        <w:rPr>
          <w:sz w:val="28"/>
          <w:szCs w:val="28"/>
          <w:lang w:val="en-US"/>
        </w:rPr>
        <w:t>m</w:t>
      </w:r>
      <w:r>
        <w:rPr>
          <w:sz w:val="28"/>
          <w:szCs w:val="28"/>
        </w:rPr>
        <w:t>)</w:t>
      </w:r>
    </w:p>
    <w:tbl>
      <w:tblPr>
        <w:tblW w:w="5000" w:type="pct"/>
        <w:tblLook w:val="04A0" w:firstRow="1" w:lastRow="0" w:firstColumn="1" w:lastColumn="0" w:noHBand="0" w:noVBand="1"/>
      </w:tblPr>
      <w:tblGrid>
        <w:gridCol w:w="1386"/>
        <w:gridCol w:w="1556"/>
        <w:gridCol w:w="1702"/>
        <w:gridCol w:w="1700"/>
        <w:gridCol w:w="1702"/>
        <w:gridCol w:w="1524"/>
      </w:tblGrid>
      <w:tr w:rsidR="00E3259F" w:rsidRPr="00ED67B0" w:rsidTr="00E3259F">
        <w:tc>
          <w:tcPr>
            <w:tcW w:w="724"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1"/>
              <w:spacing w:before="0" w:beforeAutospacing="0" w:after="0" w:afterAutospacing="0" w:line="360" w:lineRule="auto"/>
              <w:rPr>
                <w:b w:val="0"/>
                <w:sz w:val="26"/>
                <w:szCs w:val="26"/>
                <w:lang w:val="uk-UA" w:eastAsia="en-US"/>
              </w:rPr>
            </w:pPr>
            <w:r w:rsidRPr="00ED67B0">
              <w:rPr>
                <w:b w:val="0"/>
                <w:sz w:val="26"/>
                <w:szCs w:val="26"/>
                <w:lang w:val="uk-UA" w:eastAsia="en-US"/>
              </w:rPr>
              <w:t>Показник</w:t>
            </w:r>
          </w:p>
        </w:tc>
        <w:tc>
          <w:tcPr>
            <w:tcW w:w="813"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1"/>
              <w:spacing w:before="0" w:beforeAutospacing="0" w:after="0" w:afterAutospacing="0" w:line="360" w:lineRule="auto"/>
              <w:rPr>
                <w:b w:val="0"/>
                <w:sz w:val="26"/>
                <w:szCs w:val="26"/>
                <w:lang w:val="uk-UA" w:eastAsia="en-US"/>
              </w:rPr>
            </w:pPr>
            <w:r w:rsidRPr="00ED67B0">
              <w:rPr>
                <w:b w:val="0"/>
                <w:sz w:val="26"/>
                <w:szCs w:val="26"/>
                <w:lang w:val="uk-UA" w:eastAsia="en-US"/>
              </w:rPr>
              <w:t>Група контролю</w:t>
            </w:r>
          </w:p>
          <w:p w:rsidR="00E3259F" w:rsidRPr="00ED67B0" w:rsidRDefault="00E3259F" w:rsidP="00ED67B0">
            <w:pPr>
              <w:pStyle w:val="1"/>
              <w:spacing w:before="0" w:beforeAutospacing="0" w:after="0" w:afterAutospacing="0" w:line="360" w:lineRule="auto"/>
              <w:rPr>
                <w:b w:val="0"/>
                <w:sz w:val="26"/>
                <w:szCs w:val="26"/>
                <w:lang w:val="en-US" w:eastAsia="en-US"/>
              </w:rPr>
            </w:pPr>
            <w:r w:rsidRPr="00ED67B0">
              <w:rPr>
                <w:b w:val="0"/>
                <w:sz w:val="26"/>
                <w:szCs w:val="26"/>
                <w:lang w:val="en-US" w:eastAsia="en-US"/>
              </w:rPr>
              <w:t>(n=</w:t>
            </w:r>
            <w:r w:rsidRPr="00ED67B0">
              <w:rPr>
                <w:b w:val="0"/>
                <w:sz w:val="26"/>
                <w:szCs w:val="26"/>
                <w:lang w:val="uk-UA" w:eastAsia="en-US"/>
              </w:rPr>
              <w:t>3</w:t>
            </w:r>
            <w:r w:rsidRPr="00ED67B0">
              <w:rPr>
                <w:b w:val="0"/>
                <w:sz w:val="26"/>
                <w:szCs w:val="26"/>
                <w:lang w:val="en-US" w:eastAsia="en-US"/>
              </w:rPr>
              <w:t>0)</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1"/>
              <w:spacing w:before="0" w:beforeAutospacing="0" w:after="0" w:afterAutospacing="0" w:line="360" w:lineRule="auto"/>
              <w:rPr>
                <w:b w:val="0"/>
                <w:sz w:val="26"/>
                <w:szCs w:val="26"/>
                <w:lang w:val="en-US" w:eastAsia="en-US"/>
              </w:rPr>
            </w:pPr>
            <w:r w:rsidRPr="00ED67B0">
              <w:rPr>
                <w:b w:val="0"/>
                <w:sz w:val="26"/>
                <w:szCs w:val="26"/>
                <w:lang w:val="uk-UA" w:eastAsia="en-US"/>
              </w:rPr>
              <w:t>Група 1</w:t>
            </w:r>
          </w:p>
          <w:p w:rsidR="00E3259F" w:rsidRPr="00ED67B0" w:rsidRDefault="00E3259F" w:rsidP="00ED67B0">
            <w:pPr>
              <w:pStyle w:val="1"/>
              <w:spacing w:before="0" w:beforeAutospacing="0" w:after="0" w:afterAutospacing="0" w:line="360" w:lineRule="auto"/>
              <w:rPr>
                <w:b w:val="0"/>
                <w:sz w:val="26"/>
                <w:szCs w:val="26"/>
                <w:lang w:val="en-US" w:eastAsia="en-US"/>
              </w:rPr>
            </w:pPr>
            <w:r w:rsidRPr="00ED67B0">
              <w:rPr>
                <w:b w:val="0"/>
                <w:sz w:val="26"/>
                <w:szCs w:val="26"/>
                <w:lang w:val="en-US" w:eastAsia="en-US"/>
              </w:rPr>
              <w:t>(n=</w:t>
            </w:r>
            <w:r w:rsidRPr="00ED67B0">
              <w:rPr>
                <w:b w:val="0"/>
                <w:sz w:val="26"/>
                <w:szCs w:val="26"/>
                <w:lang w:val="uk-UA" w:eastAsia="en-US"/>
              </w:rPr>
              <w:t>106</w:t>
            </w:r>
            <w:r w:rsidRPr="00ED67B0">
              <w:rPr>
                <w:b w:val="0"/>
                <w:sz w:val="26"/>
                <w:szCs w:val="26"/>
                <w:lang w:val="en-US" w:eastAsia="en-US"/>
              </w:rPr>
              <w:t>)</w:t>
            </w:r>
          </w:p>
        </w:tc>
        <w:tc>
          <w:tcPr>
            <w:tcW w:w="888"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1"/>
              <w:spacing w:before="0" w:beforeAutospacing="0" w:after="0" w:afterAutospacing="0" w:line="360" w:lineRule="auto"/>
              <w:rPr>
                <w:b w:val="0"/>
                <w:sz w:val="26"/>
                <w:szCs w:val="26"/>
                <w:lang w:val="en-US" w:eastAsia="en-US"/>
              </w:rPr>
            </w:pPr>
            <w:r w:rsidRPr="00ED67B0">
              <w:rPr>
                <w:b w:val="0"/>
                <w:sz w:val="26"/>
                <w:szCs w:val="26"/>
                <w:lang w:val="uk-UA" w:eastAsia="en-US"/>
              </w:rPr>
              <w:t>Група 2</w:t>
            </w:r>
          </w:p>
          <w:p w:rsidR="00E3259F" w:rsidRPr="00ED67B0" w:rsidRDefault="00E3259F" w:rsidP="00ED67B0">
            <w:pPr>
              <w:pStyle w:val="1"/>
              <w:spacing w:before="0" w:beforeAutospacing="0" w:after="0" w:afterAutospacing="0" w:line="360" w:lineRule="auto"/>
              <w:rPr>
                <w:b w:val="0"/>
                <w:sz w:val="26"/>
                <w:szCs w:val="26"/>
                <w:lang w:val="en-US" w:eastAsia="en-US"/>
              </w:rPr>
            </w:pPr>
            <w:r w:rsidRPr="00ED67B0">
              <w:rPr>
                <w:b w:val="0"/>
                <w:sz w:val="26"/>
                <w:szCs w:val="26"/>
                <w:lang w:val="en-US" w:eastAsia="en-US"/>
              </w:rPr>
              <w:t>(n=</w:t>
            </w:r>
            <w:r w:rsidRPr="00ED67B0">
              <w:rPr>
                <w:b w:val="0"/>
                <w:sz w:val="26"/>
                <w:szCs w:val="26"/>
                <w:lang w:val="uk-UA" w:eastAsia="en-US"/>
              </w:rPr>
              <w:t>15</w:t>
            </w:r>
            <w:r w:rsidRPr="00ED67B0">
              <w:rPr>
                <w:b w:val="0"/>
                <w:sz w:val="26"/>
                <w:szCs w:val="26"/>
                <w:lang w:val="en-US" w:eastAsia="en-US"/>
              </w:rPr>
              <w:t>6)</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1"/>
              <w:spacing w:before="0" w:beforeAutospacing="0" w:after="0" w:afterAutospacing="0" w:line="360" w:lineRule="auto"/>
              <w:rPr>
                <w:b w:val="0"/>
                <w:sz w:val="26"/>
                <w:szCs w:val="26"/>
                <w:lang w:eastAsia="en-US"/>
              </w:rPr>
            </w:pPr>
            <w:r w:rsidRPr="00ED67B0">
              <w:rPr>
                <w:b w:val="0"/>
                <w:sz w:val="26"/>
                <w:szCs w:val="26"/>
                <w:lang w:val="uk-UA" w:eastAsia="en-US"/>
              </w:rPr>
              <w:t>Група 3</w:t>
            </w:r>
          </w:p>
          <w:p w:rsidR="00E3259F" w:rsidRPr="00ED67B0" w:rsidRDefault="00E3259F" w:rsidP="00ED67B0">
            <w:pPr>
              <w:pStyle w:val="1"/>
              <w:spacing w:before="0" w:beforeAutospacing="0" w:after="0" w:afterAutospacing="0" w:line="360" w:lineRule="auto"/>
              <w:rPr>
                <w:b w:val="0"/>
                <w:sz w:val="26"/>
                <w:szCs w:val="26"/>
                <w:lang w:eastAsia="en-US"/>
              </w:rPr>
            </w:pPr>
            <w:r w:rsidRPr="00ED67B0">
              <w:rPr>
                <w:b w:val="0"/>
                <w:sz w:val="26"/>
                <w:szCs w:val="26"/>
                <w:lang w:eastAsia="en-US"/>
              </w:rPr>
              <w:t>(</w:t>
            </w:r>
            <w:r w:rsidRPr="00ED67B0">
              <w:rPr>
                <w:b w:val="0"/>
                <w:sz w:val="26"/>
                <w:szCs w:val="26"/>
                <w:lang w:val="en-US" w:eastAsia="en-US"/>
              </w:rPr>
              <w:t>n</w:t>
            </w:r>
            <w:r w:rsidRPr="00ED67B0">
              <w:rPr>
                <w:b w:val="0"/>
                <w:sz w:val="26"/>
                <w:szCs w:val="26"/>
                <w:lang w:eastAsia="en-US"/>
              </w:rPr>
              <w:t>=</w:t>
            </w:r>
            <w:r w:rsidRPr="00ED67B0">
              <w:rPr>
                <w:b w:val="0"/>
                <w:sz w:val="26"/>
                <w:szCs w:val="26"/>
                <w:lang w:val="uk-UA" w:eastAsia="en-US"/>
              </w:rPr>
              <w:t>93</w:t>
            </w:r>
            <w:r w:rsidRPr="00ED67B0">
              <w:rPr>
                <w:b w:val="0"/>
                <w:sz w:val="26"/>
                <w:szCs w:val="26"/>
                <w:lang w:eastAsia="en-US"/>
              </w:rPr>
              <w:t>)</w:t>
            </w:r>
          </w:p>
        </w:tc>
        <w:tc>
          <w:tcPr>
            <w:tcW w:w="796"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center"/>
              <w:rPr>
                <w:sz w:val="26"/>
                <w:szCs w:val="26"/>
                <w:lang w:val="uk-UA" w:eastAsia="en-US"/>
              </w:rPr>
            </w:pPr>
            <w:r w:rsidRPr="00ED67B0">
              <w:rPr>
                <w:sz w:val="26"/>
                <w:szCs w:val="26"/>
                <w:lang w:val="uk-UA" w:eastAsia="en-US"/>
              </w:rPr>
              <w:t>Значимість, р</w:t>
            </w:r>
          </w:p>
        </w:tc>
      </w:tr>
      <w:tr w:rsidR="00E3259F" w:rsidRPr="00ED67B0" w:rsidTr="00E3259F">
        <w:trPr>
          <w:trHeight w:val="441"/>
        </w:trPr>
        <w:tc>
          <w:tcPr>
            <w:tcW w:w="724"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eastAsia="en-US"/>
              </w:rPr>
              <w:t>МДА</w:t>
            </w:r>
            <w:r w:rsidRPr="00ED67B0">
              <w:rPr>
                <w:sz w:val="26"/>
                <w:szCs w:val="26"/>
                <w:lang w:val="uk-UA" w:eastAsia="en-US"/>
              </w:rPr>
              <w:t>,</w:t>
            </w:r>
          </w:p>
          <w:p w:rsidR="00E3259F" w:rsidRPr="00ED67B0" w:rsidRDefault="00E3259F" w:rsidP="00ED67B0">
            <w:pPr>
              <w:spacing w:line="360" w:lineRule="auto"/>
              <w:jc w:val="both"/>
              <w:rPr>
                <w:sz w:val="26"/>
                <w:szCs w:val="26"/>
                <w:lang w:eastAsia="en-US"/>
              </w:rPr>
            </w:pPr>
            <w:r w:rsidRPr="00ED67B0">
              <w:rPr>
                <w:sz w:val="26"/>
                <w:szCs w:val="26"/>
                <w:lang w:eastAsia="en-US"/>
              </w:rPr>
              <w:t>мкмоль/л</w:t>
            </w:r>
          </w:p>
        </w:tc>
        <w:tc>
          <w:tcPr>
            <w:tcW w:w="813"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a4"/>
              <w:spacing w:line="360" w:lineRule="auto"/>
              <w:ind w:left="0"/>
              <w:jc w:val="both"/>
              <w:rPr>
                <w:sz w:val="26"/>
                <w:szCs w:val="26"/>
                <w:lang w:val="uk-UA" w:eastAsia="en-US"/>
              </w:rPr>
            </w:pPr>
            <w:r w:rsidRPr="00ED67B0">
              <w:rPr>
                <w:sz w:val="26"/>
                <w:szCs w:val="26"/>
                <w:lang w:val="uk-UA" w:eastAsia="en-US"/>
              </w:rPr>
              <w:t>4,20±0,08</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eastAsia="en-US"/>
              </w:rPr>
            </w:pPr>
            <w:r w:rsidRPr="00ED67B0">
              <w:rPr>
                <w:sz w:val="26"/>
                <w:szCs w:val="26"/>
                <w:lang w:eastAsia="en-US"/>
              </w:rPr>
              <w:t>6,1</w:t>
            </w:r>
            <w:r w:rsidRPr="00ED67B0">
              <w:rPr>
                <w:sz w:val="26"/>
                <w:szCs w:val="26"/>
                <w:lang w:val="uk-UA" w:eastAsia="en-US"/>
              </w:rPr>
              <w:t>3</w:t>
            </w:r>
            <w:r w:rsidRPr="00ED67B0">
              <w:rPr>
                <w:sz w:val="26"/>
                <w:szCs w:val="26"/>
                <w:lang w:eastAsia="en-US"/>
              </w:rPr>
              <w:t>±0,</w:t>
            </w:r>
            <w:r w:rsidRPr="00ED67B0">
              <w:rPr>
                <w:sz w:val="26"/>
                <w:szCs w:val="26"/>
                <w:lang w:val="uk-UA" w:eastAsia="en-US"/>
              </w:rPr>
              <w:t>18*</w:t>
            </w:r>
          </w:p>
        </w:tc>
        <w:tc>
          <w:tcPr>
            <w:tcW w:w="888"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eastAsia="en-US"/>
              </w:rPr>
              <w:t>6,</w:t>
            </w:r>
            <w:r w:rsidRPr="00ED67B0">
              <w:rPr>
                <w:sz w:val="26"/>
                <w:szCs w:val="26"/>
                <w:lang w:val="uk-UA" w:eastAsia="en-US"/>
              </w:rPr>
              <w:t>48</w:t>
            </w:r>
            <w:r w:rsidRPr="00ED67B0">
              <w:rPr>
                <w:sz w:val="26"/>
                <w:szCs w:val="26"/>
                <w:lang w:eastAsia="en-US"/>
              </w:rPr>
              <w:t>±0,</w:t>
            </w:r>
            <w:r w:rsidRPr="00ED67B0">
              <w:rPr>
                <w:sz w:val="26"/>
                <w:szCs w:val="26"/>
                <w:lang w:val="uk-UA" w:eastAsia="en-US"/>
              </w:rPr>
              <w:t>14*</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eastAsia="en-US"/>
              </w:rPr>
              <w:t>6,6</w:t>
            </w:r>
            <w:r w:rsidRPr="00ED67B0">
              <w:rPr>
                <w:sz w:val="26"/>
                <w:szCs w:val="26"/>
                <w:lang w:val="uk-UA" w:eastAsia="en-US"/>
              </w:rPr>
              <w:t>8</w:t>
            </w:r>
            <w:r w:rsidRPr="00ED67B0">
              <w:rPr>
                <w:sz w:val="26"/>
                <w:szCs w:val="26"/>
                <w:lang w:eastAsia="en-US"/>
              </w:rPr>
              <w:t>±</w:t>
            </w:r>
            <w:r w:rsidRPr="00ED67B0">
              <w:rPr>
                <w:sz w:val="26"/>
                <w:szCs w:val="26"/>
                <w:lang w:val="uk-UA" w:eastAsia="en-US"/>
              </w:rPr>
              <w:t>0</w:t>
            </w:r>
            <w:r w:rsidRPr="00ED67B0">
              <w:rPr>
                <w:sz w:val="26"/>
                <w:szCs w:val="26"/>
                <w:lang w:eastAsia="en-US"/>
              </w:rPr>
              <w:t>,</w:t>
            </w:r>
            <w:r w:rsidRPr="00ED67B0">
              <w:rPr>
                <w:sz w:val="26"/>
                <w:szCs w:val="26"/>
                <w:lang w:val="uk-UA" w:eastAsia="en-US"/>
              </w:rPr>
              <w:t>15*</w:t>
            </w:r>
          </w:p>
        </w:tc>
        <w:tc>
          <w:tcPr>
            <w:tcW w:w="796"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1-2</w:t>
            </w:r>
            <w:r w:rsidRPr="00ED67B0">
              <w:rPr>
                <w:sz w:val="26"/>
                <w:szCs w:val="26"/>
                <w:lang w:val="uk-UA" w:eastAsia="en-US"/>
              </w:rPr>
              <w:t xml:space="preserve"> &gt;0,05</w:t>
            </w:r>
          </w:p>
          <w:p w:rsidR="00E3259F" w:rsidRPr="00ED67B0" w:rsidRDefault="00E3259F" w:rsidP="00ED67B0">
            <w:pPr>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1-3</w:t>
            </w:r>
            <w:r w:rsidRPr="00ED67B0">
              <w:rPr>
                <w:sz w:val="26"/>
                <w:szCs w:val="26"/>
                <w:lang w:val="uk-UA" w:eastAsia="en-US"/>
              </w:rPr>
              <w:t xml:space="preserve"> =0</w:t>
            </w:r>
            <w:r w:rsidRPr="00ED67B0">
              <w:rPr>
                <w:sz w:val="26"/>
                <w:szCs w:val="26"/>
                <w:lang w:eastAsia="en-US"/>
              </w:rPr>
              <w:t>,020</w:t>
            </w:r>
          </w:p>
          <w:p w:rsidR="00E3259F" w:rsidRPr="00ED67B0" w:rsidRDefault="00E3259F" w:rsidP="00ED67B0">
            <w:pPr>
              <w:spacing w:line="360" w:lineRule="auto"/>
              <w:jc w:val="both"/>
              <w:rPr>
                <w:sz w:val="26"/>
                <w:szCs w:val="26"/>
                <w:lang w:eastAsia="en-US"/>
              </w:rPr>
            </w:pPr>
            <w:r w:rsidRPr="00ED67B0">
              <w:rPr>
                <w:sz w:val="26"/>
                <w:szCs w:val="26"/>
                <w:lang w:val="uk-UA" w:eastAsia="en-US"/>
              </w:rPr>
              <w:t>р</w:t>
            </w:r>
            <w:r w:rsidRPr="00ED67B0">
              <w:rPr>
                <w:sz w:val="26"/>
                <w:szCs w:val="26"/>
                <w:vertAlign w:val="subscript"/>
                <w:lang w:val="uk-UA" w:eastAsia="en-US"/>
              </w:rPr>
              <w:t>2-3</w:t>
            </w:r>
            <w:r w:rsidRPr="00ED67B0">
              <w:rPr>
                <w:sz w:val="26"/>
                <w:szCs w:val="26"/>
                <w:lang w:val="uk-UA" w:eastAsia="en-US"/>
              </w:rPr>
              <w:t>&gt;0,05</w:t>
            </w:r>
          </w:p>
        </w:tc>
      </w:tr>
      <w:tr w:rsidR="00E3259F" w:rsidRPr="00ED67B0" w:rsidTr="00E3259F">
        <w:trPr>
          <w:trHeight w:val="441"/>
        </w:trPr>
        <w:tc>
          <w:tcPr>
            <w:tcW w:w="724"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eastAsia="en-US"/>
              </w:rPr>
            </w:pPr>
            <w:r w:rsidRPr="00ED67B0">
              <w:rPr>
                <w:sz w:val="26"/>
                <w:szCs w:val="26"/>
                <w:lang w:eastAsia="en-US"/>
              </w:rPr>
              <w:t>ГПО</w:t>
            </w:r>
            <w:r w:rsidRPr="00ED67B0">
              <w:rPr>
                <w:sz w:val="26"/>
                <w:szCs w:val="26"/>
                <w:lang w:val="uk-UA" w:eastAsia="en-US"/>
              </w:rPr>
              <w:t xml:space="preserve">, </w:t>
            </w:r>
            <w:r w:rsidRPr="00ED67B0">
              <w:rPr>
                <w:sz w:val="26"/>
                <w:szCs w:val="26"/>
                <w:lang w:eastAsia="en-US"/>
              </w:rPr>
              <w:t>мккат/гНв</w:t>
            </w:r>
          </w:p>
        </w:tc>
        <w:tc>
          <w:tcPr>
            <w:tcW w:w="813"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a4"/>
              <w:spacing w:line="360" w:lineRule="auto"/>
              <w:ind w:left="0"/>
              <w:jc w:val="both"/>
              <w:rPr>
                <w:sz w:val="26"/>
                <w:szCs w:val="26"/>
                <w:lang w:val="uk-UA" w:eastAsia="en-US"/>
              </w:rPr>
            </w:pPr>
            <w:r w:rsidRPr="00ED67B0">
              <w:rPr>
                <w:sz w:val="26"/>
                <w:szCs w:val="26"/>
                <w:lang w:val="uk-UA" w:eastAsia="en-US"/>
              </w:rPr>
              <w:t xml:space="preserve">6,67±0,16 </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eastAsia="en-US"/>
              </w:rPr>
              <w:t>5,8</w:t>
            </w:r>
            <w:r w:rsidRPr="00ED67B0">
              <w:rPr>
                <w:sz w:val="26"/>
                <w:szCs w:val="26"/>
                <w:lang w:val="uk-UA" w:eastAsia="en-US"/>
              </w:rPr>
              <w:t>1</w:t>
            </w:r>
            <w:r w:rsidRPr="00ED67B0">
              <w:rPr>
                <w:sz w:val="26"/>
                <w:szCs w:val="26"/>
                <w:lang w:eastAsia="en-US"/>
              </w:rPr>
              <w:t>±0,</w:t>
            </w:r>
            <w:r w:rsidRPr="00ED67B0">
              <w:rPr>
                <w:sz w:val="26"/>
                <w:szCs w:val="26"/>
                <w:lang w:val="uk-UA" w:eastAsia="en-US"/>
              </w:rPr>
              <w:t>1</w:t>
            </w:r>
            <w:r w:rsidRPr="00ED67B0">
              <w:rPr>
                <w:sz w:val="26"/>
                <w:szCs w:val="26"/>
                <w:lang w:eastAsia="en-US"/>
              </w:rPr>
              <w:t>5*</w:t>
            </w:r>
          </w:p>
        </w:tc>
        <w:tc>
          <w:tcPr>
            <w:tcW w:w="888"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6"/>
                <w:szCs w:val="26"/>
                <w:lang w:eastAsia="en-US"/>
              </w:rPr>
            </w:pPr>
            <w:r w:rsidRPr="00ED67B0">
              <w:rPr>
                <w:sz w:val="26"/>
                <w:szCs w:val="26"/>
                <w:lang w:eastAsia="en-US"/>
              </w:rPr>
              <w:t>5,4</w:t>
            </w:r>
            <w:r w:rsidRPr="00ED67B0">
              <w:rPr>
                <w:sz w:val="26"/>
                <w:szCs w:val="26"/>
                <w:lang w:val="uk-UA" w:eastAsia="en-US"/>
              </w:rPr>
              <w:t>1</w:t>
            </w:r>
            <w:r w:rsidRPr="00ED67B0">
              <w:rPr>
                <w:sz w:val="26"/>
                <w:szCs w:val="26"/>
                <w:lang w:eastAsia="en-US"/>
              </w:rPr>
              <w:t>±0,</w:t>
            </w:r>
            <w:r w:rsidRPr="00ED67B0">
              <w:rPr>
                <w:sz w:val="26"/>
                <w:szCs w:val="26"/>
                <w:lang w:val="uk-UA" w:eastAsia="en-US"/>
              </w:rPr>
              <w:t>11*</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eastAsia="en-US"/>
              </w:rPr>
              <w:t>5,1</w:t>
            </w:r>
            <w:r w:rsidRPr="00ED67B0">
              <w:rPr>
                <w:sz w:val="26"/>
                <w:szCs w:val="26"/>
                <w:lang w:val="uk-UA" w:eastAsia="en-US"/>
              </w:rPr>
              <w:t>9</w:t>
            </w:r>
            <w:r w:rsidRPr="00ED67B0">
              <w:rPr>
                <w:sz w:val="26"/>
                <w:szCs w:val="26"/>
                <w:lang w:eastAsia="en-US"/>
              </w:rPr>
              <w:t>±0,1</w:t>
            </w:r>
            <w:r w:rsidRPr="00ED67B0">
              <w:rPr>
                <w:sz w:val="26"/>
                <w:szCs w:val="26"/>
                <w:lang w:val="uk-UA" w:eastAsia="en-US"/>
              </w:rPr>
              <w:t>3*</w:t>
            </w:r>
          </w:p>
        </w:tc>
        <w:tc>
          <w:tcPr>
            <w:tcW w:w="796"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1-2</w:t>
            </w:r>
            <w:r w:rsidRPr="00ED67B0">
              <w:rPr>
                <w:sz w:val="26"/>
                <w:szCs w:val="26"/>
                <w:lang w:val="uk-UA" w:eastAsia="en-US"/>
              </w:rPr>
              <w:t xml:space="preserve"> =0</w:t>
            </w:r>
            <w:r w:rsidRPr="00ED67B0">
              <w:rPr>
                <w:sz w:val="26"/>
                <w:szCs w:val="26"/>
                <w:lang w:eastAsia="en-US"/>
              </w:rPr>
              <w:t>,032</w:t>
            </w:r>
          </w:p>
          <w:p w:rsidR="00E3259F" w:rsidRPr="00ED67B0" w:rsidRDefault="00E3259F" w:rsidP="00ED67B0">
            <w:pPr>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1-3</w:t>
            </w:r>
            <w:r w:rsidRPr="00ED67B0">
              <w:rPr>
                <w:sz w:val="26"/>
                <w:szCs w:val="26"/>
                <w:lang w:val="uk-UA" w:eastAsia="en-US"/>
              </w:rPr>
              <w:t xml:space="preserve"> =0</w:t>
            </w:r>
            <w:r w:rsidRPr="00ED67B0">
              <w:rPr>
                <w:sz w:val="26"/>
                <w:szCs w:val="26"/>
                <w:lang w:eastAsia="en-US"/>
              </w:rPr>
              <w:t>,002</w:t>
            </w:r>
          </w:p>
          <w:p w:rsidR="00E3259F" w:rsidRPr="00ED67B0" w:rsidRDefault="00E3259F" w:rsidP="00ED67B0">
            <w:pPr>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2-3</w:t>
            </w:r>
            <w:r w:rsidRPr="00ED67B0">
              <w:rPr>
                <w:sz w:val="26"/>
                <w:szCs w:val="26"/>
                <w:lang w:val="uk-UA" w:eastAsia="en-US"/>
              </w:rPr>
              <w:t xml:space="preserve"> &gt;0,05</w:t>
            </w:r>
          </w:p>
        </w:tc>
      </w:tr>
      <w:tr w:rsidR="00E3259F" w:rsidRPr="00ED67B0" w:rsidTr="00E3259F">
        <w:trPr>
          <w:trHeight w:val="441"/>
        </w:trPr>
        <w:tc>
          <w:tcPr>
            <w:tcW w:w="724"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hd w:val="clear" w:color="auto" w:fill="FFFFFF"/>
              <w:spacing w:line="360" w:lineRule="auto"/>
              <w:jc w:val="both"/>
              <w:rPr>
                <w:sz w:val="26"/>
                <w:szCs w:val="26"/>
                <w:lang w:eastAsia="en-US"/>
              </w:rPr>
            </w:pPr>
            <w:r w:rsidRPr="00ED67B0">
              <w:rPr>
                <w:sz w:val="26"/>
                <w:szCs w:val="26"/>
                <w:lang w:val="en-US" w:eastAsia="en-US"/>
              </w:rPr>
              <w:t>SH</w:t>
            </w:r>
            <w:r w:rsidRPr="00ED67B0">
              <w:rPr>
                <w:sz w:val="26"/>
                <w:szCs w:val="26"/>
                <w:lang w:eastAsia="en-US"/>
              </w:rPr>
              <w:t>-груп</w:t>
            </w:r>
            <w:r w:rsidRPr="00ED67B0">
              <w:rPr>
                <w:sz w:val="26"/>
                <w:szCs w:val="26"/>
                <w:lang w:val="uk-UA" w:eastAsia="en-US"/>
              </w:rPr>
              <w:t xml:space="preserve">и, </w:t>
            </w:r>
            <w:r w:rsidRPr="00ED67B0">
              <w:rPr>
                <w:sz w:val="26"/>
                <w:szCs w:val="26"/>
                <w:lang w:eastAsia="en-US"/>
              </w:rPr>
              <w:t>м</w:t>
            </w:r>
            <w:r w:rsidRPr="00ED67B0">
              <w:rPr>
                <w:sz w:val="26"/>
                <w:szCs w:val="26"/>
                <w:lang w:val="uk-UA" w:eastAsia="en-US"/>
              </w:rPr>
              <w:t>к</w:t>
            </w:r>
            <w:r w:rsidRPr="00ED67B0">
              <w:rPr>
                <w:sz w:val="26"/>
                <w:szCs w:val="26"/>
                <w:lang w:eastAsia="en-US"/>
              </w:rPr>
              <w:t>моль/л</w:t>
            </w:r>
          </w:p>
        </w:tc>
        <w:tc>
          <w:tcPr>
            <w:tcW w:w="813"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pStyle w:val="a4"/>
              <w:spacing w:line="360" w:lineRule="auto"/>
              <w:ind w:left="0"/>
              <w:jc w:val="both"/>
              <w:rPr>
                <w:sz w:val="26"/>
                <w:szCs w:val="26"/>
                <w:lang w:val="uk-UA" w:eastAsia="en-US"/>
              </w:rPr>
            </w:pPr>
            <w:r w:rsidRPr="00ED67B0">
              <w:rPr>
                <w:sz w:val="26"/>
                <w:szCs w:val="26"/>
                <w:lang w:val="uk-UA" w:eastAsia="en-US"/>
              </w:rPr>
              <w:t xml:space="preserve">704,10±9,43 </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hd w:val="clear" w:color="auto" w:fill="FFFFFF"/>
              <w:spacing w:line="360" w:lineRule="auto"/>
              <w:jc w:val="both"/>
              <w:rPr>
                <w:sz w:val="26"/>
                <w:szCs w:val="26"/>
                <w:lang w:eastAsia="en-US"/>
              </w:rPr>
            </w:pPr>
            <w:r w:rsidRPr="00ED67B0">
              <w:rPr>
                <w:sz w:val="26"/>
                <w:szCs w:val="26"/>
                <w:lang w:eastAsia="en-US"/>
              </w:rPr>
              <w:t>569,3</w:t>
            </w:r>
            <w:r w:rsidRPr="00ED67B0">
              <w:rPr>
                <w:sz w:val="26"/>
                <w:szCs w:val="26"/>
                <w:lang w:val="uk-UA" w:eastAsia="en-US"/>
              </w:rPr>
              <w:t>7</w:t>
            </w:r>
            <w:r w:rsidRPr="00ED67B0">
              <w:rPr>
                <w:sz w:val="26"/>
                <w:szCs w:val="26"/>
                <w:lang w:eastAsia="en-US"/>
              </w:rPr>
              <w:t>±</w:t>
            </w:r>
            <w:r w:rsidRPr="00ED67B0">
              <w:rPr>
                <w:sz w:val="26"/>
                <w:szCs w:val="26"/>
                <w:lang w:val="uk-UA" w:eastAsia="en-US"/>
              </w:rPr>
              <w:t>7</w:t>
            </w:r>
            <w:r w:rsidRPr="00ED67B0">
              <w:rPr>
                <w:sz w:val="26"/>
                <w:szCs w:val="26"/>
                <w:lang w:eastAsia="en-US"/>
              </w:rPr>
              <w:t>,</w:t>
            </w:r>
            <w:r w:rsidRPr="00ED67B0">
              <w:rPr>
                <w:sz w:val="26"/>
                <w:szCs w:val="26"/>
                <w:lang w:val="uk-UA" w:eastAsia="en-US"/>
              </w:rPr>
              <w:t>60*</w:t>
            </w:r>
          </w:p>
        </w:tc>
        <w:tc>
          <w:tcPr>
            <w:tcW w:w="888"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hd w:val="clear" w:color="auto" w:fill="FFFFFF"/>
              <w:spacing w:line="360" w:lineRule="auto"/>
              <w:jc w:val="both"/>
              <w:rPr>
                <w:sz w:val="26"/>
                <w:szCs w:val="26"/>
                <w:lang w:val="en-US" w:eastAsia="en-US"/>
              </w:rPr>
            </w:pPr>
            <w:r w:rsidRPr="00ED67B0">
              <w:rPr>
                <w:sz w:val="26"/>
                <w:szCs w:val="26"/>
                <w:lang w:eastAsia="en-US"/>
              </w:rPr>
              <w:t>57</w:t>
            </w:r>
            <w:r w:rsidRPr="00ED67B0">
              <w:rPr>
                <w:sz w:val="26"/>
                <w:szCs w:val="26"/>
                <w:lang w:val="uk-UA" w:eastAsia="en-US"/>
              </w:rPr>
              <w:t>4</w:t>
            </w:r>
            <w:r w:rsidRPr="00ED67B0">
              <w:rPr>
                <w:sz w:val="26"/>
                <w:szCs w:val="26"/>
                <w:lang w:eastAsia="en-US"/>
              </w:rPr>
              <w:t>,</w:t>
            </w:r>
            <w:r w:rsidRPr="00ED67B0">
              <w:rPr>
                <w:sz w:val="26"/>
                <w:szCs w:val="26"/>
                <w:lang w:val="uk-UA" w:eastAsia="en-US"/>
              </w:rPr>
              <w:t>86</w:t>
            </w:r>
            <w:r w:rsidRPr="00ED67B0">
              <w:rPr>
                <w:sz w:val="26"/>
                <w:szCs w:val="26"/>
                <w:lang w:eastAsia="en-US"/>
              </w:rPr>
              <w:t>±</w:t>
            </w:r>
            <w:r w:rsidRPr="00ED67B0">
              <w:rPr>
                <w:sz w:val="26"/>
                <w:szCs w:val="26"/>
                <w:lang w:val="uk-UA" w:eastAsia="en-US"/>
              </w:rPr>
              <w:t>6</w:t>
            </w:r>
            <w:r w:rsidRPr="00ED67B0">
              <w:rPr>
                <w:sz w:val="26"/>
                <w:szCs w:val="26"/>
                <w:lang w:eastAsia="en-US"/>
              </w:rPr>
              <w:t>,</w:t>
            </w:r>
            <w:r w:rsidRPr="00ED67B0">
              <w:rPr>
                <w:sz w:val="26"/>
                <w:szCs w:val="26"/>
                <w:lang w:val="uk-UA" w:eastAsia="en-US"/>
              </w:rPr>
              <w:t>08*</w:t>
            </w:r>
          </w:p>
        </w:tc>
        <w:tc>
          <w:tcPr>
            <w:tcW w:w="889"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hd w:val="clear" w:color="auto" w:fill="FFFFFF"/>
              <w:spacing w:line="360" w:lineRule="auto"/>
              <w:jc w:val="both"/>
              <w:rPr>
                <w:sz w:val="26"/>
                <w:szCs w:val="26"/>
                <w:lang w:val="uk-UA" w:eastAsia="en-US"/>
              </w:rPr>
            </w:pPr>
            <w:r w:rsidRPr="00ED67B0">
              <w:rPr>
                <w:sz w:val="26"/>
                <w:szCs w:val="26"/>
                <w:lang w:eastAsia="en-US"/>
              </w:rPr>
              <w:t>56</w:t>
            </w:r>
            <w:r w:rsidRPr="00ED67B0">
              <w:rPr>
                <w:sz w:val="26"/>
                <w:szCs w:val="26"/>
                <w:lang w:val="uk-UA" w:eastAsia="en-US"/>
              </w:rPr>
              <w:t>6</w:t>
            </w:r>
            <w:r w:rsidRPr="00ED67B0">
              <w:rPr>
                <w:sz w:val="26"/>
                <w:szCs w:val="26"/>
                <w:lang w:eastAsia="en-US"/>
              </w:rPr>
              <w:t>,3</w:t>
            </w:r>
            <w:r w:rsidRPr="00ED67B0">
              <w:rPr>
                <w:sz w:val="26"/>
                <w:szCs w:val="26"/>
                <w:lang w:val="uk-UA" w:eastAsia="en-US"/>
              </w:rPr>
              <w:t>1±9</w:t>
            </w:r>
            <w:r w:rsidRPr="00ED67B0">
              <w:rPr>
                <w:sz w:val="26"/>
                <w:szCs w:val="26"/>
                <w:lang w:eastAsia="en-US"/>
              </w:rPr>
              <w:t>,</w:t>
            </w:r>
            <w:r w:rsidRPr="00ED67B0">
              <w:rPr>
                <w:sz w:val="26"/>
                <w:szCs w:val="26"/>
                <w:lang w:val="uk-UA" w:eastAsia="en-US"/>
              </w:rPr>
              <w:t>24*</w:t>
            </w:r>
          </w:p>
        </w:tc>
        <w:tc>
          <w:tcPr>
            <w:tcW w:w="796" w:type="pct"/>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widowControl w:val="0"/>
              <w:autoSpaceDE w:val="0"/>
              <w:autoSpaceDN w:val="0"/>
              <w:adjustRightInd w:val="0"/>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1-2</w:t>
            </w:r>
            <w:r w:rsidRPr="00ED67B0">
              <w:rPr>
                <w:sz w:val="26"/>
                <w:szCs w:val="26"/>
                <w:lang w:val="uk-UA" w:eastAsia="en-US"/>
              </w:rPr>
              <w:t xml:space="preserve"> &gt;0,05</w:t>
            </w:r>
          </w:p>
          <w:p w:rsidR="00E3259F" w:rsidRPr="00ED67B0" w:rsidRDefault="00E3259F" w:rsidP="00ED67B0">
            <w:pPr>
              <w:widowControl w:val="0"/>
              <w:autoSpaceDE w:val="0"/>
              <w:autoSpaceDN w:val="0"/>
              <w:adjustRightInd w:val="0"/>
              <w:spacing w:line="360" w:lineRule="auto"/>
              <w:jc w:val="both"/>
              <w:rPr>
                <w:sz w:val="26"/>
                <w:szCs w:val="26"/>
                <w:lang w:val="uk-UA" w:eastAsia="en-US"/>
              </w:rPr>
            </w:pPr>
            <w:r w:rsidRPr="00ED67B0">
              <w:rPr>
                <w:sz w:val="26"/>
                <w:szCs w:val="26"/>
                <w:lang w:val="uk-UA" w:eastAsia="en-US"/>
              </w:rPr>
              <w:t>р</w:t>
            </w:r>
            <w:r w:rsidRPr="00ED67B0">
              <w:rPr>
                <w:sz w:val="26"/>
                <w:szCs w:val="26"/>
                <w:vertAlign w:val="subscript"/>
                <w:lang w:val="uk-UA" w:eastAsia="en-US"/>
              </w:rPr>
              <w:t>1-3</w:t>
            </w:r>
            <w:r w:rsidRPr="00ED67B0">
              <w:rPr>
                <w:sz w:val="26"/>
                <w:szCs w:val="26"/>
                <w:lang w:val="uk-UA" w:eastAsia="en-US"/>
              </w:rPr>
              <w:t xml:space="preserve"> &gt;0,05</w:t>
            </w:r>
          </w:p>
          <w:p w:rsidR="00E3259F" w:rsidRPr="00ED67B0" w:rsidRDefault="00E3259F" w:rsidP="00ED67B0">
            <w:pPr>
              <w:widowControl w:val="0"/>
              <w:autoSpaceDE w:val="0"/>
              <w:autoSpaceDN w:val="0"/>
              <w:adjustRightInd w:val="0"/>
              <w:spacing w:line="360" w:lineRule="auto"/>
              <w:jc w:val="both"/>
              <w:rPr>
                <w:sz w:val="26"/>
                <w:szCs w:val="26"/>
                <w:lang w:eastAsia="en-US"/>
              </w:rPr>
            </w:pPr>
            <w:r w:rsidRPr="00ED67B0">
              <w:rPr>
                <w:sz w:val="26"/>
                <w:szCs w:val="26"/>
                <w:lang w:val="uk-UA" w:eastAsia="en-US"/>
              </w:rPr>
              <w:t>р</w:t>
            </w:r>
            <w:r w:rsidRPr="00ED67B0">
              <w:rPr>
                <w:sz w:val="26"/>
                <w:szCs w:val="26"/>
                <w:vertAlign w:val="subscript"/>
                <w:lang w:val="uk-UA" w:eastAsia="en-US"/>
              </w:rPr>
              <w:t>2-3</w:t>
            </w:r>
            <w:r w:rsidRPr="00ED67B0">
              <w:rPr>
                <w:sz w:val="26"/>
                <w:szCs w:val="26"/>
                <w:lang w:val="uk-UA" w:eastAsia="en-US"/>
              </w:rPr>
              <w:t xml:space="preserve"> &gt;0,05</w:t>
            </w:r>
          </w:p>
        </w:tc>
      </w:tr>
    </w:tbl>
    <w:p w:rsidR="00E3259F" w:rsidRPr="00ED67B0" w:rsidRDefault="00E3259F" w:rsidP="00E3259F">
      <w:pPr>
        <w:spacing w:line="360" w:lineRule="auto"/>
        <w:ind w:firstLine="709"/>
        <w:jc w:val="both"/>
        <w:rPr>
          <w:rFonts w:asciiTheme="minorHAnsi" w:hAnsiTheme="minorHAnsi" w:cstheme="minorBidi"/>
          <w:sz w:val="28"/>
          <w:szCs w:val="28"/>
          <w:lang w:val="uk-UA" w:eastAsia="en-US"/>
        </w:rPr>
      </w:pPr>
      <w:r w:rsidRPr="00ED67B0">
        <w:rPr>
          <w:sz w:val="28"/>
          <w:szCs w:val="28"/>
          <w:lang w:val="uk-UA"/>
        </w:rPr>
        <w:t>Примітка: * - р&lt;0,001</w:t>
      </w:r>
      <w:r w:rsidRPr="00ED67B0">
        <w:rPr>
          <w:sz w:val="28"/>
          <w:szCs w:val="28"/>
        </w:rPr>
        <w:t xml:space="preserve"> – </w:t>
      </w:r>
      <w:r w:rsidRPr="00ED67B0">
        <w:rPr>
          <w:sz w:val="28"/>
          <w:szCs w:val="28"/>
          <w:lang w:val="uk-UA"/>
        </w:rPr>
        <w:t>рівень значущості відмінностей порівняно з контрольною групою, р</w:t>
      </w:r>
      <w:r w:rsidRPr="00ED67B0">
        <w:rPr>
          <w:sz w:val="28"/>
          <w:szCs w:val="28"/>
          <w:vertAlign w:val="subscript"/>
          <w:lang w:val="uk-UA"/>
        </w:rPr>
        <w:t>1-2 -</w:t>
      </w:r>
      <w:r w:rsidRPr="00ED67B0">
        <w:rPr>
          <w:sz w:val="28"/>
          <w:szCs w:val="28"/>
          <w:lang w:val="uk-UA"/>
        </w:rPr>
        <w:t xml:space="preserve">  рівень значущості відмінностей при порівнянні  групи 1 та 2, р</w:t>
      </w:r>
      <w:r w:rsidRPr="00ED67B0">
        <w:rPr>
          <w:sz w:val="28"/>
          <w:szCs w:val="28"/>
          <w:vertAlign w:val="subscript"/>
          <w:lang w:val="uk-UA"/>
        </w:rPr>
        <w:t xml:space="preserve">1-3 - </w:t>
      </w:r>
      <w:r w:rsidRPr="00ED67B0">
        <w:rPr>
          <w:sz w:val="28"/>
          <w:szCs w:val="28"/>
          <w:lang w:val="uk-UA"/>
        </w:rPr>
        <w:t>рівень значущості відмінностей при порівнянні  групи 1 та 3, р</w:t>
      </w:r>
      <w:r w:rsidRPr="00ED67B0">
        <w:rPr>
          <w:sz w:val="28"/>
          <w:szCs w:val="28"/>
          <w:vertAlign w:val="subscript"/>
          <w:lang w:val="uk-UA"/>
        </w:rPr>
        <w:t>2-3</w:t>
      </w:r>
      <w:r w:rsidRPr="00ED67B0">
        <w:rPr>
          <w:sz w:val="28"/>
          <w:szCs w:val="28"/>
          <w:lang w:val="uk-UA"/>
        </w:rPr>
        <w:t xml:space="preserve"> - рівень значущості відмінностей при порівнянні  групи групи 2 та 3</w:t>
      </w:r>
    </w:p>
    <w:p w:rsidR="00E3259F" w:rsidRDefault="00E3259F" w:rsidP="00E3259F">
      <w:pPr>
        <w:shd w:val="clear" w:color="auto" w:fill="FFFFFF"/>
        <w:spacing w:line="360" w:lineRule="auto"/>
        <w:ind w:firstLine="709"/>
        <w:jc w:val="both"/>
        <w:rPr>
          <w:color w:val="000000"/>
          <w:sz w:val="28"/>
          <w:szCs w:val="28"/>
          <w:lang w:val="uk-UA"/>
        </w:rPr>
      </w:pPr>
    </w:p>
    <w:p w:rsidR="00E3259F" w:rsidRPr="00ED67B0" w:rsidRDefault="00E3259F" w:rsidP="00ED67B0">
      <w:pPr>
        <w:shd w:val="clear" w:color="auto" w:fill="FFFFFF"/>
        <w:spacing w:line="360" w:lineRule="auto"/>
        <w:ind w:firstLine="709"/>
        <w:jc w:val="both"/>
        <w:rPr>
          <w:sz w:val="28"/>
          <w:szCs w:val="28"/>
          <w:lang w:val="uk-UA"/>
        </w:rPr>
      </w:pPr>
      <w:r w:rsidRPr="00ED67B0">
        <w:rPr>
          <w:sz w:val="28"/>
          <w:szCs w:val="28"/>
          <w:lang w:val="uk-UA"/>
        </w:rPr>
        <w:t>Серед досліджуваних груп спостерігалася тенденція до зменшення АОЗ при коморбідній патології при порівнянні з ізольованою ГХ. Так, встановлено прогресивне  зменшення активності ГПО у пацієнтів з 1-ї по 3-ю групи. При цьому показники були гіршими при поєднанні ГХ із ЦД 2 типу та СГТ, ніж при поєднанні ГХ тільки з ЦД 2 типу</w:t>
      </w:r>
      <w:r w:rsidRPr="00ED67B0">
        <w:rPr>
          <w:b/>
          <w:sz w:val="28"/>
          <w:szCs w:val="28"/>
          <w:lang w:val="uk-UA"/>
        </w:rPr>
        <w:t xml:space="preserve">, </w:t>
      </w:r>
      <w:r w:rsidRPr="00ED67B0">
        <w:rPr>
          <w:sz w:val="28"/>
          <w:szCs w:val="28"/>
          <w:lang w:val="uk-UA"/>
        </w:rPr>
        <w:t>проте достовірні відмінності спостерігались як між рівнями ГПО групи 1 та 3 (р=0,002), так і між групами 1 та 2 (р=0,032).</w:t>
      </w:r>
      <w:r w:rsidRPr="00ED67B0">
        <w:rPr>
          <w:b/>
          <w:sz w:val="28"/>
          <w:szCs w:val="28"/>
          <w:lang w:val="uk-UA"/>
        </w:rPr>
        <w:t xml:space="preserve"> </w:t>
      </w:r>
      <w:r w:rsidRPr="00ED67B0">
        <w:rPr>
          <w:sz w:val="28"/>
          <w:szCs w:val="28"/>
          <w:lang w:val="uk-UA"/>
        </w:rPr>
        <w:t>Отримані дані демонструють, що у пацієнтів з коморбідним перебігом ГХ та ендокринопатіями – ЦД 2 типу і СГТ відбувається значне зниження тіолового статусу в порівнянні з групою контролю (р&lt;0,001),</w:t>
      </w:r>
      <w:r w:rsidRPr="00ED67B0">
        <w:rPr>
          <w:b/>
          <w:sz w:val="28"/>
          <w:szCs w:val="28"/>
          <w:lang w:val="uk-UA"/>
        </w:rPr>
        <w:t xml:space="preserve"> </w:t>
      </w:r>
      <w:r w:rsidRPr="00ED67B0">
        <w:rPr>
          <w:sz w:val="28"/>
          <w:szCs w:val="28"/>
          <w:lang w:val="uk-UA"/>
        </w:rPr>
        <w:t xml:space="preserve">проте достовірні відмінності між досліджувальними групами пацієнтів відсутні. Не значно більш високий рівнів </w:t>
      </w:r>
      <w:r w:rsidRPr="00ED67B0">
        <w:rPr>
          <w:sz w:val="28"/>
          <w:szCs w:val="28"/>
          <w:lang w:val="en-US"/>
        </w:rPr>
        <w:t>SH</w:t>
      </w:r>
      <w:r w:rsidRPr="00ED67B0">
        <w:rPr>
          <w:sz w:val="28"/>
          <w:szCs w:val="28"/>
          <w:lang w:val="uk-UA"/>
        </w:rPr>
        <w:t>-груп при поєднаному перебігу ГХ та ЦД 2 типу ніж при ізольованій ГХ може пояснюватися позитивним впливом метформіну на ОС, як це було продемонстровано в роботах останніх років [</w:t>
      </w:r>
      <w:bookmarkStart w:id="16" w:name="_Hlk43589344"/>
      <w:r w:rsidRPr="00ED67B0">
        <w:rPr>
          <w:sz w:val="28"/>
          <w:szCs w:val="28"/>
          <w:lang w:val="uk-UA"/>
        </w:rPr>
        <w:t>132,334,3</w:t>
      </w:r>
      <w:bookmarkEnd w:id="16"/>
      <w:r w:rsidRPr="00ED67B0">
        <w:rPr>
          <w:sz w:val="28"/>
          <w:szCs w:val="28"/>
          <w:lang w:val="uk-UA"/>
        </w:rPr>
        <w:t xml:space="preserve">91,204].  Більш низкі значення рівня </w:t>
      </w:r>
      <w:r w:rsidRPr="00ED67B0">
        <w:rPr>
          <w:sz w:val="28"/>
          <w:szCs w:val="28"/>
          <w:lang w:val="en-US"/>
        </w:rPr>
        <w:t>SH</w:t>
      </w:r>
      <w:r w:rsidRPr="00ED67B0">
        <w:rPr>
          <w:sz w:val="28"/>
          <w:szCs w:val="28"/>
          <w:lang w:val="uk-UA"/>
        </w:rPr>
        <w:t>-груп в  групі 3, незважаючи на прийом метформіну, можуть бути пояснені впливом СГТ на процеси АОЗ. Проведення кореляційного аналізу виявило наявність достовірних кореляційних зв’язків між рівнями ТТГ та SН-груп (</w:t>
      </w:r>
      <w:r w:rsidRPr="00ED67B0">
        <w:rPr>
          <w:sz w:val="28"/>
          <w:szCs w:val="28"/>
          <w:lang w:val="en-US"/>
        </w:rPr>
        <w:t>r</w:t>
      </w:r>
      <w:r w:rsidRPr="00ED67B0">
        <w:rPr>
          <w:sz w:val="28"/>
          <w:szCs w:val="28"/>
          <w:lang w:val="uk-UA"/>
        </w:rPr>
        <w:t>=-0,227, р=0,028)  та активністю ГПО (</w:t>
      </w:r>
      <w:r w:rsidRPr="00ED67B0">
        <w:rPr>
          <w:sz w:val="28"/>
          <w:szCs w:val="28"/>
          <w:lang w:val="en-US"/>
        </w:rPr>
        <w:t>r</w:t>
      </w:r>
      <w:r w:rsidRPr="00ED67B0">
        <w:rPr>
          <w:sz w:val="28"/>
          <w:szCs w:val="28"/>
          <w:lang w:val="uk-UA"/>
        </w:rPr>
        <w:t>=-0,226, р=0,029)  у  групі 3 та рівнями ТТГ та SН-груп (</w:t>
      </w:r>
      <w:r w:rsidRPr="00ED67B0">
        <w:rPr>
          <w:sz w:val="28"/>
          <w:szCs w:val="28"/>
          <w:lang w:val="en-US"/>
        </w:rPr>
        <w:t>r</w:t>
      </w:r>
      <w:r w:rsidRPr="00ED67B0">
        <w:rPr>
          <w:sz w:val="28"/>
          <w:szCs w:val="28"/>
          <w:lang w:val="uk-UA"/>
        </w:rPr>
        <w:t>=-0,252, р=0,002) та активністю ГПО (</w:t>
      </w:r>
      <w:r w:rsidRPr="00ED67B0">
        <w:rPr>
          <w:sz w:val="28"/>
          <w:szCs w:val="28"/>
          <w:lang w:val="en-US"/>
        </w:rPr>
        <w:t>r</w:t>
      </w:r>
      <w:r w:rsidRPr="00ED67B0">
        <w:rPr>
          <w:sz w:val="28"/>
          <w:szCs w:val="28"/>
          <w:lang w:val="uk-UA"/>
        </w:rPr>
        <w:t xml:space="preserve">=-0,204, р=0,011) у  групі 2, що підтверджує значну роль тиреоїдної функції в регуляції АОЗ зокрема й при еутиреоїдному стані. </w:t>
      </w:r>
    </w:p>
    <w:p w:rsidR="00E3259F" w:rsidRPr="00ED67B0" w:rsidRDefault="00E3259F" w:rsidP="00ED67B0">
      <w:pPr>
        <w:shd w:val="clear" w:color="auto" w:fill="FFFFFF"/>
        <w:spacing w:line="360" w:lineRule="auto"/>
        <w:ind w:firstLine="709"/>
        <w:jc w:val="both"/>
        <w:textAlignment w:val="top"/>
        <w:rPr>
          <w:i/>
          <w:iCs/>
          <w:sz w:val="28"/>
          <w:szCs w:val="28"/>
          <w:lang w:val="uk-UA"/>
        </w:rPr>
      </w:pPr>
      <w:r w:rsidRPr="00ED67B0">
        <w:rPr>
          <w:sz w:val="28"/>
          <w:szCs w:val="28"/>
          <w:lang w:val="uk-UA"/>
        </w:rPr>
        <w:t>Для уточнення впливу рівня ТТГ на показники ОС був проведений однофакторний дисперсійний аналіз, який виявив значний вплив ТТГ на активність ГПО (р=0,035) у пацієнтів з ГХ, ЦД 2 типу та СГТ та рівні МДА (р&lt;0,001) у пацієнтів з ГХ та ЦД 2 типу.</w:t>
      </w:r>
    </w:p>
    <w:p w:rsidR="00E3259F" w:rsidRPr="00ED67B0" w:rsidRDefault="00E3259F" w:rsidP="00ED67B0">
      <w:pPr>
        <w:spacing w:line="360" w:lineRule="auto"/>
        <w:ind w:firstLine="709"/>
        <w:jc w:val="both"/>
        <w:rPr>
          <w:sz w:val="28"/>
          <w:szCs w:val="28"/>
          <w:lang w:val="uk-UA"/>
        </w:rPr>
      </w:pPr>
      <w:r w:rsidRPr="00ED67B0">
        <w:rPr>
          <w:sz w:val="28"/>
          <w:szCs w:val="28"/>
          <w:lang w:val="uk-UA"/>
        </w:rPr>
        <w:t xml:space="preserve">Існує достатньо робіт, у яких продемонстрована достовірна наявність ОС при СГТ, зокрема як за рахунок підвищення маркерів оксидантної системи, так і за рахунок зниження АОЗ [147,413], але перважна більшість робіт була виконана на ізольованому СГТ. Незважаючи на те, що пацієнти, які були залучені до нашого дослідження, отримували сучасну антигіпертензивну та антидіабетичну терапію, ОС у пацієнтів з поєднаним перебігом ГХ, ЦД 2 типу та СГТ був більш вираженим, ніж при відсутності порушення функції ЩЗ, що підтверджувалося змінами відповідних показників. </w:t>
      </w:r>
    </w:p>
    <w:p w:rsidR="00E3259F" w:rsidRPr="00ED67B0" w:rsidRDefault="00E3259F" w:rsidP="00ED67B0">
      <w:pPr>
        <w:spacing w:line="360" w:lineRule="auto"/>
        <w:ind w:firstLine="709"/>
        <w:jc w:val="both"/>
        <w:rPr>
          <w:sz w:val="28"/>
          <w:szCs w:val="28"/>
          <w:lang w:val="uk-UA"/>
        </w:rPr>
      </w:pPr>
      <w:r w:rsidRPr="00ED67B0">
        <w:rPr>
          <w:sz w:val="28"/>
          <w:szCs w:val="28"/>
          <w:lang w:val="uk-UA"/>
        </w:rPr>
        <w:t>Згідно з отриманими даними серед досліджуваних груп не було настільки вираженого ОС, який можна було б очікувати, беручи до уваги наявність таких коморбідних патологій, як ГХ, ЦД 2 типу та СГТ, що супроводжуються значними порушеннями метаболізму як в цілому, так зокрема і інтенсифікацією ОС [</w:t>
      </w:r>
      <w:r w:rsidRPr="00ED67B0">
        <w:rPr>
          <w:bCs/>
          <w:sz w:val="28"/>
          <w:szCs w:val="28"/>
          <w:lang w:val="uk-UA"/>
        </w:rPr>
        <w:t>147,181,233,342</w:t>
      </w:r>
      <w:r w:rsidRPr="00ED67B0">
        <w:rPr>
          <w:sz w:val="28"/>
          <w:szCs w:val="28"/>
          <w:lang w:val="uk-UA"/>
        </w:rPr>
        <w:t>]. Про це свідчить незначна кількість статистично значущих відмінностей між пацієнтами з ізольованою ГХ та пацієнтами з коморбідною патологією.  Цей факт може бути пояснений наявністю серед терапевтичних втручань препаратів, які сприяють зменшенню проявів оксидативного стресу, зокрема амлодіпину, вальсартану, метформіну, ІАПФ, статинів [</w:t>
      </w:r>
      <w:bookmarkStart w:id="17" w:name="_Hlk43659903"/>
      <w:r w:rsidRPr="00ED67B0">
        <w:rPr>
          <w:sz w:val="28"/>
          <w:szCs w:val="28"/>
          <w:lang w:val="uk-UA"/>
        </w:rPr>
        <w:t>132,257,312,3</w:t>
      </w:r>
      <w:bookmarkEnd w:id="17"/>
      <w:r w:rsidRPr="00ED67B0">
        <w:rPr>
          <w:sz w:val="28"/>
          <w:szCs w:val="28"/>
          <w:lang w:val="uk-UA"/>
        </w:rPr>
        <w:t>91].</w:t>
      </w:r>
    </w:p>
    <w:p w:rsidR="00E3259F" w:rsidRPr="00ED67B0" w:rsidRDefault="00E3259F" w:rsidP="00ED67B0">
      <w:pPr>
        <w:spacing w:line="360" w:lineRule="auto"/>
        <w:ind w:firstLine="709"/>
        <w:jc w:val="both"/>
        <w:rPr>
          <w:bCs/>
          <w:iCs/>
          <w:kern w:val="36"/>
          <w:sz w:val="28"/>
          <w:szCs w:val="28"/>
          <w:lang w:val="uk-UA"/>
        </w:rPr>
      </w:pPr>
      <w:r w:rsidRPr="00ED67B0">
        <w:rPr>
          <w:bCs/>
          <w:iCs/>
          <w:kern w:val="36"/>
          <w:sz w:val="28"/>
          <w:szCs w:val="28"/>
          <w:lang w:val="uk-UA"/>
        </w:rPr>
        <w:t>Існують клінічні та експериментальні дані, що свідчать про більш високий антиоксидантний потенціал у жінок порівняно із чоловіками у фізіологічних умовах [251]. Ці дослідження показують, що існує очевидний зв'язок між статтю та ОС, коли жінки здаються менш сприйнятливими до нього. При деяких захворюваннях серцево-судинної системи, ЩЗ, старінні, ЦД спостерігали різницю між статтю та ступеням ОС, хоча цей зв`язок залишається спірним і до цього часу, але при коморбідній патології ці відмінності майже не досліджувались [209,251]. З метою дослідження гендерних відмінностей ОС у пацієнтів з поєднаним перебігом ГХ та ЦД 2 типу при різному функціональному стані ЩЗ, було проведено порівняльне оцінювання показників ОС у жінок та в чоловіків (Таблица 4.2).</w:t>
      </w:r>
    </w:p>
    <w:p w:rsidR="00E3259F" w:rsidRDefault="00E3259F" w:rsidP="00E3259F">
      <w:pPr>
        <w:spacing w:line="360" w:lineRule="auto"/>
        <w:ind w:firstLine="709"/>
        <w:jc w:val="right"/>
        <w:rPr>
          <w:bCs/>
          <w:iCs/>
          <w:kern w:val="36"/>
          <w:sz w:val="28"/>
          <w:szCs w:val="28"/>
          <w:lang w:val="uk-UA"/>
        </w:rPr>
      </w:pPr>
      <w:r>
        <w:rPr>
          <w:bCs/>
          <w:iCs/>
          <w:kern w:val="36"/>
          <w:sz w:val="28"/>
          <w:szCs w:val="28"/>
          <w:lang w:val="uk-UA"/>
        </w:rPr>
        <w:t>Таблиця 4.2</w:t>
      </w:r>
    </w:p>
    <w:p w:rsidR="00E3259F" w:rsidRDefault="00E3259F" w:rsidP="00E3259F">
      <w:pPr>
        <w:spacing w:line="360" w:lineRule="auto"/>
        <w:ind w:firstLine="709"/>
        <w:jc w:val="center"/>
        <w:rPr>
          <w:rFonts w:asciiTheme="minorHAnsi" w:eastAsia="Calibri" w:hAnsiTheme="minorHAnsi" w:cstheme="minorBidi"/>
          <w:sz w:val="28"/>
          <w:szCs w:val="28"/>
          <w:lang w:val="uk-UA"/>
        </w:rPr>
      </w:pPr>
      <w:r>
        <w:rPr>
          <w:bCs/>
          <w:iCs/>
          <w:kern w:val="36"/>
          <w:sz w:val="28"/>
          <w:szCs w:val="28"/>
          <w:lang w:val="uk-UA"/>
        </w:rPr>
        <w:t xml:space="preserve">Гендерні особливості показників оксидативного стресу в пацієнтів з коморбідною патологією залежно від функції щитоподібної залози,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r>
        <w:rPr>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1"/>
        <w:gridCol w:w="2409"/>
        <w:gridCol w:w="1985"/>
        <w:gridCol w:w="2375"/>
      </w:tblGrid>
      <w:tr w:rsidR="00E3259F" w:rsidRPr="00ED67B0" w:rsidTr="00E3259F">
        <w:trPr>
          <w:trHeight w:val="1051"/>
        </w:trPr>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uk-UA" w:eastAsia="en-US"/>
              </w:rPr>
            </w:pPr>
            <w:r w:rsidRPr="00ED67B0">
              <w:rPr>
                <w:bCs/>
                <w:iCs/>
                <w:kern w:val="36"/>
                <w:sz w:val="28"/>
                <w:szCs w:val="28"/>
                <w:lang w:val="uk-UA" w:eastAsia="en-US"/>
              </w:rPr>
              <w:t>Показник</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jc w:val="both"/>
              <w:rPr>
                <w:sz w:val="28"/>
                <w:szCs w:val="28"/>
                <w:lang w:val="uk-UA" w:eastAsia="en-US"/>
              </w:rPr>
            </w:pPr>
            <w:r w:rsidRPr="00ED67B0">
              <w:rPr>
                <w:sz w:val="28"/>
                <w:szCs w:val="28"/>
                <w:lang w:eastAsia="en-US"/>
              </w:rPr>
              <w:t>МДА</w:t>
            </w:r>
            <w:r w:rsidRPr="00ED67B0">
              <w:rPr>
                <w:sz w:val="28"/>
                <w:szCs w:val="28"/>
                <w:lang w:val="uk-UA" w:eastAsia="en-US"/>
              </w:rPr>
              <w:t>,</w:t>
            </w:r>
          </w:p>
          <w:p w:rsidR="00E3259F" w:rsidRPr="00ED67B0" w:rsidRDefault="00E3259F" w:rsidP="00ED67B0">
            <w:pPr>
              <w:spacing w:line="360" w:lineRule="auto"/>
              <w:rPr>
                <w:rFonts w:eastAsia="Calibri"/>
                <w:b/>
                <w:sz w:val="28"/>
                <w:szCs w:val="28"/>
                <w:lang w:val="uk-UA" w:eastAsia="en-US"/>
              </w:rPr>
            </w:pPr>
            <w:r w:rsidRPr="00ED67B0">
              <w:rPr>
                <w:sz w:val="28"/>
                <w:szCs w:val="28"/>
                <w:lang w:eastAsia="en-US"/>
              </w:rPr>
              <w:t>мкмоль/л</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b/>
                <w:sz w:val="28"/>
                <w:szCs w:val="28"/>
                <w:lang w:val="uk-UA" w:eastAsia="en-US"/>
              </w:rPr>
            </w:pPr>
            <w:r w:rsidRPr="00ED67B0">
              <w:rPr>
                <w:sz w:val="28"/>
                <w:szCs w:val="28"/>
                <w:lang w:eastAsia="en-US"/>
              </w:rPr>
              <w:t>ГПО</w:t>
            </w:r>
            <w:r w:rsidRPr="00ED67B0">
              <w:rPr>
                <w:sz w:val="28"/>
                <w:szCs w:val="28"/>
                <w:lang w:val="uk-UA" w:eastAsia="en-US"/>
              </w:rPr>
              <w:t xml:space="preserve">, </w:t>
            </w:r>
            <w:r w:rsidRPr="00ED67B0">
              <w:rPr>
                <w:sz w:val="28"/>
                <w:szCs w:val="28"/>
                <w:lang w:eastAsia="en-US"/>
              </w:rPr>
              <w:t>мккат/гНв</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b/>
                <w:sz w:val="28"/>
                <w:szCs w:val="28"/>
                <w:lang w:val="uk-UA" w:eastAsia="en-US"/>
              </w:rPr>
            </w:pPr>
            <w:r w:rsidRPr="00ED67B0">
              <w:rPr>
                <w:sz w:val="28"/>
                <w:szCs w:val="28"/>
                <w:lang w:val="en-US" w:eastAsia="en-US"/>
              </w:rPr>
              <w:t>SH</w:t>
            </w:r>
            <w:r w:rsidRPr="00ED67B0">
              <w:rPr>
                <w:sz w:val="28"/>
                <w:szCs w:val="28"/>
                <w:lang w:eastAsia="en-US"/>
              </w:rPr>
              <w:t>-груп</w:t>
            </w:r>
            <w:r w:rsidRPr="00ED67B0">
              <w:rPr>
                <w:sz w:val="28"/>
                <w:szCs w:val="28"/>
                <w:lang w:val="uk-UA" w:eastAsia="en-US"/>
              </w:rPr>
              <w:t>и,</w:t>
            </w:r>
            <w:r w:rsidRPr="00ED67B0">
              <w:rPr>
                <w:sz w:val="28"/>
                <w:szCs w:val="28"/>
                <w:lang w:eastAsia="en-US"/>
              </w:rPr>
              <w:t xml:space="preserve"> м</w:t>
            </w:r>
            <w:r w:rsidRPr="00ED67B0">
              <w:rPr>
                <w:sz w:val="28"/>
                <w:szCs w:val="28"/>
                <w:lang w:val="uk-UA" w:eastAsia="en-US"/>
              </w:rPr>
              <w:t>к</w:t>
            </w:r>
            <w:r w:rsidRPr="00ED67B0">
              <w:rPr>
                <w:sz w:val="28"/>
                <w:szCs w:val="28"/>
                <w:lang w:eastAsia="en-US"/>
              </w:rPr>
              <w:t>моль/л</w:t>
            </w:r>
          </w:p>
        </w:tc>
      </w:tr>
      <w:tr w:rsidR="00E3259F" w:rsidRPr="00ED67B0" w:rsidTr="00E3259F">
        <w:tc>
          <w:tcPr>
            <w:tcW w:w="9571" w:type="dxa"/>
            <w:gridSpan w:val="4"/>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uk-UA" w:eastAsia="en-US"/>
              </w:rPr>
            </w:pPr>
            <w:r w:rsidRPr="00ED67B0">
              <w:rPr>
                <w:bCs/>
                <w:iCs/>
                <w:kern w:val="36"/>
                <w:sz w:val="28"/>
                <w:szCs w:val="28"/>
                <w:lang w:val="uk-UA" w:eastAsia="en-US"/>
              </w:rPr>
              <w:t>2 група (</w:t>
            </w:r>
            <w:r w:rsidRPr="00ED67B0">
              <w:rPr>
                <w:bCs/>
                <w:iCs/>
                <w:kern w:val="36"/>
                <w:sz w:val="28"/>
                <w:szCs w:val="28"/>
                <w:lang w:val="en-US" w:eastAsia="en-US"/>
              </w:rPr>
              <w:t>n</w:t>
            </w:r>
            <w:r w:rsidRPr="00ED67B0">
              <w:rPr>
                <w:bCs/>
                <w:iCs/>
                <w:kern w:val="36"/>
                <w:sz w:val="28"/>
                <w:szCs w:val="28"/>
                <w:lang w:val="uk-UA" w:eastAsia="en-US"/>
              </w:rPr>
              <w:t>=156)</w:t>
            </w:r>
          </w:p>
        </w:tc>
      </w:tr>
      <w:tr w:rsidR="00E3259F" w:rsidRPr="00ED67B0"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en-US" w:eastAsia="en-US"/>
              </w:rPr>
            </w:pPr>
            <w:r w:rsidRPr="00ED67B0">
              <w:rPr>
                <w:bCs/>
                <w:iCs/>
                <w:kern w:val="36"/>
                <w:sz w:val="28"/>
                <w:szCs w:val="28"/>
                <w:lang w:val="uk-UA" w:eastAsia="en-US"/>
              </w:rPr>
              <w:t>Жінки (</w:t>
            </w:r>
            <w:r w:rsidRPr="00ED67B0">
              <w:rPr>
                <w:bCs/>
                <w:iCs/>
                <w:kern w:val="36"/>
                <w:sz w:val="28"/>
                <w:szCs w:val="28"/>
                <w:lang w:val="en-US" w:eastAsia="en-US"/>
              </w:rPr>
              <w:t>n=75</w:t>
            </w:r>
            <w:r w:rsidRPr="00ED67B0">
              <w:rPr>
                <w:bCs/>
                <w:iCs/>
                <w:kern w:val="36"/>
                <w:sz w:val="28"/>
                <w:szCs w:val="28"/>
                <w:lang w:val="uk-UA" w:eastAsia="en-US"/>
              </w:rPr>
              <w:t>)</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sz w:val="28"/>
                <w:szCs w:val="28"/>
                <w:lang w:val="uk-UA" w:eastAsia="en-US"/>
              </w:rPr>
            </w:pPr>
            <w:r w:rsidRPr="00ED67B0">
              <w:rPr>
                <w:sz w:val="28"/>
                <w:szCs w:val="28"/>
                <w:lang w:eastAsia="en-US"/>
              </w:rPr>
              <w:t>6,</w:t>
            </w:r>
            <w:r w:rsidRPr="00ED67B0">
              <w:rPr>
                <w:sz w:val="28"/>
                <w:szCs w:val="28"/>
                <w:lang w:val="uk-UA" w:eastAsia="en-US"/>
              </w:rPr>
              <w:t>60</w:t>
            </w:r>
            <w:r w:rsidRPr="00ED67B0">
              <w:rPr>
                <w:sz w:val="28"/>
                <w:szCs w:val="28"/>
                <w:lang w:eastAsia="en-US"/>
              </w:rPr>
              <w:t>±</w:t>
            </w:r>
            <w:r w:rsidRPr="00ED67B0">
              <w:rPr>
                <w:sz w:val="28"/>
                <w:szCs w:val="28"/>
                <w:lang w:val="uk-UA" w:eastAsia="en-US"/>
              </w:rPr>
              <w:t>0</w:t>
            </w:r>
            <w:r w:rsidRPr="00ED67B0">
              <w:rPr>
                <w:sz w:val="28"/>
                <w:szCs w:val="28"/>
                <w:lang w:eastAsia="en-US"/>
              </w:rPr>
              <w:t>,2</w:t>
            </w:r>
            <w:r w:rsidRPr="00ED67B0">
              <w:rPr>
                <w:sz w:val="28"/>
                <w:szCs w:val="28"/>
                <w:lang w:val="uk-UA" w:eastAsia="en-US"/>
              </w:rPr>
              <w:t>1</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sz w:val="28"/>
                <w:szCs w:val="28"/>
                <w:lang w:val="en-US" w:eastAsia="en-US"/>
              </w:rPr>
            </w:pPr>
            <w:r w:rsidRPr="00ED67B0">
              <w:rPr>
                <w:sz w:val="28"/>
                <w:szCs w:val="28"/>
                <w:lang w:eastAsia="en-US"/>
              </w:rPr>
              <w:t>5,72±</w:t>
            </w:r>
            <w:r w:rsidRPr="00ED67B0">
              <w:rPr>
                <w:sz w:val="28"/>
                <w:szCs w:val="28"/>
                <w:lang w:val="uk-UA" w:eastAsia="en-US"/>
              </w:rPr>
              <w:t>0</w:t>
            </w:r>
            <w:r w:rsidRPr="00ED67B0">
              <w:rPr>
                <w:sz w:val="28"/>
                <w:szCs w:val="28"/>
                <w:lang w:eastAsia="en-US"/>
              </w:rPr>
              <w:t>,16</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val="en-US" w:eastAsia="en-US"/>
              </w:rPr>
            </w:pPr>
            <w:r w:rsidRPr="00ED67B0">
              <w:rPr>
                <w:sz w:val="28"/>
                <w:szCs w:val="28"/>
                <w:lang w:eastAsia="en-US"/>
              </w:rPr>
              <w:t>577,21±10,27</w:t>
            </w:r>
          </w:p>
        </w:tc>
      </w:tr>
      <w:tr w:rsidR="00E3259F" w:rsidRPr="00ED67B0"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en-US" w:eastAsia="en-US"/>
              </w:rPr>
            </w:pPr>
            <w:r w:rsidRPr="00ED67B0">
              <w:rPr>
                <w:bCs/>
                <w:iCs/>
                <w:kern w:val="36"/>
                <w:sz w:val="28"/>
                <w:szCs w:val="28"/>
                <w:lang w:val="uk-UA" w:eastAsia="en-US"/>
              </w:rPr>
              <w:t>Чоловіки (</w:t>
            </w:r>
            <w:r w:rsidRPr="00ED67B0">
              <w:rPr>
                <w:bCs/>
                <w:iCs/>
                <w:kern w:val="36"/>
                <w:sz w:val="28"/>
                <w:szCs w:val="28"/>
                <w:lang w:val="en-US" w:eastAsia="en-US"/>
              </w:rPr>
              <w:t>n=81)</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sz w:val="28"/>
                <w:szCs w:val="28"/>
                <w:lang w:eastAsia="en-US"/>
              </w:rPr>
            </w:pPr>
            <w:r w:rsidRPr="00ED67B0">
              <w:rPr>
                <w:sz w:val="28"/>
                <w:szCs w:val="28"/>
                <w:lang w:eastAsia="en-US"/>
              </w:rPr>
              <w:t>6,37±</w:t>
            </w:r>
            <w:r w:rsidRPr="00ED67B0">
              <w:rPr>
                <w:sz w:val="28"/>
                <w:szCs w:val="28"/>
                <w:lang w:val="uk-UA" w:eastAsia="en-US"/>
              </w:rPr>
              <w:t>0</w:t>
            </w:r>
            <w:r w:rsidRPr="00ED67B0">
              <w:rPr>
                <w:sz w:val="28"/>
                <w:szCs w:val="28"/>
                <w:lang w:eastAsia="en-US"/>
              </w:rPr>
              <w:t>,</w:t>
            </w:r>
            <w:r w:rsidRPr="00ED67B0">
              <w:rPr>
                <w:sz w:val="28"/>
                <w:szCs w:val="28"/>
                <w:lang w:val="uk-UA" w:eastAsia="en-US"/>
              </w:rPr>
              <w:t>20</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sz w:val="28"/>
                <w:szCs w:val="28"/>
                <w:lang w:eastAsia="en-US"/>
              </w:rPr>
            </w:pPr>
            <w:r w:rsidRPr="00ED67B0">
              <w:rPr>
                <w:sz w:val="28"/>
                <w:szCs w:val="28"/>
                <w:lang w:eastAsia="en-US"/>
              </w:rPr>
              <w:t>5,1</w:t>
            </w:r>
            <w:r w:rsidRPr="00ED67B0">
              <w:rPr>
                <w:sz w:val="28"/>
                <w:szCs w:val="28"/>
                <w:lang w:val="uk-UA" w:eastAsia="en-US"/>
              </w:rPr>
              <w:t>3</w:t>
            </w:r>
            <w:r w:rsidRPr="00ED67B0">
              <w:rPr>
                <w:sz w:val="28"/>
                <w:szCs w:val="28"/>
                <w:lang w:eastAsia="en-US"/>
              </w:rPr>
              <w:t>±</w:t>
            </w:r>
            <w:r w:rsidRPr="00ED67B0">
              <w:rPr>
                <w:sz w:val="28"/>
                <w:szCs w:val="28"/>
                <w:lang w:val="uk-UA" w:eastAsia="en-US"/>
              </w:rPr>
              <w:t>0</w:t>
            </w:r>
            <w:r w:rsidRPr="00ED67B0">
              <w:rPr>
                <w:sz w:val="28"/>
                <w:szCs w:val="28"/>
                <w:lang w:eastAsia="en-US"/>
              </w:rPr>
              <w:t>,14</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val="en-US" w:eastAsia="en-US"/>
              </w:rPr>
            </w:pPr>
            <w:r w:rsidRPr="00ED67B0">
              <w:rPr>
                <w:sz w:val="28"/>
                <w:szCs w:val="28"/>
                <w:lang w:eastAsia="en-US"/>
              </w:rPr>
              <w:t>572,67±6,87</w:t>
            </w:r>
          </w:p>
        </w:tc>
      </w:tr>
      <w:tr w:rsidR="00E3259F" w:rsidRPr="00ED67B0"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uk-UA" w:eastAsia="en-US"/>
              </w:rPr>
            </w:pPr>
            <w:r w:rsidRPr="00ED67B0">
              <w:rPr>
                <w:bCs/>
                <w:iCs/>
                <w:kern w:val="36"/>
                <w:sz w:val="28"/>
                <w:szCs w:val="28"/>
                <w:lang w:val="uk-UA" w:eastAsia="en-US"/>
              </w:rPr>
              <w:t>Значимість, р</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val="uk-UA" w:eastAsia="en-US"/>
              </w:rPr>
              <w:t>р&gt;0,05</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val="uk-UA" w:eastAsia="en-US"/>
              </w:rPr>
              <w:t>р=0</w:t>
            </w:r>
            <w:r w:rsidRPr="00ED67B0">
              <w:rPr>
                <w:sz w:val="28"/>
                <w:szCs w:val="28"/>
                <w:lang w:eastAsia="en-US"/>
              </w:rPr>
              <w:t>,006</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val="uk-UA" w:eastAsia="en-US"/>
              </w:rPr>
              <w:t>р&gt;0,05</w:t>
            </w:r>
          </w:p>
        </w:tc>
      </w:tr>
      <w:tr w:rsidR="00E3259F" w:rsidRPr="00ED67B0" w:rsidTr="00E3259F">
        <w:tc>
          <w:tcPr>
            <w:tcW w:w="9571" w:type="dxa"/>
            <w:gridSpan w:val="4"/>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uk-UA" w:eastAsia="en-US"/>
              </w:rPr>
            </w:pPr>
            <w:r w:rsidRPr="00ED67B0">
              <w:rPr>
                <w:bCs/>
                <w:iCs/>
                <w:kern w:val="36"/>
                <w:sz w:val="28"/>
                <w:szCs w:val="28"/>
                <w:lang w:val="uk-UA" w:eastAsia="en-US"/>
              </w:rPr>
              <w:t>3 група (</w:t>
            </w:r>
            <w:r w:rsidRPr="00ED67B0">
              <w:rPr>
                <w:bCs/>
                <w:iCs/>
                <w:kern w:val="36"/>
                <w:sz w:val="28"/>
                <w:szCs w:val="28"/>
                <w:lang w:val="en-US" w:eastAsia="en-US"/>
              </w:rPr>
              <w:t>n=</w:t>
            </w:r>
            <w:r w:rsidRPr="00ED67B0">
              <w:rPr>
                <w:bCs/>
                <w:iCs/>
                <w:kern w:val="36"/>
                <w:sz w:val="28"/>
                <w:szCs w:val="28"/>
                <w:lang w:val="uk-UA" w:eastAsia="en-US"/>
              </w:rPr>
              <w:t>93</w:t>
            </w:r>
            <w:r w:rsidRPr="00ED67B0">
              <w:rPr>
                <w:bCs/>
                <w:iCs/>
                <w:kern w:val="36"/>
                <w:sz w:val="28"/>
                <w:szCs w:val="28"/>
                <w:lang w:val="en-US" w:eastAsia="en-US"/>
              </w:rPr>
              <w:t>)</w:t>
            </w:r>
          </w:p>
        </w:tc>
      </w:tr>
      <w:tr w:rsidR="00E3259F" w:rsidRPr="00ED67B0"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en-US" w:eastAsia="en-US"/>
              </w:rPr>
            </w:pPr>
            <w:r w:rsidRPr="00ED67B0">
              <w:rPr>
                <w:bCs/>
                <w:iCs/>
                <w:kern w:val="36"/>
                <w:sz w:val="28"/>
                <w:szCs w:val="28"/>
                <w:lang w:val="uk-UA" w:eastAsia="en-US"/>
              </w:rPr>
              <w:t>Жінки</w:t>
            </w:r>
            <w:r w:rsidRPr="00ED67B0">
              <w:rPr>
                <w:bCs/>
                <w:iCs/>
                <w:kern w:val="36"/>
                <w:sz w:val="28"/>
                <w:szCs w:val="28"/>
                <w:lang w:val="en-US" w:eastAsia="en-US"/>
              </w:rPr>
              <w:t xml:space="preserve"> (n=81)</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eastAsia="en-US"/>
              </w:rPr>
              <w:t>6,67±</w:t>
            </w:r>
            <w:r w:rsidRPr="00ED67B0">
              <w:rPr>
                <w:sz w:val="28"/>
                <w:szCs w:val="28"/>
                <w:lang w:val="uk-UA" w:eastAsia="en-US"/>
              </w:rPr>
              <w:t>0</w:t>
            </w:r>
            <w:r w:rsidRPr="00ED67B0">
              <w:rPr>
                <w:sz w:val="28"/>
                <w:szCs w:val="28"/>
                <w:lang w:eastAsia="en-US"/>
              </w:rPr>
              <w:t>,1</w:t>
            </w:r>
            <w:r w:rsidRPr="00ED67B0">
              <w:rPr>
                <w:sz w:val="28"/>
                <w:szCs w:val="28"/>
                <w:lang w:val="uk-UA" w:eastAsia="en-US"/>
              </w:rPr>
              <w:t>7</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eastAsia="en-US"/>
              </w:rPr>
              <w:t>5,2</w:t>
            </w:r>
            <w:r w:rsidRPr="00ED67B0">
              <w:rPr>
                <w:sz w:val="28"/>
                <w:szCs w:val="28"/>
                <w:lang w:val="uk-UA" w:eastAsia="en-US"/>
              </w:rPr>
              <w:t>3</w:t>
            </w:r>
            <w:r w:rsidRPr="00ED67B0">
              <w:rPr>
                <w:sz w:val="28"/>
                <w:szCs w:val="28"/>
                <w:lang w:eastAsia="en-US"/>
              </w:rPr>
              <w:t>±</w:t>
            </w:r>
            <w:r w:rsidRPr="00ED67B0">
              <w:rPr>
                <w:sz w:val="28"/>
                <w:szCs w:val="28"/>
                <w:lang w:val="uk-UA" w:eastAsia="en-US"/>
              </w:rPr>
              <w:t>0</w:t>
            </w:r>
            <w:r w:rsidRPr="00ED67B0">
              <w:rPr>
                <w:sz w:val="28"/>
                <w:szCs w:val="28"/>
                <w:lang w:eastAsia="en-US"/>
              </w:rPr>
              <w:t>,1</w:t>
            </w:r>
            <w:r w:rsidRPr="00ED67B0">
              <w:rPr>
                <w:sz w:val="28"/>
                <w:szCs w:val="28"/>
                <w:lang w:val="uk-UA" w:eastAsia="en-US"/>
              </w:rPr>
              <w:t>4</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sz w:val="28"/>
                <w:szCs w:val="28"/>
                <w:lang w:val="en-US" w:eastAsia="en-US"/>
              </w:rPr>
            </w:pPr>
            <w:r w:rsidRPr="00ED67B0">
              <w:rPr>
                <w:sz w:val="28"/>
                <w:szCs w:val="28"/>
                <w:lang w:eastAsia="en-US"/>
              </w:rPr>
              <w:t>560,06±9,6</w:t>
            </w:r>
            <w:r w:rsidRPr="00ED67B0">
              <w:rPr>
                <w:sz w:val="28"/>
                <w:szCs w:val="28"/>
                <w:lang w:val="uk-UA" w:eastAsia="en-US"/>
              </w:rPr>
              <w:t>9</w:t>
            </w:r>
          </w:p>
        </w:tc>
      </w:tr>
      <w:tr w:rsidR="00E3259F" w:rsidRPr="00ED67B0"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en-US" w:eastAsia="en-US"/>
              </w:rPr>
            </w:pPr>
            <w:r w:rsidRPr="00ED67B0">
              <w:rPr>
                <w:bCs/>
                <w:iCs/>
                <w:kern w:val="36"/>
                <w:sz w:val="28"/>
                <w:szCs w:val="28"/>
                <w:lang w:val="uk-UA" w:eastAsia="en-US"/>
              </w:rPr>
              <w:t xml:space="preserve">Чоловіки </w:t>
            </w:r>
            <w:r w:rsidRPr="00ED67B0">
              <w:rPr>
                <w:bCs/>
                <w:iCs/>
                <w:kern w:val="36"/>
                <w:sz w:val="28"/>
                <w:szCs w:val="28"/>
                <w:lang w:val="en-US" w:eastAsia="en-US"/>
              </w:rPr>
              <w:t>(n=12)</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eastAsia="en-US"/>
              </w:rPr>
              <w:t>6,75±</w:t>
            </w:r>
            <w:r w:rsidRPr="00ED67B0">
              <w:rPr>
                <w:sz w:val="28"/>
                <w:szCs w:val="28"/>
                <w:lang w:val="uk-UA" w:eastAsia="en-US"/>
              </w:rPr>
              <w:t>0</w:t>
            </w:r>
            <w:r w:rsidRPr="00ED67B0">
              <w:rPr>
                <w:sz w:val="28"/>
                <w:szCs w:val="28"/>
                <w:lang w:eastAsia="en-US"/>
              </w:rPr>
              <w:t>,3</w:t>
            </w:r>
            <w:r w:rsidRPr="00ED67B0">
              <w:rPr>
                <w:sz w:val="28"/>
                <w:szCs w:val="28"/>
                <w:lang w:val="uk-UA" w:eastAsia="en-US"/>
              </w:rPr>
              <w:t>2</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eastAsia="en-US"/>
              </w:rPr>
              <w:t>4,92±</w:t>
            </w:r>
            <w:r w:rsidRPr="00ED67B0">
              <w:rPr>
                <w:sz w:val="28"/>
                <w:szCs w:val="28"/>
                <w:lang w:val="uk-UA" w:eastAsia="en-US"/>
              </w:rPr>
              <w:t>0</w:t>
            </w:r>
            <w:r w:rsidRPr="00ED67B0">
              <w:rPr>
                <w:sz w:val="28"/>
                <w:szCs w:val="28"/>
                <w:lang w:eastAsia="en-US"/>
              </w:rPr>
              <w:t>,3</w:t>
            </w:r>
            <w:r w:rsidRPr="00ED67B0">
              <w:rPr>
                <w:sz w:val="28"/>
                <w:szCs w:val="28"/>
                <w:lang w:val="uk-UA" w:eastAsia="en-US"/>
              </w:rPr>
              <w:t>9</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rFonts w:eastAsia="Calibri"/>
                <w:sz w:val="28"/>
                <w:szCs w:val="28"/>
                <w:lang w:eastAsia="en-US"/>
              </w:rPr>
            </w:pPr>
            <w:r w:rsidRPr="00ED67B0">
              <w:rPr>
                <w:sz w:val="28"/>
                <w:szCs w:val="28"/>
                <w:lang w:eastAsia="en-US"/>
              </w:rPr>
              <w:t>608,50±27,30</w:t>
            </w:r>
          </w:p>
        </w:tc>
      </w:tr>
      <w:tr w:rsidR="00E3259F" w:rsidRPr="00ED67B0"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bCs/>
                <w:iCs/>
                <w:kern w:val="36"/>
                <w:sz w:val="28"/>
                <w:szCs w:val="28"/>
                <w:lang w:val="uk-UA" w:eastAsia="en-US"/>
              </w:rPr>
            </w:pPr>
            <w:r w:rsidRPr="00ED67B0">
              <w:rPr>
                <w:bCs/>
                <w:iCs/>
                <w:kern w:val="36"/>
                <w:sz w:val="28"/>
                <w:szCs w:val="28"/>
                <w:lang w:val="uk-UA" w:eastAsia="en-US"/>
              </w:rPr>
              <w:t>Значимість, р</w:t>
            </w:r>
          </w:p>
        </w:tc>
        <w:tc>
          <w:tcPr>
            <w:tcW w:w="2409"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val="en-US" w:eastAsia="en-US"/>
              </w:rPr>
            </w:pPr>
            <w:r w:rsidRPr="00ED67B0">
              <w:rPr>
                <w:sz w:val="28"/>
                <w:szCs w:val="28"/>
                <w:lang w:val="uk-UA" w:eastAsia="en-US"/>
              </w:rPr>
              <w:t>р&gt;0,05</w:t>
            </w:r>
          </w:p>
        </w:tc>
        <w:tc>
          <w:tcPr>
            <w:tcW w:w="198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val="uk-UA" w:eastAsia="en-US"/>
              </w:rPr>
              <w:t>р&gt;0,05</w:t>
            </w:r>
          </w:p>
        </w:tc>
        <w:tc>
          <w:tcPr>
            <w:tcW w:w="2375" w:type="dxa"/>
            <w:tcBorders>
              <w:top w:val="single" w:sz="4" w:space="0" w:color="auto"/>
              <w:left w:val="single" w:sz="4" w:space="0" w:color="auto"/>
              <w:bottom w:val="single" w:sz="4" w:space="0" w:color="auto"/>
              <w:right w:val="single" w:sz="4" w:space="0" w:color="auto"/>
            </w:tcBorders>
            <w:hideMark/>
          </w:tcPr>
          <w:p w:rsidR="00E3259F" w:rsidRPr="00ED67B0" w:rsidRDefault="00E3259F" w:rsidP="00ED67B0">
            <w:pPr>
              <w:spacing w:line="360" w:lineRule="auto"/>
              <w:rPr>
                <w:sz w:val="28"/>
                <w:szCs w:val="28"/>
                <w:lang w:eastAsia="en-US"/>
              </w:rPr>
            </w:pPr>
            <w:r w:rsidRPr="00ED67B0">
              <w:rPr>
                <w:sz w:val="28"/>
                <w:szCs w:val="28"/>
                <w:lang w:val="uk-UA" w:eastAsia="en-US"/>
              </w:rPr>
              <w:t>р&gt;0,05</w:t>
            </w:r>
          </w:p>
        </w:tc>
      </w:tr>
    </w:tbl>
    <w:p w:rsidR="00E3259F" w:rsidRDefault="00E3259F" w:rsidP="00E3259F">
      <w:pPr>
        <w:rPr>
          <w:rFonts w:asciiTheme="minorHAnsi" w:eastAsiaTheme="minorHAnsi" w:hAnsiTheme="minorHAnsi" w:cstheme="minorBidi"/>
          <w:sz w:val="28"/>
          <w:szCs w:val="28"/>
          <w:lang w:val="uk-UA" w:eastAsia="en-US"/>
        </w:rPr>
      </w:pPr>
    </w:p>
    <w:p w:rsidR="00E3259F" w:rsidRDefault="00E3259F" w:rsidP="00E3259F">
      <w:pPr>
        <w:spacing w:line="360" w:lineRule="auto"/>
        <w:ind w:firstLine="709"/>
        <w:jc w:val="both"/>
        <w:rPr>
          <w:sz w:val="28"/>
          <w:szCs w:val="28"/>
          <w:lang w:val="uk-UA"/>
        </w:rPr>
      </w:pPr>
    </w:p>
    <w:p w:rsidR="00E3259F" w:rsidRPr="00ED67B0" w:rsidRDefault="00E3259F" w:rsidP="00E3259F">
      <w:pPr>
        <w:spacing w:line="360" w:lineRule="auto"/>
        <w:ind w:firstLine="709"/>
        <w:jc w:val="both"/>
        <w:rPr>
          <w:sz w:val="28"/>
          <w:szCs w:val="28"/>
          <w:lang w:val="uk-UA"/>
        </w:rPr>
      </w:pPr>
      <w:r w:rsidRPr="00ED67B0">
        <w:rPr>
          <w:sz w:val="28"/>
          <w:szCs w:val="28"/>
          <w:lang w:val="uk-UA"/>
        </w:rPr>
        <w:t xml:space="preserve">Проведення порівняльного аналізу показників ОС у групах залежно від статі виявило більш виражене напруження ОС у жінок при неушкодженій функції ЩЗ: підвищення рівня МДА при наявності підвищеної активності ГПО та рівня </w:t>
      </w:r>
      <w:r w:rsidRPr="00ED67B0">
        <w:rPr>
          <w:sz w:val="28"/>
          <w:szCs w:val="28"/>
          <w:lang w:val="en-US"/>
        </w:rPr>
        <w:t>SH</w:t>
      </w:r>
      <w:r w:rsidRPr="00ED67B0">
        <w:rPr>
          <w:sz w:val="28"/>
          <w:szCs w:val="28"/>
          <w:lang w:val="uk-UA"/>
        </w:rPr>
        <w:t xml:space="preserve">-груп, проте достовірні відмінності спостерігалися тільки при порівнянні активності ГПО (р=0,006) і, навпаки, при наявності СГТ на тлі поєднаного перебігу ГХ та ЦД 2 типу ОС був більше виражений у чоловіків, що проявлялося більш високими рівнями МДА, нижчою активністю ГПО та вищіми рівнями </w:t>
      </w:r>
      <w:r w:rsidRPr="00ED67B0">
        <w:rPr>
          <w:sz w:val="28"/>
          <w:szCs w:val="28"/>
          <w:lang w:val="en-US"/>
        </w:rPr>
        <w:t>SH</w:t>
      </w:r>
      <w:r w:rsidRPr="00ED67B0">
        <w:rPr>
          <w:sz w:val="28"/>
          <w:szCs w:val="28"/>
          <w:lang w:val="uk-UA"/>
        </w:rPr>
        <w:t xml:space="preserve">-груп, що може бути компенсаторним механізмом антиоксидантної системи, але всі ці відмінності були недостовірні. </w:t>
      </w:r>
    </w:p>
    <w:p w:rsidR="00E3259F" w:rsidRPr="00ED67B0" w:rsidRDefault="00E3259F" w:rsidP="00E3259F">
      <w:pPr>
        <w:spacing w:line="360" w:lineRule="auto"/>
        <w:ind w:firstLine="709"/>
        <w:jc w:val="both"/>
        <w:rPr>
          <w:sz w:val="28"/>
          <w:szCs w:val="28"/>
          <w:lang w:val="uk-UA"/>
        </w:rPr>
      </w:pPr>
      <w:r w:rsidRPr="00ED67B0">
        <w:rPr>
          <w:sz w:val="28"/>
          <w:szCs w:val="28"/>
          <w:shd w:val="clear" w:color="auto" w:fill="FFFFFF"/>
          <w:lang w:val="uk-UA"/>
        </w:rPr>
        <w:t>Для визначення впливу статі на показники ОС у пацієнтів досліджуваних груп використовувався однофакторний дисперсійний аналіз, який виявив достовірно значимий вплив статі на активність ГПО (р=0,006) у групі пацієнтів з ГХ та ЦД 2 типу.</w:t>
      </w:r>
    </w:p>
    <w:p w:rsidR="00E3259F" w:rsidRPr="00ED67B0" w:rsidRDefault="00E3259F" w:rsidP="00ED67B0">
      <w:pPr>
        <w:spacing w:line="360" w:lineRule="auto"/>
        <w:ind w:firstLine="709"/>
        <w:jc w:val="both"/>
        <w:rPr>
          <w:sz w:val="28"/>
          <w:szCs w:val="28"/>
          <w:lang w:val="uk-UA"/>
        </w:rPr>
      </w:pPr>
      <w:r w:rsidRPr="00ED67B0">
        <w:rPr>
          <w:sz w:val="28"/>
          <w:szCs w:val="28"/>
          <w:lang w:val="uk-UA"/>
        </w:rPr>
        <w:t>Відомо, що з віком ОС посилюється, а його прогресуючий розвиток можна вважати одним із маркерів старіння [319]. Загальноприйнята думка, що зростання ОС при старінні є наслідком зниження ефективності АОЗ [</w:t>
      </w:r>
      <w:r w:rsidRPr="00ED67B0">
        <w:rPr>
          <w:sz w:val="28"/>
          <w:szCs w:val="28"/>
        </w:rPr>
        <w:t>2</w:t>
      </w:r>
      <w:r w:rsidRPr="00ED67B0">
        <w:rPr>
          <w:sz w:val="28"/>
          <w:szCs w:val="28"/>
          <w:lang w:val="uk-UA"/>
        </w:rPr>
        <w:t xml:space="preserve">58]. </w:t>
      </w:r>
    </w:p>
    <w:p w:rsidR="00E3259F" w:rsidRPr="00ED67B0" w:rsidRDefault="00E3259F" w:rsidP="00ED67B0">
      <w:pPr>
        <w:spacing w:line="360" w:lineRule="auto"/>
        <w:ind w:firstLine="709"/>
        <w:jc w:val="both"/>
        <w:rPr>
          <w:sz w:val="28"/>
          <w:szCs w:val="28"/>
          <w:lang w:val="uk-UA"/>
        </w:rPr>
      </w:pPr>
      <w:r w:rsidRPr="00ED67B0">
        <w:rPr>
          <w:sz w:val="28"/>
          <w:szCs w:val="28"/>
          <w:lang w:val="uk-UA"/>
        </w:rPr>
        <w:t xml:space="preserve">Рівень МДА у хворих груп 1 та 2 у віковій підгрупі 61-75 років мав достовірно нижче значення, ніж в підгрупі віком 44-60 років (р=0,034 при порівнянні у групі 1, р=0,004 – у групі 2, відповідно) (Таблиця 4.3).  Наявність СГТ у  групі 3 не супроводжувалась достовірними відмінностями рівня МДА з віком (р&gt;0,05). У дослідженнях Carracedo et al. [176] було показано, що в людей з віком спостерігається значне збільшення MДA, проте у нашій роботі подібні тенденції не спостерігались. </w:t>
      </w:r>
    </w:p>
    <w:p w:rsidR="00E3259F" w:rsidRPr="00ED67B0" w:rsidRDefault="00E3259F" w:rsidP="00ED67B0">
      <w:pPr>
        <w:spacing w:line="360" w:lineRule="auto"/>
        <w:ind w:firstLine="709"/>
        <w:rPr>
          <w:sz w:val="28"/>
          <w:szCs w:val="28"/>
          <w:lang w:val="uk-UA"/>
        </w:rPr>
        <w:sectPr w:rsidR="00E3259F" w:rsidRPr="00ED67B0">
          <w:pgSz w:w="11906" w:h="16838"/>
          <w:pgMar w:top="1134" w:right="851" w:bottom="1134" w:left="1701" w:header="709" w:footer="709" w:gutter="0"/>
          <w:cols w:space="720"/>
        </w:sectPr>
      </w:pPr>
    </w:p>
    <w:p w:rsidR="00E3259F" w:rsidRPr="00ED67B0" w:rsidRDefault="00E3259F" w:rsidP="00ED67B0">
      <w:pPr>
        <w:spacing w:line="360" w:lineRule="auto"/>
        <w:ind w:firstLine="709"/>
        <w:jc w:val="both"/>
        <w:rPr>
          <w:sz w:val="28"/>
          <w:szCs w:val="28"/>
          <w:lang w:val="uk-UA"/>
        </w:rPr>
      </w:pPr>
      <w:r w:rsidRPr="00ED67B0">
        <w:rPr>
          <w:sz w:val="28"/>
          <w:szCs w:val="28"/>
          <w:lang w:val="uk-UA"/>
        </w:rPr>
        <w:t>Тіоловий статус вказує на загальний рівень SH-груп білків і вільних SH-груп та віддзеркалює стан АОЗ організму. У пацієнтів старших вікових груп відмічалося не значне зниження тіолового статусу порівняно з більш молодими хворими незалежно від патологічних станів, але вірогідних відмінностей між віковими підгрупами знайдено не було (р&gt;0,05). Ці зміни в групах з коморбідною патологією спостерігалися на тлі достовірного зменшення активності ГПО у більш старшій групі ( р=0,028 у групі ГХ з ЦД 2 типу, р</w:t>
      </w:r>
      <w:r w:rsidRPr="00ED67B0">
        <w:rPr>
          <w:sz w:val="28"/>
          <w:szCs w:val="28"/>
          <w:vertAlign w:val="subscript"/>
          <w:lang w:val="uk-UA"/>
        </w:rPr>
        <w:t xml:space="preserve"> </w:t>
      </w:r>
      <w:r w:rsidRPr="00ED67B0">
        <w:rPr>
          <w:sz w:val="28"/>
          <w:szCs w:val="28"/>
          <w:lang w:val="uk-UA"/>
        </w:rPr>
        <w:t xml:space="preserve">=0,041 у групі ГХ, ЦД 2 типу та СГТ, відповідно), що вказує на зниження антиоксидантної захисної сили з віком. </w:t>
      </w:r>
    </w:p>
    <w:p w:rsidR="00E3259F" w:rsidRPr="00ED67B0" w:rsidRDefault="00E3259F" w:rsidP="00ED67B0">
      <w:pPr>
        <w:spacing w:line="360" w:lineRule="auto"/>
        <w:ind w:firstLine="709"/>
        <w:jc w:val="both"/>
        <w:rPr>
          <w:sz w:val="28"/>
          <w:szCs w:val="28"/>
          <w:lang w:val="uk-UA"/>
        </w:rPr>
      </w:pPr>
      <w:r w:rsidRPr="00ED67B0">
        <w:rPr>
          <w:sz w:val="28"/>
          <w:szCs w:val="28"/>
          <w:lang w:val="uk-UA"/>
        </w:rPr>
        <w:t>Підвищення активності оксидантної системи при наявності пригнічення антиоксидантної системи серед осіб старшої вікової групи при  коморбідності ГХ, ЦД 2 типу та СГТ може пояснюватися не тільки вік - залежною активацією ОС, але й впливом зниження тиреоїдних гормонів навіть на субклінічному рівні. Пацієнти з ізольованою ГХ не мали суттєвої підвищеності активності ГПО (р&gt;0,05) та зниження рівня SН-груп (р&gt;0,05) з віком.</w:t>
      </w:r>
    </w:p>
    <w:p w:rsidR="00E3259F" w:rsidRDefault="00E3259F" w:rsidP="00E3259F">
      <w:pPr>
        <w:spacing w:line="360" w:lineRule="auto"/>
        <w:rPr>
          <w:sz w:val="28"/>
          <w:szCs w:val="28"/>
          <w:lang w:val="uk-UA"/>
        </w:rPr>
        <w:sectPr w:rsidR="00E3259F">
          <w:type w:val="continuous"/>
          <w:pgSz w:w="11906" w:h="16838"/>
          <w:pgMar w:top="1134" w:right="851" w:bottom="1134" w:left="1701" w:header="709" w:footer="709" w:gutter="0"/>
          <w:cols w:space="720"/>
        </w:sectPr>
      </w:pPr>
    </w:p>
    <w:p w:rsidR="00E3259F" w:rsidRDefault="00E3259F" w:rsidP="00E3259F">
      <w:pPr>
        <w:spacing w:line="360" w:lineRule="auto"/>
        <w:jc w:val="both"/>
        <w:rPr>
          <w:sz w:val="28"/>
          <w:szCs w:val="28"/>
          <w:lang w:val="uk-UA"/>
        </w:rPr>
      </w:pPr>
    </w:p>
    <w:p w:rsidR="00E3259F" w:rsidRDefault="00E3259F" w:rsidP="00E3259F">
      <w:pPr>
        <w:jc w:val="right"/>
        <w:rPr>
          <w:color w:val="000000"/>
          <w:sz w:val="28"/>
          <w:szCs w:val="28"/>
          <w:lang w:val="uk-UA"/>
        </w:rPr>
      </w:pPr>
      <w:r>
        <w:rPr>
          <w:color w:val="000000"/>
          <w:sz w:val="28"/>
          <w:szCs w:val="28"/>
          <w:lang w:val="uk-UA"/>
        </w:rPr>
        <w:t>Таблиця 4.3</w:t>
      </w:r>
    </w:p>
    <w:p w:rsidR="00E3259F" w:rsidRDefault="00E3259F" w:rsidP="00E3259F">
      <w:pPr>
        <w:spacing w:line="360" w:lineRule="auto"/>
        <w:ind w:firstLine="709"/>
        <w:jc w:val="center"/>
        <w:rPr>
          <w:sz w:val="28"/>
          <w:szCs w:val="28"/>
          <w:lang w:val="uk-UA"/>
        </w:rPr>
      </w:pPr>
      <w:r>
        <w:rPr>
          <w:color w:val="000000"/>
          <w:sz w:val="28"/>
          <w:szCs w:val="28"/>
          <w:lang w:val="uk-UA"/>
        </w:rPr>
        <w:t xml:space="preserve">Порівняльний аналіз показників прооксидантно-антиоксидатнтного балансу залежно від вікової групи </w:t>
      </w:r>
      <w:r>
        <w:rPr>
          <w:sz w:val="28"/>
          <w:szCs w:val="28"/>
          <w:lang w:val="uk-UA"/>
        </w:rPr>
        <w:t>(</w:t>
      </w:r>
      <w:r>
        <w:rPr>
          <w:sz w:val="28"/>
          <w:szCs w:val="28"/>
          <w:lang w:val="en-US"/>
        </w:rPr>
        <w:t>M</w:t>
      </w:r>
      <w:r>
        <w:rPr>
          <w:sz w:val="28"/>
          <w:szCs w:val="28"/>
        </w:rPr>
        <w:t>±</w:t>
      </w:r>
      <w:r>
        <w:rPr>
          <w:sz w:val="28"/>
          <w:szCs w:val="28"/>
          <w:lang w:val="en-US"/>
        </w:rPr>
        <w:t>m</w:t>
      </w:r>
      <w:r>
        <w:rPr>
          <w:sz w:val="28"/>
          <w:szCs w:val="28"/>
        </w:rPr>
        <w:t>)</w:t>
      </w:r>
    </w:p>
    <w:p w:rsidR="00E3259F" w:rsidRDefault="00E3259F" w:rsidP="00E3259F">
      <w:pPr>
        <w:spacing w:line="360" w:lineRule="auto"/>
        <w:ind w:firstLine="709"/>
        <w:jc w:val="center"/>
        <w:rPr>
          <w:rFonts w:eastAsiaTheme="minorHAnsi"/>
          <w:sz w:val="28"/>
          <w:szCs w:val="28"/>
          <w:lang w:val="uk-UA" w:eastAsia="en-US"/>
        </w:rPr>
      </w:pPr>
    </w:p>
    <w:tbl>
      <w:tblPr>
        <w:tblW w:w="5000" w:type="pct"/>
        <w:tblLook w:val="04A0" w:firstRow="1" w:lastRow="0" w:firstColumn="1" w:lastColumn="0" w:noHBand="0" w:noVBand="1"/>
      </w:tblPr>
      <w:tblGrid>
        <w:gridCol w:w="2482"/>
        <w:gridCol w:w="2008"/>
        <w:gridCol w:w="2395"/>
        <w:gridCol w:w="1981"/>
        <w:gridCol w:w="1984"/>
        <w:gridCol w:w="1931"/>
        <w:gridCol w:w="2005"/>
      </w:tblGrid>
      <w:tr w:rsidR="00E3259F" w:rsidRPr="009A19D6" w:rsidTr="00E3259F">
        <w:tc>
          <w:tcPr>
            <w:tcW w:w="839" w:type="pct"/>
            <w:vMerge w:val="restar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Показник/підгрупа</w:t>
            </w:r>
          </w:p>
        </w:tc>
        <w:tc>
          <w:tcPr>
            <w:tcW w:w="1489" w:type="pct"/>
            <w:gridSpan w:val="2"/>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pStyle w:val="1"/>
              <w:spacing w:before="0" w:beforeAutospacing="0" w:after="0" w:afterAutospacing="0" w:line="360" w:lineRule="auto"/>
              <w:jc w:val="center"/>
              <w:rPr>
                <w:b w:val="0"/>
                <w:sz w:val="28"/>
                <w:szCs w:val="28"/>
                <w:lang w:val="en-US" w:eastAsia="en-US"/>
              </w:rPr>
            </w:pPr>
            <w:r w:rsidRPr="009A19D6">
              <w:rPr>
                <w:b w:val="0"/>
                <w:sz w:val="28"/>
                <w:szCs w:val="28"/>
                <w:lang w:val="uk-UA" w:eastAsia="en-US"/>
              </w:rPr>
              <w:t>Група 1</w:t>
            </w:r>
          </w:p>
          <w:p w:rsidR="00E3259F" w:rsidRPr="009A19D6" w:rsidRDefault="00E3259F" w:rsidP="009A19D6">
            <w:pPr>
              <w:pStyle w:val="1"/>
              <w:spacing w:before="0" w:beforeAutospacing="0" w:after="0" w:afterAutospacing="0" w:line="360" w:lineRule="auto"/>
              <w:jc w:val="center"/>
              <w:rPr>
                <w:b w:val="0"/>
                <w:sz w:val="28"/>
                <w:szCs w:val="28"/>
                <w:lang w:val="en-US" w:eastAsia="en-US"/>
              </w:rPr>
            </w:pPr>
            <w:r w:rsidRPr="009A19D6">
              <w:rPr>
                <w:b w:val="0"/>
                <w:sz w:val="28"/>
                <w:szCs w:val="28"/>
                <w:lang w:val="en-US" w:eastAsia="en-US"/>
              </w:rPr>
              <w:t>(n=</w:t>
            </w:r>
            <w:r w:rsidRPr="009A19D6">
              <w:rPr>
                <w:b w:val="0"/>
                <w:sz w:val="28"/>
                <w:szCs w:val="28"/>
                <w:lang w:val="uk-UA" w:eastAsia="en-US"/>
              </w:rPr>
              <w:t>106</w:t>
            </w:r>
            <w:r w:rsidRPr="009A19D6">
              <w:rPr>
                <w:b w:val="0"/>
                <w:sz w:val="28"/>
                <w:szCs w:val="28"/>
                <w:lang w:val="en-US" w:eastAsia="en-US"/>
              </w:rPr>
              <w:t>)</w:t>
            </w:r>
          </w:p>
        </w:tc>
        <w:tc>
          <w:tcPr>
            <w:tcW w:w="1341" w:type="pct"/>
            <w:gridSpan w:val="2"/>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pStyle w:val="1"/>
              <w:spacing w:before="0" w:beforeAutospacing="0" w:after="0" w:afterAutospacing="0" w:line="360" w:lineRule="auto"/>
              <w:jc w:val="center"/>
              <w:rPr>
                <w:b w:val="0"/>
                <w:sz w:val="28"/>
                <w:szCs w:val="28"/>
                <w:lang w:val="en-US" w:eastAsia="en-US"/>
              </w:rPr>
            </w:pPr>
            <w:r w:rsidRPr="009A19D6">
              <w:rPr>
                <w:b w:val="0"/>
                <w:sz w:val="28"/>
                <w:szCs w:val="28"/>
                <w:lang w:val="uk-UA" w:eastAsia="en-US"/>
              </w:rPr>
              <w:t>Група 2</w:t>
            </w:r>
          </w:p>
          <w:p w:rsidR="00E3259F" w:rsidRPr="009A19D6" w:rsidRDefault="00E3259F" w:rsidP="009A19D6">
            <w:pPr>
              <w:pStyle w:val="1"/>
              <w:spacing w:before="0" w:beforeAutospacing="0" w:after="0" w:afterAutospacing="0" w:line="360" w:lineRule="auto"/>
              <w:jc w:val="center"/>
              <w:rPr>
                <w:b w:val="0"/>
                <w:sz w:val="28"/>
                <w:szCs w:val="28"/>
                <w:lang w:val="en-US" w:eastAsia="en-US"/>
              </w:rPr>
            </w:pPr>
            <w:r w:rsidRPr="009A19D6">
              <w:rPr>
                <w:b w:val="0"/>
                <w:sz w:val="28"/>
                <w:szCs w:val="28"/>
                <w:lang w:val="en-US" w:eastAsia="en-US"/>
              </w:rPr>
              <w:t>(n=</w:t>
            </w:r>
            <w:r w:rsidRPr="009A19D6">
              <w:rPr>
                <w:b w:val="0"/>
                <w:sz w:val="28"/>
                <w:szCs w:val="28"/>
                <w:lang w:val="uk-UA" w:eastAsia="en-US"/>
              </w:rPr>
              <w:t>15</w:t>
            </w:r>
            <w:r w:rsidRPr="009A19D6">
              <w:rPr>
                <w:b w:val="0"/>
                <w:sz w:val="28"/>
                <w:szCs w:val="28"/>
                <w:lang w:val="en-US" w:eastAsia="en-US"/>
              </w:rPr>
              <w:t>6)</w:t>
            </w:r>
          </w:p>
        </w:tc>
        <w:tc>
          <w:tcPr>
            <w:tcW w:w="1331" w:type="pct"/>
            <w:gridSpan w:val="2"/>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pStyle w:val="1"/>
              <w:spacing w:before="0" w:beforeAutospacing="0" w:after="0" w:afterAutospacing="0" w:line="360" w:lineRule="auto"/>
              <w:jc w:val="center"/>
              <w:rPr>
                <w:b w:val="0"/>
                <w:sz w:val="28"/>
                <w:szCs w:val="28"/>
                <w:lang w:eastAsia="en-US"/>
              </w:rPr>
            </w:pPr>
            <w:r w:rsidRPr="009A19D6">
              <w:rPr>
                <w:b w:val="0"/>
                <w:sz w:val="28"/>
                <w:szCs w:val="28"/>
                <w:lang w:val="uk-UA" w:eastAsia="en-US"/>
              </w:rPr>
              <w:t>Група 3</w:t>
            </w:r>
          </w:p>
          <w:p w:rsidR="00E3259F" w:rsidRPr="009A19D6" w:rsidRDefault="00E3259F" w:rsidP="009A19D6">
            <w:pPr>
              <w:pStyle w:val="1"/>
              <w:spacing w:before="0" w:beforeAutospacing="0" w:after="0" w:afterAutospacing="0" w:line="360" w:lineRule="auto"/>
              <w:jc w:val="center"/>
              <w:rPr>
                <w:b w:val="0"/>
                <w:sz w:val="28"/>
                <w:szCs w:val="28"/>
                <w:lang w:eastAsia="en-US"/>
              </w:rPr>
            </w:pPr>
            <w:r w:rsidRPr="009A19D6">
              <w:rPr>
                <w:b w:val="0"/>
                <w:sz w:val="28"/>
                <w:szCs w:val="28"/>
                <w:lang w:eastAsia="en-US"/>
              </w:rPr>
              <w:t>(</w:t>
            </w:r>
            <w:r w:rsidRPr="009A19D6">
              <w:rPr>
                <w:b w:val="0"/>
                <w:sz w:val="28"/>
                <w:szCs w:val="28"/>
                <w:lang w:val="en-US" w:eastAsia="en-US"/>
              </w:rPr>
              <w:t>n</w:t>
            </w:r>
            <w:r w:rsidRPr="009A19D6">
              <w:rPr>
                <w:b w:val="0"/>
                <w:sz w:val="28"/>
                <w:szCs w:val="28"/>
                <w:lang w:eastAsia="en-US"/>
              </w:rPr>
              <w:t>=</w:t>
            </w:r>
            <w:r w:rsidRPr="009A19D6">
              <w:rPr>
                <w:b w:val="0"/>
                <w:sz w:val="28"/>
                <w:szCs w:val="28"/>
                <w:lang w:val="uk-UA" w:eastAsia="en-US"/>
              </w:rPr>
              <w:t>93</w:t>
            </w:r>
            <w:r w:rsidRPr="009A19D6">
              <w:rPr>
                <w:b w:val="0"/>
                <w:sz w:val="28"/>
                <w:szCs w:val="28"/>
                <w:lang w:eastAsia="en-US"/>
              </w:rPr>
              <w:t>)</w:t>
            </w:r>
          </w:p>
        </w:tc>
      </w:tr>
      <w:tr w:rsidR="00E3259F" w:rsidRPr="009A19D6" w:rsidTr="00E3259F">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9A19D6" w:rsidRDefault="00E3259F" w:rsidP="009A19D6">
            <w:pPr>
              <w:spacing w:line="360" w:lineRule="auto"/>
              <w:rPr>
                <w:sz w:val="28"/>
                <w:szCs w:val="28"/>
                <w:lang w:eastAsia="en-US"/>
              </w:rPr>
            </w:pP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sz w:val="28"/>
                <w:szCs w:val="28"/>
                <w:lang w:val="uk-UA" w:eastAsia="en-US"/>
              </w:rPr>
            </w:pPr>
            <w:r w:rsidRPr="009A19D6">
              <w:rPr>
                <w:sz w:val="28"/>
                <w:szCs w:val="28"/>
                <w:lang w:val="uk-UA" w:eastAsia="en-US"/>
              </w:rPr>
              <w:t>Підгрупа 1-І</w:t>
            </w:r>
          </w:p>
          <w:p w:rsidR="00E3259F" w:rsidRPr="009A19D6" w:rsidRDefault="00E3259F" w:rsidP="009A19D6">
            <w:pPr>
              <w:spacing w:line="360" w:lineRule="auto"/>
              <w:jc w:val="center"/>
              <w:rPr>
                <w:sz w:val="28"/>
                <w:szCs w:val="28"/>
                <w:lang w:val="uk-UA" w:eastAsia="en-US"/>
              </w:rPr>
            </w:pPr>
            <w:r w:rsidRPr="009A19D6">
              <w:rPr>
                <w:sz w:val="28"/>
                <w:szCs w:val="28"/>
                <w:lang w:val="uk-UA" w:eastAsia="en-US"/>
              </w:rPr>
              <w:t>(44-</w:t>
            </w:r>
            <w:r w:rsidRPr="009A19D6">
              <w:rPr>
                <w:sz w:val="28"/>
                <w:szCs w:val="28"/>
                <w:lang w:eastAsia="en-US"/>
              </w:rPr>
              <w:t xml:space="preserve"> 60 </w:t>
            </w:r>
            <w:r w:rsidRPr="009A19D6">
              <w:rPr>
                <w:sz w:val="28"/>
                <w:szCs w:val="28"/>
                <w:lang w:val="uk-UA" w:eastAsia="en-US"/>
              </w:rPr>
              <w:t>років,</w:t>
            </w:r>
          </w:p>
          <w:p w:rsidR="00E3259F" w:rsidRPr="009A19D6" w:rsidRDefault="00E3259F" w:rsidP="009A19D6">
            <w:pPr>
              <w:spacing w:line="360" w:lineRule="auto"/>
              <w:jc w:val="center"/>
              <w:rPr>
                <w:sz w:val="28"/>
                <w:szCs w:val="28"/>
                <w:lang w:eastAsia="en-US"/>
              </w:rPr>
            </w:pPr>
            <w:r w:rsidRPr="009A19D6">
              <w:rPr>
                <w:sz w:val="28"/>
                <w:szCs w:val="28"/>
                <w:lang w:val="en-US" w:eastAsia="en-US"/>
              </w:rPr>
              <w:t>n</w:t>
            </w:r>
            <w:r w:rsidRPr="009A19D6">
              <w:rPr>
                <w:sz w:val="28"/>
                <w:szCs w:val="28"/>
                <w:lang w:eastAsia="en-US"/>
              </w:rPr>
              <w:t>=</w:t>
            </w:r>
            <w:r w:rsidRPr="009A19D6">
              <w:rPr>
                <w:sz w:val="28"/>
                <w:szCs w:val="28"/>
                <w:lang w:val="uk-UA" w:eastAsia="en-US"/>
              </w:rPr>
              <w:t>49</w:t>
            </w:r>
            <w:r w:rsidRPr="009A19D6">
              <w:rPr>
                <w:sz w:val="28"/>
                <w:szCs w:val="28"/>
                <w:lang w:eastAsia="en-US"/>
              </w:rPr>
              <w:t>)</w:t>
            </w:r>
          </w:p>
        </w:tc>
        <w:tc>
          <w:tcPr>
            <w:tcW w:w="81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sz w:val="28"/>
                <w:szCs w:val="28"/>
                <w:lang w:val="uk-UA" w:eastAsia="en-US"/>
              </w:rPr>
            </w:pPr>
            <w:r w:rsidRPr="009A19D6">
              <w:rPr>
                <w:sz w:val="28"/>
                <w:szCs w:val="28"/>
                <w:lang w:val="uk-UA" w:eastAsia="en-US"/>
              </w:rPr>
              <w:t>Підгрупа 1-ІІ</w:t>
            </w:r>
          </w:p>
          <w:p w:rsidR="00E3259F" w:rsidRPr="009A19D6" w:rsidRDefault="00E3259F" w:rsidP="009A19D6">
            <w:pPr>
              <w:spacing w:line="360" w:lineRule="auto"/>
              <w:jc w:val="center"/>
              <w:rPr>
                <w:sz w:val="28"/>
                <w:szCs w:val="28"/>
                <w:lang w:eastAsia="en-US"/>
              </w:rPr>
            </w:pPr>
            <w:r w:rsidRPr="009A19D6">
              <w:rPr>
                <w:sz w:val="28"/>
                <w:szCs w:val="28"/>
                <w:lang w:val="uk-UA" w:eastAsia="en-US"/>
              </w:rPr>
              <w:t>(</w:t>
            </w:r>
            <w:r w:rsidRPr="009A19D6">
              <w:rPr>
                <w:sz w:val="28"/>
                <w:szCs w:val="28"/>
                <w:lang w:eastAsia="en-US"/>
              </w:rPr>
              <w:t>6</w:t>
            </w:r>
            <w:r w:rsidRPr="009A19D6">
              <w:rPr>
                <w:sz w:val="28"/>
                <w:szCs w:val="28"/>
                <w:lang w:val="uk-UA" w:eastAsia="en-US"/>
              </w:rPr>
              <w:t xml:space="preserve">1-75 років, </w:t>
            </w:r>
            <w:r w:rsidRPr="009A19D6">
              <w:rPr>
                <w:sz w:val="28"/>
                <w:szCs w:val="28"/>
                <w:lang w:val="en-US" w:eastAsia="en-US"/>
              </w:rPr>
              <w:t>n</w:t>
            </w:r>
            <w:r w:rsidRPr="009A19D6">
              <w:rPr>
                <w:sz w:val="28"/>
                <w:szCs w:val="28"/>
                <w:lang w:eastAsia="en-US"/>
              </w:rPr>
              <w:t>=</w:t>
            </w:r>
            <w:r w:rsidRPr="009A19D6">
              <w:rPr>
                <w:sz w:val="28"/>
                <w:szCs w:val="28"/>
                <w:lang w:val="uk-UA" w:eastAsia="en-US"/>
              </w:rPr>
              <w:t>57</w:t>
            </w:r>
            <w:r w:rsidRPr="009A19D6">
              <w:rPr>
                <w:sz w:val="28"/>
                <w:szCs w:val="28"/>
                <w:lang w:eastAsia="en-US"/>
              </w:rPr>
              <w:t>)</w:t>
            </w:r>
          </w:p>
        </w:tc>
        <w:tc>
          <w:tcPr>
            <w:tcW w:w="67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sz w:val="28"/>
                <w:szCs w:val="28"/>
                <w:lang w:val="uk-UA" w:eastAsia="en-US"/>
              </w:rPr>
            </w:pPr>
            <w:r w:rsidRPr="009A19D6">
              <w:rPr>
                <w:sz w:val="28"/>
                <w:szCs w:val="28"/>
                <w:lang w:val="uk-UA" w:eastAsia="en-US"/>
              </w:rPr>
              <w:t>Підгрупа 2-І</w:t>
            </w:r>
          </w:p>
          <w:p w:rsidR="00E3259F" w:rsidRPr="009A19D6" w:rsidRDefault="00E3259F" w:rsidP="009A19D6">
            <w:pPr>
              <w:spacing w:line="360" w:lineRule="auto"/>
              <w:jc w:val="center"/>
              <w:rPr>
                <w:sz w:val="28"/>
                <w:szCs w:val="28"/>
                <w:lang w:eastAsia="en-US"/>
              </w:rPr>
            </w:pPr>
            <w:r w:rsidRPr="009A19D6">
              <w:rPr>
                <w:sz w:val="28"/>
                <w:szCs w:val="28"/>
                <w:lang w:val="uk-UA" w:eastAsia="en-US"/>
              </w:rPr>
              <w:t>(44-</w:t>
            </w:r>
            <w:r w:rsidRPr="009A19D6">
              <w:rPr>
                <w:sz w:val="28"/>
                <w:szCs w:val="28"/>
                <w:lang w:eastAsia="en-US"/>
              </w:rPr>
              <w:t xml:space="preserve"> 60 </w:t>
            </w:r>
            <w:r w:rsidRPr="009A19D6">
              <w:rPr>
                <w:sz w:val="28"/>
                <w:szCs w:val="28"/>
                <w:lang w:val="uk-UA" w:eastAsia="en-US"/>
              </w:rPr>
              <w:t xml:space="preserve">років, </w:t>
            </w:r>
            <w:r w:rsidRPr="009A19D6">
              <w:rPr>
                <w:sz w:val="28"/>
                <w:szCs w:val="28"/>
                <w:lang w:val="en-US" w:eastAsia="en-US"/>
              </w:rPr>
              <w:t>n</w:t>
            </w:r>
            <w:r w:rsidRPr="009A19D6">
              <w:rPr>
                <w:sz w:val="28"/>
                <w:szCs w:val="28"/>
                <w:lang w:eastAsia="en-US"/>
              </w:rPr>
              <w:t>=</w:t>
            </w:r>
            <w:r w:rsidRPr="009A19D6">
              <w:rPr>
                <w:sz w:val="28"/>
                <w:szCs w:val="28"/>
                <w:lang w:val="uk-UA" w:eastAsia="en-US"/>
              </w:rPr>
              <w:t>56</w:t>
            </w:r>
            <w:r w:rsidRPr="009A19D6">
              <w:rPr>
                <w:sz w:val="28"/>
                <w:szCs w:val="28"/>
                <w:lang w:eastAsia="en-US"/>
              </w:rPr>
              <w:t>)</w:t>
            </w:r>
          </w:p>
        </w:tc>
        <w:tc>
          <w:tcPr>
            <w:tcW w:w="671"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sz w:val="28"/>
                <w:szCs w:val="28"/>
                <w:lang w:val="uk-UA" w:eastAsia="en-US"/>
              </w:rPr>
            </w:pPr>
            <w:r w:rsidRPr="009A19D6">
              <w:rPr>
                <w:sz w:val="28"/>
                <w:szCs w:val="28"/>
                <w:lang w:val="uk-UA" w:eastAsia="en-US"/>
              </w:rPr>
              <w:t>Підгрупа 2-ІІ</w:t>
            </w:r>
          </w:p>
          <w:p w:rsidR="00E3259F" w:rsidRPr="009A19D6" w:rsidRDefault="00E3259F" w:rsidP="009A19D6">
            <w:pPr>
              <w:spacing w:line="360" w:lineRule="auto"/>
              <w:jc w:val="center"/>
              <w:rPr>
                <w:sz w:val="28"/>
                <w:szCs w:val="28"/>
                <w:lang w:val="uk-UA" w:eastAsia="en-US"/>
              </w:rPr>
            </w:pPr>
            <w:r w:rsidRPr="009A19D6">
              <w:rPr>
                <w:sz w:val="28"/>
                <w:szCs w:val="28"/>
                <w:lang w:val="uk-UA" w:eastAsia="en-US"/>
              </w:rPr>
              <w:t>(</w:t>
            </w:r>
            <w:r w:rsidRPr="009A19D6">
              <w:rPr>
                <w:sz w:val="28"/>
                <w:szCs w:val="28"/>
                <w:lang w:eastAsia="en-US"/>
              </w:rPr>
              <w:t>6</w:t>
            </w:r>
            <w:r w:rsidRPr="009A19D6">
              <w:rPr>
                <w:sz w:val="28"/>
                <w:szCs w:val="28"/>
                <w:lang w:val="uk-UA" w:eastAsia="en-US"/>
              </w:rPr>
              <w:t>1-75 рокв,</w:t>
            </w:r>
          </w:p>
          <w:p w:rsidR="00E3259F" w:rsidRPr="009A19D6" w:rsidRDefault="00E3259F" w:rsidP="009A19D6">
            <w:pPr>
              <w:spacing w:line="360" w:lineRule="auto"/>
              <w:jc w:val="center"/>
              <w:rPr>
                <w:sz w:val="28"/>
                <w:szCs w:val="28"/>
                <w:lang w:eastAsia="en-US"/>
              </w:rPr>
            </w:pPr>
            <w:r w:rsidRPr="009A19D6">
              <w:rPr>
                <w:sz w:val="28"/>
                <w:szCs w:val="28"/>
                <w:lang w:val="en-US" w:eastAsia="en-US"/>
              </w:rPr>
              <w:t>n</w:t>
            </w:r>
            <w:r w:rsidRPr="009A19D6">
              <w:rPr>
                <w:sz w:val="28"/>
                <w:szCs w:val="28"/>
                <w:lang w:eastAsia="en-US"/>
              </w:rPr>
              <w:t>=</w:t>
            </w:r>
            <w:r w:rsidRPr="009A19D6">
              <w:rPr>
                <w:sz w:val="28"/>
                <w:szCs w:val="28"/>
                <w:lang w:val="uk-UA" w:eastAsia="en-US"/>
              </w:rPr>
              <w:t>100</w:t>
            </w:r>
            <w:r w:rsidRPr="009A19D6">
              <w:rPr>
                <w:sz w:val="28"/>
                <w:szCs w:val="28"/>
                <w:lang w:eastAsia="en-US"/>
              </w:rPr>
              <w:t>)</w:t>
            </w:r>
          </w:p>
        </w:tc>
        <w:tc>
          <w:tcPr>
            <w:tcW w:w="653"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sz w:val="28"/>
                <w:szCs w:val="28"/>
                <w:lang w:val="uk-UA" w:eastAsia="en-US"/>
              </w:rPr>
            </w:pPr>
            <w:r w:rsidRPr="009A19D6">
              <w:rPr>
                <w:sz w:val="28"/>
                <w:szCs w:val="28"/>
                <w:lang w:val="uk-UA" w:eastAsia="en-US"/>
              </w:rPr>
              <w:t>Підгрупа 3-І</w:t>
            </w:r>
          </w:p>
          <w:p w:rsidR="00E3259F" w:rsidRPr="009A19D6" w:rsidRDefault="00E3259F" w:rsidP="009A19D6">
            <w:pPr>
              <w:spacing w:line="360" w:lineRule="auto"/>
              <w:jc w:val="center"/>
              <w:rPr>
                <w:sz w:val="28"/>
                <w:szCs w:val="28"/>
                <w:lang w:val="uk-UA" w:eastAsia="en-US"/>
              </w:rPr>
            </w:pPr>
            <w:r w:rsidRPr="009A19D6">
              <w:rPr>
                <w:sz w:val="28"/>
                <w:szCs w:val="28"/>
                <w:lang w:val="uk-UA" w:eastAsia="en-US"/>
              </w:rPr>
              <w:t>(44-</w:t>
            </w:r>
            <w:r w:rsidRPr="009A19D6">
              <w:rPr>
                <w:sz w:val="28"/>
                <w:szCs w:val="28"/>
                <w:lang w:eastAsia="en-US"/>
              </w:rPr>
              <w:t xml:space="preserve"> 60 </w:t>
            </w:r>
            <w:r w:rsidRPr="009A19D6">
              <w:rPr>
                <w:sz w:val="28"/>
                <w:szCs w:val="28"/>
                <w:lang w:val="uk-UA" w:eastAsia="en-US"/>
              </w:rPr>
              <w:t>років,</w:t>
            </w:r>
          </w:p>
          <w:p w:rsidR="00E3259F" w:rsidRPr="009A19D6" w:rsidRDefault="00E3259F" w:rsidP="009A19D6">
            <w:pPr>
              <w:spacing w:line="360" w:lineRule="auto"/>
              <w:jc w:val="center"/>
              <w:rPr>
                <w:sz w:val="28"/>
                <w:szCs w:val="28"/>
                <w:lang w:eastAsia="en-US"/>
              </w:rPr>
            </w:pPr>
            <w:r w:rsidRPr="009A19D6">
              <w:rPr>
                <w:sz w:val="28"/>
                <w:szCs w:val="28"/>
                <w:lang w:val="en-US" w:eastAsia="en-US"/>
              </w:rPr>
              <w:t>n</w:t>
            </w:r>
            <w:r w:rsidRPr="009A19D6">
              <w:rPr>
                <w:sz w:val="28"/>
                <w:szCs w:val="28"/>
                <w:lang w:eastAsia="en-US"/>
              </w:rPr>
              <w:t>=</w:t>
            </w:r>
            <w:r w:rsidRPr="009A19D6">
              <w:rPr>
                <w:sz w:val="28"/>
                <w:szCs w:val="28"/>
                <w:lang w:val="uk-UA" w:eastAsia="en-US"/>
              </w:rPr>
              <w:t>37</w:t>
            </w:r>
            <w:r w:rsidRPr="009A19D6">
              <w:rPr>
                <w:sz w:val="28"/>
                <w:szCs w:val="28"/>
                <w:lang w:eastAsia="en-US"/>
              </w:rPr>
              <w:t>)</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sz w:val="28"/>
                <w:szCs w:val="28"/>
                <w:lang w:val="uk-UA" w:eastAsia="en-US"/>
              </w:rPr>
            </w:pPr>
            <w:r w:rsidRPr="009A19D6">
              <w:rPr>
                <w:sz w:val="28"/>
                <w:szCs w:val="28"/>
                <w:lang w:val="uk-UA" w:eastAsia="en-US"/>
              </w:rPr>
              <w:t>Підгрупа 3-ІІ</w:t>
            </w:r>
          </w:p>
          <w:p w:rsidR="00E3259F" w:rsidRPr="009A19D6" w:rsidRDefault="00E3259F" w:rsidP="009A19D6">
            <w:pPr>
              <w:spacing w:line="360" w:lineRule="auto"/>
              <w:jc w:val="center"/>
              <w:rPr>
                <w:sz w:val="28"/>
                <w:szCs w:val="28"/>
                <w:lang w:val="uk-UA" w:eastAsia="en-US"/>
              </w:rPr>
            </w:pPr>
            <w:r w:rsidRPr="009A19D6">
              <w:rPr>
                <w:sz w:val="28"/>
                <w:szCs w:val="28"/>
                <w:lang w:val="uk-UA" w:eastAsia="en-US"/>
              </w:rPr>
              <w:t>(</w:t>
            </w:r>
            <w:r w:rsidRPr="009A19D6">
              <w:rPr>
                <w:sz w:val="28"/>
                <w:szCs w:val="28"/>
                <w:lang w:eastAsia="en-US"/>
              </w:rPr>
              <w:t>6</w:t>
            </w:r>
            <w:r w:rsidRPr="009A19D6">
              <w:rPr>
                <w:sz w:val="28"/>
                <w:szCs w:val="28"/>
                <w:lang w:val="uk-UA" w:eastAsia="en-US"/>
              </w:rPr>
              <w:t>1-75 рокв,</w:t>
            </w:r>
          </w:p>
          <w:p w:rsidR="00E3259F" w:rsidRPr="009A19D6" w:rsidRDefault="00E3259F" w:rsidP="009A19D6">
            <w:pPr>
              <w:spacing w:line="360" w:lineRule="auto"/>
              <w:jc w:val="center"/>
              <w:rPr>
                <w:sz w:val="28"/>
                <w:szCs w:val="28"/>
                <w:lang w:eastAsia="en-US"/>
              </w:rPr>
            </w:pPr>
            <w:r w:rsidRPr="009A19D6">
              <w:rPr>
                <w:sz w:val="28"/>
                <w:szCs w:val="28"/>
                <w:lang w:val="en-US" w:eastAsia="en-US"/>
              </w:rPr>
              <w:t>n</w:t>
            </w:r>
            <w:r w:rsidRPr="009A19D6">
              <w:rPr>
                <w:sz w:val="28"/>
                <w:szCs w:val="28"/>
                <w:lang w:eastAsia="en-US"/>
              </w:rPr>
              <w:t>=</w:t>
            </w:r>
            <w:r w:rsidRPr="009A19D6">
              <w:rPr>
                <w:sz w:val="28"/>
                <w:szCs w:val="28"/>
                <w:lang w:val="uk-UA" w:eastAsia="en-US"/>
              </w:rPr>
              <w:t>56</w:t>
            </w:r>
            <w:r w:rsidRPr="009A19D6">
              <w:rPr>
                <w:sz w:val="28"/>
                <w:szCs w:val="28"/>
                <w:lang w:eastAsia="en-US"/>
              </w:rPr>
              <w:t>)</w:t>
            </w:r>
          </w:p>
        </w:tc>
      </w:tr>
      <w:tr w:rsidR="00E3259F" w:rsidRPr="009A19D6" w:rsidTr="00E3259F">
        <w:tc>
          <w:tcPr>
            <w:tcW w:w="83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val="uk-UA" w:eastAsia="en-US"/>
              </w:rPr>
              <w:t>Вік, років</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5</w:t>
            </w:r>
            <w:r w:rsidRPr="009A19D6">
              <w:rPr>
                <w:sz w:val="28"/>
                <w:szCs w:val="28"/>
                <w:lang w:val="uk-UA" w:eastAsia="en-US"/>
              </w:rPr>
              <w:t>3</w:t>
            </w:r>
            <w:r w:rsidRPr="009A19D6">
              <w:rPr>
                <w:sz w:val="28"/>
                <w:szCs w:val="28"/>
                <w:lang w:eastAsia="en-US"/>
              </w:rPr>
              <w:t>,</w:t>
            </w:r>
            <w:r w:rsidRPr="009A19D6">
              <w:rPr>
                <w:sz w:val="28"/>
                <w:szCs w:val="28"/>
                <w:lang w:val="uk-UA" w:eastAsia="en-US"/>
              </w:rPr>
              <w:t>02</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74</w:t>
            </w:r>
          </w:p>
        </w:tc>
        <w:tc>
          <w:tcPr>
            <w:tcW w:w="81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6</w:t>
            </w:r>
            <w:r w:rsidRPr="009A19D6">
              <w:rPr>
                <w:sz w:val="28"/>
                <w:szCs w:val="28"/>
                <w:lang w:val="uk-UA" w:eastAsia="en-US"/>
              </w:rPr>
              <w:t>6</w:t>
            </w:r>
            <w:r w:rsidRPr="009A19D6">
              <w:rPr>
                <w:sz w:val="28"/>
                <w:szCs w:val="28"/>
                <w:lang w:eastAsia="en-US"/>
              </w:rPr>
              <w:t>,</w:t>
            </w:r>
            <w:r w:rsidRPr="009A19D6">
              <w:rPr>
                <w:sz w:val="28"/>
                <w:szCs w:val="28"/>
                <w:lang w:val="uk-UA" w:eastAsia="en-US"/>
              </w:rPr>
              <w:t>54</w:t>
            </w:r>
            <w:r w:rsidRPr="009A19D6">
              <w:rPr>
                <w:sz w:val="28"/>
                <w:szCs w:val="28"/>
                <w:lang w:eastAsia="en-US"/>
              </w:rPr>
              <w:t>±0,</w:t>
            </w:r>
            <w:r w:rsidRPr="009A19D6">
              <w:rPr>
                <w:sz w:val="28"/>
                <w:szCs w:val="28"/>
                <w:lang w:val="uk-UA" w:eastAsia="en-US"/>
              </w:rPr>
              <w:t>49</w:t>
            </w:r>
          </w:p>
        </w:tc>
        <w:tc>
          <w:tcPr>
            <w:tcW w:w="67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5</w:t>
            </w:r>
            <w:r w:rsidRPr="009A19D6">
              <w:rPr>
                <w:sz w:val="28"/>
                <w:szCs w:val="28"/>
                <w:lang w:val="uk-UA" w:eastAsia="en-US"/>
              </w:rPr>
              <w:t>6</w:t>
            </w:r>
            <w:r w:rsidRPr="009A19D6">
              <w:rPr>
                <w:sz w:val="28"/>
                <w:szCs w:val="28"/>
                <w:lang w:eastAsia="en-US"/>
              </w:rPr>
              <w:t>,</w:t>
            </w:r>
            <w:r w:rsidRPr="009A19D6">
              <w:rPr>
                <w:sz w:val="28"/>
                <w:szCs w:val="28"/>
                <w:lang w:val="uk-UA" w:eastAsia="en-US"/>
              </w:rPr>
              <w:t>64</w:t>
            </w:r>
            <w:r w:rsidRPr="009A19D6">
              <w:rPr>
                <w:sz w:val="28"/>
                <w:szCs w:val="28"/>
                <w:lang w:eastAsia="en-US"/>
              </w:rPr>
              <w:t>±1,0</w:t>
            </w:r>
            <w:r w:rsidRPr="009A19D6">
              <w:rPr>
                <w:sz w:val="28"/>
                <w:szCs w:val="28"/>
                <w:lang w:val="uk-UA" w:eastAsia="en-US"/>
              </w:rPr>
              <w:t>0</w:t>
            </w:r>
          </w:p>
        </w:tc>
        <w:tc>
          <w:tcPr>
            <w:tcW w:w="671"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6</w:t>
            </w:r>
            <w:r w:rsidRPr="009A19D6">
              <w:rPr>
                <w:sz w:val="28"/>
                <w:szCs w:val="28"/>
                <w:lang w:val="uk-UA" w:eastAsia="en-US"/>
              </w:rPr>
              <w:t>5</w:t>
            </w:r>
            <w:r w:rsidRPr="009A19D6">
              <w:rPr>
                <w:sz w:val="28"/>
                <w:szCs w:val="28"/>
                <w:lang w:eastAsia="en-US"/>
              </w:rPr>
              <w:t>,</w:t>
            </w:r>
            <w:r w:rsidRPr="009A19D6">
              <w:rPr>
                <w:sz w:val="28"/>
                <w:szCs w:val="28"/>
                <w:lang w:val="uk-UA" w:eastAsia="en-US"/>
              </w:rPr>
              <w:t>17</w:t>
            </w:r>
            <w:r w:rsidRPr="009A19D6">
              <w:rPr>
                <w:sz w:val="28"/>
                <w:szCs w:val="28"/>
                <w:lang w:eastAsia="en-US"/>
              </w:rPr>
              <w:t>±0,</w:t>
            </w:r>
            <w:r w:rsidRPr="009A19D6">
              <w:rPr>
                <w:sz w:val="28"/>
                <w:szCs w:val="28"/>
                <w:lang w:val="uk-UA" w:eastAsia="en-US"/>
              </w:rPr>
              <w:t>67</w:t>
            </w:r>
          </w:p>
        </w:tc>
        <w:tc>
          <w:tcPr>
            <w:tcW w:w="653"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52,8</w:t>
            </w:r>
            <w:r w:rsidRPr="009A19D6">
              <w:rPr>
                <w:sz w:val="28"/>
                <w:szCs w:val="28"/>
                <w:lang w:val="uk-UA" w:eastAsia="en-US"/>
              </w:rPr>
              <w:t>9</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79</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67,</w:t>
            </w:r>
            <w:r w:rsidRPr="009A19D6">
              <w:rPr>
                <w:sz w:val="28"/>
                <w:szCs w:val="28"/>
                <w:lang w:val="uk-UA" w:eastAsia="en-US"/>
              </w:rPr>
              <w:t>54</w:t>
            </w:r>
            <w:r w:rsidRPr="009A19D6">
              <w:rPr>
                <w:sz w:val="28"/>
                <w:szCs w:val="28"/>
                <w:lang w:eastAsia="en-US"/>
              </w:rPr>
              <w:t>±0,5</w:t>
            </w:r>
            <w:r w:rsidRPr="009A19D6">
              <w:rPr>
                <w:sz w:val="28"/>
                <w:szCs w:val="28"/>
                <w:lang w:val="uk-UA" w:eastAsia="en-US"/>
              </w:rPr>
              <w:t>4</w:t>
            </w:r>
          </w:p>
        </w:tc>
      </w:tr>
      <w:tr w:rsidR="00E3259F" w:rsidRPr="009A19D6" w:rsidTr="00E3259F">
        <w:tc>
          <w:tcPr>
            <w:tcW w:w="83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МДА, мкмоль/л</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6,</w:t>
            </w:r>
            <w:r w:rsidRPr="009A19D6">
              <w:rPr>
                <w:sz w:val="28"/>
                <w:szCs w:val="28"/>
                <w:lang w:val="uk-UA" w:eastAsia="en-US"/>
              </w:rPr>
              <w:t>54</w:t>
            </w:r>
            <w:r w:rsidRPr="009A19D6">
              <w:rPr>
                <w:sz w:val="28"/>
                <w:szCs w:val="28"/>
                <w:lang w:eastAsia="en-US"/>
              </w:rPr>
              <w:t>±0,</w:t>
            </w:r>
            <w:r w:rsidRPr="009A19D6">
              <w:rPr>
                <w:sz w:val="28"/>
                <w:szCs w:val="28"/>
                <w:lang w:val="uk-UA" w:eastAsia="en-US"/>
              </w:rPr>
              <w:t>30</w:t>
            </w:r>
          </w:p>
        </w:tc>
        <w:tc>
          <w:tcPr>
            <w:tcW w:w="81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5,5</w:t>
            </w:r>
            <w:r w:rsidRPr="009A19D6">
              <w:rPr>
                <w:sz w:val="28"/>
                <w:szCs w:val="28"/>
                <w:lang w:val="uk-UA" w:eastAsia="en-US"/>
              </w:rPr>
              <w:t>7</w:t>
            </w:r>
            <w:r w:rsidRPr="009A19D6">
              <w:rPr>
                <w:sz w:val="28"/>
                <w:szCs w:val="28"/>
                <w:lang w:eastAsia="en-US"/>
              </w:rPr>
              <w:t>±</w:t>
            </w:r>
            <w:r w:rsidRPr="009A19D6">
              <w:rPr>
                <w:sz w:val="28"/>
                <w:szCs w:val="28"/>
                <w:lang w:val="uk-UA" w:eastAsia="en-US"/>
              </w:rPr>
              <w:t>0</w:t>
            </w:r>
            <w:r w:rsidRPr="009A19D6">
              <w:rPr>
                <w:sz w:val="28"/>
                <w:szCs w:val="28"/>
                <w:lang w:eastAsia="en-US"/>
              </w:rPr>
              <w:t>,2</w:t>
            </w:r>
            <w:r w:rsidRPr="009A19D6">
              <w:rPr>
                <w:sz w:val="28"/>
                <w:szCs w:val="28"/>
                <w:lang w:val="uk-UA" w:eastAsia="en-US"/>
              </w:rPr>
              <w:t>0</w:t>
            </w:r>
          </w:p>
          <w:p w:rsidR="00E3259F" w:rsidRPr="009A19D6" w:rsidRDefault="00E3259F" w:rsidP="009A19D6">
            <w:pPr>
              <w:spacing w:line="360" w:lineRule="auto"/>
              <w:rPr>
                <w:sz w:val="28"/>
                <w:szCs w:val="28"/>
                <w:lang w:val="uk-UA" w:eastAsia="en-US"/>
              </w:rPr>
            </w:pPr>
            <w:r w:rsidRPr="009A19D6">
              <w:rPr>
                <w:sz w:val="28"/>
                <w:szCs w:val="28"/>
                <w:lang w:val="uk-UA" w:eastAsia="en-US"/>
              </w:rPr>
              <w:t>р =0</w:t>
            </w:r>
            <w:r w:rsidRPr="009A19D6">
              <w:rPr>
                <w:sz w:val="28"/>
                <w:szCs w:val="28"/>
                <w:lang w:eastAsia="en-US"/>
              </w:rPr>
              <w:t>,034</w:t>
            </w:r>
          </w:p>
        </w:tc>
        <w:tc>
          <w:tcPr>
            <w:tcW w:w="67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7,0</w:t>
            </w:r>
            <w:r w:rsidRPr="009A19D6">
              <w:rPr>
                <w:sz w:val="28"/>
                <w:szCs w:val="28"/>
                <w:lang w:val="uk-UA" w:eastAsia="en-US"/>
              </w:rPr>
              <w:t>3</w:t>
            </w:r>
            <w:r w:rsidRPr="009A19D6">
              <w:rPr>
                <w:sz w:val="28"/>
                <w:szCs w:val="28"/>
                <w:lang w:eastAsia="en-US"/>
              </w:rPr>
              <w:t>±0,</w:t>
            </w:r>
            <w:r w:rsidRPr="009A19D6">
              <w:rPr>
                <w:sz w:val="28"/>
                <w:szCs w:val="28"/>
                <w:lang w:val="uk-UA" w:eastAsia="en-US"/>
              </w:rPr>
              <w:t>22</w:t>
            </w:r>
          </w:p>
        </w:tc>
        <w:tc>
          <w:tcPr>
            <w:tcW w:w="671"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6,</w:t>
            </w:r>
            <w:r w:rsidRPr="009A19D6">
              <w:rPr>
                <w:sz w:val="28"/>
                <w:szCs w:val="28"/>
                <w:lang w:val="uk-UA" w:eastAsia="en-US"/>
              </w:rPr>
              <w:t>17</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18</w:t>
            </w:r>
          </w:p>
          <w:p w:rsidR="00E3259F" w:rsidRPr="009A19D6" w:rsidRDefault="00E3259F" w:rsidP="009A19D6">
            <w:pPr>
              <w:spacing w:line="360" w:lineRule="auto"/>
              <w:rPr>
                <w:sz w:val="28"/>
                <w:szCs w:val="28"/>
                <w:lang w:eastAsia="en-US"/>
              </w:rPr>
            </w:pPr>
            <w:r w:rsidRPr="009A19D6">
              <w:rPr>
                <w:sz w:val="28"/>
                <w:szCs w:val="28"/>
                <w:lang w:val="uk-UA" w:eastAsia="en-US"/>
              </w:rPr>
              <w:t>р</w:t>
            </w:r>
            <w:r w:rsidRPr="009A19D6">
              <w:rPr>
                <w:sz w:val="28"/>
                <w:szCs w:val="28"/>
                <w:vertAlign w:val="subscript"/>
                <w:lang w:val="uk-UA" w:eastAsia="en-US"/>
              </w:rPr>
              <w:t xml:space="preserve"> =</w:t>
            </w:r>
            <w:r w:rsidRPr="009A19D6">
              <w:rPr>
                <w:sz w:val="28"/>
                <w:szCs w:val="28"/>
                <w:lang w:val="uk-UA" w:eastAsia="en-US"/>
              </w:rPr>
              <w:t>0</w:t>
            </w:r>
            <w:r w:rsidRPr="009A19D6">
              <w:rPr>
                <w:sz w:val="28"/>
                <w:szCs w:val="28"/>
                <w:lang w:eastAsia="en-US"/>
              </w:rPr>
              <w:t>,004</w:t>
            </w:r>
          </w:p>
        </w:tc>
        <w:tc>
          <w:tcPr>
            <w:tcW w:w="653"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6,</w:t>
            </w:r>
            <w:r w:rsidRPr="009A19D6">
              <w:rPr>
                <w:sz w:val="28"/>
                <w:szCs w:val="28"/>
                <w:lang w:val="uk-UA" w:eastAsia="en-US"/>
              </w:rPr>
              <w:t>64</w:t>
            </w:r>
            <w:r w:rsidRPr="009A19D6">
              <w:rPr>
                <w:sz w:val="28"/>
                <w:szCs w:val="28"/>
                <w:lang w:eastAsia="en-US"/>
              </w:rPr>
              <w:t>±0,</w:t>
            </w:r>
            <w:r w:rsidRPr="009A19D6">
              <w:rPr>
                <w:sz w:val="28"/>
                <w:szCs w:val="28"/>
                <w:lang w:val="uk-UA" w:eastAsia="en-US"/>
              </w:rPr>
              <w:t>25</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6,</w:t>
            </w:r>
            <w:r w:rsidRPr="009A19D6">
              <w:rPr>
                <w:sz w:val="28"/>
                <w:szCs w:val="28"/>
                <w:lang w:val="uk-UA" w:eastAsia="en-US"/>
              </w:rPr>
              <w:t>71</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19</w:t>
            </w:r>
          </w:p>
          <w:p w:rsidR="00E3259F" w:rsidRPr="009A19D6" w:rsidRDefault="00E3259F" w:rsidP="009A19D6">
            <w:pPr>
              <w:spacing w:line="360" w:lineRule="auto"/>
              <w:rPr>
                <w:sz w:val="28"/>
                <w:szCs w:val="28"/>
                <w:lang w:val="uk-UA" w:eastAsia="en-US"/>
              </w:rPr>
            </w:pPr>
            <w:r w:rsidRPr="009A19D6">
              <w:rPr>
                <w:sz w:val="28"/>
                <w:szCs w:val="28"/>
                <w:lang w:val="uk-UA" w:eastAsia="en-US"/>
              </w:rPr>
              <w:t>р&gt;0,05</w:t>
            </w:r>
          </w:p>
        </w:tc>
      </w:tr>
      <w:tr w:rsidR="00E3259F" w:rsidRPr="009A19D6" w:rsidTr="00E3259F">
        <w:tc>
          <w:tcPr>
            <w:tcW w:w="83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ГПО, мккат/гНв</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5,</w:t>
            </w:r>
            <w:r w:rsidRPr="009A19D6">
              <w:rPr>
                <w:sz w:val="28"/>
                <w:szCs w:val="28"/>
                <w:lang w:val="uk-UA" w:eastAsia="en-US"/>
              </w:rPr>
              <w:t>76</w:t>
            </w:r>
            <w:r w:rsidRPr="009A19D6">
              <w:rPr>
                <w:sz w:val="28"/>
                <w:szCs w:val="28"/>
                <w:lang w:eastAsia="en-US"/>
              </w:rPr>
              <w:t>±0,</w:t>
            </w:r>
            <w:r w:rsidRPr="009A19D6">
              <w:rPr>
                <w:sz w:val="28"/>
                <w:szCs w:val="28"/>
                <w:lang w:val="uk-UA" w:eastAsia="en-US"/>
              </w:rPr>
              <w:t>25</w:t>
            </w:r>
          </w:p>
        </w:tc>
        <w:tc>
          <w:tcPr>
            <w:tcW w:w="81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5,8</w:t>
            </w:r>
            <w:r w:rsidRPr="009A19D6">
              <w:rPr>
                <w:sz w:val="28"/>
                <w:szCs w:val="28"/>
                <w:lang w:val="uk-UA" w:eastAsia="en-US"/>
              </w:rPr>
              <w:t>5</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19</w:t>
            </w:r>
          </w:p>
          <w:p w:rsidR="00E3259F" w:rsidRPr="009A19D6" w:rsidRDefault="00E3259F" w:rsidP="009A19D6">
            <w:pPr>
              <w:spacing w:line="360" w:lineRule="auto"/>
              <w:rPr>
                <w:sz w:val="28"/>
                <w:szCs w:val="28"/>
                <w:lang w:eastAsia="en-US"/>
              </w:rPr>
            </w:pPr>
            <w:r w:rsidRPr="009A19D6">
              <w:rPr>
                <w:sz w:val="28"/>
                <w:szCs w:val="28"/>
                <w:lang w:val="uk-UA" w:eastAsia="en-US"/>
              </w:rPr>
              <w:t>р&gt;0,05</w:t>
            </w:r>
          </w:p>
        </w:tc>
        <w:tc>
          <w:tcPr>
            <w:tcW w:w="67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5,73±0,</w:t>
            </w:r>
            <w:r w:rsidRPr="009A19D6">
              <w:rPr>
                <w:sz w:val="28"/>
                <w:szCs w:val="28"/>
                <w:lang w:val="uk-UA" w:eastAsia="en-US"/>
              </w:rPr>
              <w:t>20</w:t>
            </w:r>
          </w:p>
        </w:tc>
        <w:tc>
          <w:tcPr>
            <w:tcW w:w="671"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5,2</w:t>
            </w:r>
            <w:r w:rsidRPr="009A19D6">
              <w:rPr>
                <w:sz w:val="28"/>
                <w:szCs w:val="28"/>
                <w:lang w:val="uk-UA" w:eastAsia="en-US"/>
              </w:rPr>
              <w:t>3</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13</w:t>
            </w:r>
          </w:p>
          <w:p w:rsidR="00E3259F" w:rsidRPr="009A19D6" w:rsidRDefault="00E3259F" w:rsidP="009A19D6">
            <w:pPr>
              <w:spacing w:line="360" w:lineRule="auto"/>
              <w:rPr>
                <w:sz w:val="28"/>
                <w:szCs w:val="28"/>
                <w:lang w:val="uk-UA" w:eastAsia="en-US"/>
              </w:rPr>
            </w:pPr>
            <w:r w:rsidRPr="009A19D6">
              <w:rPr>
                <w:sz w:val="28"/>
                <w:szCs w:val="28"/>
                <w:lang w:val="uk-UA" w:eastAsia="en-US"/>
              </w:rPr>
              <w:t>р</w:t>
            </w:r>
            <w:r w:rsidRPr="009A19D6">
              <w:rPr>
                <w:sz w:val="28"/>
                <w:szCs w:val="28"/>
                <w:vertAlign w:val="subscript"/>
                <w:lang w:val="uk-UA" w:eastAsia="en-US"/>
              </w:rPr>
              <w:t xml:space="preserve"> =</w:t>
            </w:r>
            <w:r w:rsidRPr="009A19D6">
              <w:rPr>
                <w:sz w:val="28"/>
                <w:szCs w:val="28"/>
                <w:lang w:val="uk-UA" w:eastAsia="en-US"/>
              </w:rPr>
              <w:t>0</w:t>
            </w:r>
            <w:r w:rsidRPr="009A19D6">
              <w:rPr>
                <w:sz w:val="28"/>
                <w:szCs w:val="28"/>
                <w:lang w:eastAsia="en-US"/>
              </w:rPr>
              <w:t>,028</w:t>
            </w:r>
          </w:p>
        </w:tc>
        <w:tc>
          <w:tcPr>
            <w:tcW w:w="653"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5,4</w:t>
            </w:r>
            <w:r w:rsidRPr="009A19D6">
              <w:rPr>
                <w:sz w:val="28"/>
                <w:szCs w:val="28"/>
                <w:lang w:val="uk-UA" w:eastAsia="en-US"/>
              </w:rPr>
              <w:t>9</w:t>
            </w:r>
            <w:r w:rsidRPr="009A19D6">
              <w:rPr>
                <w:sz w:val="28"/>
                <w:szCs w:val="28"/>
                <w:lang w:eastAsia="en-US"/>
              </w:rPr>
              <w:t>±0,</w:t>
            </w:r>
            <w:r w:rsidRPr="009A19D6">
              <w:rPr>
                <w:sz w:val="28"/>
                <w:szCs w:val="28"/>
                <w:lang w:val="uk-UA" w:eastAsia="en-US"/>
              </w:rPr>
              <w:t>18</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4,9</w:t>
            </w:r>
            <w:r w:rsidRPr="009A19D6">
              <w:rPr>
                <w:sz w:val="28"/>
                <w:szCs w:val="28"/>
                <w:lang w:val="uk-UA" w:eastAsia="en-US"/>
              </w:rPr>
              <w:t>9</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16</w:t>
            </w:r>
          </w:p>
          <w:p w:rsidR="00E3259F" w:rsidRPr="009A19D6" w:rsidRDefault="00E3259F" w:rsidP="009A19D6">
            <w:pPr>
              <w:spacing w:line="360" w:lineRule="auto"/>
              <w:rPr>
                <w:sz w:val="28"/>
                <w:szCs w:val="28"/>
                <w:lang w:val="uk-UA" w:eastAsia="en-US"/>
              </w:rPr>
            </w:pPr>
            <w:r w:rsidRPr="009A19D6">
              <w:rPr>
                <w:sz w:val="28"/>
                <w:szCs w:val="28"/>
                <w:lang w:val="uk-UA" w:eastAsia="en-US"/>
              </w:rPr>
              <w:t>р</w:t>
            </w:r>
            <w:r w:rsidRPr="009A19D6">
              <w:rPr>
                <w:sz w:val="28"/>
                <w:szCs w:val="28"/>
                <w:vertAlign w:val="subscript"/>
                <w:lang w:val="uk-UA" w:eastAsia="en-US"/>
              </w:rPr>
              <w:t xml:space="preserve"> =</w:t>
            </w:r>
            <w:r w:rsidRPr="009A19D6">
              <w:rPr>
                <w:sz w:val="28"/>
                <w:szCs w:val="28"/>
                <w:lang w:val="uk-UA" w:eastAsia="en-US"/>
              </w:rPr>
              <w:t>0</w:t>
            </w:r>
            <w:r w:rsidRPr="009A19D6">
              <w:rPr>
                <w:sz w:val="28"/>
                <w:szCs w:val="28"/>
                <w:lang w:eastAsia="en-US"/>
              </w:rPr>
              <w:t>,0</w:t>
            </w:r>
            <w:r w:rsidRPr="009A19D6">
              <w:rPr>
                <w:sz w:val="28"/>
                <w:szCs w:val="28"/>
                <w:lang w:val="uk-UA" w:eastAsia="en-US"/>
              </w:rPr>
              <w:t>41</w:t>
            </w:r>
          </w:p>
        </w:tc>
      </w:tr>
      <w:tr w:rsidR="00E3259F" w:rsidRPr="009A19D6" w:rsidTr="00E3259F">
        <w:tc>
          <w:tcPr>
            <w:tcW w:w="83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SН-групи, мкмоль/л</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571</w:t>
            </w:r>
            <w:r w:rsidRPr="009A19D6">
              <w:rPr>
                <w:sz w:val="28"/>
                <w:szCs w:val="28"/>
                <w:lang w:eastAsia="en-US"/>
              </w:rPr>
              <w:t>,0</w:t>
            </w:r>
            <w:r w:rsidRPr="009A19D6">
              <w:rPr>
                <w:sz w:val="28"/>
                <w:szCs w:val="28"/>
                <w:lang w:val="uk-UA" w:eastAsia="en-US"/>
              </w:rPr>
              <w:t>1</w:t>
            </w:r>
            <w:r w:rsidRPr="009A19D6">
              <w:rPr>
                <w:sz w:val="28"/>
                <w:szCs w:val="28"/>
                <w:lang w:eastAsia="en-US"/>
              </w:rPr>
              <w:t>±</w:t>
            </w:r>
            <w:r w:rsidRPr="009A19D6">
              <w:rPr>
                <w:sz w:val="28"/>
                <w:szCs w:val="28"/>
                <w:lang w:val="uk-UA" w:eastAsia="en-US"/>
              </w:rPr>
              <w:t>11</w:t>
            </w:r>
            <w:r w:rsidRPr="009A19D6">
              <w:rPr>
                <w:sz w:val="28"/>
                <w:szCs w:val="28"/>
                <w:lang w:eastAsia="en-US"/>
              </w:rPr>
              <w:t>,</w:t>
            </w:r>
            <w:r w:rsidRPr="009A19D6">
              <w:rPr>
                <w:sz w:val="28"/>
                <w:szCs w:val="28"/>
                <w:lang w:val="uk-UA" w:eastAsia="en-US"/>
              </w:rPr>
              <w:t>34</w:t>
            </w:r>
          </w:p>
        </w:tc>
        <w:tc>
          <w:tcPr>
            <w:tcW w:w="81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w:t>
            </w:r>
            <w:r w:rsidRPr="009A19D6">
              <w:rPr>
                <w:sz w:val="28"/>
                <w:szCs w:val="28"/>
                <w:lang w:val="uk-UA" w:eastAsia="en-US"/>
              </w:rPr>
              <w:t>67</w:t>
            </w:r>
            <w:r w:rsidRPr="009A19D6">
              <w:rPr>
                <w:sz w:val="28"/>
                <w:szCs w:val="28"/>
                <w:lang w:eastAsia="en-US"/>
              </w:rPr>
              <w:t>,10±1</w:t>
            </w:r>
            <w:r w:rsidRPr="009A19D6">
              <w:rPr>
                <w:sz w:val="28"/>
                <w:szCs w:val="28"/>
                <w:lang w:val="uk-UA" w:eastAsia="en-US"/>
              </w:rPr>
              <w:t>0</w:t>
            </w:r>
            <w:r w:rsidRPr="009A19D6">
              <w:rPr>
                <w:sz w:val="28"/>
                <w:szCs w:val="28"/>
                <w:lang w:eastAsia="en-US"/>
              </w:rPr>
              <w:t>,</w:t>
            </w:r>
            <w:r w:rsidRPr="009A19D6">
              <w:rPr>
                <w:sz w:val="28"/>
                <w:szCs w:val="28"/>
                <w:lang w:val="uk-UA" w:eastAsia="en-US"/>
              </w:rPr>
              <w:t>33</w:t>
            </w:r>
          </w:p>
          <w:p w:rsidR="00E3259F" w:rsidRPr="009A19D6" w:rsidRDefault="00E3259F" w:rsidP="009A19D6">
            <w:pPr>
              <w:spacing w:line="360" w:lineRule="auto"/>
              <w:rPr>
                <w:sz w:val="28"/>
                <w:szCs w:val="28"/>
                <w:lang w:eastAsia="en-US"/>
              </w:rPr>
            </w:pPr>
            <w:r w:rsidRPr="009A19D6">
              <w:rPr>
                <w:sz w:val="28"/>
                <w:szCs w:val="28"/>
                <w:lang w:val="uk-UA" w:eastAsia="en-US"/>
              </w:rPr>
              <w:t>р&gt;0,05</w:t>
            </w:r>
          </w:p>
        </w:tc>
        <w:tc>
          <w:tcPr>
            <w:tcW w:w="670"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58</w:t>
            </w:r>
            <w:r w:rsidRPr="009A19D6">
              <w:rPr>
                <w:sz w:val="28"/>
                <w:szCs w:val="28"/>
                <w:lang w:val="uk-UA" w:eastAsia="en-US"/>
              </w:rPr>
              <w:t>5</w:t>
            </w:r>
            <w:r w:rsidRPr="009A19D6">
              <w:rPr>
                <w:sz w:val="28"/>
                <w:szCs w:val="28"/>
                <w:lang w:eastAsia="en-US"/>
              </w:rPr>
              <w:t>,8</w:t>
            </w:r>
            <w:r w:rsidRPr="009A19D6">
              <w:rPr>
                <w:sz w:val="28"/>
                <w:szCs w:val="28"/>
                <w:lang w:val="uk-UA" w:eastAsia="en-US"/>
              </w:rPr>
              <w:t>1</w:t>
            </w:r>
            <w:r w:rsidRPr="009A19D6">
              <w:rPr>
                <w:sz w:val="28"/>
                <w:szCs w:val="28"/>
                <w:lang w:eastAsia="en-US"/>
              </w:rPr>
              <w:t>±</w:t>
            </w:r>
            <w:r w:rsidRPr="009A19D6">
              <w:rPr>
                <w:sz w:val="28"/>
                <w:szCs w:val="28"/>
                <w:lang w:val="uk-UA" w:eastAsia="en-US"/>
              </w:rPr>
              <w:t>7</w:t>
            </w:r>
            <w:r w:rsidRPr="009A19D6">
              <w:rPr>
                <w:sz w:val="28"/>
                <w:szCs w:val="28"/>
                <w:lang w:eastAsia="en-US"/>
              </w:rPr>
              <w:t>,5</w:t>
            </w:r>
            <w:r w:rsidRPr="009A19D6">
              <w:rPr>
                <w:sz w:val="28"/>
                <w:szCs w:val="28"/>
                <w:lang w:val="uk-UA" w:eastAsia="en-US"/>
              </w:rPr>
              <w:t>4</w:t>
            </w:r>
          </w:p>
        </w:tc>
        <w:tc>
          <w:tcPr>
            <w:tcW w:w="671"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56</w:t>
            </w:r>
            <w:r w:rsidRPr="009A19D6">
              <w:rPr>
                <w:sz w:val="28"/>
                <w:szCs w:val="28"/>
                <w:lang w:val="uk-UA" w:eastAsia="en-US"/>
              </w:rPr>
              <w:t>8</w:t>
            </w:r>
            <w:r w:rsidRPr="009A19D6">
              <w:rPr>
                <w:sz w:val="28"/>
                <w:szCs w:val="28"/>
                <w:lang w:eastAsia="en-US"/>
              </w:rPr>
              <w:t>,</w:t>
            </w:r>
            <w:r w:rsidRPr="009A19D6">
              <w:rPr>
                <w:sz w:val="28"/>
                <w:szCs w:val="28"/>
                <w:lang w:val="uk-UA" w:eastAsia="en-US"/>
              </w:rPr>
              <w:t>72</w:t>
            </w:r>
            <w:r w:rsidRPr="009A19D6">
              <w:rPr>
                <w:sz w:val="28"/>
                <w:szCs w:val="28"/>
                <w:lang w:eastAsia="en-US"/>
              </w:rPr>
              <w:t>±</w:t>
            </w:r>
            <w:r w:rsidRPr="009A19D6">
              <w:rPr>
                <w:sz w:val="28"/>
                <w:szCs w:val="28"/>
                <w:lang w:val="uk-UA" w:eastAsia="en-US"/>
              </w:rPr>
              <w:t>8</w:t>
            </w:r>
            <w:r w:rsidRPr="009A19D6">
              <w:rPr>
                <w:sz w:val="28"/>
                <w:szCs w:val="28"/>
                <w:lang w:eastAsia="en-US"/>
              </w:rPr>
              <w:t>,</w:t>
            </w:r>
            <w:r w:rsidRPr="009A19D6">
              <w:rPr>
                <w:sz w:val="28"/>
                <w:szCs w:val="28"/>
                <w:lang w:val="uk-UA" w:eastAsia="en-US"/>
              </w:rPr>
              <w:t>45</w:t>
            </w:r>
          </w:p>
          <w:p w:rsidR="00E3259F" w:rsidRPr="009A19D6" w:rsidRDefault="00E3259F" w:rsidP="009A19D6">
            <w:pPr>
              <w:spacing w:line="360" w:lineRule="auto"/>
              <w:rPr>
                <w:sz w:val="28"/>
                <w:szCs w:val="28"/>
                <w:lang w:val="uk-UA" w:eastAsia="en-US"/>
              </w:rPr>
            </w:pPr>
            <w:r w:rsidRPr="009A19D6">
              <w:rPr>
                <w:sz w:val="28"/>
                <w:szCs w:val="28"/>
                <w:lang w:val="uk-UA" w:eastAsia="en-US"/>
              </w:rPr>
              <w:t>р&gt;0,05</w:t>
            </w:r>
          </w:p>
        </w:tc>
        <w:tc>
          <w:tcPr>
            <w:tcW w:w="653"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eastAsia="en-US"/>
              </w:rPr>
              <w:t>5</w:t>
            </w:r>
            <w:r w:rsidRPr="009A19D6">
              <w:rPr>
                <w:sz w:val="28"/>
                <w:szCs w:val="28"/>
                <w:lang w:val="uk-UA" w:eastAsia="en-US"/>
              </w:rPr>
              <w:t>65</w:t>
            </w:r>
            <w:r w:rsidRPr="009A19D6">
              <w:rPr>
                <w:sz w:val="28"/>
                <w:szCs w:val="28"/>
                <w:lang w:eastAsia="en-US"/>
              </w:rPr>
              <w:t>,</w:t>
            </w:r>
            <w:r w:rsidRPr="009A19D6">
              <w:rPr>
                <w:sz w:val="28"/>
                <w:szCs w:val="28"/>
                <w:lang w:val="uk-UA" w:eastAsia="en-US"/>
              </w:rPr>
              <w:t>68</w:t>
            </w:r>
            <w:r w:rsidRPr="009A19D6">
              <w:rPr>
                <w:sz w:val="28"/>
                <w:szCs w:val="28"/>
                <w:lang w:eastAsia="en-US"/>
              </w:rPr>
              <w:t>±1</w:t>
            </w:r>
            <w:r w:rsidRPr="009A19D6">
              <w:rPr>
                <w:sz w:val="28"/>
                <w:szCs w:val="28"/>
                <w:lang w:val="uk-UA" w:eastAsia="en-US"/>
              </w:rPr>
              <w:t>2</w:t>
            </w:r>
            <w:r w:rsidRPr="009A19D6">
              <w:rPr>
                <w:sz w:val="28"/>
                <w:szCs w:val="28"/>
                <w:lang w:eastAsia="en-US"/>
              </w:rPr>
              <w:t>,</w:t>
            </w:r>
            <w:r w:rsidRPr="009A19D6">
              <w:rPr>
                <w:sz w:val="28"/>
                <w:szCs w:val="28"/>
                <w:lang w:val="uk-UA" w:eastAsia="en-US"/>
              </w:rPr>
              <w:t>63</w:t>
            </w:r>
          </w:p>
        </w:tc>
        <w:tc>
          <w:tcPr>
            <w:tcW w:w="679" w:type="pct"/>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eastAsia="en-US"/>
              </w:rPr>
              <w:t>56</w:t>
            </w:r>
            <w:r w:rsidRPr="009A19D6">
              <w:rPr>
                <w:sz w:val="28"/>
                <w:szCs w:val="28"/>
                <w:lang w:val="uk-UA" w:eastAsia="en-US"/>
              </w:rPr>
              <w:t>6</w:t>
            </w:r>
            <w:r w:rsidRPr="009A19D6">
              <w:rPr>
                <w:sz w:val="28"/>
                <w:szCs w:val="28"/>
                <w:lang w:eastAsia="en-US"/>
              </w:rPr>
              <w:t>,</w:t>
            </w:r>
            <w:r w:rsidRPr="009A19D6">
              <w:rPr>
                <w:sz w:val="28"/>
                <w:szCs w:val="28"/>
                <w:lang w:val="uk-UA" w:eastAsia="en-US"/>
              </w:rPr>
              <w:t>72</w:t>
            </w:r>
            <w:r w:rsidRPr="009A19D6">
              <w:rPr>
                <w:sz w:val="28"/>
                <w:szCs w:val="28"/>
                <w:lang w:eastAsia="en-US"/>
              </w:rPr>
              <w:t>±1</w:t>
            </w:r>
            <w:r w:rsidRPr="009A19D6">
              <w:rPr>
                <w:sz w:val="28"/>
                <w:szCs w:val="28"/>
                <w:lang w:val="uk-UA" w:eastAsia="en-US"/>
              </w:rPr>
              <w:t>2</w:t>
            </w:r>
            <w:r w:rsidRPr="009A19D6">
              <w:rPr>
                <w:sz w:val="28"/>
                <w:szCs w:val="28"/>
                <w:lang w:eastAsia="en-US"/>
              </w:rPr>
              <w:t>,</w:t>
            </w:r>
            <w:r w:rsidRPr="009A19D6">
              <w:rPr>
                <w:sz w:val="28"/>
                <w:szCs w:val="28"/>
                <w:lang w:val="uk-UA" w:eastAsia="en-US"/>
              </w:rPr>
              <w:t>97</w:t>
            </w:r>
          </w:p>
          <w:p w:rsidR="00E3259F" w:rsidRPr="009A19D6" w:rsidRDefault="00E3259F" w:rsidP="009A19D6">
            <w:pPr>
              <w:spacing w:line="360" w:lineRule="auto"/>
              <w:rPr>
                <w:sz w:val="28"/>
                <w:szCs w:val="28"/>
                <w:lang w:val="uk-UA" w:eastAsia="en-US"/>
              </w:rPr>
            </w:pPr>
            <w:r w:rsidRPr="009A19D6">
              <w:rPr>
                <w:sz w:val="28"/>
                <w:szCs w:val="28"/>
                <w:lang w:val="uk-UA" w:eastAsia="en-US"/>
              </w:rPr>
              <w:t>р&gt;0,05</w:t>
            </w:r>
          </w:p>
        </w:tc>
      </w:tr>
    </w:tbl>
    <w:p w:rsidR="00E3259F" w:rsidRDefault="00E3259F" w:rsidP="00E3259F">
      <w:pPr>
        <w:ind w:firstLine="709"/>
        <w:jc w:val="both"/>
        <w:rPr>
          <w:sz w:val="28"/>
          <w:szCs w:val="28"/>
          <w:highlight w:val="green"/>
          <w:lang w:val="uk-UA"/>
        </w:rPr>
      </w:pPr>
    </w:p>
    <w:p w:rsidR="00E3259F" w:rsidRPr="009A19D6" w:rsidRDefault="00E3259F" w:rsidP="00E3259F">
      <w:pPr>
        <w:ind w:firstLine="709"/>
        <w:jc w:val="both"/>
        <w:rPr>
          <w:rStyle w:val="tlid-translation"/>
          <w:rFonts w:eastAsiaTheme="majorEastAsia"/>
          <w:sz w:val="26"/>
          <w:szCs w:val="26"/>
          <w:lang w:val="uk-UA" w:eastAsia="en-US"/>
        </w:rPr>
      </w:pPr>
      <w:r w:rsidRPr="009A19D6">
        <w:rPr>
          <w:sz w:val="28"/>
          <w:szCs w:val="28"/>
          <w:lang w:val="uk-UA"/>
        </w:rPr>
        <w:t>Примітка: р</w:t>
      </w:r>
      <w:r w:rsidRPr="009A19D6">
        <w:rPr>
          <w:sz w:val="28"/>
          <w:szCs w:val="28"/>
          <w:vertAlign w:val="subscript"/>
          <w:lang w:val="uk-UA"/>
        </w:rPr>
        <w:t xml:space="preserve"> -</w:t>
      </w:r>
      <w:r w:rsidRPr="009A19D6">
        <w:rPr>
          <w:sz w:val="28"/>
          <w:szCs w:val="28"/>
          <w:lang w:val="uk-UA"/>
        </w:rPr>
        <w:t xml:space="preserve">  рівень значущості відмінностей при порівнянні І та ІІ вікових підгруп в групі </w:t>
      </w:r>
    </w:p>
    <w:p w:rsidR="00E3259F" w:rsidRDefault="00E3259F" w:rsidP="00E3259F">
      <w:pPr>
        <w:spacing w:line="360" w:lineRule="auto"/>
        <w:rPr>
          <w:sz w:val="28"/>
          <w:szCs w:val="28"/>
          <w:lang w:val="uk-UA"/>
        </w:rPr>
        <w:sectPr w:rsidR="00E3259F">
          <w:pgSz w:w="16838" w:h="11906" w:orient="landscape"/>
          <w:pgMar w:top="851" w:right="1134" w:bottom="1701" w:left="1134" w:header="709" w:footer="709" w:gutter="0"/>
          <w:cols w:space="720"/>
        </w:sectPr>
      </w:pPr>
    </w:p>
    <w:p w:rsidR="00E3259F" w:rsidRPr="009A19D6" w:rsidRDefault="00E3259F" w:rsidP="009A19D6">
      <w:pPr>
        <w:spacing w:line="360" w:lineRule="auto"/>
        <w:ind w:firstLine="709"/>
        <w:jc w:val="both"/>
        <w:rPr>
          <w:sz w:val="28"/>
          <w:szCs w:val="28"/>
          <w:lang w:val="uk-UA"/>
        </w:rPr>
      </w:pPr>
      <w:r w:rsidRPr="009A19D6">
        <w:rPr>
          <w:sz w:val="28"/>
          <w:szCs w:val="28"/>
          <w:lang w:val="uk-UA"/>
        </w:rPr>
        <w:t>При порівняльному аналізі показників ОС серед осіб однієї вікової підгрупи не було знайдено вірогідних відмінностей серед осіб 1-ї, 2-ї та 3-ї груп віком 44-60 років. Серед осіб старшої вікової групи були знайдені вірогідні відмінності активності ГПО між 1-ю та 2-ю групами (р=0,007), і між 1-ю та 3-ю групами (р=0,003), рівнями МДА між 1-ю та 3-ю групами (р=0,001), що є свідченням того, що не тільки патологічні процеси мають вплив на інтенсивність ОС,  значною мірою впливає й вік.</w:t>
      </w:r>
    </w:p>
    <w:p w:rsidR="00E3259F" w:rsidRPr="009A19D6" w:rsidRDefault="00E3259F" w:rsidP="009A19D6">
      <w:pPr>
        <w:spacing w:line="360" w:lineRule="auto"/>
        <w:ind w:firstLine="709"/>
        <w:jc w:val="both"/>
        <w:rPr>
          <w:sz w:val="28"/>
          <w:szCs w:val="28"/>
          <w:lang w:val="uk-UA"/>
        </w:rPr>
      </w:pPr>
      <w:r w:rsidRPr="009A19D6">
        <w:rPr>
          <w:sz w:val="28"/>
          <w:szCs w:val="28"/>
          <w:lang w:val="uk-UA"/>
        </w:rPr>
        <w:t xml:space="preserve">Відомо, що при багатьох захворюваннях, зокрема ЦД, ГХ,  складаються сприятливі умови для ініціації та прогресування ОС, а саме: збільшується концентрація глюкози і ліпідів - основних субстратів окислення, зменшується активність ендогенних антиоксидантів. З метою дослідження взаємозв`язку між метаболічними і антропометричними показниками та показниками оксидантно-антиоксидантної системи залежно від вікової групи в усіх досліджуваних групах був проведений кореляційний аналіз, який виявив значну кількість кореляційних зв’язків різної сили та напрямку між показниками, що оцінювались (Таблиця 4.4). </w:t>
      </w:r>
    </w:p>
    <w:p w:rsidR="00E3259F" w:rsidRPr="009A19D6" w:rsidRDefault="00E3259F" w:rsidP="009A19D6">
      <w:pPr>
        <w:spacing w:line="360" w:lineRule="auto"/>
        <w:jc w:val="right"/>
        <w:rPr>
          <w:sz w:val="28"/>
          <w:szCs w:val="28"/>
          <w:lang w:val="uk-UA"/>
        </w:rPr>
      </w:pPr>
      <w:r w:rsidRPr="009A19D6">
        <w:rPr>
          <w:sz w:val="28"/>
          <w:szCs w:val="28"/>
          <w:lang w:val="uk-UA"/>
        </w:rPr>
        <w:t>Таблиця 4.4</w:t>
      </w:r>
    </w:p>
    <w:p w:rsidR="00E3259F" w:rsidRPr="009A19D6" w:rsidRDefault="00E3259F" w:rsidP="009A19D6">
      <w:pPr>
        <w:spacing w:line="360" w:lineRule="auto"/>
        <w:jc w:val="center"/>
        <w:rPr>
          <w:sz w:val="28"/>
          <w:szCs w:val="28"/>
          <w:lang w:val="uk-UA"/>
        </w:rPr>
      </w:pPr>
      <w:r w:rsidRPr="009A19D6">
        <w:rPr>
          <w:sz w:val="28"/>
          <w:szCs w:val="28"/>
          <w:lang w:val="uk-UA"/>
        </w:rPr>
        <w:t>Кореляційні зв</w:t>
      </w:r>
      <w:r w:rsidRPr="009A19D6">
        <w:rPr>
          <w:sz w:val="28"/>
          <w:szCs w:val="28"/>
        </w:rPr>
        <w:t>’язки м</w:t>
      </w:r>
      <w:r w:rsidRPr="009A19D6">
        <w:rPr>
          <w:sz w:val="28"/>
          <w:szCs w:val="28"/>
          <w:lang w:val="uk-UA"/>
        </w:rPr>
        <w:t>іж антропометричними , метаболічними показниками та показниками оксидативного стресу залежно від вікової групи</w:t>
      </w:r>
    </w:p>
    <w:tbl>
      <w:tblPr>
        <w:tblW w:w="0" w:type="auto"/>
        <w:tblLook w:val="04A0" w:firstRow="1" w:lastRow="0" w:firstColumn="1" w:lastColumn="0" w:noHBand="0" w:noVBand="1"/>
      </w:tblPr>
      <w:tblGrid>
        <w:gridCol w:w="3369"/>
        <w:gridCol w:w="3402"/>
        <w:gridCol w:w="2799"/>
      </w:tblGrid>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Pr="009A19D6" w:rsidRDefault="00E3259F">
            <w:pPr>
              <w:spacing w:line="360" w:lineRule="auto"/>
              <w:jc w:val="both"/>
              <w:rPr>
                <w:sz w:val="28"/>
                <w:szCs w:val="28"/>
                <w:lang w:val="uk-UA" w:eastAsia="en-US"/>
              </w:rPr>
            </w:pPr>
            <w:r w:rsidRPr="009A19D6">
              <w:rPr>
                <w:sz w:val="28"/>
                <w:szCs w:val="28"/>
                <w:lang w:val="uk-UA" w:eastAsia="en-US"/>
              </w:rPr>
              <w:t>Показники</w:t>
            </w:r>
          </w:p>
        </w:tc>
        <w:tc>
          <w:tcPr>
            <w:tcW w:w="3402" w:type="dxa"/>
            <w:tcBorders>
              <w:top w:val="single" w:sz="4" w:space="0" w:color="auto"/>
              <w:left w:val="single" w:sz="4" w:space="0" w:color="auto"/>
              <w:bottom w:val="single" w:sz="4" w:space="0" w:color="auto"/>
              <w:right w:val="single" w:sz="4" w:space="0" w:color="auto"/>
            </w:tcBorders>
            <w:hideMark/>
          </w:tcPr>
          <w:p w:rsidR="00E3259F" w:rsidRPr="009A19D6" w:rsidRDefault="00E3259F">
            <w:pPr>
              <w:spacing w:line="360" w:lineRule="auto"/>
              <w:jc w:val="both"/>
              <w:rPr>
                <w:sz w:val="28"/>
                <w:szCs w:val="28"/>
                <w:lang w:val="en-US" w:eastAsia="en-US"/>
              </w:rPr>
            </w:pPr>
            <w:r w:rsidRPr="009A19D6">
              <w:rPr>
                <w:sz w:val="28"/>
                <w:szCs w:val="28"/>
                <w:lang w:val="uk-UA" w:eastAsia="en-US"/>
              </w:rPr>
              <w:t>Коефіцієнт к</w:t>
            </w:r>
            <w:r w:rsidRPr="009A19D6">
              <w:rPr>
                <w:sz w:val="28"/>
                <w:szCs w:val="28"/>
                <w:lang w:eastAsia="en-US"/>
              </w:rPr>
              <w:t>ореляц</w:t>
            </w:r>
            <w:r w:rsidRPr="009A19D6">
              <w:rPr>
                <w:sz w:val="28"/>
                <w:szCs w:val="28"/>
                <w:lang w:val="uk-UA" w:eastAsia="en-US"/>
              </w:rPr>
              <w:t>ії</w:t>
            </w:r>
            <w:r w:rsidRPr="009A19D6">
              <w:rPr>
                <w:sz w:val="28"/>
                <w:szCs w:val="28"/>
                <w:lang w:eastAsia="en-US"/>
              </w:rPr>
              <w:t xml:space="preserve"> П</w:t>
            </w:r>
            <w:r w:rsidRPr="009A19D6">
              <w:rPr>
                <w:sz w:val="28"/>
                <w:szCs w:val="28"/>
                <w:lang w:val="uk-UA" w:eastAsia="en-US"/>
              </w:rPr>
              <w:t>і</w:t>
            </w:r>
            <w:r w:rsidRPr="009A19D6">
              <w:rPr>
                <w:sz w:val="28"/>
                <w:szCs w:val="28"/>
                <w:lang w:eastAsia="en-US"/>
              </w:rPr>
              <w:t>рсона</w:t>
            </w:r>
            <w:r w:rsidRPr="009A19D6">
              <w:rPr>
                <w:sz w:val="28"/>
                <w:szCs w:val="28"/>
                <w:lang w:val="uk-UA" w:eastAsia="en-US"/>
              </w:rPr>
              <w:t>,</w:t>
            </w:r>
            <w:r w:rsidRPr="009A19D6">
              <w:rPr>
                <w:sz w:val="28"/>
                <w:szCs w:val="28"/>
                <w:lang w:val="en-US" w:eastAsia="en-US"/>
              </w:rPr>
              <w:t xml:space="preserve"> r</w:t>
            </w:r>
          </w:p>
        </w:tc>
        <w:tc>
          <w:tcPr>
            <w:tcW w:w="2799" w:type="dxa"/>
            <w:tcBorders>
              <w:top w:val="single" w:sz="4" w:space="0" w:color="auto"/>
              <w:left w:val="single" w:sz="4" w:space="0" w:color="auto"/>
              <w:bottom w:val="single" w:sz="4" w:space="0" w:color="auto"/>
              <w:right w:val="single" w:sz="4" w:space="0" w:color="auto"/>
            </w:tcBorders>
            <w:hideMark/>
          </w:tcPr>
          <w:p w:rsidR="00E3259F" w:rsidRPr="009A19D6" w:rsidRDefault="00E3259F">
            <w:pPr>
              <w:spacing w:line="360" w:lineRule="auto"/>
              <w:jc w:val="both"/>
              <w:rPr>
                <w:sz w:val="28"/>
                <w:szCs w:val="28"/>
                <w:lang w:eastAsia="en-US"/>
              </w:rPr>
            </w:pPr>
            <w:r w:rsidRPr="009A19D6">
              <w:rPr>
                <w:sz w:val="28"/>
                <w:szCs w:val="28"/>
                <w:lang w:val="uk-UA" w:eastAsia="en-US"/>
              </w:rPr>
              <w:t>Рівень з</w:t>
            </w:r>
            <w:r w:rsidRPr="009A19D6">
              <w:rPr>
                <w:sz w:val="28"/>
                <w:szCs w:val="28"/>
                <w:lang w:eastAsia="en-US"/>
              </w:rPr>
              <w:t>нач</w:t>
            </w:r>
            <w:r w:rsidRPr="009A19D6">
              <w:rPr>
                <w:sz w:val="28"/>
                <w:szCs w:val="28"/>
                <w:lang w:val="uk-UA" w:eastAsia="en-US"/>
              </w:rPr>
              <w:t>ущості, р</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bCs/>
                <w:sz w:val="28"/>
                <w:szCs w:val="28"/>
                <w:lang w:eastAsia="en-US"/>
              </w:rPr>
              <w:t>В</w:t>
            </w:r>
            <w:r>
              <w:rPr>
                <w:bCs/>
                <w:sz w:val="28"/>
                <w:szCs w:val="28"/>
                <w:lang w:val="uk-UA" w:eastAsia="en-US"/>
              </w:rPr>
              <w:t>ікова підгрупа від 44 до 60 років</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група 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576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w:t>
            </w:r>
            <w:r>
              <w:rPr>
                <w:color w:val="000000"/>
                <w:sz w:val="28"/>
                <w:szCs w:val="28"/>
                <w:lang w:val="uk-UA" w:eastAsia="en-US"/>
              </w:rPr>
              <w:t>361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11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,470</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ГПО-САТ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,289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,044</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ГПО-ПАТ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370</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9</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SН-групи-САТ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eastAsia="en-US"/>
              </w:rPr>
            </w:pPr>
            <w:r>
              <w:rPr>
                <w:color w:val="000000"/>
                <w:sz w:val="28"/>
                <w:szCs w:val="28"/>
                <w:lang w:val="uk-UA" w:eastAsia="en-US"/>
              </w:rPr>
              <w:t>0</w:t>
            </w:r>
            <w:r>
              <w:rPr>
                <w:color w:val="000000"/>
                <w:sz w:val="28"/>
                <w:szCs w:val="28"/>
                <w:lang w:eastAsia="en-US"/>
              </w:rPr>
              <w:t>,313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eastAsia="en-US"/>
              </w:rPr>
            </w:pPr>
            <w:r>
              <w:rPr>
                <w:color w:val="000000"/>
                <w:sz w:val="28"/>
                <w:szCs w:val="28"/>
                <w:lang w:val="uk-UA" w:eastAsia="en-US"/>
              </w:rPr>
              <w:t>0</w:t>
            </w:r>
            <w:r>
              <w:rPr>
                <w:color w:val="000000"/>
                <w:sz w:val="28"/>
                <w:szCs w:val="28"/>
                <w:lang w:eastAsia="en-US"/>
              </w:rPr>
              <w:t>,028</w:t>
            </w:r>
          </w:p>
        </w:tc>
      </w:tr>
    </w:tbl>
    <w:p w:rsidR="009A19D6" w:rsidRDefault="009A19D6">
      <w:pPr>
        <w:rPr>
          <w:lang w:val="uk-UA"/>
        </w:rPr>
      </w:pPr>
    </w:p>
    <w:p w:rsidR="009A19D6" w:rsidRPr="009A19D6" w:rsidRDefault="009A19D6" w:rsidP="009A19D6">
      <w:pPr>
        <w:jc w:val="right"/>
        <w:rPr>
          <w:lang w:val="uk-UA"/>
        </w:rPr>
      </w:pPr>
      <w:r>
        <w:rPr>
          <w:i/>
          <w:spacing w:val="-2"/>
          <w:sz w:val="28"/>
          <w:szCs w:val="28"/>
        </w:rPr>
        <w:t xml:space="preserve">Продовження табл. </w:t>
      </w:r>
      <w:r>
        <w:rPr>
          <w:i/>
          <w:spacing w:val="-2"/>
          <w:sz w:val="28"/>
          <w:szCs w:val="28"/>
          <w:lang w:val="uk-UA"/>
        </w:rPr>
        <w:t>4</w:t>
      </w:r>
      <w:r>
        <w:rPr>
          <w:i/>
          <w:spacing w:val="-2"/>
          <w:sz w:val="28"/>
          <w:szCs w:val="28"/>
        </w:rPr>
        <w:t>.</w:t>
      </w:r>
      <w:r>
        <w:rPr>
          <w:i/>
          <w:spacing w:val="-2"/>
          <w:sz w:val="28"/>
          <w:szCs w:val="28"/>
          <w:lang w:val="uk-UA"/>
        </w:rPr>
        <w:t>4</w:t>
      </w:r>
    </w:p>
    <w:tbl>
      <w:tblPr>
        <w:tblW w:w="0" w:type="auto"/>
        <w:tblLook w:val="04A0" w:firstRow="1" w:lastRow="0" w:firstColumn="1" w:lastColumn="0" w:noHBand="0" w:noVBand="1"/>
      </w:tblPr>
      <w:tblGrid>
        <w:gridCol w:w="3369"/>
        <w:gridCol w:w="3402"/>
        <w:gridCol w:w="2799"/>
      </w:tblGrid>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група 2</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ГПО-ЗХС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,297</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,026</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ГПО-ХСЛПНЩ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,333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,012</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ГПО-глюкоза натще</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,432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ГПО-HbA1с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,376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,004</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ГПО-САТ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,606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ГПО-ПАТ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,450</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ГПО-МТ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,302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,024</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МДА-МТ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,278</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,038</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,288</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,031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МДА-Т3віл</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,288</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,032</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МДА-САТ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,442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МДА-ПАТ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,461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SH-групи-ТГ</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,669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SH-групи-ХСЛПВЩ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,557</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SH-групи-Т3віл</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,298</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,026</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група 3</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ГПО-ЗХС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,371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,024</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ГПО-ХСЛПНЩ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,339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,040</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МДА-ЗХС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,415</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,392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,016</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SH-групи-ХСЛПВЩ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,396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,015</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bCs/>
                <w:sz w:val="28"/>
                <w:szCs w:val="28"/>
                <w:lang w:eastAsia="en-US"/>
              </w:rPr>
              <w:t>В</w:t>
            </w:r>
            <w:r>
              <w:rPr>
                <w:bCs/>
                <w:sz w:val="28"/>
                <w:szCs w:val="28"/>
                <w:lang w:val="uk-UA" w:eastAsia="en-US"/>
              </w:rPr>
              <w:t>ікова група від 61 до 75 років</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1 група</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ГПО-ХСЛПВЩ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w:t>
            </w:r>
            <w:r>
              <w:rPr>
                <w:color w:val="000000"/>
                <w:sz w:val="28"/>
                <w:szCs w:val="28"/>
                <w:lang w:val="uk-UA" w:eastAsia="en-US"/>
              </w:rPr>
              <w:t>514</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0</w:t>
            </w:r>
            <w:r>
              <w:rPr>
                <w:color w:val="000000"/>
                <w:sz w:val="28"/>
                <w:szCs w:val="28"/>
                <w:lang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МДА-ХСЛПВЩ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eastAsia="en-US"/>
              </w:rPr>
            </w:pPr>
            <w:r>
              <w:rPr>
                <w:color w:val="000000"/>
                <w:sz w:val="28"/>
                <w:szCs w:val="28"/>
                <w:lang w:val="uk-UA" w:eastAsia="en-US"/>
              </w:rPr>
              <w:t>0</w:t>
            </w:r>
            <w:r>
              <w:rPr>
                <w:color w:val="000000"/>
                <w:sz w:val="28"/>
                <w:szCs w:val="28"/>
                <w:lang w:eastAsia="en-US"/>
              </w:rPr>
              <w:t>,301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,023</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МДА-САТ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w:t>
            </w:r>
            <w:r>
              <w:rPr>
                <w:color w:val="000000"/>
                <w:sz w:val="28"/>
                <w:szCs w:val="28"/>
                <w:lang w:val="uk-UA" w:eastAsia="en-US"/>
              </w:rPr>
              <w:t>346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08</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МДА-ДАТ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w:t>
            </w:r>
            <w:r>
              <w:rPr>
                <w:color w:val="000000"/>
                <w:sz w:val="28"/>
                <w:szCs w:val="28"/>
                <w:lang w:val="uk-UA" w:eastAsia="en-US"/>
              </w:rPr>
              <w:t>379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04</w:t>
            </w:r>
          </w:p>
        </w:tc>
      </w:tr>
    </w:tbl>
    <w:p w:rsidR="009A19D6" w:rsidRDefault="009A19D6">
      <w:pPr>
        <w:rPr>
          <w:lang w:val="uk-UA"/>
        </w:rPr>
      </w:pPr>
    </w:p>
    <w:p w:rsidR="009A19D6" w:rsidRPr="009A19D6" w:rsidRDefault="009A19D6" w:rsidP="009A19D6">
      <w:pPr>
        <w:jc w:val="right"/>
        <w:rPr>
          <w:lang w:val="uk-UA"/>
        </w:rPr>
      </w:pPr>
      <w:r>
        <w:rPr>
          <w:i/>
          <w:spacing w:val="-2"/>
          <w:sz w:val="28"/>
          <w:szCs w:val="28"/>
        </w:rPr>
        <w:t xml:space="preserve">Продовження табл. </w:t>
      </w:r>
      <w:r>
        <w:rPr>
          <w:i/>
          <w:spacing w:val="-2"/>
          <w:sz w:val="28"/>
          <w:szCs w:val="28"/>
          <w:lang w:val="uk-UA"/>
        </w:rPr>
        <w:t>4</w:t>
      </w:r>
      <w:r>
        <w:rPr>
          <w:i/>
          <w:spacing w:val="-2"/>
          <w:sz w:val="28"/>
          <w:szCs w:val="28"/>
        </w:rPr>
        <w:t>.</w:t>
      </w:r>
      <w:r>
        <w:rPr>
          <w:i/>
          <w:spacing w:val="-2"/>
          <w:sz w:val="28"/>
          <w:szCs w:val="28"/>
          <w:lang w:val="uk-UA"/>
        </w:rPr>
        <w:t>4</w:t>
      </w:r>
    </w:p>
    <w:tbl>
      <w:tblPr>
        <w:tblW w:w="0" w:type="auto"/>
        <w:tblLook w:val="04A0" w:firstRow="1" w:lastRow="0" w:firstColumn="1" w:lastColumn="0" w:noHBand="0" w:noVBand="1"/>
      </w:tblPr>
      <w:tblGrid>
        <w:gridCol w:w="3369"/>
        <w:gridCol w:w="3402"/>
        <w:gridCol w:w="2799"/>
      </w:tblGrid>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и-САТ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,345</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,009</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и-ПАТ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319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w:t>
            </w:r>
            <w:r>
              <w:rPr>
                <w:color w:val="000000"/>
                <w:sz w:val="28"/>
                <w:szCs w:val="28"/>
                <w:lang w:val="uk-UA" w:eastAsia="en-US"/>
              </w:rPr>
              <w:t>5</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2 група</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ГПО-МТ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,203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,043</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ГПО-ІМТ</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,313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,002</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ГПО-ЗХС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,362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ГПО-ХСЛПНЩ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,418</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ГПО-НОМА-</w:t>
            </w:r>
            <w:r>
              <w:rPr>
                <w:sz w:val="28"/>
                <w:szCs w:val="28"/>
                <w:lang w:val="en-US" w:eastAsia="en-US"/>
              </w:rPr>
              <w:t>IR</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,373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МДА-інсулін</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,203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,042</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МДА-Т3віл</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,226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,024</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и-ЗХС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eastAsia="en-US"/>
              </w:rPr>
            </w:pPr>
            <w:r>
              <w:rPr>
                <w:color w:val="000000"/>
                <w:sz w:val="28"/>
                <w:szCs w:val="28"/>
                <w:lang w:val="uk-UA" w:eastAsia="en-US"/>
              </w:rPr>
              <w:t>0</w:t>
            </w:r>
            <w:r>
              <w:rPr>
                <w:color w:val="000000"/>
                <w:sz w:val="28"/>
                <w:szCs w:val="28"/>
                <w:lang w:eastAsia="en-US"/>
              </w:rPr>
              <w:t>,235</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,019</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и-ХСЛПНЩ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eastAsia="en-US"/>
              </w:rPr>
            </w:pPr>
            <w:r>
              <w:rPr>
                <w:color w:val="000000"/>
                <w:sz w:val="28"/>
                <w:szCs w:val="28"/>
                <w:lang w:val="uk-UA" w:eastAsia="en-US"/>
              </w:rPr>
              <w:t>0</w:t>
            </w:r>
            <w:r>
              <w:rPr>
                <w:color w:val="000000"/>
                <w:sz w:val="28"/>
                <w:szCs w:val="28"/>
                <w:lang w:eastAsia="en-US"/>
              </w:rPr>
              <w:t>,207</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,039</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en-US" w:eastAsia="en-US"/>
              </w:rPr>
            </w:pPr>
            <w:r>
              <w:rPr>
                <w:sz w:val="28"/>
                <w:szCs w:val="28"/>
                <w:lang w:val="en-US" w:eastAsia="en-US"/>
              </w:rPr>
              <w:t>SH</w:t>
            </w:r>
            <w:r>
              <w:rPr>
                <w:sz w:val="28"/>
                <w:szCs w:val="28"/>
                <w:lang w:eastAsia="en-US"/>
              </w:rPr>
              <w:t>-груп</w:t>
            </w:r>
            <w:r>
              <w:rPr>
                <w:sz w:val="28"/>
                <w:szCs w:val="28"/>
                <w:lang w:val="uk-UA" w:eastAsia="en-US"/>
              </w:rPr>
              <w:t>и-інсулін</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,255</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en-US" w:eastAsia="en-US"/>
              </w:rPr>
            </w:pPr>
            <w:r>
              <w:rPr>
                <w:sz w:val="28"/>
                <w:szCs w:val="28"/>
                <w:lang w:val="en-US" w:eastAsia="en-US"/>
              </w:rPr>
              <w:t>SH</w:t>
            </w:r>
            <w:r>
              <w:rPr>
                <w:sz w:val="28"/>
                <w:szCs w:val="28"/>
                <w:lang w:eastAsia="en-US"/>
              </w:rPr>
              <w:t>-груп</w:t>
            </w:r>
            <w:r>
              <w:rPr>
                <w:sz w:val="28"/>
                <w:szCs w:val="28"/>
                <w:lang w:val="uk-UA" w:eastAsia="en-US"/>
              </w:rPr>
              <w:t>и- НОМА-</w:t>
            </w:r>
            <w:r>
              <w:rPr>
                <w:sz w:val="28"/>
                <w:szCs w:val="28"/>
                <w:lang w:val="en-US" w:eastAsia="en-US"/>
              </w:rPr>
              <w:t>IR</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,241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,016</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en-US" w:eastAsia="en-US"/>
              </w:rPr>
            </w:pPr>
            <w:r>
              <w:rPr>
                <w:sz w:val="28"/>
                <w:szCs w:val="28"/>
                <w:lang w:val="en-US" w:eastAsia="en-US"/>
              </w:rPr>
              <w:t>SH</w:t>
            </w:r>
            <w:r>
              <w:rPr>
                <w:sz w:val="28"/>
                <w:szCs w:val="28"/>
                <w:lang w:eastAsia="en-US"/>
              </w:rPr>
              <w:t>-груп</w:t>
            </w:r>
            <w:r>
              <w:rPr>
                <w:sz w:val="28"/>
                <w:szCs w:val="28"/>
                <w:lang w:val="uk-UA" w:eastAsia="en-US"/>
              </w:rPr>
              <w:t>и-ТТГ</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,239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,016</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група 3</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ГПО-ЗХС</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,506</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ГПО-ТГ</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,275</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,040</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ГПО-ХСЛПНЩ</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,283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,034</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ГПО-ТТГ</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,287</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,032</w:t>
            </w:r>
          </w:p>
        </w:tc>
      </w:tr>
      <w:tr w:rsidR="00E3259F" w:rsidTr="00E3259F">
        <w:tc>
          <w:tcPr>
            <w:tcW w:w="336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и-ТТГ</w:t>
            </w:r>
          </w:p>
        </w:tc>
        <w:tc>
          <w:tcPr>
            <w:tcW w:w="340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,314</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color w:val="000000"/>
                <w:sz w:val="28"/>
                <w:szCs w:val="28"/>
                <w:lang w:val="uk-UA" w:eastAsia="en-US"/>
              </w:rPr>
            </w:pPr>
            <w:r>
              <w:rPr>
                <w:color w:val="000000"/>
                <w:sz w:val="28"/>
                <w:szCs w:val="28"/>
                <w:lang w:val="uk-UA" w:eastAsia="en-US"/>
              </w:rPr>
              <w:t>0</w:t>
            </w:r>
            <w:r>
              <w:rPr>
                <w:color w:val="000000"/>
                <w:sz w:val="28"/>
                <w:szCs w:val="28"/>
                <w:lang w:eastAsia="en-US"/>
              </w:rPr>
              <w:t>,018</w:t>
            </w:r>
          </w:p>
        </w:tc>
      </w:tr>
    </w:tbl>
    <w:p w:rsidR="00E3259F" w:rsidRDefault="00E3259F" w:rsidP="00E3259F">
      <w:pPr>
        <w:rPr>
          <w:color w:val="000000"/>
          <w:sz w:val="28"/>
          <w:szCs w:val="28"/>
          <w:lang w:val="uk-UA"/>
        </w:rPr>
      </w:pPr>
    </w:p>
    <w:p w:rsidR="00E3259F" w:rsidRDefault="00E3259F" w:rsidP="00E3259F">
      <w:pPr>
        <w:shd w:val="clear" w:color="auto" w:fill="FFFFFF"/>
        <w:spacing w:line="360" w:lineRule="auto"/>
        <w:ind w:firstLine="709"/>
        <w:jc w:val="both"/>
        <w:rPr>
          <w:color w:val="000000"/>
          <w:sz w:val="28"/>
          <w:szCs w:val="28"/>
          <w:lang w:val="uk-UA"/>
        </w:rPr>
      </w:pPr>
    </w:p>
    <w:p w:rsidR="00E3259F" w:rsidRPr="009A19D6" w:rsidRDefault="00E3259F" w:rsidP="009A19D6">
      <w:pPr>
        <w:shd w:val="clear" w:color="auto" w:fill="FFFFFF"/>
        <w:spacing w:line="360" w:lineRule="auto"/>
        <w:ind w:firstLine="709"/>
        <w:jc w:val="both"/>
        <w:rPr>
          <w:sz w:val="28"/>
          <w:szCs w:val="28"/>
          <w:lang w:val="uk-UA"/>
        </w:rPr>
      </w:pPr>
      <w:r w:rsidRPr="009A19D6">
        <w:rPr>
          <w:sz w:val="28"/>
          <w:szCs w:val="28"/>
          <w:lang w:val="uk-UA"/>
        </w:rPr>
        <w:t xml:space="preserve">У пацієнтів з коморбідною патологією в старшій віковій підгрупі був виявлений позитивний кореляційний зв’язок між рівнями ТТГ та показником антиоксидантної системи - </w:t>
      </w:r>
      <w:r w:rsidRPr="009A19D6">
        <w:rPr>
          <w:sz w:val="28"/>
          <w:szCs w:val="28"/>
          <w:lang w:val="en-US"/>
        </w:rPr>
        <w:t>SH</w:t>
      </w:r>
      <w:r w:rsidRPr="009A19D6">
        <w:rPr>
          <w:sz w:val="28"/>
          <w:szCs w:val="28"/>
          <w:lang w:val="uk-UA"/>
        </w:rPr>
        <w:t>-групи в  групі 2 (</w:t>
      </w:r>
      <w:r w:rsidRPr="009A19D6">
        <w:rPr>
          <w:sz w:val="28"/>
          <w:szCs w:val="28"/>
          <w:lang w:val="en-US"/>
        </w:rPr>
        <w:t>r</w:t>
      </w:r>
      <w:r w:rsidRPr="009A19D6">
        <w:rPr>
          <w:sz w:val="28"/>
          <w:szCs w:val="28"/>
          <w:lang w:val="uk-UA"/>
        </w:rPr>
        <w:t>=0,239,p=0,016) та негативний - в  групі 3 (</w:t>
      </w:r>
      <w:r w:rsidRPr="009A19D6">
        <w:rPr>
          <w:sz w:val="28"/>
          <w:szCs w:val="28"/>
          <w:lang w:val="en-US"/>
        </w:rPr>
        <w:t>r</w:t>
      </w:r>
      <w:r w:rsidRPr="009A19D6">
        <w:rPr>
          <w:sz w:val="28"/>
          <w:szCs w:val="28"/>
          <w:lang w:val="uk-UA"/>
        </w:rPr>
        <w:t>=-0,314, p=0,018). У віковій підгрупі 44-60 років подібних зв’язків виявлено не було що свідчить про поглиблення з віком негативного впливу гіпофункції ЩЗ на ОС навіть на субклінічному рівні.</w:t>
      </w:r>
    </w:p>
    <w:p w:rsidR="00E3259F" w:rsidRPr="009A19D6" w:rsidRDefault="00E3259F" w:rsidP="009A19D6">
      <w:pPr>
        <w:shd w:val="clear" w:color="auto" w:fill="FFFFFF"/>
        <w:spacing w:line="360" w:lineRule="auto"/>
        <w:ind w:firstLine="709"/>
        <w:jc w:val="both"/>
        <w:rPr>
          <w:rFonts w:eastAsiaTheme="minorHAnsi"/>
          <w:sz w:val="28"/>
          <w:szCs w:val="28"/>
          <w:lang w:val="uk-UA" w:eastAsia="en-US"/>
        </w:rPr>
      </w:pPr>
      <w:r w:rsidRPr="009A19D6">
        <w:rPr>
          <w:sz w:val="28"/>
          <w:szCs w:val="28"/>
          <w:shd w:val="clear" w:color="auto" w:fill="FFFFFF"/>
          <w:lang w:val="uk-UA"/>
        </w:rPr>
        <w:t>З метою більш детального аналізу впливу рівня субклінічної гіпофункції ЩЗ  на ОС були досліджені показники ОС при різних рівнях ТТГ в групі поєднаного перебігу ГХ, ЦД 2 типу та СГТ. При розподілі на підгрупи за рівнями ТТГ (</w:t>
      </w:r>
      <w:r w:rsidRPr="009A19D6">
        <w:rPr>
          <w:sz w:val="28"/>
          <w:szCs w:val="28"/>
          <w:lang w:val="uk-UA"/>
        </w:rPr>
        <w:t>Таблиця 4.5) було виявлено</w:t>
      </w:r>
      <w:r w:rsidRPr="009A19D6">
        <w:rPr>
          <w:sz w:val="28"/>
          <w:szCs w:val="28"/>
          <w:shd w:val="clear" w:color="auto" w:fill="FFFFFF"/>
          <w:lang w:val="uk-UA"/>
        </w:rPr>
        <w:t xml:space="preserve"> </w:t>
      </w:r>
      <w:r w:rsidRPr="009A19D6">
        <w:rPr>
          <w:sz w:val="28"/>
          <w:szCs w:val="28"/>
          <w:lang w:val="uk-UA"/>
        </w:rPr>
        <w:t xml:space="preserve">більш низькі рівні МДА, підвищена активність ГПО, але більш низькі рівні SН-груп при більш високих рівнях ТТГ. Однак, зниження прооксидантного показника – МДА було не достовірно (р&gt;0,05), і навпаки, підвищення активності ГПО та зниження рівней </w:t>
      </w:r>
      <w:r w:rsidRPr="009A19D6">
        <w:rPr>
          <w:sz w:val="28"/>
          <w:szCs w:val="28"/>
        </w:rPr>
        <w:t>SH</w:t>
      </w:r>
      <w:r w:rsidRPr="009A19D6">
        <w:rPr>
          <w:sz w:val="28"/>
          <w:szCs w:val="28"/>
          <w:lang w:val="uk-UA"/>
        </w:rPr>
        <w:t xml:space="preserve"> – груп були достовірні (р=0,022 та р=0,046, відповідно), це свідчить, що при наявності СГТ рівні ТТГ мають суттєве значення для інтенсивності ОС, впливаючи більшою мірою на ступінь АОЗ. </w:t>
      </w:r>
    </w:p>
    <w:p w:rsidR="00E3259F" w:rsidRDefault="00E3259F" w:rsidP="00E3259F">
      <w:pPr>
        <w:spacing w:line="360" w:lineRule="auto"/>
        <w:ind w:firstLine="709"/>
        <w:jc w:val="both"/>
        <w:rPr>
          <w:rFonts w:ascii="Arial" w:hAnsi="Arial" w:cs="Arial"/>
          <w:color w:val="000000"/>
          <w:sz w:val="22"/>
          <w:szCs w:val="22"/>
          <w:lang w:val="uk-UA"/>
        </w:rPr>
      </w:pPr>
    </w:p>
    <w:p w:rsidR="00E3259F" w:rsidRDefault="00E3259F" w:rsidP="00E3259F">
      <w:pPr>
        <w:spacing w:line="360" w:lineRule="auto"/>
        <w:ind w:firstLine="709"/>
        <w:jc w:val="right"/>
        <w:rPr>
          <w:rFonts w:cstheme="minorBidi"/>
          <w:sz w:val="28"/>
          <w:szCs w:val="28"/>
          <w:lang w:val="uk-UA"/>
        </w:rPr>
      </w:pPr>
      <w:r>
        <w:rPr>
          <w:sz w:val="28"/>
          <w:szCs w:val="28"/>
          <w:lang w:val="uk-UA"/>
        </w:rPr>
        <w:t>Таблиця 4.5</w:t>
      </w:r>
    </w:p>
    <w:p w:rsidR="00E3259F" w:rsidRDefault="00E3259F" w:rsidP="00E3259F">
      <w:pPr>
        <w:spacing w:line="360" w:lineRule="auto"/>
        <w:ind w:firstLine="709"/>
        <w:jc w:val="center"/>
        <w:rPr>
          <w:b/>
          <w:sz w:val="28"/>
          <w:szCs w:val="28"/>
          <w:lang w:val="uk-UA"/>
        </w:rPr>
      </w:pPr>
      <w:r>
        <w:rPr>
          <w:sz w:val="28"/>
          <w:szCs w:val="28"/>
          <w:lang w:val="uk-UA"/>
        </w:rPr>
        <w:t>Порівняльна характеристика показників оксидативного стресу між пацієнтами  на гіпертонічну хворобу, цукровий діабет 2 типу та субклінічний гіпотиреоз з урахуванням рівня ТТГ,</w:t>
      </w:r>
      <w:r>
        <w:rPr>
          <w:b/>
          <w:sz w:val="28"/>
          <w:szCs w:val="28"/>
          <w:lang w:val="uk-UA"/>
        </w:rPr>
        <w:t xml:space="preserve">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p>
    <w:tbl>
      <w:tblPr>
        <w:tblW w:w="0" w:type="auto"/>
        <w:tblLook w:val="04A0" w:firstRow="1" w:lastRow="0" w:firstColumn="1" w:lastColumn="0" w:noHBand="0" w:noVBand="1"/>
      </w:tblPr>
      <w:tblGrid>
        <w:gridCol w:w="2660"/>
        <w:gridCol w:w="2693"/>
        <w:gridCol w:w="2410"/>
        <w:gridCol w:w="1807"/>
      </w:tblGrid>
      <w:tr w:rsidR="00E3259F" w:rsidRPr="009A19D6"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jc w:val="center"/>
              <w:rPr>
                <w:rFonts w:eastAsia="Calibri"/>
                <w:sz w:val="28"/>
                <w:szCs w:val="28"/>
                <w:lang w:val="uk-UA" w:eastAsia="en-US"/>
              </w:rPr>
            </w:pPr>
            <w:r w:rsidRPr="009A19D6">
              <w:rPr>
                <w:sz w:val="28"/>
                <w:szCs w:val="28"/>
                <w:lang w:val="uk-UA" w:eastAsia="en-US"/>
              </w:rPr>
              <w:t>Показник</w:t>
            </w:r>
          </w:p>
        </w:tc>
        <w:tc>
          <w:tcPr>
            <w:tcW w:w="2693" w:type="dxa"/>
            <w:tcBorders>
              <w:top w:val="single" w:sz="4" w:space="0" w:color="auto"/>
              <w:left w:val="single" w:sz="4" w:space="0" w:color="auto"/>
              <w:bottom w:val="single" w:sz="4" w:space="0" w:color="auto"/>
              <w:right w:val="single" w:sz="4" w:space="0" w:color="auto"/>
            </w:tcBorders>
            <w:hideMark/>
          </w:tcPr>
          <w:p w:rsidR="00E3259F" w:rsidRPr="009A19D6" w:rsidRDefault="009A19D6" w:rsidP="009A19D6">
            <w:pPr>
              <w:spacing w:line="360" w:lineRule="auto"/>
              <w:rPr>
                <w:sz w:val="28"/>
                <w:szCs w:val="28"/>
                <w:lang w:val="uk-UA" w:eastAsia="en-US"/>
              </w:rPr>
            </w:pPr>
            <w:r w:rsidRPr="009A19D6">
              <w:rPr>
                <w:sz w:val="28"/>
                <w:szCs w:val="28"/>
                <w:lang w:val="uk-UA" w:eastAsia="en-US"/>
              </w:rPr>
              <w:t>Г</w:t>
            </w:r>
            <w:r w:rsidR="00E3259F" w:rsidRPr="009A19D6">
              <w:rPr>
                <w:sz w:val="28"/>
                <w:szCs w:val="28"/>
                <w:lang w:val="uk-UA" w:eastAsia="en-US"/>
              </w:rPr>
              <w:t>рупа</w:t>
            </w:r>
            <w:r>
              <w:rPr>
                <w:sz w:val="28"/>
                <w:szCs w:val="28"/>
                <w:lang w:val="uk-UA" w:eastAsia="en-US"/>
              </w:rPr>
              <w:t xml:space="preserve"> </w:t>
            </w:r>
            <w:r w:rsidRPr="009A19D6">
              <w:rPr>
                <w:sz w:val="28"/>
                <w:szCs w:val="28"/>
                <w:lang w:val="uk-UA" w:eastAsia="en-US"/>
              </w:rPr>
              <w:t>3а</w:t>
            </w:r>
          </w:p>
          <w:p w:rsidR="00E3259F" w:rsidRPr="009A19D6" w:rsidRDefault="00E3259F" w:rsidP="009A19D6">
            <w:pPr>
              <w:spacing w:line="360" w:lineRule="auto"/>
              <w:rPr>
                <w:rFonts w:eastAsia="Calibri"/>
                <w:sz w:val="28"/>
                <w:szCs w:val="28"/>
                <w:lang w:val="uk-UA" w:eastAsia="en-US"/>
              </w:rPr>
            </w:pPr>
            <w:r w:rsidRPr="009A19D6">
              <w:rPr>
                <w:sz w:val="28"/>
                <w:szCs w:val="28"/>
                <w:shd w:val="clear" w:color="auto" w:fill="FFFFFF"/>
                <w:lang w:val="uk-UA" w:eastAsia="en-US"/>
              </w:rPr>
              <w:t xml:space="preserve">(ТТГ до 6,0 мкМОд/мл, </w:t>
            </w:r>
            <w:r w:rsidRPr="009A19D6">
              <w:rPr>
                <w:sz w:val="28"/>
                <w:szCs w:val="28"/>
                <w:shd w:val="clear" w:color="auto" w:fill="FFFFFF"/>
                <w:lang w:val="en-US" w:eastAsia="en-US"/>
              </w:rPr>
              <w:t>n</w:t>
            </w:r>
            <w:r w:rsidRPr="009A19D6">
              <w:rPr>
                <w:sz w:val="28"/>
                <w:szCs w:val="28"/>
                <w:shd w:val="clear" w:color="auto" w:fill="FFFFFF"/>
                <w:lang w:val="uk-UA" w:eastAsia="en-US"/>
              </w:rPr>
              <w:t>=52)</w:t>
            </w:r>
          </w:p>
        </w:tc>
        <w:tc>
          <w:tcPr>
            <w:tcW w:w="2410" w:type="dxa"/>
            <w:tcBorders>
              <w:top w:val="single" w:sz="4" w:space="0" w:color="auto"/>
              <w:left w:val="single" w:sz="4" w:space="0" w:color="auto"/>
              <w:bottom w:val="single" w:sz="4" w:space="0" w:color="auto"/>
              <w:right w:val="single" w:sz="4" w:space="0" w:color="auto"/>
            </w:tcBorders>
            <w:hideMark/>
          </w:tcPr>
          <w:p w:rsidR="00E3259F" w:rsidRPr="009A19D6" w:rsidRDefault="009A19D6" w:rsidP="009A19D6">
            <w:pPr>
              <w:spacing w:line="360" w:lineRule="auto"/>
              <w:rPr>
                <w:sz w:val="28"/>
                <w:szCs w:val="28"/>
                <w:lang w:val="uk-UA" w:eastAsia="en-US"/>
              </w:rPr>
            </w:pPr>
            <w:r w:rsidRPr="009A19D6">
              <w:rPr>
                <w:sz w:val="28"/>
                <w:szCs w:val="28"/>
                <w:lang w:val="uk-UA" w:eastAsia="en-US"/>
              </w:rPr>
              <w:t>Г</w:t>
            </w:r>
            <w:r w:rsidR="00E3259F" w:rsidRPr="009A19D6">
              <w:rPr>
                <w:sz w:val="28"/>
                <w:szCs w:val="28"/>
                <w:lang w:val="uk-UA" w:eastAsia="en-US"/>
              </w:rPr>
              <w:t>рупа</w:t>
            </w:r>
            <w:r>
              <w:rPr>
                <w:sz w:val="28"/>
                <w:szCs w:val="28"/>
                <w:lang w:val="uk-UA" w:eastAsia="en-US"/>
              </w:rPr>
              <w:t xml:space="preserve"> </w:t>
            </w:r>
            <w:r w:rsidRPr="009A19D6">
              <w:rPr>
                <w:sz w:val="28"/>
                <w:szCs w:val="28"/>
                <w:lang w:val="uk-UA" w:eastAsia="en-US"/>
              </w:rPr>
              <w:t>3б</w:t>
            </w:r>
          </w:p>
          <w:p w:rsidR="00E3259F" w:rsidRPr="009A19D6" w:rsidRDefault="00E3259F" w:rsidP="009A19D6">
            <w:pPr>
              <w:spacing w:line="360" w:lineRule="auto"/>
              <w:rPr>
                <w:rFonts w:eastAsia="Calibri"/>
                <w:sz w:val="28"/>
                <w:szCs w:val="28"/>
                <w:lang w:eastAsia="en-US"/>
              </w:rPr>
            </w:pPr>
            <w:r w:rsidRPr="009A19D6">
              <w:rPr>
                <w:sz w:val="28"/>
                <w:szCs w:val="28"/>
                <w:shd w:val="clear" w:color="auto" w:fill="FFFFFF"/>
                <w:lang w:val="uk-UA" w:eastAsia="en-US"/>
              </w:rPr>
              <w:t xml:space="preserve">(ТТГ від 6,1 до 10 мкМОд/мл, </w:t>
            </w:r>
            <w:r w:rsidRPr="009A19D6">
              <w:rPr>
                <w:sz w:val="28"/>
                <w:szCs w:val="28"/>
                <w:shd w:val="clear" w:color="auto" w:fill="FFFFFF"/>
                <w:lang w:val="en-US" w:eastAsia="en-US"/>
              </w:rPr>
              <w:t>n</w:t>
            </w:r>
            <w:r w:rsidRPr="009A19D6">
              <w:rPr>
                <w:sz w:val="28"/>
                <w:szCs w:val="28"/>
                <w:shd w:val="clear" w:color="auto" w:fill="FFFFFF"/>
                <w:lang w:val="uk-UA" w:eastAsia="en-US"/>
              </w:rPr>
              <w:t>=41)</w:t>
            </w:r>
          </w:p>
        </w:tc>
        <w:tc>
          <w:tcPr>
            <w:tcW w:w="1807"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val="uk-UA" w:eastAsia="en-US"/>
              </w:rPr>
            </w:pPr>
            <w:r w:rsidRPr="009A19D6">
              <w:rPr>
                <w:sz w:val="28"/>
                <w:szCs w:val="28"/>
                <w:lang w:val="uk-UA" w:eastAsia="en-US"/>
              </w:rPr>
              <w:t>Значимість,</w:t>
            </w:r>
          </w:p>
          <w:p w:rsidR="00E3259F" w:rsidRPr="009A19D6" w:rsidRDefault="00E3259F" w:rsidP="009A19D6">
            <w:pPr>
              <w:spacing w:line="360" w:lineRule="auto"/>
              <w:rPr>
                <w:sz w:val="28"/>
                <w:szCs w:val="28"/>
                <w:lang w:val="uk-UA" w:eastAsia="en-US"/>
              </w:rPr>
            </w:pPr>
            <w:r w:rsidRPr="009A19D6">
              <w:rPr>
                <w:sz w:val="28"/>
                <w:szCs w:val="28"/>
                <w:lang w:val="uk-UA" w:eastAsia="en-US"/>
              </w:rPr>
              <w:t>р</w:t>
            </w:r>
          </w:p>
        </w:tc>
      </w:tr>
      <w:tr w:rsidR="00E3259F" w:rsidRPr="009A19D6"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eastAsia="en-US"/>
              </w:rPr>
            </w:pPr>
            <w:r w:rsidRPr="009A19D6">
              <w:rPr>
                <w:sz w:val="28"/>
                <w:szCs w:val="28"/>
                <w:lang w:val="uk-UA" w:eastAsia="en-US"/>
              </w:rPr>
              <w:t>МДА, мкмоль/л</w:t>
            </w:r>
          </w:p>
        </w:tc>
        <w:tc>
          <w:tcPr>
            <w:tcW w:w="2693"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val="uk-UA" w:eastAsia="en-US"/>
              </w:rPr>
            </w:pPr>
            <w:r w:rsidRPr="009A19D6">
              <w:rPr>
                <w:sz w:val="28"/>
                <w:szCs w:val="28"/>
                <w:lang w:eastAsia="en-US"/>
              </w:rPr>
              <w:t>6,</w:t>
            </w:r>
            <w:r w:rsidRPr="009A19D6">
              <w:rPr>
                <w:sz w:val="28"/>
                <w:szCs w:val="28"/>
                <w:lang w:val="uk-UA" w:eastAsia="en-US"/>
              </w:rPr>
              <w:t>88</w:t>
            </w:r>
            <w:r w:rsidRPr="009A19D6">
              <w:rPr>
                <w:sz w:val="28"/>
                <w:szCs w:val="28"/>
                <w:lang w:eastAsia="en-US"/>
              </w:rPr>
              <w:t>±</w:t>
            </w:r>
            <w:r w:rsidRPr="009A19D6">
              <w:rPr>
                <w:sz w:val="28"/>
                <w:szCs w:val="28"/>
                <w:lang w:val="uk-UA" w:eastAsia="en-US"/>
              </w:rPr>
              <w:t>0,</w:t>
            </w:r>
            <w:r w:rsidRPr="009A19D6">
              <w:rPr>
                <w:sz w:val="28"/>
                <w:szCs w:val="28"/>
                <w:lang w:eastAsia="en-US"/>
              </w:rPr>
              <w:t>2</w:t>
            </w:r>
            <w:r w:rsidRPr="009A19D6">
              <w:rPr>
                <w:sz w:val="28"/>
                <w:szCs w:val="28"/>
                <w:lang w:val="uk-UA" w:eastAsia="en-US"/>
              </w:rPr>
              <w:t>2</w:t>
            </w:r>
          </w:p>
        </w:tc>
        <w:tc>
          <w:tcPr>
            <w:tcW w:w="241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val="uk-UA" w:eastAsia="en-US"/>
              </w:rPr>
            </w:pPr>
            <w:r w:rsidRPr="009A19D6">
              <w:rPr>
                <w:sz w:val="28"/>
                <w:szCs w:val="28"/>
                <w:lang w:eastAsia="en-US"/>
              </w:rPr>
              <w:t>6,</w:t>
            </w:r>
            <w:r w:rsidRPr="009A19D6">
              <w:rPr>
                <w:sz w:val="28"/>
                <w:szCs w:val="28"/>
                <w:lang w:val="uk-UA" w:eastAsia="en-US"/>
              </w:rPr>
              <w:t>42</w:t>
            </w:r>
            <w:r w:rsidRPr="009A19D6">
              <w:rPr>
                <w:sz w:val="28"/>
                <w:szCs w:val="28"/>
                <w:lang w:eastAsia="en-US"/>
              </w:rPr>
              <w:t>±</w:t>
            </w:r>
            <w:r w:rsidRPr="009A19D6">
              <w:rPr>
                <w:sz w:val="28"/>
                <w:szCs w:val="28"/>
                <w:lang w:val="uk-UA" w:eastAsia="en-US"/>
              </w:rPr>
              <w:t>0</w:t>
            </w:r>
            <w:r w:rsidRPr="009A19D6">
              <w:rPr>
                <w:sz w:val="28"/>
                <w:szCs w:val="28"/>
                <w:lang w:eastAsia="en-US"/>
              </w:rPr>
              <w:t>,</w:t>
            </w:r>
            <w:r w:rsidRPr="009A19D6">
              <w:rPr>
                <w:sz w:val="28"/>
                <w:szCs w:val="28"/>
                <w:lang w:val="uk-UA" w:eastAsia="en-US"/>
              </w:rPr>
              <w:t>20</w:t>
            </w:r>
          </w:p>
        </w:tc>
        <w:tc>
          <w:tcPr>
            <w:tcW w:w="1807"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р&gt;0,05</w:t>
            </w:r>
          </w:p>
        </w:tc>
      </w:tr>
      <w:tr w:rsidR="00E3259F" w:rsidRPr="009A19D6"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val="uk-UA" w:eastAsia="en-US"/>
              </w:rPr>
            </w:pPr>
            <w:r w:rsidRPr="009A19D6">
              <w:rPr>
                <w:sz w:val="28"/>
                <w:szCs w:val="28"/>
                <w:lang w:val="uk-UA" w:eastAsia="en-US"/>
              </w:rPr>
              <w:t>ГПО, мккат/гНв</w:t>
            </w:r>
          </w:p>
        </w:tc>
        <w:tc>
          <w:tcPr>
            <w:tcW w:w="2693"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eastAsia="en-US"/>
              </w:rPr>
            </w:pPr>
            <w:r w:rsidRPr="009A19D6">
              <w:rPr>
                <w:sz w:val="28"/>
                <w:szCs w:val="28"/>
                <w:lang w:eastAsia="en-US"/>
              </w:rPr>
              <w:t>4,9</w:t>
            </w:r>
            <w:r w:rsidRPr="009A19D6">
              <w:rPr>
                <w:sz w:val="28"/>
                <w:szCs w:val="28"/>
                <w:lang w:val="uk-UA" w:eastAsia="en-US"/>
              </w:rPr>
              <w:t>4±0</w:t>
            </w:r>
            <w:r w:rsidRPr="009A19D6">
              <w:rPr>
                <w:sz w:val="28"/>
                <w:szCs w:val="28"/>
                <w:lang w:eastAsia="en-US"/>
              </w:rPr>
              <w:t>,</w:t>
            </w:r>
            <w:r w:rsidRPr="009A19D6">
              <w:rPr>
                <w:sz w:val="28"/>
                <w:szCs w:val="28"/>
                <w:lang w:val="uk-UA" w:eastAsia="en-US"/>
              </w:rPr>
              <w:t>19</w:t>
            </w:r>
          </w:p>
        </w:tc>
        <w:tc>
          <w:tcPr>
            <w:tcW w:w="241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val="uk-UA" w:eastAsia="en-US"/>
              </w:rPr>
            </w:pPr>
            <w:r w:rsidRPr="009A19D6">
              <w:rPr>
                <w:sz w:val="28"/>
                <w:szCs w:val="28"/>
                <w:lang w:eastAsia="en-US"/>
              </w:rPr>
              <w:t>5,5</w:t>
            </w:r>
            <w:r w:rsidRPr="009A19D6">
              <w:rPr>
                <w:sz w:val="28"/>
                <w:szCs w:val="28"/>
                <w:lang w:val="uk-UA" w:eastAsia="en-US"/>
              </w:rPr>
              <w:t>0±0</w:t>
            </w:r>
            <w:r w:rsidRPr="009A19D6">
              <w:rPr>
                <w:sz w:val="28"/>
                <w:szCs w:val="28"/>
                <w:lang w:eastAsia="en-US"/>
              </w:rPr>
              <w:t>,</w:t>
            </w:r>
            <w:r w:rsidRPr="009A19D6">
              <w:rPr>
                <w:sz w:val="28"/>
                <w:szCs w:val="28"/>
                <w:lang w:val="uk-UA" w:eastAsia="en-US"/>
              </w:rPr>
              <w:t>14</w:t>
            </w:r>
          </w:p>
        </w:tc>
        <w:tc>
          <w:tcPr>
            <w:tcW w:w="1807"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р=0</w:t>
            </w:r>
            <w:r w:rsidRPr="009A19D6">
              <w:rPr>
                <w:sz w:val="28"/>
                <w:szCs w:val="28"/>
                <w:lang w:eastAsia="en-US"/>
              </w:rPr>
              <w:t>,022</w:t>
            </w:r>
          </w:p>
        </w:tc>
      </w:tr>
      <w:tr w:rsidR="00E3259F" w:rsidRPr="009A19D6" w:rsidTr="00E3259F">
        <w:tc>
          <w:tcPr>
            <w:tcW w:w="266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eastAsia="en-US"/>
              </w:rPr>
            </w:pPr>
            <w:r w:rsidRPr="009A19D6">
              <w:rPr>
                <w:sz w:val="28"/>
                <w:szCs w:val="28"/>
                <w:lang w:val="uk-UA" w:eastAsia="en-US"/>
              </w:rPr>
              <w:t>SН-групи, мкмоль/л</w:t>
            </w:r>
          </w:p>
        </w:tc>
        <w:tc>
          <w:tcPr>
            <w:tcW w:w="2693"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eastAsia="en-US"/>
              </w:rPr>
            </w:pPr>
            <w:r w:rsidRPr="009A19D6">
              <w:rPr>
                <w:sz w:val="28"/>
                <w:szCs w:val="28"/>
                <w:lang w:eastAsia="en-US"/>
              </w:rPr>
              <w:t>58</w:t>
            </w:r>
            <w:r w:rsidRPr="009A19D6">
              <w:rPr>
                <w:sz w:val="28"/>
                <w:szCs w:val="28"/>
                <w:lang w:val="uk-UA" w:eastAsia="en-US"/>
              </w:rPr>
              <w:t>2</w:t>
            </w:r>
            <w:r w:rsidRPr="009A19D6">
              <w:rPr>
                <w:sz w:val="28"/>
                <w:szCs w:val="28"/>
                <w:lang w:eastAsia="en-US"/>
              </w:rPr>
              <w:t>,</w:t>
            </w:r>
            <w:r w:rsidRPr="009A19D6">
              <w:rPr>
                <w:sz w:val="28"/>
                <w:szCs w:val="28"/>
                <w:lang w:val="uk-UA" w:eastAsia="en-US"/>
              </w:rPr>
              <w:t>62</w:t>
            </w:r>
            <w:r w:rsidRPr="009A19D6">
              <w:rPr>
                <w:sz w:val="28"/>
                <w:szCs w:val="28"/>
                <w:lang w:eastAsia="en-US"/>
              </w:rPr>
              <w:t>±1</w:t>
            </w:r>
            <w:r w:rsidRPr="009A19D6">
              <w:rPr>
                <w:sz w:val="28"/>
                <w:szCs w:val="28"/>
                <w:lang w:val="uk-UA" w:eastAsia="en-US"/>
              </w:rPr>
              <w:t>3</w:t>
            </w:r>
            <w:r w:rsidRPr="009A19D6">
              <w:rPr>
                <w:sz w:val="28"/>
                <w:szCs w:val="28"/>
                <w:lang w:eastAsia="en-US"/>
              </w:rPr>
              <w:t>,</w:t>
            </w:r>
            <w:r w:rsidRPr="009A19D6">
              <w:rPr>
                <w:sz w:val="28"/>
                <w:szCs w:val="28"/>
                <w:lang w:val="uk-UA" w:eastAsia="en-US"/>
              </w:rPr>
              <w:t>83</w:t>
            </w:r>
          </w:p>
        </w:tc>
        <w:tc>
          <w:tcPr>
            <w:tcW w:w="2410"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rFonts w:eastAsia="Calibri"/>
                <w:sz w:val="28"/>
                <w:szCs w:val="28"/>
                <w:lang w:val="uk-UA" w:eastAsia="en-US"/>
              </w:rPr>
            </w:pPr>
            <w:r w:rsidRPr="009A19D6">
              <w:rPr>
                <w:sz w:val="28"/>
                <w:szCs w:val="28"/>
                <w:lang w:eastAsia="en-US"/>
              </w:rPr>
              <w:t>54</w:t>
            </w:r>
            <w:r w:rsidRPr="009A19D6">
              <w:rPr>
                <w:sz w:val="28"/>
                <w:szCs w:val="28"/>
                <w:lang w:val="uk-UA" w:eastAsia="en-US"/>
              </w:rPr>
              <w:t>5</w:t>
            </w:r>
            <w:r w:rsidRPr="009A19D6">
              <w:rPr>
                <w:sz w:val="28"/>
                <w:szCs w:val="28"/>
                <w:lang w:eastAsia="en-US"/>
              </w:rPr>
              <w:t>,</w:t>
            </w:r>
            <w:r w:rsidRPr="009A19D6">
              <w:rPr>
                <w:sz w:val="28"/>
                <w:szCs w:val="28"/>
                <w:lang w:val="uk-UA" w:eastAsia="en-US"/>
              </w:rPr>
              <w:t>62</w:t>
            </w:r>
            <w:r w:rsidRPr="009A19D6">
              <w:rPr>
                <w:sz w:val="28"/>
                <w:szCs w:val="28"/>
                <w:lang w:eastAsia="en-US"/>
              </w:rPr>
              <w:t>±1</w:t>
            </w:r>
            <w:r w:rsidRPr="009A19D6">
              <w:rPr>
                <w:sz w:val="28"/>
                <w:szCs w:val="28"/>
                <w:lang w:val="uk-UA" w:eastAsia="en-US"/>
              </w:rPr>
              <w:t>0</w:t>
            </w:r>
            <w:r w:rsidRPr="009A19D6">
              <w:rPr>
                <w:sz w:val="28"/>
                <w:szCs w:val="28"/>
                <w:lang w:eastAsia="en-US"/>
              </w:rPr>
              <w:t>,</w:t>
            </w:r>
            <w:r w:rsidRPr="009A19D6">
              <w:rPr>
                <w:sz w:val="28"/>
                <w:szCs w:val="28"/>
                <w:lang w:val="uk-UA" w:eastAsia="en-US"/>
              </w:rPr>
              <w:t>84</w:t>
            </w:r>
          </w:p>
        </w:tc>
        <w:tc>
          <w:tcPr>
            <w:tcW w:w="1807" w:type="dxa"/>
            <w:tcBorders>
              <w:top w:val="single" w:sz="4" w:space="0" w:color="auto"/>
              <w:left w:val="single" w:sz="4" w:space="0" w:color="auto"/>
              <w:bottom w:val="single" w:sz="4" w:space="0" w:color="auto"/>
              <w:right w:val="single" w:sz="4" w:space="0" w:color="auto"/>
            </w:tcBorders>
            <w:hideMark/>
          </w:tcPr>
          <w:p w:rsidR="00E3259F" w:rsidRPr="009A19D6" w:rsidRDefault="00E3259F" w:rsidP="009A19D6">
            <w:pPr>
              <w:spacing w:line="360" w:lineRule="auto"/>
              <w:rPr>
                <w:sz w:val="28"/>
                <w:szCs w:val="28"/>
                <w:lang w:eastAsia="en-US"/>
              </w:rPr>
            </w:pPr>
            <w:r w:rsidRPr="009A19D6">
              <w:rPr>
                <w:sz w:val="28"/>
                <w:szCs w:val="28"/>
                <w:lang w:val="uk-UA" w:eastAsia="en-US"/>
              </w:rPr>
              <w:t>р=0</w:t>
            </w:r>
            <w:r w:rsidRPr="009A19D6">
              <w:rPr>
                <w:sz w:val="28"/>
                <w:szCs w:val="28"/>
                <w:lang w:eastAsia="en-US"/>
              </w:rPr>
              <w:t>,046</w:t>
            </w:r>
          </w:p>
        </w:tc>
      </w:tr>
    </w:tbl>
    <w:p w:rsidR="00E3259F" w:rsidRDefault="00E3259F" w:rsidP="00E3259F">
      <w:pPr>
        <w:shd w:val="clear" w:color="auto" w:fill="FFFFFF"/>
        <w:spacing w:line="360" w:lineRule="auto"/>
        <w:ind w:firstLine="709"/>
        <w:jc w:val="both"/>
        <w:rPr>
          <w:sz w:val="28"/>
          <w:szCs w:val="28"/>
          <w:lang w:val="uk-UA"/>
        </w:rPr>
      </w:pPr>
    </w:p>
    <w:p w:rsidR="00E3259F" w:rsidRPr="009A19D6" w:rsidRDefault="00E3259F" w:rsidP="009A19D6">
      <w:pPr>
        <w:shd w:val="clear" w:color="auto" w:fill="FFFFFF"/>
        <w:spacing w:line="360" w:lineRule="auto"/>
        <w:ind w:firstLine="709"/>
        <w:jc w:val="both"/>
        <w:rPr>
          <w:sz w:val="28"/>
          <w:szCs w:val="28"/>
          <w:lang w:val="uk-UA" w:eastAsia="en-US"/>
        </w:rPr>
      </w:pPr>
      <w:r w:rsidRPr="009A19D6">
        <w:rPr>
          <w:sz w:val="28"/>
          <w:szCs w:val="28"/>
          <w:lang w:val="uk-UA"/>
        </w:rPr>
        <w:t xml:space="preserve">При розподілі пацієнтів 3 групи за рівнем ТТГ до 6,5 мкМО/мл та більше 6,5 мкМО/мл були отримані достовірні відмінності активності ГПО (р=0,016), але достовірних відмінностей рівнів </w:t>
      </w:r>
      <w:r w:rsidRPr="009A19D6">
        <w:rPr>
          <w:sz w:val="28"/>
          <w:szCs w:val="28"/>
        </w:rPr>
        <w:t>SH</w:t>
      </w:r>
      <w:r w:rsidRPr="009A19D6">
        <w:rPr>
          <w:sz w:val="28"/>
          <w:szCs w:val="28"/>
          <w:lang w:val="uk-UA"/>
        </w:rPr>
        <w:t xml:space="preserve">-груп та МДА отримано не було (р&gt;0,05та р&gt;0,05, відповідно). При розподілі пацієнтів за рівнем ТТГ до 7,0мкМО/мл та більше 7,0мкМО/мл  були отримані вірогідні відмінності активності ГПО (р=0,001) та рівня </w:t>
      </w:r>
      <w:r w:rsidRPr="009A19D6">
        <w:rPr>
          <w:sz w:val="28"/>
          <w:szCs w:val="28"/>
        </w:rPr>
        <w:t>SH</w:t>
      </w:r>
      <w:r w:rsidRPr="009A19D6">
        <w:rPr>
          <w:sz w:val="28"/>
          <w:szCs w:val="28"/>
          <w:lang w:val="uk-UA"/>
        </w:rPr>
        <w:t>-груп (р=0,013) при відсутності вірогідних відмінностей рівня МДА (р&gt;0,05). Це свідчить, що рівень ТТГ 6,0 мкМО/мл може слугувати пороговим для визначення інтенсифікації ОС при коморбідному перебігу ГХ, ЦД 2 типу та СГТ.</w:t>
      </w:r>
    </w:p>
    <w:p w:rsidR="00E3259F" w:rsidRPr="00FC103B" w:rsidRDefault="00E3259F" w:rsidP="009A19D6">
      <w:pPr>
        <w:spacing w:line="360" w:lineRule="auto"/>
        <w:ind w:firstLine="709"/>
        <w:jc w:val="both"/>
        <w:rPr>
          <w:sz w:val="28"/>
          <w:szCs w:val="28"/>
          <w:lang w:val="uk-UA"/>
        </w:rPr>
      </w:pPr>
      <w:r w:rsidRPr="009A19D6">
        <w:rPr>
          <w:sz w:val="28"/>
          <w:szCs w:val="28"/>
          <w:shd w:val="clear" w:color="auto" w:fill="FFFFFF"/>
          <w:lang w:val="uk-UA"/>
        </w:rPr>
        <w:t>Порівняльний аналіз показників ОС у групах залежно від статі не виявив достовірних відмінностей між жінками та чоловіками  в усіх групах хворих за досліджуваними показниками, винятком є активність ГПО в групі ГХ та ЦД 2 типу, яка в жінок була достовірно вище, ніж у чоловіків (р=0,006).  При коморбідній патології  в групі ГХ та ЦД 2 типу в жінок рівень МДА був вище, ніж у чоловіків (</w:t>
      </w:r>
      <w:r w:rsidRPr="009A19D6">
        <w:rPr>
          <w:sz w:val="28"/>
          <w:szCs w:val="28"/>
          <w:lang w:val="uk-UA"/>
        </w:rPr>
        <w:t>6,60±0,21</w:t>
      </w:r>
      <w:r w:rsidRPr="009A19D6">
        <w:rPr>
          <w:sz w:val="28"/>
          <w:szCs w:val="28"/>
          <w:shd w:val="clear" w:color="auto" w:fill="FFFFFF"/>
          <w:lang w:val="uk-UA"/>
        </w:rPr>
        <w:t xml:space="preserve"> </w:t>
      </w:r>
      <w:r w:rsidRPr="009A19D6">
        <w:rPr>
          <w:sz w:val="28"/>
          <w:szCs w:val="28"/>
          <w:lang w:val="uk-UA"/>
        </w:rPr>
        <w:t>мкмоль/л</w:t>
      </w:r>
      <w:r w:rsidRPr="009A19D6">
        <w:rPr>
          <w:sz w:val="28"/>
          <w:szCs w:val="28"/>
          <w:shd w:val="clear" w:color="auto" w:fill="FFFFFF"/>
          <w:lang w:val="uk-UA"/>
        </w:rPr>
        <w:t xml:space="preserve"> проти </w:t>
      </w:r>
      <w:r w:rsidRPr="009A19D6">
        <w:rPr>
          <w:sz w:val="28"/>
          <w:szCs w:val="28"/>
          <w:lang w:val="uk-UA"/>
        </w:rPr>
        <w:t>6,37±0,20</w:t>
      </w:r>
      <w:r w:rsidRPr="009A19D6">
        <w:rPr>
          <w:sz w:val="28"/>
          <w:szCs w:val="28"/>
          <w:shd w:val="clear" w:color="auto" w:fill="FFFFFF"/>
          <w:lang w:val="uk-UA"/>
        </w:rPr>
        <w:t xml:space="preserve"> </w:t>
      </w:r>
      <w:r w:rsidRPr="00FC103B">
        <w:rPr>
          <w:sz w:val="28"/>
          <w:szCs w:val="28"/>
          <w:lang w:val="uk-UA"/>
        </w:rPr>
        <w:t>мкмоль/л,</w:t>
      </w:r>
      <w:r w:rsidRPr="00FC103B">
        <w:rPr>
          <w:sz w:val="28"/>
          <w:szCs w:val="28"/>
          <w:shd w:val="clear" w:color="auto" w:fill="FFFFFF"/>
          <w:lang w:val="uk-UA"/>
        </w:rPr>
        <w:t xml:space="preserve"> р&gt;0,05) а в групі  поєднанго перебігу ГХ, ЦД 2 типу та СГТ навпаки   – у чоловіків рівень МДА був вище, ніж у жінок  (</w:t>
      </w:r>
      <w:r w:rsidRPr="00FC103B">
        <w:rPr>
          <w:sz w:val="28"/>
          <w:szCs w:val="28"/>
          <w:lang w:val="uk-UA"/>
        </w:rPr>
        <w:t xml:space="preserve">6,75±0,32 мкмоль/л проти 6,67±0,17 мкмоль/л, </w:t>
      </w:r>
      <w:r w:rsidRPr="00FC103B">
        <w:rPr>
          <w:sz w:val="28"/>
          <w:szCs w:val="28"/>
          <w:shd w:val="clear" w:color="auto" w:fill="FFFFFF"/>
          <w:lang w:val="uk-UA"/>
        </w:rPr>
        <w:t>р&gt;0,05)</w:t>
      </w:r>
      <w:r w:rsidRPr="00FC103B">
        <w:rPr>
          <w:sz w:val="28"/>
          <w:szCs w:val="28"/>
          <w:lang w:val="uk-UA"/>
        </w:rPr>
        <w:t>), проте ці відмінності були статистично не значимі.</w:t>
      </w:r>
      <w:r w:rsidRPr="00FC103B">
        <w:rPr>
          <w:sz w:val="28"/>
          <w:szCs w:val="28"/>
          <w:shd w:val="clear" w:color="auto" w:fill="FFFFFF"/>
          <w:lang w:val="uk-UA"/>
        </w:rPr>
        <w:t xml:space="preserve">  Активність ГПО при коморбідній патології була вище у жінок, ніж у чоловіків, проте достовірні відмінності були виявлені тільки в групі 2 (р=0,006), а при ізольованій ГХ достовірних гендерних відмінностей даного показника не відмічалося (р&gt;0,05). Рівні </w:t>
      </w:r>
      <w:r w:rsidRPr="00FC103B">
        <w:rPr>
          <w:sz w:val="28"/>
          <w:szCs w:val="28"/>
          <w:lang w:val="en-US"/>
        </w:rPr>
        <w:t>SH</w:t>
      </w:r>
      <w:r w:rsidRPr="00FC103B">
        <w:rPr>
          <w:sz w:val="28"/>
          <w:szCs w:val="28"/>
        </w:rPr>
        <w:t>-груп</w:t>
      </w:r>
      <w:r w:rsidRPr="00FC103B">
        <w:rPr>
          <w:sz w:val="28"/>
          <w:szCs w:val="28"/>
          <w:lang w:val="uk-UA"/>
        </w:rPr>
        <w:t xml:space="preserve"> в 1 і 3 групах були вище у жінок, а в групі ГХ та ЦД 2 типу – у чоловіків, проте відміності не досягали статистичної значущості.</w:t>
      </w:r>
    </w:p>
    <w:p w:rsidR="00E3259F" w:rsidRDefault="00E3259F" w:rsidP="00E3259F">
      <w:pPr>
        <w:spacing w:line="360" w:lineRule="auto"/>
        <w:ind w:firstLine="709"/>
        <w:jc w:val="both"/>
        <w:rPr>
          <w:sz w:val="28"/>
          <w:szCs w:val="28"/>
          <w:lang w:val="uk-UA"/>
        </w:rPr>
      </w:pPr>
      <w:r>
        <w:rPr>
          <w:sz w:val="28"/>
          <w:szCs w:val="28"/>
          <w:lang w:val="uk-UA"/>
        </w:rPr>
        <w:t>При порівняльному аналізі показників ОС у жінок та чоловіків між групами було виявлено суттєве зменшення АОЗ у жінок при наявності СГТ, що проявлялось в вірогідному зменшенні активності ГПО у порівнянні з жінками як групи 1 (р=0,027), так і групи 2 (р=0,019)</w:t>
      </w:r>
      <w:r>
        <w:rPr>
          <w:sz w:val="28"/>
          <w:szCs w:val="28"/>
          <w:shd w:val="clear" w:color="auto" w:fill="FFFFFF"/>
          <w:lang w:val="uk-UA"/>
        </w:rPr>
        <w:t xml:space="preserve"> (</w:t>
      </w:r>
      <w:r>
        <w:rPr>
          <w:bCs/>
          <w:iCs/>
          <w:kern w:val="36"/>
          <w:sz w:val="28"/>
          <w:szCs w:val="28"/>
          <w:lang w:val="uk-UA"/>
        </w:rPr>
        <w:t>Таблиця 4.6</w:t>
      </w:r>
      <w:r>
        <w:rPr>
          <w:sz w:val="28"/>
          <w:szCs w:val="28"/>
          <w:shd w:val="clear" w:color="auto" w:fill="FFFFFF"/>
          <w:lang w:val="uk-UA"/>
        </w:rPr>
        <w:t>)</w:t>
      </w:r>
      <w:r>
        <w:rPr>
          <w:sz w:val="28"/>
          <w:szCs w:val="28"/>
          <w:lang w:val="uk-UA"/>
        </w:rPr>
        <w:t>. У чоловіків наявність СГТ суттєво не впливала на ступінь ОС: не спостерігались вірогідні відмінності по досліджуваним показникам між групами з коморбідною патологією. Проте були виявлені достовірні відмінності активності ГПО між чоловіками групи 1 та групи 2 (р=0,013) та групи 1 та 3 (р=0,036, відповідно).</w:t>
      </w:r>
      <w:r>
        <w:rPr>
          <w:sz w:val="28"/>
          <w:szCs w:val="28"/>
          <w:vertAlign w:val="subscript"/>
          <w:lang w:val="uk-UA"/>
        </w:rPr>
        <w:t xml:space="preserve"> </w:t>
      </w:r>
    </w:p>
    <w:p w:rsidR="00E3259F" w:rsidRPr="00FC103B" w:rsidRDefault="00E3259F" w:rsidP="00E3259F">
      <w:pPr>
        <w:spacing w:line="360" w:lineRule="auto"/>
        <w:ind w:firstLine="709"/>
        <w:jc w:val="both"/>
        <w:rPr>
          <w:sz w:val="28"/>
          <w:szCs w:val="28"/>
          <w:lang w:val="uk-UA"/>
        </w:rPr>
      </w:pPr>
      <w:r w:rsidRPr="00FC103B">
        <w:rPr>
          <w:sz w:val="28"/>
          <w:szCs w:val="28"/>
          <w:lang w:val="uk-UA"/>
        </w:rPr>
        <w:t>Таким чином, зростання інтенсивності процесів ПОЛ в плазмі крові хворих з поєднаним перебігом ГХ, ЦД 2 типу та СГТ більш виражене, ніж у плазмі крові хворих з ГХ та ЦД 2 типу без порушення функції ЩЗ або  при ізольованій ГХ.</w:t>
      </w:r>
    </w:p>
    <w:p w:rsidR="00E3259F" w:rsidRPr="00FC103B" w:rsidRDefault="00E3259F" w:rsidP="00FC103B">
      <w:pPr>
        <w:spacing w:line="360" w:lineRule="auto"/>
        <w:jc w:val="right"/>
        <w:rPr>
          <w:bCs/>
          <w:iCs/>
          <w:kern w:val="36"/>
          <w:sz w:val="28"/>
          <w:szCs w:val="28"/>
          <w:lang w:val="uk-UA"/>
        </w:rPr>
      </w:pPr>
      <w:r w:rsidRPr="00FC103B">
        <w:rPr>
          <w:bCs/>
          <w:iCs/>
          <w:kern w:val="36"/>
          <w:sz w:val="28"/>
          <w:szCs w:val="28"/>
          <w:lang w:val="uk-UA"/>
        </w:rPr>
        <w:t>Таблиця 4.6</w:t>
      </w:r>
    </w:p>
    <w:p w:rsidR="00E3259F" w:rsidRPr="00FC103B" w:rsidRDefault="00E3259F" w:rsidP="00FC103B">
      <w:pPr>
        <w:spacing w:line="360" w:lineRule="auto"/>
        <w:jc w:val="center"/>
        <w:rPr>
          <w:rFonts w:eastAsia="Calibri"/>
          <w:sz w:val="28"/>
          <w:szCs w:val="28"/>
          <w:lang w:val="uk-UA" w:eastAsia="en-US"/>
        </w:rPr>
      </w:pPr>
      <w:r w:rsidRPr="00FC103B">
        <w:rPr>
          <w:bCs/>
          <w:iCs/>
          <w:kern w:val="36"/>
          <w:sz w:val="28"/>
          <w:szCs w:val="28"/>
          <w:lang w:val="uk-UA"/>
        </w:rPr>
        <w:t xml:space="preserve">Гендерні відмінності показників оксидативного стресу в групах досліджувальних хворих, </w:t>
      </w:r>
      <w:r w:rsidRPr="00FC103B">
        <w:rPr>
          <w:sz w:val="28"/>
          <w:szCs w:val="28"/>
          <w:lang w:val="uk-UA"/>
        </w:rPr>
        <w:t>(</w:t>
      </w:r>
      <w:r w:rsidRPr="00FC103B">
        <w:rPr>
          <w:sz w:val="28"/>
          <w:szCs w:val="28"/>
          <w:lang w:val="en-US"/>
        </w:rPr>
        <w:t>M</w:t>
      </w:r>
      <w:r w:rsidRPr="00FC103B">
        <w:rPr>
          <w:sz w:val="28"/>
          <w:szCs w:val="28"/>
          <w:lang w:val="uk-UA"/>
        </w:rPr>
        <w:t>±</w:t>
      </w:r>
      <w:r w:rsidRPr="00FC103B">
        <w:rPr>
          <w:sz w:val="28"/>
          <w:szCs w:val="28"/>
          <w:lang w:val="en-US"/>
        </w:rPr>
        <w:t>m</w:t>
      </w:r>
      <w:r w:rsidRPr="00FC103B">
        <w:rPr>
          <w:sz w:val="28"/>
          <w:szCs w:val="28"/>
          <w:lang w:val="uk-UA"/>
        </w:rPr>
        <w:t>)</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268"/>
        <w:gridCol w:w="2410"/>
        <w:gridCol w:w="2809"/>
        <w:gridCol w:w="19"/>
      </w:tblGrid>
      <w:tr w:rsidR="00E3259F" w:rsidRPr="00FC103B" w:rsidTr="00E3259F">
        <w:trPr>
          <w:gridAfter w:val="1"/>
          <w:wAfter w:w="19" w:type="dxa"/>
        </w:trPr>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CF693D">
              <w:rPr>
                <w:bCs/>
                <w:iCs/>
                <w:kern w:val="36"/>
                <w:sz w:val="28"/>
                <w:szCs w:val="28"/>
                <w:lang w:val="uk-UA" w:eastAsia="en-US"/>
              </w:rPr>
              <w:t>Показник</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val="uk-UA" w:eastAsia="en-US"/>
              </w:rPr>
            </w:pPr>
            <w:r w:rsidRPr="00FC103B">
              <w:rPr>
                <w:sz w:val="28"/>
                <w:szCs w:val="28"/>
                <w:lang w:eastAsia="en-US"/>
              </w:rPr>
              <w:t>МДА мкмоль/л</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val="uk-UA" w:eastAsia="en-US"/>
              </w:rPr>
            </w:pPr>
            <w:r w:rsidRPr="00FC103B">
              <w:rPr>
                <w:sz w:val="28"/>
                <w:szCs w:val="28"/>
                <w:lang w:eastAsia="en-US"/>
              </w:rPr>
              <w:t>ГПО (мккат/гНв)</w:t>
            </w:r>
            <w:r w:rsidRPr="00FC103B">
              <w:rPr>
                <w:sz w:val="28"/>
                <w:szCs w:val="28"/>
                <w:lang w:val="uk-UA" w:eastAsia="en-US"/>
              </w:rPr>
              <w:t> </w:t>
            </w:r>
          </w:p>
        </w:tc>
        <w:tc>
          <w:tcPr>
            <w:tcW w:w="280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val="uk-UA" w:eastAsia="en-US"/>
              </w:rPr>
            </w:pPr>
            <w:r w:rsidRPr="00FC103B">
              <w:rPr>
                <w:sz w:val="28"/>
                <w:szCs w:val="28"/>
                <w:lang w:val="en-US" w:eastAsia="en-US"/>
              </w:rPr>
              <w:t>SH</w:t>
            </w:r>
            <w:r w:rsidRPr="00FC103B">
              <w:rPr>
                <w:sz w:val="28"/>
                <w:szCs w:val="28"/>
                <w:lang w:eastAsia="en-US"/>
              </w:rPr>
              <w:t>-груп</w:t>
            </w:r>
            <w:r w:rsidRPr="00FC103B">
              <w:rPr>
                <w:sz w:val="28"/>
                <w:szCs w:val="28"/>
                <w:lang w:val="uk-UA" w:eastAsia="en-US"/>
              </w:rPr>
              <w:t>и</w:t>
            </w:r>
            <w:r w:rsidRPr="00FC103B">
              <w:rPr>
                <w:sz w:val="28"/>
                <w:szCs w:val="28"/>
                <w:lang w:eastAsia="en-US"/>
              </w:rPr>
              <w:t xml:space="preserve"> (м</w:t>
            </w:r>
            <w:r w:rsidRPr="00FC103B">
              <w:rPr>
                <w:sz w:val="28"/>
                <w:szCs w:val="28"/>
                <w:lang w:val="uk-UA" w:eastAsia="en-US"/>
              </w:rPr>
              <w:t>к</w:t>
            </w:r>
            <w:r w:rsidRPr="00FC103B">
              <w:rPr>
                <w:sz w:val="28"/>
                <w:szCs w:val="28"/>
                <w:lang w:eastAsia="en-US"/>
              </w:rPr>
              <w:t>моль/л)</w:t>
            </w:r>
          </w:p>
        </w:tc>
      </w:tr>
      <w:tr w:rsidR="00E3259F" w:rsidRPr="00FC103B" w:rsidTr="00E3259F">
        <w:trPr>
          <w:gridAfter w:val="1"/>
          <w:wAfter w:w="19" w:type="dxa"/>
        </w:trPr>
        <w:tc>
          <w:tcPr>
            <w:tcW w:w="9580" w:type="dxa"/>
            <w:gridSpan w:val="4"/>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Жінки</w:t>
            </w:r>
          </w:p>
        </w:tc>
      </w:tr>
      <w:tr w:rsidR="00E3259F" w:rsidRPr="00FC103B" w:rsidTr="00E3259F">
        <w:trPr>
          <w:gridAfter w:val="1"/>
          <w:wAfter w:w="19" w:type="dxa"/>
        </w:trPr>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1 група</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val="uk-UA" w:eastAsia="en-US"/>
              </w:rPr>
            </w:pPr>
            <w:r w:rsidRPr="00FC103B">
              <w:rPr>
                <w:sz w:val="28"/>
                <w:szCs w:val="28"/>
                <w:lang w:eastAsia="en-US"/>
              </w:rPr>
              <w:t>6,</w:t>
            </w:r>
            <w:r w:rsidRPr="00FC103B">
              <w:rPr>
                <w:sz w:val="28"/>
                <w:szCs w:val="28"/>
                <w:lang w:val="uk-UA" w:eastAsia="en-US"/>
              </w:rPr>
              <w:t>16±0</w:t>
            </w:r>
            <w:r w:rsidRPr="00FC103B">
              <w:rPr>
                <w:sz w:val="28"/>
                <w:szCs w:val="28"/>
                <w:lang w:eastAsia="en-US"/>
              </w:rPr>
              <w:t>,2</w:t>
            </w:r>
            <w:r w:rsidRPr="00FC103B">
              <w:rPr>
                <w:sz w:val="28"/>
                <w:szCs w:val="28"/>
                <w:lang w:val="uk-UA" w:eastAsia="en-US"/>
              </w:rPr>
              <w:t>2</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5,</w:t>
            </w:r>
            <w:r w:rsidRPr="00FC103B">
              <w:rPr>
                <w:sz w:val="28"/>
                <w:szCs w:val="28"/>
                <w:lang w:val="uk-UA" w:eastAsia="en-US"/>
              </w:rPr>
              <w:t>71±0</w:t>
            </w:r>
            <w:r w:rsidRPr="00FC103B">
              <w:rPr>
                <w:sz w:val="28"/>
                <w:szCs w:val="28"/>
                <w:lang w:eastAsia="en-US"/>
              </w:rPr>
              <w:t>,</w:t>
            </w:r>
            <w:r w:rsidRPr="00FC103B">
              <w:rPr>
                <w:sz w:val="28"/>
                <w:szCs w:val="28"/>
                <w:lang w:val="uk-UA" w:eastAsia="en-US"/>
              </w:rPr>
              <w:t>17</w:t>
            </w:r>
          </w:p>
        </w:tc>
        <w:tc>
          <w:tcPr>
            <w:tcW w:w="280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56</w:t>
            </w:r>
            <w:r w:rsidRPr="00FC103B">
              <w:rPr>
                <w:sz w:val="28"/>
                <w:szCs w:val="28"/>
                <w:lang w:val="uk-UA" w:eastAsia="en-US"/>
              </w:rPr>
              <w:t>2</w:t>
            </w:r>
            <w:r w:rsidRPr="00FC103B">
              <w:rPr>
                <w:sz w:val="28"/>
                <w:szCs w:val="28"/>
                <w:lang w:eastAsia="en-US"/>
              </w:rPr>
              <w:t>,</w:t>
            </w:r>
            <w:r w:rsidRPr="00FC103B">
              <w:rPr>
                <w:sz w:val="28"/>
                <w:szCs w:val="28"/>
                <w:lang w:val="uk-UA" w:eastAsia="en-US"/>
              </w:rPr>
              <w:t>95</w:t>
            </w:r>
            <w:r w:rsidRPr="00FC103B">
              <w:rPr>
                <w:sz w:val="28"/>
                <w:szCs w:val="28"/>
                <w:lang w:eastAsia="en-US"/>
              </w:rPr>
              <w:t>±8,</w:t>
            </w:r>
            <w:r w:rsidRPr="00FC103B">
              <w:rPr>
                <w:sz w:val="28"/>
                <w:szCs w:val="28"/>
                <w:lang w:val="uk-UA" w:eastAsia="en-US"/>
              </w:rPr>
              <w:t>41</w:t>
            </w:r>
          </w:p>
        </w:tc>
      </w:tr>
      <w:tr w:rsidR="00E3259F" w:rsidRPr="00FC103B" w:rsidTr="00E3259F">
        <w:trPr>
          <w:gridAfter w:val="1"/>
          <w:wAfter w:w="19" w:type="dxa"/>
        </w:trPr>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2 група</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val="uk-UA" w:eastAsia="en-US"/>
              </w:rPr>
            </w:pPr>
            <w:r w:rsidRPr="00FC103B">
              <w:rPr>
                <w:sz w:val="28"/>
                <w:szCs w:val="28"/>
                <w:lang w:eastAsia="en-US"/>
              </w:rPr>
              <w:t>6,</w:t>
            </w:r>
            <w:r w:rsidRPr="00FC103B">
              <w:rPr>
                <w:sz w:val="28"/>
                <w:szCs w:val="28"/>
                <w:lang w:val="uk-UA" w:eastAsia="en-US"/>
              </w:rPr>
              <w:t>60±0</w:t>
            </w:r>
            <w:r w:rsidRPr="00FC103B">
              <w:rPr>
                <w:sz w:val="28"/>
                <w:szCs w:val="28"/>
                <w:lang w:eastAsia="en-US"/>
              </w:rPr>
              <w:t>,2</w:t>
            </w:r>
            <w:r w:rsidRPr="00FC103B">
              <w:rPr>
                <w:sz w:val="28"/>
                <w:szCs w:val="28"/>
                <w:lang w:val="uk-UA" w:eastAsia="en-US"/>
              </w:rPr>
              <w:t>1</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5,</w:t>
            </w:r>
            <w:r w:rsidRPr="00FC103B">
              <w:rPr>
                <w:sz w:val="28"/>
                <w:szCs w:val="28"/>
                <w:lang w:val="uk-UA" w:eastAsia="en-US"/>
              </w:rPr>
              <w:t>72±0</w:t>
            </w:r>
            <w:r w:rsidRPr="00FC103B">
              <w:rPr>
                <w:sz w:val="28"/>
                <w:szCs w:val="28"/>
                <w:lang w:eastAsia="en-US"/>
              </w:rPr>
              <w:t>,</w:t>
            </w:r>
            <w:r w:rsidRPr="00FC103B">
              <w:rPr>
                <w:sz w:val="28"/>
                <w:szCs w:val="28"/>
                <w:lang w:val="uk-UA" w:eastAsia="en-US"/>
              </w:rPr>
              <w:t>16</w:t>
            </w:r>
          </w:p>
        </w:tc>
        <w:tc>
          <w:tcPr>
            <w:tcW w:w="280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57</w:t>
            </w:r>
            <w:r w:rsidRPr="00FC103B">
              <w:rPr>
                <w:sz w:val="28"/>
                <w:szCs w:val="28"/>
                <w:lang w:val="uk-UA" w:eastAsia="en-US"/>
              </w:rPr>
              <w:t>7</w:t>
            </w:r>
            <w:r w:rsidRPr="00FC103B">
              <w:rPr>
                <w:sz w:val="28"/>
                <w:szCs w:val="28"/>
                <w:lang w:eastAsia="en-US"/>
              </w:rPr>
              <w:t>,</w:t>
            </w:r>
            <w:r w:rsidRPr="00FC103B">
              <w:rPr>
                <w:sz w:val="28"/>
                <w:szCs w:val="28"/>
                <w:lang w:val="uk-UA" w:eastAsia="en-US"/>
              </w:rPr>
              <w:t>21</w:t>
            </w:r>
            <w:r w:rsidRPr="00FC103B">
              <w:rPr>
                <w:sz w:val="28"/>
                <w:szCs w:val="28"/>
                <w:lang w:eastAsia="en-US"/>
              </w:rPr>
              <w:t>±10,</w:t>
            </w:r>
            <w:r w:rsidRPr="00FC103B">
              <w:rPr>
                <w:sz w:val="28"/>
                <w:szCs w:val="28"/>
                <w:lang w:val="uk-UA" w:eastAsia="en-US"/>
              </w:rPr>
              <w:t>27</w:t>
            </w:r>
          </w:p>
        </w:tc>
      </w:tr>
      <w:tr w:rsidR="00E3259F" w:rsidRPr="00FC103B" w:rsidTr="00E3259F">
        <w:trPr>
          <w:gridAfter w:val="1"/>
          <w:wAfter w:w="19" w:type="dxa"/>
        </w:trPr>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3 група</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6,67</w:t>
            </w:r>
            <w:r w:rsidRPr="00FC103B">
              <w:rPr>
                <w:sz w:val="28"/>
                <w:szCs w:val="28"/>
                <w:lang w:val="uk-UA" w:eastAsia="en-US"/>
              </w:rPr>
              <w:t>±0</w:t>
            </w:r>
            <w:r w:rsidRPr="00FC103B">
              <w:rPr>
                <w:sz w:val="28"/>
                <w:szCs w:val="28"/>
                <w:lang w:eastAsia="en-US"/>
              </w:rPr>
              <w:t>,1</w:t>
            </w:r>
            <w:r w:rsidRPr="00FC103B">
              <w:rPr>
                <w:sz w:val="28"/>
                <w:szCs w:val="28"/>
                <w:lang w:val="uk-UA" w:eastAsia="en-US"/>
              </w:rPr>
              <w:t>7</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5,2</w:t>
            </w:r>
            <w:r w:rsidRPr="00FC103B">
              <w:rPr>
                <w:sz w:val="28"/>
                <w:szCs w:val="28"/>
                <w:lang w:val="uk-UA" w:eastAsia="en-US"/>
              </w:rPr>
              <w:t>3</w:t>
            </w:r>
            <w:r w:rsidRPr="00FC103B">
              <w:rPr>
                <w:sz w:val="28"/>
                <w:szCs w:val="28"/>
                <w:lang w:eastAsia="en-US"/>
              </w:rPr>
              <w:t>±</w:t>
            </w:r>
            <w:r w:rsidRPr="00FC103B">
              <w:rPr>
                <w:sz w:val="28"/>
                <w:szCs w:val="28"/>
                <w:lang w:val="uk-UA" w:eastAsia="en-US"/>
              </w:rPr>
              <w:t>0</w:t>
            </w:r>
            <w:r w:rsidRPr="00FC103B">
              <w:rPr>
                <w:sz w:val="28"/>
                <w:szCs w:val="28"/>
                <w:lang w:eastAsia="en-US"/>
              </w:rPr>
              <w:t>,1</w:t>
            </w:r>
            <w:r w:rsidRPr="00FC103B">
              <w:rPr>
                <w:sz w:val="28"/>
                <w:szCs w:val="28"/>
                <w:lang w:val="uk-UA" w:eastAsia="en-US"/>
              </w:rPr>
              <w:t>4</w:t>
            </w:r>
          </w:p>
        </w:tc>
        <w:tc>
          <w:tcPr>
            <w:tcW w:w="280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560,06±9,6</w:t>
            </w:r>
            <w:r w:rsidRPr="00FC103B">
              <w:rPr>
                <w:sz w:val="28"/>
                <w:szCs w:val="28"/>
                <w:lang w:val="uk-UA" w:eastAsia="en-US"/>
              </w:rPr>
              <w:t>9</w:t>
            </w:r>
          </w:p>
        </w:tc>
      </w:tr>
      <w:tr w:rsidR="00E3259F" w:rsidRPr="00FC103B" w:rsidTr="00E3259F">
        <w:trPr>
          <w:gridAfter w:val="1"/>
          <w:wAfter w:w="19" w:type="dxa"/>
        </w:trPr>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rFonts w:eastAsia="Calibri"/>
                <w:sz w:val="28"/>
                <w:szCs w:val="28"/>
                <w:lang w:val="uk-UA" w:eastAsia="en-US"/>
              </w:rPr>
              <w:t>Значимість, р</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1-2</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1-3</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2-3</w:t>
            </w:r>
            <w:r w:rsidRPr="00FC103B">
              <w:rPr>
                <w:color w:val="000000"/>
                <w:sz w:val="28"/>
                <w:szCs w:val="28"/>
                <w:lang w:val="uk-UA" w:eastAsia="en-US"/>
              </w:rPr>
              <w:t>&gt;0,05</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1-2</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1-3</w:t>
            </w:r>
            <w:r w:rsidRPr="00FC103B">
              <w:rPr>
                <w:sz w:val="28"/>
                <w:szCs w:val="28"/>
                <w:lang w:val="uk-UA" w:eastAsia="en-US"/>
              </w:rPr>
              <w:t>=0</w:t>
            </w:r>
            <w:r w:rsidRPr="00FC103B">
              <w:rPr>
                <w:sz w:val="28"/>
                <w:szCs w:val="28"/>
                <w:lang w:eastAsia="en-US"/>
              </w:rPr>
              <w:t>,027</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2-3</w:t>
            </w:r>
            <w:r w:rsidRPr="00FC103B">
              <w:rPr>
                <w:sz w:val="28"/>
                <w:szCs w:val="28"/>
                <w:lang w:val="uk-UA" w:eastAsia="en-US"/>
              </w:rPr>
              <w:t>=0</w:t>
            </w:r>
            <w:r w:rsidRPr="00FC103B">
              <w:rPr>
                <w:sz w:val="28"/>
                <w:szCs w:val="28"/>
                <w:lang w:eastAsia="en-US"/>
              </w:rPr>
              <w:t>,019</w:t>
            </w:r>
          </w:p>
        </w:tc>
        <w:tc>
          <w:tcPr>
            <w:tcW w:w="280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1-2</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1-3</w:t>
            </w:r>
            <w:r w:rsidRPr="00FC103B">
              <w:rPr>
                <w:color w:val="000000"/>
                <w:sz w:val="28"/>
                <w:szCs w:val="28"/>
                <w:lang w:val="uk-UA" w:eastAsia="en-US"/>
              </w:rPr>
              <w:t>&gt;0,05</w:t>
            </w:r>
          </w:p>
          <w:p w:rsidR="00E3259F" w:rsidRPr="00FC103B" w:rsidRDefault="00E3259F" w:rsidP="00FC103B">
            <w:pPr>
              <w:spacing w:line="360" w:lineRule="auto"/>
              <w:rPr>
                <w:sz w:val="28"/>
                <w:szCs w:val="28"/>
                <w:lang w:eastAsia="en-US"/>
              </w:rPr>
            </w:pPr>
            <w:r w:rsidRPr="00FC103B">
              <w:rPr>
                <w:sz w:val="28"/>
                <w:szCs w:val="28"/>
                <w:lang w:val="uk-UA" w:eastAsia="en-US"/>
              </w:rPr>
              <w:t>р</w:t>
            </w:r>
            <w:r w:rsidRPr="00FC103B">
              <w:rPr>
                <w:sz w:val="28"/>
                <w:szCs w:val="28"/>
                <w:vertAlign w:val="subscript"/>
                <w:lang w:val="uk-UA" w:eastAsia="en-US"/>
              </w:rPr>
              <w:t>2-3</w:t>
            </w:r>
            <w:r w:rsidRPr="00FC103B">
              <w:rPr>
                <w:color w:val="000000"/>
                <w:sz w:val="28"/>
                <w:szCs w:val="28"/>
                <w:lang w:val="uk-UA" w:eastAsia="en-US"/>
              </w:rPr>
              <w:t>&gt;0,05</w:t>
            </w:r>
          </w:p>
        </w:tc>
      </w:tr>
      <w:tr w:rsidR="00E3259F" w:rsidRPr="00FC103B" w:rsidTr="00E3259F">
        <w:trPr>
          <w:gridAfter w:val="1"/>
          <w:wAfter w:w="19" w:type="dxa"/>
        </w:trPr>
        <w:tc>
          <w:tcPr>
            <w:tcW w:w="9580" w:type="dxa"/>
            <w:gridSpan w:val="4"/>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Чоловіки</w:t>
            </w:r>
          </w:p>
        </w:tc>
      </w:tr>
      <w:tr w:rsidR="00E3259F" w:rsidRPr="00FC103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1 група</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6,0</w:t>
            </w:r>
            <w:r w:rsidRPr="00FC103B">
              <w:rPr>
                <w:sz w:val="28"/>
                <w:szCs w:val="28"/>
                <w:lang w:val="uk-UA" w:eastAsia="en-US"/>
              </w:rPr>
              <w:t>7±0,30</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eastAsia="en-US"/>
              </w:rPr>
              <w:t>6,</w:t>
            </w:r>
            <w:r w:rsidRPr="00FC103B">
              <w:rPr>
                <w:sz w:val="28"/>
                <w:szCs w:val="28"/>
                <w:lang w:val="uk-UA" w:eastAsia="en-US"/>
              </w:rPr>
              <w:t>02±0</w:t>
            </w:r>
            <w:r w:rsidRPr="00FC103B">
              <w:rPr>
                <w:sz w:val="28"/>
                <w:szCs w:val="28"/>
                <w:lang w:eastAsia="en-US"/>
              </w:rPr>
              <w:t>,</w:t>
            </w:r>
            <w:r w:rsidRPr="00FC103B">
              <w:rPr>
                <w:sz w:val="28"/>
                <w:szCs w:val="28"/>
                <w:lang w:val="uk-UA" w:eastAsia="en-US"/>
              </w:rPr>
              <w:t>31</w:t>
            </w:r>
          </w:p>
        </w:tc>
        <w:tc>
          <w:tcPr>
            <w:tcW w:w="2828"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582,</w:t>
            </w:r>
            <w:r w:rsidRPr="00FC103B">
              <w:rPr>
                <w:sz w:val="28"/>
                <w:szCs w:val="28"/>
                <w:lang w:val="uk-UA" w:eastAsia="en-US"/>
              </w:rPr>
              <w:t>38±</w:t>
            </w:r>
            <w:r w:rsidRPr="00FC103B">
              <w:rPr>
                <w:sz w:val="28"/>
                <w:szCs w:val="28"/>
                <w:lang w:eastAsia="en-US"/>
              </w:rPr>
              <w:t>1</w:t>
            </w:r>
            <w:r w:rsidRPr="00FC103B">
              <w:rPr>
                <w:sz w:val="28"/>
                <w:szCs w:val="28"/>
                <w:lang w:val="uk-UA" w:eastAsia="en-US"/>
              </w:rPr>
              <w:t>5</w:t>
            </w:r>
            <w:r w:rsidRPr="00FC103B">
              <w:rPr>
                <w:sz w:val="28"/>
                <w:szCs w:val="28"/>
                <w:lang w:eastAsia="en-US"/>
              </w:rPr>
              <w:t>,</w:t>
            </w:r>
            <w:r w:rsidRPr="00FC103B">
              <w:rPr>
                <w:sz w:val="28"/>
                <w:szCs w:val="28"/>
                <w:lang w:val="uk-UA" w:eastAsia="en-US"/>
              </w:rPr>
              <w:t>41</w:t>
            </w:r>
          </w:p>
        </w:tc>
      </w:tr>
      <w:tr w:rsidR="00E3259F" w:rsidRPr="00FC103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2 група</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6,</w:t>
            </w:r>
            <w:r w:rsidRPr="00FC103B">
              <w:rPr>
                <w:sz w:val="28"/>
                <w:szCs w:val="28"/>
                <w:lang w:val="uk-UA" w:eastAsia="en-US"/>
              </w:rPr>
              <w:t>37±0</w:t>
            </w:r>
            <w:r w:rsidRPr="00FC103B">
              <w:rPr>
                <w:sz w:val="28"/>
                <w:szCs w:val="28"/>
                <w:lang w:eastAsia="en-US"/>
              </w:rPr>
              <w:t>,</w:t>
            </w:r>
            <w:r w:rsidRPr="00FC103B">
              <w:rPr>
                <w:sz w:val="28"/>
                <w:szCs w:val="28"/>
                <w:lang w:val="uk-UA" w:eastAsia="en-US"/>
              </w:rPr>
              <w:t>20</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5,</w:t>
            </w:r>
            <w:r w:rsidRPr="00FC103B">
              <w:rPr>
                <w:sz w:val="28"/>
                <w:szCs w:val="28"/>
                <w:lang w:val="uk-UA" w:eastAsia="en-US"/>
              </w:rPr>
              <w:t>13±0</w:t>
            </w:r>
            <w:r w:rsidRPr="00FC103B">
              <w:rPr>
                <w:sz w:val="28"/>
                <w:szCs w:val="28"/>
                <w:lang w:eastAsia="en-US"/>
              </w:rPr>
              <w:t>,14</w:t>
            </w:r>
          </w:p>
        </w:tc>
        <w:tc>
          <w:tcPr>
            <w:tcW w:w="2828"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57</w:t>
            </w:r>
            <w:r w:rsidRPr="00FC103B">
              <w:rPr>
                <w:sz w:val="28"/>
                <w:szCs w:val="28"/>
                <w:lang w:val="uk-UA" w:eastAsia="en-US"/>
              </w:rPr>
              <w:t>2</w:t>
            </w:r>
            <w:r w:rsidRPr="00FC103B">
              <w:rPr>
                <w:sz w:val="28"/>
                <w:szCs w:val="28"/>
                <w:lang w:eastAsia="en-US"/>
              </w:rPr>
              <w:t>,</w:t>
            </w:r>
            <w:r w:rsidRPr="00FC103B">
              <w:rPr>
                <w:sz w:val="28"/>
                <w:szCs w:val="28"/>
                <w:lang w:val="uk-UA" w:eastAsia="en-US"/>
              </w:rPr>
              <w:t>67</w:t>
            </w:r>
            <w:r w:rsidRPr="00FC103B">
              <w:rPr>
                <w:sz w:val="28"/>
                <w:szCs w:val="28"/>
                <w:lang w:eastAsia="en-US"/>
              </w:rPr>
              <w:t>±6,</w:t>
            </w:r>
            <w:r w:rsidRPr="00FC103B">
              <w:rPr>
                <w:sz w:val="28"/>
                <w:szCs w:val="28"/>
                <w:lang w:val="uk-UA" w:eastAsia="en-US"/>
              </w:rPr>
              <w:t>87</w:t>
            </w:r>
          </w:p>
        </w:tc>
      </w:tr>
      <w:tr w:rsidR="00E3259F" w:rsidRPr="00FC103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bCs/>
                <w:iCs/>
                <w:kern w:val="36"/>
                <w:sz w:val="28"/>
                <w:szCs w:val="28"/>
                <w:lang w:val="uk-UA" w:eastAsia="en-US"/>
              </w:rPr>
              <w:t>3 група</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6,75</w:t>
            </w:r>
            <w:r w:rsidRPr="00FC103B">
              <w:rPr>
                <w:sz w:val="28"/>
                <w:szCs w:val="28"/>
                <w:lang w:val="uk-UA" w:eastAsia="en-US"/>
              </w:rPr>
              <w:t>±0</w:t>
            </w:r>
            <w:r w:rsidRPr="00FC103B">
              <w:rPr>
                <w:sz w:val="28"/>
                <w:szCs w:val="28"/>
                <w:lang w:eastAsia="en-US"/>
              </w:rPr>
              <w:t>,3</w:t>
            </w:r>
            <w:r w:rsidRPr="00FC103B">
              <w:rPr>
                <w:sz w:val="28"/>
                <w:szCs w:val="28"/>
                <w:lang w:val="uk-UA" w:eastAsia="en-US"/>
              </w:rPr>
              <w:t xml:space="preserve">2 </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eastAsia="en-US"/>
              </w:rPr>
            </w:pPr>
            <w:r w:rsidRPr="00FC103B">
              <w:rPr>
                <w:sz w:val="28"/>
                <w:szCs w:val="28"/>
                <w:lang w:eastAsia="en-US"/>
              </w:rPr>
              <w:t>4,92</w:t>
            </w:r>
            <w:r w:rsidRPr="00FC103B">
              <w:rPr>
                <w:sz w:val="28"/>
                <w:szCs w:val="28"/>
                <w:lang w:val="uk-UA" w:eastAsia="en-US"/>
              </w:rPr>
              <w:t>±0</w:t>
            </w:r>
            <w:r w:rsidRPr="00FC103B">
              <w:rPr>
                <w:sz w:val="28"/>
                <w:szCs w:val="28"/>
                <w:lang w:eastAsia="en-US"/>
              </w:rPr>
              <w:t>,3</w:t>
            </w:r>
            <w:r w:rsidRPr="00FC103B">
              <w:rPr>
                <w:sz w:val="28"/>
                <w:szCs w:val="28"/>
                <w:lang w:val="uk-UA" w:eastAsia="en-US"/>
              </w:rPr>
              <w:t>9</w:t>
            </w:r>
          </w:p>
        </w:tc>
        <w:tc>
          <w:tcPr>
            <w:tcW w:w="2828"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rFonts w:eastAsia="Calibri"/>
                <w:sz w:val="28"/>
                <w:szCs w:val="28"/>
                <w:lang w:eastAsia="en-US"/>
              </w:rPr>
            </w:pPr>
            <w:r w:rsidRPr="00FC103B">
              <w:rPr>
                <w:sz w:val="28"/>
                <w:szCs w:val="28"/>
                <w:lang w:eastAsia="en-US"/>
              </w:rPr>
              <w:t>608,50±27,30</w:t>
            </w:r>
          </w:p>
        </w:tc>
      </w:tr>
      <w:tr w:rsidR="00E3259F" w:rsidRPr="00FC103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bCs/>
                <w:iCs/>
                <w:kern w:val="36"/>
                <w:sz w:val="28"/>
                <w:szCs w:val="28"/>
                <w:lang w:val="uk-UA" w:eastAsia="en-US"/>
              </w:rPr>
            </w:pPr>
            <w:r w:rsidRPr="00FC103B">
              <w:rPr>
                <w:rFonts w:eastAsia="Calibri"/>
                <w:sz w:val="28"/>
                <w:szCs w:val="28"/>
                <w:lang w:val="uk-UA" w:eastAsia="en-US"/>
              </w:rPr>
              <w:t>Значимість, р</w:t>
            </w:r>
          </w:p>
        </w:tc>
        <w:tc>
          <w:tcPr>
            <w:tcW w:w="2268"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1-2</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1-3</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2-3</w:t>
            </w:r>
            <w:r w:rsidRPr="00FC103B">
              <w:rPr>
                <w:color w:val="000000"/>
                <w:sz w:val="28"/>
                <w:szCs w:val="28"/>
                <w:lang w:val="uk-UA" w:eastAsia="en-US"/>
              </w:rPr>
              <w:t>&gt;0,05</w:t>
            </w:r>
          </w:p>
        </w:tc>
        <w:tc>
          <w:tcPr>
            <w:tcW w:w="241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vertAlign w:val="subscript"/>
                <w:lang w:val="uk-UA" w:eastAsia="en-US"/>
              </w:rPr>
            </w:pPr>
            <w:r w:rsidRPr="00FC103B">
              <w:rPr>
                <w:sz w:val="28"/>
                <w:szCs w:val="28"/>
                <w:lang w:val="uk-UA" w:eastAsia="en-US"/>
              </w:rPr>
              <w:t>р</w:t>
            </w:r>
            <w:r w:rsidRPr="00FC103B">
              <w:rPr>
                <w:sz w:val="28"/>
                <w:szCs w:val="28"/>
                <w:vertAlign w:val="subscript"/>
                <w:lang w:val="uk-UA" w:eastAsia="en-US"/>
              </w:rPr>
              <w:t>1-2</w:t>
            </w:r>
            <w:r w:rsidRPr="00FC103B">
              <w:rPr>
                <w:sz w:val="28"/>
                <w:szCs w:val="28"/>
                <w:lang w:val="uk-UA" w:eastAsia="en-US"/>
              </w:rPr>
              <w:t>=0,013</w:t>
            </w:r>
          </w:p>
          <w:p w:rsidR="00E3259F" w:rsidRPr="00FC103B" w:rsidRDefault="00E3259F" w:rsidP="00FC103B">
            <w:pPr>
              <w:spacing w:line="360" w:lineRule="auto"/>
              <w:rPr>
                <w:sz w:val="28"/>
                <w:szCs w:val="28"/>
                <w:vertAlign w:val="subscript"/>
                <w:lang w:val="uk-UA" w:eastAsia="en-US"/>
              </w:rPr>
            </w:pPr>
            <w:r w:rsidRPr="00FC103B">
              <w:rPr>
                <w:sz w:val="28"/>
                <w:szCs w:val="28"/>
                <w:lang w:val="uk-UA" w:eastAsia="en-US"/>
              </w:rPr>
              <w:t>р</w:t>
            </w:r>
            <w:r w:rsidRPr="00FC103B">
              <w:rPr>
                <w:sz w:val="28"/>
                <w:szCs w:val="28"/>
                <w:vertAlign w:val="subscript"/>
                <w:lang w:val="uk-UA" w:eastAsia="en-US"/>
              </w:rPr>
              <w:t>1-3</w:t>
            </w:r>
            <w:r w:rsidRPr="00FC103B">
              <w:rPr>
                <w:sz w:val="28"/>
                <w:szCs w:val="28"/>
                <w:lang w:val="uk-UA" w:eastAsia="en-US"/>
              </w:rPr>
              <w:t>=0,036</w:t>
            </w:r>
          </w:p>
          <w:p w:rsidR="00E3259F" w:rsidRPr="00FC103B" w:rsidRDefault="00E3259F" w:rsidP="00FC103B">
            <w:pPr>
              <w:spacing w:line="360" w:lineRule="auto"/>
              <w:rPr>
                <w:sz w:val="28"/>
                <w:szCs w:val="28"/>
                <w:lang w:eastAsia="en-US"/>
              </w:rPr>
            </w:pPr>
            <w:r w:rsidRPr="00FC103B">
              <w:rPr>
                <w:sz w:val="28"/>
                <w:szCs w:val="28"/>
                <w:lang w:val="uk-UA" w:eastAsia="en-US"/>
              </w:rPr>
              <w:t>р</w:t>
            </w:r>
            <w:r w:rsidRPr="00FC103B">
              <w:rPr>
                <w:sz w:val="28"/>
                <w:szCs w:val="28"/>
                <w:vertAlign w:val="subscript"/>
                <w:lang w:val="uk-UA" w:eastAsia="en-US"/>
              </w:rPr>
              <w:t>2-3</w:t>
            </w:r>
            <w:r w:rsidRPr="00FC103B">
              <w:rPr>
                <w:color w:val="000000"/>
                <w:sz w:val="28"/>
                <w:szCs w:val="28"/>
                <w:lang w:val="uk-UA" w:eastAsia="en-US"/>
              </w:rPr>
              <w:t>&gt;0,05</w:t>
            </w:r>
          </w:p>
        </w:tc>
        <w:tc>
          <w:tcPr>
            <w:tcW w:w="2828"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1-2</w:t>
            </w:r>
            <w:r w:rsidRPr="00FC103B">
              <w:rPr>
                <w:color w:val="000000"/>
                <w:sz w:val="28"/>
                <w:szCs w:val="28"/>
                <w:lang w:val="uk-UA" w:eastAsia="en-US"/>
              </w:rPr>
              <w:t>&gt;0,05</w:t>
            </w:r>
          </w:p>
          <w:p w:rsidR="00E3259F" w:rsidRPr="00FC103B" w:rsidRDefault="00E3259F" w:rsidP="00FC103B">
            <w:pPr>
              <w:spacing w:line="360" w:lineRule="auto"/>
              <w:rPr>
                <w:sz w:val="28"/>
                <w:szCs w:val="28"/>
                <w:lang w:val="uk-UA" w:eastAsia="en-US"/>
              </w:rPr>
            </w:pPr>
            <w:r w:rsidRPr="00FC103B">
              <w:rPr>
                <w:sz w:val="28"/>
                <w:szCs w:val="28"/>
                <w:lang w:val="uk-UA" w:eastAsia="en-US"/>
              </w:rPr>
              <w:t>р</w:t>
            </w:r>
            <w:r w:rsidRPr="00FC103B">
              <w:rPr>
                <w:sz w:val="28"/>
                <w:szCs w:val="28"/>
                <w:vertAlign w:val="subscript"/>
                <w:lang w:val="uk-UA" w:eastAsia="en-US"/>
              </w:rPr>
              <w:t>1-3</w:t>
            </w:r>
            <w:r w:rsidRPr="00FC103B">
              <w:rPr>
                <w:color w:val="000000"/>
                <w:sz w:val="28"/>
                <w:szCs w:val="28"/>
                <w:lang w:val="uk-UA" w:eastAsia="en-US"/>
              </w:rPr>
              <w:t>&gt;0,05</w:t>
            </w:r>
          </w:p>
          <w:p w:rsidR="00E3259F" w:rsidRPr="00FC103B" w:rsidRDefault="00E3259F" w:rsidP="00FC103B">
            <w:pPr>
              <w:spacing w:line="360" w:lineRule="auto"/>
              <w:rPr>
                <w:rFonts w:eastAsia="Calibri"/>
                <w:sz w:val="28"/>
                <w:szCs w:val="28"/>
                <w:lang w:eastAsia="en-US"/>
              </w:rPr>
            </w:pPr>
            <w:r w:rsidRPr="00FC103B">
              <w:rPr>
                <w:sz w:val="28"/>
                <w:szCs w:val="28"/>
                <w:lang w:val="uk-UA" w:eastAsia="en-US"/>
              </w:rPr>
              <w:t>р</w:t>
            </w:r>
            <w:r w:rsidRPr="00FC103B">
              <w:rPr>
                <w:sz w:val="28"/>
                <w:szCs w:val="28"/>
                <w:vertAlign w:val="subscript"/>
                <w:lang w:val="uk-UA" w:eastAsia="en-US"/>
              </w:rPr>
              <w:t>2-3</w:t>
            </w:r>
            <w:r w:rsidRPr="00FC103B">
              <w:rPr>
                <w:color w:val="000000"/>
                <w:sz w:val="28"/>
                <w:szCs w:val="28"/>
                <w:lang w:val="uk-UA" w:eastAsia="en-US"/>
              </w:rPr>
              <w:t>&gt;0,05</w:t>
            </w:r>
          </w:p>
        </w:tc>
      </w:tr>
    </w:tbl>
    <w:p w:rsidR="00E3259F" w:rsidRDefault="00E3259F" w:rsidP="00E3259F">
      <w:pPr>
        <w:rPr>
          <w:rFonts w:asciiTheme="minorHAnsi" w:eastAsiaTheme="minorHAnsi" w:hAnsiTheme="minorHAnsi" w:cstheme="minorBidi"/>
          <w:sz w:val="28"/>
          <w:szCs w:val="28"/>
          <w:lang w:val="uk-UA" w:eastAsia="en-US"/>
        </w:rPr>
      </w:pPr>
    </w:p>
    <w:p w:rsidR="00E3259F" w:rsidRDefault="00E3259F" w:rsidP="00E3259F">
      <w:pPr>
        <w:rPr>
          <w:sz w:val="28"/>
          <w:szCs w:val="28"/>
          <w:lang w:val="uk-UA"/>
        </w:rPr>
      </w:pPr>
    </w:p>
    <w:p w:rsidR="00E3259F" w:rsidRDefault="00E3259F" w:rsidP="00FC103B">
      <w:pPr>
        <w:spacing w:line="360" w:lineRule="auto"/>
        <w:ind w:firstLine="709"/>
        <w:jc w:val="both"/>
        <w:rPr>
          <w:b/>
          <w:sz w:val="28"/>
          <w:szCs w:val="28"/>
          <w:lang w:val="uk-UA"/>
        </w:rPr>
      </w:pPr>
      <w:r w:rsidRPr="00FC103B">
        <w:rPr>
          <w:sz w:val="28"/>
          <w:szCs w:val="28"/>
          <w:lang w:val="uk-UA"/>
        </w:rPr>
        <w:t>Вираженість АОЗ при всіх видах коморбідної патології також нижче ніж у пацієнтів з ізольованою ГХ, при цьому наявність ГХ з ЦД 2 типу та СГТ супроводжується більш вираженим зниженням активності ГПО та рівня тіолових груп. У пацієнтів з одночасним перебігом ГХ, ЦД 2 типу та СГТ спостерігається більш виражений ОС, ніж у осіб з ГХ та ЦД 2 типу, що є одним із значущих факторів, що призводять до розвитку передчасного старіння. Отримані результати свідчать, що інтенсивність ОС в жінок більшою мірою залежить від функціонального стану ЩЗ, ніж у чоловіків. Ступінь підвищення рівнів ТТГ при субклінічному гіпотиреозі на тлі коморбідної патології  має суттєве значення для інтенсифікації ОС, рівень ТТГ 6,0 мкМО/мл можна розцінювати як пороговий для визначення інтенсивності ОС при поєднаному перебігу ГХ, ЦД 2 типу та СГТ. При коморбідній патології має місце вік-асоційоване зростання інтенсивності ОС  на тлі позитивного зв’язку з показниками інсулінорезистентності,  вуглеводного та ліпідного обміну, що сумарно буде приводити до подальшого прогресування цих захворювань та збільшення загального КВР</w:t>
      </w:r>
      <w:r>
        <w:rPr>
          <w:sz w:val="28"/>
          <w:szCs w:val="28"/>
          <w:lang w:val="uk-UA"/>
        </w:rPr>
        <w:t>.</w:t>
      </w:r>
    </w:p>
    <w:p w:rsidR="00E3259F" w:rsidRDefault="00E3259F" w:rsidP="00E3259F">
      <w:pPr>
        <w:spacing w:line="360" w:lineRule="auto"/>
        <w:ind w:firstLine="709"/>
        <w:jc w:val="both"/>
        <w:rPr>
          <w:sz w:val="28"/>
          <w:szCs w:val="28"/>
          <w:vertAlign w:val="subscript"/>
          <w:lang w:val="uk-UA"/>
        </w:rPr>
      </w:pPr>
    </w:p>
    <w:p w:rsidR="00E3259F" w:rsidRPr="00FC103B" w:rsidRDefault="00E3259F" w:rsidP="00E3259F">
      <w:pPr>
        <w:spacing w:line="360" w:lineRule="auto"/>
        <w:jc w:val="both"/>
        <w:rPr>
          <w:sz w:val="28"/>
          <w:szCs w:val="28"/>
          <w:lang w:val="uk-UA"/>
        </w:rPr>
      </w:pPr>
      <w:r w:rsidRPr="00FC103B">
        <w:rPr>
          <w:sz w:val="28"/>
          <w:szCs w:val="28"/>
          <w:lang w:val="uk-UA"/>
        </w:rPr>
        <w:t>4.2. Діагностичне значення рівня 8-гідрокси-2'-деоксигуанозину у хворих на гіпертонічну хворобу у поєднанні з цукровим діабетом без порушення функції щитоподібної залози та з субклінічним гіпотиреозом</w:t>
      </w:r>
    </w:p>
    <w:p w:rsidR="00E3259F" w:rsidRDefault="00E3259F" w:rsidP="00E3259F">
      <w:pPr>
        <w:spacing w:line="360" w:lineRule="auto"/>
        <w:rPr>
          <w:lang w:val="uk-UA"/>
        </w:rPr>
      </w:pPr>
    </w:p>
    <w:p w:rsidR="00E3259F" w:rsidRPr="00FC103B" w:rsidRDefault="00E3259F" w:rsidP="00FC103B">
      <w:pPr>
        <w:shd w:val="clear" w:color="auto" w:fill="FFFFFF"/>
        <w:spacing w:line="360" w:lineRule="auto"/>
        <w:ind w:firstLine="709"/>
        <w:jc w:val="both"/>
        <w:rPr>
          <w:sz w:val="28"/>
          <w:szCs w:val="28"/>
          <w:lang w:val="uk-UA"/>
        </w:rPr>
      </w:pPr>
      <w:r w:rsidRPr="00FC103B">
        <w:rPr>
          <w:sz w:val="28"/>
          <w:szCs w:val="28"/>
          <w:shd w:val="clear" w:color="auto" w:fill="FFFFFF"/>
          <w:lang w:val="uk-UA"/>
        </w:rPr>
        <w:t>На відміну від інших модифікованих окислених форм гуаніну, 8-OHdG легко проникає з клітин у кровообіг. Завдяки цьому він вважається одним з кращих клініко-лабораторних маркерів ушкодження ДНК та ОС. Численні дослідження показали, що 8-OHdG є не тільки біомаркером ОС, можливим фактором ризику розвитку раку, ІХС, діабету та атеросклерозу, а й може бути в ролі предиктора перебігу та прогнозу ряду захворювань [</w:t>
      </w:r>
      <w:r w:rsidRPr="00FC103B">
        <w:rPr>
          <w:sz w:val="28"/>
          <w:szCs w:val="28"/>
          <w:lang w:val="uk-UA"/>
        </w:rPr>
        <w:t>373].</w:t>
      </w:r>
    </w:p>
    <w:p w:rsidR="00E3259F" w:rsidRPr="00FC103B" w:rsidRDefault="00E3259F" w:rsidP="00FC103B">
      <w:pPr>
        <w:spacing w:line="360" w:lineRule="auto"/>
        <w:ind w:firstLine="709"/>
        <w:jc w:val="both"/>
        <w:rPr>
          <w:sz w:val="28"/>
          <w:szCs w:val="28"/>
          <w:shd w:val="clear" w:color="auto" w:fill="FFFFFF"/>
          <w:lang w:val="uk-UA"/>
        </w:rPr>
      </w:pPr>
      <w:r w:rsidRPr="00FC103B">
        <w:rPr>
          <w:sz w:val="28"/>
          <w:szCs w:val="28"/>
          <w:shd w:val="clear" w:color="auto" w:fill="FFFFFF"/>
          <w:lang w:val="uk-UA"/>
        </w:rPr>
        <w:t>У цьому дослідженні у пацієнтів з ізольованою ГХ рівні 8-OHdG були достовірно вище, ніж у групі контролю (</w:t>
      </w:r>
      <w:r w:rsidRPr="00FC103B">
        <w:rPr>
          <w:sz w:val="28"/>
          <w:szCs w:val="28"/>
          <w:lang w:val="uk-UA"/>
        </w:rPr>
        <w:t xml:space="preserve">14,00±0,29 </w:t>
      </w:r>
      <w:r w:rsidRPr="00FC103B">
        <w:rPr>
          <w:sz w:val="28"/>
          <w:szCs w:val="28"/>
          <w:shd w:val="clear" w:color="auto" w:fill="FFFFFF"/>
          <w:lang w:val="uk-UA"/>
        </w:rPr>
        <w:t xml:space="preserve">пкг/мл проти </w:t>
      </w:r>
      <w:r w:rsidRPr="00FC103B">
        <w:rPr>
          <w:sz w:val="28"/>
          <w:szCs w:val="28"/>
          <w:lang w:val="uk-UA"/>
        </w:rPr>
        <w:t>6,77</w:t>
      </w:r>
      <w:r w:rsidRPr="00FC103B">
        <w:rPr>
          <w:sz w:val="28"/>
          <w:szCs w:val="28"/>
          <w:lang w:val="uk-UA" w:eastAsia="en-US"/>
        </w:rPr>
        <w:t>±0</w:t>
      </w:r>
      <w:r w:rsidRPr="00FC103B">
        <w:rPr>
          <w:sz w:val="28"/>
          <w:szCs w:val="28"/>
          <w:lang w:val="uk-UA"/>
        </w:rPr>
        <w:t xml:space="preserve">,16 </w:t>
      </w:r>
      <w:r w:rsidRPr="00FC103B">
        <w:rPr>
          <w:sz w:val="28"/>
          <w:szCs w:val="28"/>
          <w:shd w:val="clear" w:color="auto" w:fill="FFFFFF"/>
          <w:lang w:val="uk-UA"/>
        </w:rPr>
        <w:t>пкг/мл, відповідно, р&lt;0,001) (таблиця 4.7).</w:t>
      </w:r>
      <w:r w:rsidRPr="00FC103B">
        <w:rPr>
          <w:lang w:val="uk-UA"/>
        </w:rPr>
        <w:t xml:space="preserve"> </w:t>
      </w:r>
    </w:p>
    <w:p w:rsidR="00E3259F" w:rsidRDefault="00E3259F" w:rsidP="00E3259F">
      <w:pPr>
        <w:spacing w:line="360" w:lineRule="auto"/>
        <w:ind w:firstLine="709"/>
        <w:jc w:val="right"/>
        <w:rPr>
          <w:sz w:val="28"/>
          <w:szCs w:val="28"/>
          <w:lang w:val="uk-UA"/>
        </w:rPr>
      </w:pPr>
      <w:r>
        <w:rPr>
          <w:sz w:val="28"/>
          <w:szCs w:val="28"/>
          <w:lang w:val="uk-UA"/>
        </w:rPr>
        <w:t>Таблиця 4.7</w:t>
      </w:r>
    </w:p>
    <w:p w:rsidR="00E3259F" w:rsidRPr="00FC103B" w:rsidRDefault="00E3259F" w:rsidP="00E3259F">
      <w:pPr>
        <w:spacing w:line="360" w:lineRule="auto"/>
        <w:ind w:firstLine="284"/>
        <w:jc w:val="center"/>
        <w:rPr>
          <w:sz w:val="28"/>
          <w:szCs w:val="28"/>
          <w:shd w:val="clear" w:color="auto" w:fill="FFFFFF"/>
          <w:lang w:val="uk-UA"/>
        </w:rPr>
      </w:pPr>
      <w:r w:rsidRPr="00FC103B">
        <w:rPr>
          <w:sz w:val="28"/>
          <w:szCs w:val="28"/>
          <w:shd w:val="clear" w:color="auto" w:fill="FFFFFF"/>
          <w:lang w:val="uk-UA"/>
        </w:rPr>
        <w:t>Порівнільний аналіз рівня 8-гідрокси-</w:t>
      </w:r>
      <w:r w:rsidRPr="00FC103B">
        <w:rPr>
          <w:sz w:val="28"/>
          <w:szCs w:val="28"/>
          <w:lang w:val="uk-UA"/>
        </w:rPr>
        <w:t xml:space="preserve"> 2'</w:t>
      </w:r>
      <w:r w:rsidRPr="00FC103B">
        <w:rPr>
          <w:sz w:val="28"/>
          <w:szCs w:val="28"/>
          <w:shd w:val="clear" w:color="auto" w:fill="FFFFFF"/>
          <w:lang w:val="uk-UA"/>
        </w:rPr>
        <w:t xml:space="preserve"> -дезоксигуанозину </w:t>
      </w:r>
      <w:r w:rsidRPr="00FC103B">
        <w:rPr>
          <w:sz w:val="28"/>
          <w:szCs w:val="28"/>
          <w:lang w:val="uk-UA"/>
        </w:rPr>
        <w:t>(</w:t>
      </w:r>
      <w:r w:rsidRPr="00FC103B">
        <w:rPr>
          <w:sz w:val="28"/>
          <w:szCs w:val="28"/>
          <w:lang w:val="en-US"/>
        </w:rPr>
        <w:t>M</w:t>
      </w:r>
      <w:r w:rsidRPr="00FC103B">
        <w:rPr>
          <w:sz w:val="28"/>
          <w:szCs w:val="28"/>
          <w:lang w:val="uk-UA"/>
        </w:rPr>
        <w:t>±</w:t>
      </w:r>
      <w:r w:rsidRPr="00FC103B">
        <w:rPr>
          <w:sz w:val="28"/>
          <w:szCs w:val="28"/>
          <w:lang w:val="en-US"/>
        </w:rPr>
        <w:t>m</w:t>
      </w:r>
      <w:r w:rsidRPr="00FC103B">
        <w:rPr>
          <w:sz w:val="28"/>
          <w:szCs w:val="28"/>
          <w:lang w:val="uk-UA"/>
        </w:rPr>
        <w:t>)</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3"/>
        <w:gridCol w:w="1418"/>
        <w:gridCol w:w="1701"/>
        <w:gridCol w:w="1701"/>
        <w:gridCol w:w="1701"/>
        <w:gridCol w:w="1666"/>
      </w:tblGrid>
      <w:tr w:rsidR="00E3259F" w:rsidRPr="00FC103B"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sz w:val="28"/>
                <w:szCs w:val="28"/>
                <w:lang w:val="uk-UA" w:eastAsia="en-US"/>
              </w:rPr>
            </w:pPr>
            <w:r w:rsidRPr="00FC103B">
              <w:rPr>
                <w:sz w:val="28"/>
                <w:szCs w:val="28"/>
                <w:lang w:val="uk-UA" w:eastAsia="en-US"/>
              </w:rPr>
              <w:t>Показник</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sz w:val="28"/>
                <w:szCs w:val="28"/>
                <w:lang w:val="uk-UA" w:eastAsia="en-US"/>
              </w:rPr>
            </w:pPr>
            <w:r w:rsidRPr="00FC103B">
              <w:rPr>
                <w:sz w:val="28"/>
                <w:szCs w:val="28"/>
                <w:lang w:val="uk-UA" w:eastAsia="en-US"/>
              </w:rPr>
              <w:t>Група контролю</w:t>
            </w:r>
          </w:p>
          <w:p w:rsidR="00E3259F" w:rsidRPr="00FC103B" w:rsidRDefault="00E3259F">
            <w:pPr>
              <w:spacing w:line="360" w:lineRule="auto"/>
              <w:jc w:val="center"/>
              <w:rPr>
                <w:rFonts w:eastAsia="Calibri"/>
                <w:sz w:val="28"/>
                <w:szCs w:val="28"/>
                <w:lang w:val="uk-UA" w:eastAsia="en-US"/>
              </w:rPr>
            </w:pPr>
            <w:r w:rsidRPr="00FC103B">
              <w:rPr>
                <w:sz w:val="28"/>
                <w:szCs w:val="28"/>
                <w:lang w:val="uk-UA" w:eastAsia="en-US"/>
              </w:rPr>
              <w:t>(</w:t>
            </w:r>
            <w:r w:rsidRPr="00FC103B">
              <w:rPr>
                <w:sz w:val="28"/>
                <w:szCs w:val="28"/>
                <w:lang w:val="en-US" w:eastAsia="en-US"/>
              </w:rPr>
              <w:t>n</w:t>
            </w:r>
            <w:r w:rsidRPr="00FC103B">
              <w:rPr>
                <w:sz w:val="28"/>
                <w:szCs w:val="28"/>
                <w:lang w:val="uk-UA" w:eastAsia="en-US"/>
              </w:rPr>
              <w:t>=30)</w:t>
            </w:r>
          </w:p>
        </w:tc>
        <w:tc>
          <w:tcPr>
            <w:tcW w:w="1701"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sz w:val="28"/>
                <w:szCs w:val="28"/>
                <w:lang w:val="uk-UA" w:eastAsia="en-US"/>
              </w:rPr>
            </w:pPr>
            <w:r w:rsidRPr="00FC103B">
              <w:rPr>
                <w:sz w:val="28"/>
                <w:szCs w:val="28"/>
                <w:lang w:val="uk-UA" w:eastAsia="en-US"/>
              </w:rPr>
              <w:t xml:space="preserve">Група </w:t>
            </w:r>
          </w:p>
          <w:p w:rsidR="00E3259F" w:rsidRPr="00FC103B" w:rsidRDefault="00E3259F">
            <w:pPr>
              <w:spacing w:line="360" w:lineRule="auto"/>
              <w:jc w:val="center"/>
              <w:rPr>
                <w:rFonts w:eastAsia="Calibri"/>
                <w:sz w:val="28"/>
                <w:szCs w:val="28"/>
                <w:lang w:val="uk-UA" w:eastAsia="en-US"/>
              </w:rPr>
            </w:pPr>
            <w:r w:rsidRPr="00FC103B">
              <w:rPr>
                <w:sz w:val="28"/>
                <w:szCs w:val="28"/>
                <w:lang w:val="uk-UA" w:eastAsia="en-US"/>
              </w:rPr>
              <w:t>(</w:t>
            </w:r>
            <w:r w:rsidRPr="00FC103B">
              <w:rPr>
                <w:sz w:val="28"/>
                <w:szCs w:val="28"/>
                <w:lang w:val="en-US" w:eastAsia="en-US"/>
              </w:rPr>
              <w:t>n</w:t>
            </w:r>
            <w:r w:rsidRPr="00FC103B">
              <w:rPr>
                <w:sz w:val="28"/>
                <w:szCs w:val="28"/>
                <w:lang w:val="uk-UA" w:eastAsia="en-US"/>
              </w:rPr>
              <w:t>=106)</w:t>
            </w:r>
          </w:p>
        </w:tc>
        <w:tc>
          <w:tcPr>
            <w:tcW w:w="1701"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sz w:val="28"/>
                <w:szCs w:val="28"/>
                <w:lang w:val="uk-UA" w:eastAsia="en-US"/>
              </w:rPr>
            </w:pPr>
            <w:r w:rsidRPr="00FC103B">
              <w:rPr>
                <w:sz w:val="28"/>
                <w:szCs w:val="28"/>
                <w:lang w:val="uk-UA" w:eastAsia="en-US"/>
              </w:rPr>
              <w:t xml:space="preserve">Група </w:t>
            </w:r>
          </w:p>
          <w:p w:rsidR="00E3259F" w:rsidRPr="00FC103B" w:rsidRDefault="00E3259F">
            <w:pPr>
              <w:spacing w:line="360" w:lineRule="auto"/>
              <w:jc w:val="center"/>
              <w:rPr>
                <w:rFonts w:eastAsia="Calibri"/>
                <w:sz w:val="28"/>
                <w:szCs w:val="28"/>
                <w:lang w:val="en-US" w:eastAsia="en-US"/>
              </w:rPr>
            </w:pPr>
            <w:r w:rsidRPr="00FC103B">
              <w:rPr>
                <w:sz w:val="28"/>
                <w:szCs w:val="28"/>
                <w:lang w:val="uk-UA" w:eastAsia="en-US"/>
              </w:rPr>
              <w:t>(</w:t>
            </w:r>
            <w:r w:rsidRPr="00FC103B">
              <w:rPr>
                <w:sz w:val="28"/>
                <w:szCs w:val="28"/>
                <w:lang w:val="en-US" w:eastAsia="en-US"/>
              </w:rPr>
              <w:t>n</w:t>
            </w:r>
            <w:r w:rsidRPr="00FC103B">
              <w:rPr>
                <w:sz w:val="28"/>
                <w:szCs w:val="28"/>
                <w:lang w:val="uk-UA" w:eastAsia="en-US"/>
              </w:rPr>
              <w:t>=156)</w:t>
            </w:r>
          </w:p>
        </w:tc>
        <w:tc>
          <w:tcPr>
            <w:tcW w:w="1701"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sz w:val="28"/>
                <w:szCs w:val="28"/>
                <w:lang w:val="uk-UA" w:eastAsia="en-US"/>
              </w:rPr>
            </w:pPr>
            <w:r w:rsidRPr="00FC103B">
              <w:rPr>
                <w:sz w:val="28"/>
                <w:szCs w:val="28"/>
                <w:lang w:eastAsia="en-US"/>
              </w:rPr>
              <w:t>Група</w:t>
            </w:r>
            <w:r w:rsidRPr="00FC103B">
              <w:rPr>
                <w:sz w:val="28"/>
                <w:szCs w:val="28"/>
                <w:lang w:val="uk-UA" w:eastAsia="en-US"/>
              </w:rPr>
              <w:t xml:space="preserve"> 3</w:t>
            </w:r>
          </w:p>
          <w:p w:rsidR="00E3259F" w:rsidRPr="00FC103B" w:rsidRDefault="00E3259F">
            <w:pPr>
              <w:spacing w:line="360" w:lineRule="auto"/>
              <w:jc w:val="center"/>
              <w:rPr>
                <w:rFonts w:eastAsia="Calibri"/>
                <w:sz w:val="28"/>
                <w:szCs w:val="28"/>
                <w:lang w:eastAsia="en-US"/>
              </w:rPr>
            </w:pPr>
            <w:r w:rsidRPr="00FC103B">
              <w:rPr>
                <w:sz w:val="28"/>
                <w:szCs w:val="28"/>
                <w:lang w:val="uk-UA" w:eastAsia="en-US"/>
              </w:rPr>
              <w:t>(</w:t>
            </w:r>
            <w:r w:rsidRPr="00FC103B">
              <w:rPr>
                <w:sz w:val="28"/>
                <w:szCs w:val="28"/>
                <w:lang w:val="en-US" w:eastAsia="en-US"/>
              </w:rPr>
              <w:t>n</w:t>
            </w:r>
            <w:r w:rsidRPr="00FC103B">
              <w:rPr>
                <w:sz w:val="28"/>
                <w:szCs w:val="28"/>
                <w:lang w:val="uk-UA" w:eastAsia="en-US"/>
              </w:rPr>
              <w:t>=93)</w:t>
            </w:r>
          </w:p>
        </w:tc>
        <w:tc>
          <w:tcPr>
            <w:tcW w:w="1666"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sz w:val="28"/>
                <w:szCs w:val="28"/>
                <w:lang w:val="uk-UA" w:eastAsia="en-US"/>
              </w:rPr>
            </w:pPr>
            <w:r w:rsidRPr="00FC103B">
              <w:rPr>
                <w:sz w:val="28"/>
                <w:szCs w:val="28"/>
                <w:lang w:val="uk-UA" w:eastAsia="en-US"/>
              </w:rPr>
              <w:t>Значимість, р</w:t>
            </w:r>
          </w:p>
        </w:tc>
      </w:tr>
      <w:tr w:rsidR="00E3259F" w:rsidRPr="00FC103B"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both"/>
              <w:rPr>
                <w:sz w:val="28"/>
                <w:szCs w:val="28"/>
                <w:lang w:eastAsia="en-US"/>
              </w:rPr>
            </w:pPr>
            <w:r w:rsidRPr="00FC103B">
              <w:rPr>
                <w:sz w:val="28"/>
                <w:szCs w:val="28"/>
                <w:lang w:val="uk-UA" w:eastAsia="en-US"/>
              </w:rPr>
              <w:t>8-OH-dG, пкг/мл</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pStyle w:val="a4"/>
              <w:spacing w:line="360" w:lineRule="auto"/>
              <w:ind w:left="0"/>
              <w:rPr>
                <w:sz w:val="28"/>
                <w:szCs w:val="28"/>
                <w:lang w:val="uk-UA" w:eastAsia="en-US"/>
              </w:rPr>
            </w:pPr>
            <w:r w:rsidRPr="00FC103B">
              <w:rPr>
                <w:sz w:val="28"/>
                <w:szCs w:val="28"/>
                <w:lang w:val="uk-UA" w:eastAsia="en-US"/>
              </w:rPr>
              <w:t>6,77±0,16</w:t>
            </w:r>
          </w:p>
        </w:tc>
        <w:tc>
          <w:tcPr>
            <w:tcW w:w="1701"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both"/>
              <w:rPr>
                <w:sz w:val="28"/>
                <w:szCs w:val="28"/>
                <w:lang w:eastAsia="en-US"/>
              </w:rPr>
            </w:pPr>
            <w:r w:rsidRPr="00FC103B">
              <w:rPr>
                <w:sz w:val="28"/>
                <w:szCs w:val="28"/>
                <w:lang w:eastAsia="en-US"/>
              </w:rPr>
              <w:t>1</w:t>
            </w:r>
            <w:r w:rsidRPr="00FC103B">
              <w:rPr>
                <w:sz w:val="28"/>
                <w:szCs w:val="28"/>
                <w:lang w:val="uk-UA" w:eastAsia="en-US"/>
              </w:rPr>
              <w:t>4</w:t>
            </w:r>
            <w:r w:rsidRPr="00FC103B">
              <w:rPr>
                <w:sz w:val="28"/>
                <w:szCs w:val="28"/>
                <w:lang w:eastAsia="en-US"/>
              </w:rPr>
              <w:t>,</w:t>
            </w:r>
            <w:r w:rsidRPr="00FC103B">
              <w:rPr>
                <w:sz w:val="28"/>
                <w:szCs w:val="28"/>
                <w:lang w:val="uk-UA" w:eastAsia="en-US"/>
              </w:rPr>
              <w:t>00</w:t>
            </w:r>
            <w:r w:rsidRPr="00FC103B">
              <w:rPr>
                <w:sz w:val="28"/>
                <w:szCs w:val="28"/>
                <w:lang w:eastAsia="en-US"/>
              </w:rPr>
              <w:t>±0,</w:t>
            </w:r>
            <w:r w:rsidRPr="00FC103B">
              <w:rPr>
                <w:sz w:val="28"/>
                <w:szCs w:val="28"/>
                <w:lang w:val="uk-UA" w:eastAsia="en-US"/>
              </w:rPr>
              <w:t>29*</w:t>
            </w:r>
          </w:p>
        </w:tc>
        <w:tc>
          <w:tcPr>
            <w:tcW w:w="1701"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both"/>
              <w:rPr>
                <w:sz w:val="28"/>
                <w:szCs w:val="28"/>
                <w:lang w:val="uk-UA" w:eastAsia="en-US"/>
              </w:rPr>
            </w:pPr>
            <w:r w:rsidRPr="00FC103B">
              <w:rPr>
                <w:sz w:val="28"/>
                <w:szCs w:val="28"/>
                <w:lang w:eastAsia="en-US"/>
              </w:rPr>
              <w:t>15,37±0,2</w:t>
            </w:r>
            <w:r w:rsidRPr="00FC103B">
              <w:rPr>
                <w:sz w:val="28"/>
                <w:szCs w:val="28"/>
                <w:lang w:val="uk-UA" w:eastAsia="en-US"/>
              </w:rPr>
              <w:t>7*</w:t>
            </w:r>
          </w:p>
        </w:tc>
        <w:tc>
          <w:tcPr>
            <w:tcW w:w="1701"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both"/>
              <w:rPr>
                <w:sz w:val="28"/>
                <w:szCs w:val="28"/>
                <w:lang w:eastAsia="en-US"/>
              </w:rPr>
            </w:pPr>
            <w:r w:rsidRPr="00FC103B">
              <w:rPr>
                <w:sz w:val="28"/>
                <w:szCs w:val="28"/>
                <w:lang w:eastAsia="en-US"/>
              </w:rPr>
              <w:t>14,13±</w:t>
            </w:r>
            <w:r w:rsidRPr="00FC103B">
              <w:rPr>
                <w:sz w:val="28"/>
                <w:szCs w:val="28"/>
                <w:lang w:val="uk-UA" w:eastAsia="en-US"/>
              </w:rPr>
              <w:t>0</w:t>
            </w:r>
            <w:r w:rsidRPr="00FC103B">
              <w:rPr>
                <w:sz w:val="28"/>
                <w:szCs w:val="28"/>
                <w:lang w:eastAsia="en-US"/>
              </w:rPr>
              <w:t>,3</w:t>
            </w:r>
            <w:r w:rsidRPr="00FC103B">
              <w:rPr>
                <w:sz w:val="28"/>
                <w:szCs w:val="28"/>
                <w:lang w:val="uk-UA" w:eastAsia="en-US"/>
              </w:rPr>
              <w:t>6*</w:t>
            </w:r>
          </w:p>
        </w:tc>
        <w:tc>
          <w:tcPr>
            <w:tcW w:w="1666"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both"/>
              <w:rPr>
                <w:sz w:val="28"/>
                <w:szCs w:val="28"/>
                <w:lang w:val="uk-UA" w:eastAsia="en-US"/>
              </w:rPr>
            </w:pPr>
            <w:r w:rsidRPr="00FC103B">
              <w:rPr>
                <w:sz w:val="28"/>
                <w:szCs w:val="28"/>
                <w:lang w:val="uk-UA" w:eastAsia="en-US"/>
              </w:rPr>
              <w:t>р</w:t>
            </w:r>
            <w:r w:rsidRPr="00FC103B">
              <w:rPr>
                <w:sz w:val="28"/>
                <w:szCs w:val="28"/>
                <w:vertAlign w:val="subscript"/>
                <w:lang w:val="uk-UA" w:eastAsia="en-US"/>
              </w:rPr>
              <w:t>1-2</w:t>
            </w:r>
            <w:r w:rsidRPr="00FC103B">
              <w:rPr>
                <w:sz w:val="28"/>
                <w:szCs w:val="28"/>
                <w:lang w:val="uk-UA" w:eastAsia="en-US"/>
              </w:rPr>
              <w:t>&lt;0</w:t>
            </w:r>
            <w:r w:rsidRPr="00FC103B">
              <w:rPr>
                <w:sz w:val="28"/>
                <w:szCs w:val="28"/>
                <w:lang w:eastAsia="en-US"/>
              </w:rPr>
              <w:t>,00</w:t>
            </w:r>
            <w:r w:rsidRPr="00FC103B">
              <w:rPr>
                <w:sz w:val="28"/>
                <w:szCs w:val="28"/>
                <w:lang w:val="uk-UA" w:eastAsia="en-US"/>
              </w:rPr>
              <w:t xml:space="preserve">1 </w:t>
            </w:r>
          </w:p>
          <w:p w:rsidR="00E3259F" w:rsidRPr="00FC103B" w:rsidRDefault="00E3259F">
            <w:pPr>
              <w:spacing w:line="360" w:lineRule="auto"/>
              <w:jc w:val="both"/>
              <w:rPr>
                <w:sz w:val="28"/>
                <w:szCs w:val="28"/>
                <w:lang w:val="uk-UA" w:eastAsia="en-US"/>
              </w:rPr>
            </w:pPr>
            <w:r w:rsidRPr="00FC103B">
              <w:rPr>
                <w:sz w:val="28"/>
                <w:szCs w:val="28"/>
                <w:lang w:val="uk-UA" w:eastAsia="en-US"/>
              </w:rPr>
              <w:t>р</w:t>
            </w:r>
            <w:r w:rsidRPr="00FC103B">
              <w:rPr>
                <w:sz w:val="28"/>
                <w:szCs w:val="28"/>
                <w:vertAlign w:val="subscript"/>
                <w:lang w:val="uk-UA" w:eastAsia="en-US"/>
              </w:rPr>
              <w:t>1-3</w:t>
            </w:r>
            <w:r w:rsidRPr="00FC103B">
              <w:rPr>
                <w:sz w:val="28"/>
                <w:szCs w:val="28"/>
                <w:lang w:val="uk-UA" w:eastAsia="en-US"/>
              </w:rPr>
              <w:t>&gt;0,05</w:t>
            </w:r>
          </w:p>
          <w:p w:rsidR="00E3259F" w:rsidRPr="00FC103B" w:rsidRDefault="00E3259F">
            <w:pPr>
              <w:spacing w:line="360" w:lineRule="auto"/>
              <w:jc w:val="both"/>
              <w:rPr>
                <w:sz w:val="28"/>
                <w:szCs w:val="28"/>
                <w:lang w:val="uk-UA" w:eastAsia="en-US"/>
              </w:rPr>
            </w:pPr>
            <w:r w:rsidRPr="00FC103B">
              <w:rPr>
                <w:sz w:val="28"/>
                <w:szCs w:val="28"/>
                <w:lang w:val="uk-UA" w:eastAsia="en-US"/>
              </w:rPr>
              <w:t>р</w:t>
            </w:r>
            <w:r w:rsidRPr="00FC103B">
              <w:rPr>
                <w:sz w:val="28"/>
                <w:szCs w:val="28"/>
                <w:vertAlign w:val="subscript"/>
                <w:lang w:val="uk-UA" w:eastAsia="en-US"/>
              </w:rPr>
              <w:t>2-3</w:t>
            </w:r>
            <w:r w:rsidRPr="00FC103B">
              <w:rPr>
                <w:sz w:val="28"/>
                <w:szCs w:val="28"/>
                <w:lang w:val="uk-UA" w:eastAsia="en-US"/>
              </w:rPr>
              <w:t>=0,005</w:t>
            </w:r>
          </w:p>
        </w:tc>
      </w:tr>
    </w:tbl>
    <w:p w:rsidR="00E3259F" w:rsidRPr="00FC103B" w:rsidRDefault="00E3259F" w:rsidP="00E3259F">
      <w:pPr>
        <w:ind w:firstLine="709"/>
        <w:jc w:val="both"/>
        <w:rPr>
          <w:rStyle w:val="tlid-translation"/>
          <w:rFonts w:eastAsiaTheme="majorEastAsia"/>
          <w:sz w:val="26"/>
          <w:szCs w:val="26"/>
          <w:lang w:val="uk-UA" w:eastAsia="en-US"/>
        </w:rPr>
      </w:pPr>
      <w:r w:rsidRPr="00FC103B">
        <w:rPr>
          <w:sz w:val="28"/>
          <w:szCs w:val="28"/>
          <w:lang w:val="uk-UA"/>
        </w:rPr>
        <w:t xml:space="preserve">Примітка: * - р&lt;0,001   рівень значущості відмінностей при порівнянні з групою контролю </w:t>
      </w:r>
    </w:p>
    <w:p w:rsidR="00E3259F" w:rsidRPr="00FC103B" w:rsidRDefault="00E3259F" w:rsidP="00E3259F">
      <w:pPr>
        <w:pStyle w:val="1"/>
        <w:shd w:val="clear" w:color="auto" w:fill="FFFFFF"/>
        <w:spacing w:before="0" w:beforeAutospacing="0" w:after="0" w:afterAutospacing="0" w:line="360" w:lineRule="auto"/>
        <w:ind w:firstLine="709"/>
        <w:jc w:val="both"/>
        <w:rPr>
          <w:b w:val="0"/>
          <w:sz w:val="28"/>
          <w:szCs w:val="28"/>
          <w:shd w:val="clear" w:color="auto" w:fill="FFFFFF"/>
          <w:lang w:val="uk-UA"/>
        </w:rPr>
      </w:pPr>
      <w:r w:rsidRPr="00FC103B">
        <w:rPr>
          <w:b w:val="0"/>
          <w:sz w:val="28"/>
          <w:szCs w:val="28"/>
          <w:lang w:val="uk-UA"/>
        </w:rPr>
        <w:t>Ці</w:t>
      </w:r>
      <w:r w:rsidRPr="00FC103B">
        <w:rPr>
          <w:b w:val="0"/>
          <w:sz w:val="28"/>
          <w:szCs w:val="28"/>
          <w:shd w:val="clear" w:color="auto" w:fill="FFFFFF"/>
          <w:lang w:val="uk-UA"/>
        </w:rPr>
        <w:t xml:space="preserve"> дані збігаються з даними Erkan Yıldırım і співавт. (2017), які виявили більш високі рівні 8-OHdG у пацієнтів з артеріальною гіпертензією, зокрема з гіпертензією білого халата, підкресливши роль цієї молекули в окислювальному ушкодженні при цій нозології [</w:t>
      </w:r>
      <w:r w:rsidRPr="00FC103B">
        <w:rPr>
          <w:b w:val="0"/>
          <w:sz w:val="28"/>
          <w:szCs w:val="28"/>
          <w:lang w:val="uk-UA"/>
        </w:rPr>
        <w:t>410]</w:t>
      </w:r>
      <w:r w:rsidRPr="00FC103B">
        <w:rPr>
          <w:b w:val="0"/>
          <w:sz w:val="28"/>
          <w:szCs w:val="28"/>
          <w:shd w:val="clear" w:color="auto" w:fill="FFFFFF"/>
          <w:lang w:val="uk-UA"/>
        </w:rPr>
        <w:t>.  Також ці дані збігаються з результатами мета-аналізу, який був проведений у 2016 році й містить 14 досліджень, у якому показано, що рівні 8-OHdG вище у пацієнтів з різними ССЗ, зокрема і АГ, ніж у здорових осіб [</w:t>
      </w:r>
      <w:r w:rsidRPr="00FC103B">
        <w:rPr>
          <w:b w:val="0"/>
          <w:sz w:val="28"/>
          <w:szCs w:val="28"/>
          <w:lang w:val="uk-UA"/>
        </w:rPr>
        <w:t>198</w:t>
      </w:r>
      <w:r w:rsidRPr="00FC103B">
        <w:rPr>
          <w:b w:val="0"/>
          <w:sz w:val="28"/>
          <w:szCs w:val="28"/>
          <w:shd w:val="clear" w:color="auto" w:fill="FFFFFF"/>
          <w:lang w:val="uk-UA"/>
        </w:rPr>
        <w:t xml:space="preserve">]. </w:t>
      </w:r>
    </w:p>
    <w:p w:rsidR="00E3259F" w:rsidRPr="00FC103B" w:rsidRDefault="00E3259F" w:rsidP="00E3259F">
      <w:pPr>
        <w:pStyle w:val="1"/>
        <w:shd w:val="clear" w:color="auto" w:fill="FFFFFF"/>
        <w:spacing w:before="0" w:beforeAutospacing="0" w:after="0" w:afterAutospacing="0" w:line="360" w:lineRule="auto"/>
        <w:ind w:firstLine="709"/>
        <w:jc w:val="both"/>
        <w:rPr>
          <w:b w:val="0"/>
          <w:sz w:val="28"/>
          <w:szCs w:val="28"/>
          <w:shd w:val="clear" w:color="auto" w:fill="FFFFFF"/>
          <w:lang w:val="uk-UA"/>
        </w:rPr>
      </w:pPr>
      <w:r w:rsidRPr="00FC103B">
        <w:rPr>
          <w:b w:val="0"/>
          <w:sz w:val="28"/>
          <w:szCs w:val="28"/>
          <w:shd w:val="clear" w:color="auto" w:fill="FFFFFF"/>
          <w:lang w:val="uk-UA"/>
        </w:rPr>
        <w:t>Рівень 8-OHdG при коморбідних станах був достовірно вищий, більш ніж у 2 рази, ніж у контрольній групі (р&lt;0,001 для групи 2 та групи 3). Наявність одночасного перебігу ЦД 2 типу та ГХ супроводжувалося невеликим, але достовірним підвищенням цього показника щодо групи з ізольованою ГХ  (14</w:t>
      </w:r>
      <w:r w:rsidRPr="00FC103B">
        <w:rPr>
          <w:b w:val="0"/>
          <w:sz w:val="28"/>
          <w:szCs w:val="28"/>
          <w:lang w:val="uk-UA"/>
        </w:rPr>
        <w:t xml:space="preserve">,00±0,29 </w:t>
      </w:r>
      <w:r w:rsidRPr="00FC103B">
        <w:rPr>
          <w:b w:val="0"/>
          <w:sz w:val="28"/>
          <w:szCs w:val="28"/>
          <w:shd w:val="clear" w:color="auto" w:fill="FFFFFF"/>
          <w:lang w:val="uk-UA"/>
        </w:rPr>
        <w:t xml:space="preserve">пкг/мл і </w:t>
      </w:r>
      <w:r w:rsidRPr="00FC103B">
        <w:rPr>
          <w:b w:val="0"/>
          <w:sz w:val="28"/>
          <w:szCs w:val="28"/>
          <w:lang w:val="uk-UA"/>
        </w:rPr>
        <w:t xml:space="preserve">15,37±0,27 </w:t>
      </w:r>
      <w:r w:rsidRPr="00FC103B">
        <w:rPr>
          <w:b w:val="0"/>
          <w:sz w:val="28"/>
          <w:szCs w:val="28"/>
          <w:shd w:val="clear" w:color="auto" w:fill="FFFFFF"/>
          <w:lang w:val="uk-UA"/>
        </w:rPr>
        <w:t xml:space="preserve">пкг/мл, відповідно, р&lt;0,001). Підвищення рівня 8-ОНdG у пацієнтів з ЦД описано в низці робіт, при цьому відзначалася кореляція між рівнем окислювального ушкодження ДНК і тяжкістю діабетичних та ССУ  </w:t>
      </w:r>
      <w:r w:rsidRPr="00FC103B">
        <w:rPr>
          <w:b w:val="0"/>
          <w:sz w:val="28"/>
          <w:szCs w:val="28"/>
          <w:lang w:val="uk-UA"/>
        </w:rPr>
        <w:t>[156,373]</w:t>
      </w:r>
      <w:r w:rsidRPr="00FC103B">
        <w:rPr>
          <w:b w:val="0"/>
          <w:sz w:val="28"/>
          <w:szCs w:val="28"/>
          <w:shd w:val="clear" w:color="auto" w:fill="FFFFFF"/>
          <w:lang w:val="uk-UA"/>
        </w:rPr>
        <w:t xml:space="preserve">. Ми припускаємо, що відсутність значного підвищення рівнів 8-OHdG при цій коморбідній патології може пояснюватися впливом метформіну, який вживали пацієнти з ЦД 2 типу, що мало місце в цьому дослідженні. Позитивний вплив антидіабетичної терапії на показники ОС, зокрема 8-OHdG, показано в низці робіт. Так у роботі </w:t>
      </w:r>
      <w:hyperlink r:id="rId14" w:history="1">
        <w:r w:rsidRPr="00FC103B">
          <w:rPr>
            <w:rStyle w:val="a3"/>
            <w:rFonts w:eastAsiaTheme="majorEastAsia"/>
            <w:b w:val="0"/>
            <w:color w:val="auto"/>
            <w:sz w:val="28"/>
            <w:szCs w:val="28"/>
            <w:lang w:val="en-US"/>
          </w:rPr>
          <w:t>Zhang</w:t>
        </w:r>
        <w:r w:rsidRPr="00FC103B">
          <w:rPr>
            <w:rStyle w:val="a3"/>
            <w:rFonts w:eastAsiaTheme="majorEastAsia"/>
            <w:b w:val="0"/>
            <w:color w:val="auto"/>
            <w:sz w:val="28"/>
            <w:szCs w:val="28"/>
            <w:lang w:val="uk-UA"/>
          </w:rPr>
          <w:t xml:space="preserve"> </w:t>
        </w:r>
        <w:r w:rsidRPr="00FC103B">
          <w:rPr>
            <w:rStyle w:val="a3"/>
            <w:rFonts w:eastAsiaTheme="majorEastAsia"/>
            <w:b w:val="0"/>
            <w:color w:val="auto"/>
            <w:sz w:val="28"/>
            <w:szCs w:val="28"/>
            <w:lang w:val="en-US"/>
          </w:rPr>
          <w:t>XG</w:t>
        </w:r>
      </w:hyperlink>
      <w:r w:rsidRPr="00FC103B">
        <w:rPr>
          <w:b w:val="0"/>
          <w:sz w:val="28"/>
          <w:szCs w:val="28"/>
          <w:lang w:val="uk-UA"/>
        </w:rPr>
        <w:t xml:space="preserve"> </w:t>
      </w:r>
      <w:r w:rsidRPr="00FC103B">
        <w:rPr>
          <w:b w:val="0"/>
          <w:sz w:val="28"/>
          <w:szCs w:val="28"/>
          <w:shd w:val="clear" w:color="auto" w:fill="FFFFFF"/>
          <w:lang w:val="uk-UA"/>
        </w:rPr>
        <w:t xml:space="preserve">і співавт. (2018) є дані, що інсулінотерапія сприяє нормалізації підвищених при діабеті рівнів 8-OHdG, що передбачає участь гіперглікемії при окислювальному ушкодженні ДНК [417]. Але наявність практично вдвічі вищого, ніж в контрольній групі, рівня 8-OHdG свідчить про виражений ОС, незважаючи на терапію, що проводиться. </w:t>
      </w:r>
    </w:p>
    <w:p w:rsidR="00E3259F" w:rsidRPr="00FC103B" w:rsidRDefault="00E3259F" w:rsidP="00E3259F">
      <w:pPr>
        <w:pStyle w:val="1"/>
        <w:shd w:val="clear" w:color="auto" w:fill="FFFFFF"/>
        <w:spacing w:before="0" w:beforeAutospacing="0" w:after="0" w:afterAutospacing="0" w:line="360" w:lineRule="auto"/>
        <w:ind w:firstLine="709"/>
        <w:jc w:val="both"/>
        <w:rPr>
          <w:sz w:val="28"/>
          <w:szCs w:val="28"/>
          <w:shd w:val="clear" w:color="auto" w:fill="FFFFFF"/>
          <w:lang w:val="uk-UA"/>
        </w:rPr>
      </w:pPr>
      <w:r w:rsidRPr="00FC103B">
        <w:rPr>
          <w:b w:val="0"/>
          <w:sz w:val="28"/>
          <w:szCs w:val="28"/>
          <w:shd w:val="clear" w:color="auto" w:fill="FFFFFF"/>
          <w:lang w:val="uk-UA"/>
        </w:rPr>
        <w:t>Наявність СГТ в групі 3 супроводжувалася достовірно нижчими рівнями 8-OHdG порівняно з пацієнтами з ГХ, ЦД 2 типу без порушення функції ЩЗ (14,13±0,36 пкг/мл проти 15,37±0,27 пкг/мл,відповідно, р=0,005).</w:t>
      </w:r>
    </w:p>
    <w:p w:rsidR="00E3259F" w:rsidRPr="00FC103B" w:rsidRDefault="00E3259F" w:rsidP="00E3259F">
      <w:pPr>
        <w:spacing w:line="360" w:lineRule="auto"/>
        <w:ind w:firstLine="709"/>
        <w:jc w:val="both"/>
        <w:rPr>
          <w:sz w:val="28"/>
          <w:szCs w:val="28"/>
          <w:shd w:val="clear" w:color="auto" w:fill="FFFFFF"/>
          <w:lang w:val="uk-UA"/>
        </w:rPr>
      </w:pPr>
      <w:r w:rsidRPr="00FC103B">
        <w:rPr>
          <w:sz w:val="28"/>
          <w:szCs w:val="28"/>
          <w:shd w:val="clear" w:color="auto" w:fill="FFFFFF"/>
          <w:lang w:val="uk-UA"/>
        </w:rPr>
        <w:t>Для більш детального аналізу впливу гіпофункції ЩЗ на рівні 8-OHdG рівні останнього досліджувались у групі ГХ, ЦД 2 типу та СГТ залежно від рівня ТТГ. Виявлене підвищення рівня 8-OHdG при рівнях ТТГ 6,1-10,0 мкМОд/мл порівняно з рівнями ТТГ 4,1-6,0 мкМОд/мл було статистично не значимим (</w:t>
      </w:r>
      <w:r w:rsidRPr="00FC103B">
        <w:rPr>
          <w:sz w:val="28"/>
          <w:szCs w:val="28"/>
          <w:lang w:val="uk-UA"/>
        </w:rPr>
        <w:t>13,59±0,50</w:t>
      </w:r>
      <w:r w:rsidRPr="00FC103B">
        <w:rPr>
          <w:sz w:val="28"/>
          <w:szCs w:val="28"/>
          <w:shd w:val="clear" w:color="auto" w:fill="FFFFFF"/>
          <w:lang w:val="uk-UA"/>
        </w:rPr>
        <w:t xml:space="preserve"> пкг/мл та </w:t>
      </w:r>
      <w:r w:rsidRPr="00FC103B">
        <w:rPr>
          <w:sz w:val="28"/>
          <w:szCs w:val="28"/>
          <w:lang w:val="uk-UA"/>
        </w:rPr>
        <w:t xml:space="preserve">14,84±0,49 </w:t>
      </w:r>
      <w:r w:rsidRPr="00FC103B">
        <w:rPr>
          <w:sz w:val="28"/>
          <w:szCs w:val="28"/>
          <w:shd w:val="clear" w:color="auto" w:fill="FFFFFF"/>
          <w:lang w:val="uk-UA"/>
        </w:rPr>
        <w:t>пкг/мл, р</w:t>
      </w:r>
      <w:r w:rsidRPr="00FC103B">
        <w:rPr>
          <w:sz w:val="28"/>
          <w:szCs w:val="28"/>
          <w:lang w:val="uk-UA"/>
        </w:rPr>
        <w:t>&gt;0,05</w:t>
      </w:r>
      <w:r w:rsidRPr="00FC103B">
        <w:rPr>
          <w:sz w:val="28"/>
          <w:szCs w:val="28"/>
          <w:shd w:val="clear" w:color="auto" w:fill="FFFFFF"/>
          <w:lang w:val="uk-UA"/>
        </w:rPr>
        <w:t>). Проведення кореляційного аналізу виявило наявність негативного кореляційного зв'язку між рівнями Т4віл та 8-OHdG (r=</w:t>
      </w:r>
      <w:r w:rsidRPr="00FC103B">
        <w:rPr>
          <w:sz w:val="28"/>
          <w:szCs w:val="28"/>
          <w:lang w:val="uk-UA"/>
        </w:rPr>
        <w:t>-0,265,р=0,010)</w:t>
      </w:r>
      <w:r w:rsidRPr="00FC103B">
        <w:rPr>
          <w:sz w:val="28"/>
          <w:szCs w:val="28"/>
          <w:shd w:val="clear" w:color="auto" w:fill="FFFFFF"/>
          <w:lang w:val="uk-UA"/>
        </w:rPr>
        <w:t xml:space="preserve"> у пацієнтів при одночасному перебігу ГХ, ЦД 2 типу та СГТ, що підтверджує припущення про суттєве значення рівня ТТГ у посиленні окислювально - пошкоджуючих процесів при дисфункції ЩЗ уже на етапі СГТ. У групі пацієнтів без порушення функції ЩЗ подібних кореляційних зв'язків виявлено не було.</w:t>
      </w:r>
    </w:p>
    <w:p w:rsidR="00E3259F" w:rsidRPr="00FC103B" w:rsidRDefault="00E3259F" w:rsidP="00E3259F">
      <w:pPr>
        <w:spacing w:line="360" w:lineRule="auto"/>
        <w:ind w:firstLine="709"/>
        <w:jc w:val="both"/>
        <w:rPr>
          <w:sz w:val="28"/>
          <w:szCs w:val="28"/>
          <w:shd w:val="clear" w:color="auto" w:fill="FFFFFF"/>
          <w:lang w:val="uk-UA"/>
        </w:rPr>
      </w:pPr>
      <w:r w:rsidRPr="00FC103B">
        <w:rPr>
          <w:sz w:val="28"/>
          <w:szCs w:val="28"/>
          <w:shd w:val="clear" w:color="auto" w:fill="FFFFFF"/>
          <w:lang w:val="uk-UA"/>
        </w:rPr>
        <w:t>Таким чином, наявність поєднаного перебігу ГХ та ЦД 2 типу характеризується значно більшим рівнем 8-OHdG в сироватці крові порівняно із контрольною групою, та більш високими рівнями, ніж при ізольованій ГХ. Наявність СГТ при коморбдній патології здійснює суттєвий вплив на рівні окислювального ушкодження ДНК, незалежно від рівня ТТГ.</w:t>
      </w:r>
    </w:p>
    <w:p w:rsidR="00E3259F" w:rsidRPr="00FC103B" w:rsidRDefault="00E3259F" w:rsidP="00E3259F">
      <w:pPr>
        <w:spacing w:line="360" w:lineRule="auto"/>
        <w:ind w:firstLine="709"/>
        <w:jc w:val="both"/>
        <w:rPr>
          <w:sz w:val="28"/>
          <w:szCs w:val="28"/>
          <w:shd w:val="clear" w:color="auto" w:fill="FFFFFF"/>
          <w:lang w:val="uk-UA"/>
        </w:rPr>
      </w:pPr>
      <w:r w:rsidRPr="00FC103B">
        <w:rPr>
          <w:sz w:val="28"/>
          <w:szCs w:val="28"/>
          <w:shd w:val="clear" w:color="auto" w:fill="FFFFFF"/>
          <w:lang w:val="uk-UA"/>
        </w:rPr>
        <w:t xml:space="preserve">Проведення аналізу гендерних відмінностей рівнів </w:t>
      </w:r>
      <w:r w:rsidRPr="00FC103B">
        <w:rPr>
          <w:sz w:val="28"/>
          <w:szCs w:val="28"/>
          <w:lang w:val="uk-UA"/>
        </w:rPr>
        <w:t>8-OH-dG в досліджуваних групах (Таблиця 4.8) виявило наявність в групі пацієнтів з ГХ, ЦД 2 типу та СГТ достовірно більш високих рівнів цього показника у чоловіків ніж у жінок (р=0,048),  а у групі  пацієнтів з ізольованою ГХ та ГХ з ЦД 2 типу навпаки  -  у жінок рівні 8-OH-dG були вищі, ніж у чоловіків, хоча ці відмінності були статистично не значимі (</w:t>
      </w:r>
      <w:r w:rsidRPr="00FC103B">
        <w:rPr>
          <w:sz w:val="28"/>
          <w:szCs w:val="28"/>
          <w:shd w:val="clear" w:color="auto" w:fill="FFFFFF"/>
          <w:lang w:val="uk-UA"/>
        </w:rPr>
        <w:t>р&gt;0,05)</w:t>
      </w:r>
      <w:r w:rsidRPr="00FC103B">
        <w:rPr>
          <w:sz w:val="28"/>
          <w:szCs w:val="28"/>
          <w:lang w:val="uk-UA"/>
        </w:rPr>
        <w:t>.</w:t>
      </w:r>
    </w:p>
    <w:p w:rsidR="00E3259F" w:rsidRPr="00FC103B" w:rsidRDefault="00E3259F" w:rsidP="00E3259F">
      <w:pPr>
        <w:spacing w:line="360" w:lineRule="auto"/>
        <w:ind w:firstLine="709"/>
        <w:jc w:val="right"/>
        <w:rPr>
          <w:bCs/>
          <w:iCs/>
          <w:kern w:val="36"/>
          <w:sz w:val="28"/>
          <w:szCs w:val="28"/>
          <w:lang w:val="uk-UA"/>
        </w:rPr>
      </w:pPr>
      <w:r w:rsidRPr="00FC103B">
        <w:rPr>
          <w:bCs/>
          <w:iCs/>
          <w:kern w:val="36"/>
          <w:sz w:val="28"/>
          <w:szCs w:val="28"/>
          <w:lang w:val="uk-UA"/>
        </w:rPr>
        <w:t>Таблиця 4.8.</w:t>
      </w:r>
    </w:p>
    <w:p w:rsidR="00E3259F" w:rsidRPr="00FC103B" w:rsidRDefault="00E3259F" w:rsidP="00E3259F">
      <w:pPr>
        <w:spacing w:line="360" w:lineRule="auto"/>
        <w:ind w:firstLine="709"/>
        <w:jc w:val="center"/>
        <w:rPr>
          <w:b/>
          <w:sz w:val="28"/>
          <w:szCs w:val="28"/>
          <w:lang w:val="uk-UA"/>
        </w:rPr>
      </w:pPr>
      <w:r w:rsidRPr="00FC103B">
        <w:rPr>
          <w:bCs/>
          <w:iCs/>
          <w:kern w:val="36"/>
          <w:sz w:val="28"/>
          <w:szCs w:val="28"/>
          <w:lang w:val="uk-UA"/>
        </w:rPr>
        <w:t xml:space="preserve">Гендерні відмінності </w:t>
      </w:r>
      <w:r w:rsidRPr="00FC103B">
        <w:rPr>
          <w:sz w:val="28"/>
          <w:szCs w:val="28"/>
          <w:lang w:val="uk-UA"/>
        </w:rPr>
        <w:t xml:space="preserve">рівня </w:t>
      </w:r>
      <w:r w:rsidRPr="00FC103B">
        <w:rPr>
          <w:sz w:val="28"/>
          <w:szCs w:val="28"/>
          <w:shd w:val="clear" w:color="auto" w:fill="FFFFFF"/>
          <w:lang w:val="uk-UA"/>
        </w:rPr>
        <w:t xml:space="preserve">8-гідрокси-2-деоксигуанозину </w:t>
      </w:r>
      <w:r w:rsidRPr="00FC103B">
        <w:rPr>
          <w:bCs/>
          <w:iCs/>
          <w:kern w:val="36"/>
          <w:sz w:val="28"/>
          <w:szCs w:val="28"/>
          <w:lang w:val="uk-UA"/>
        </w:rPr>
        <w:t xml:space="preserve">в групах хворих, </w:t>
      </w:r>
      <w:r w:rsidRPr="00FC103B">
        <w:rPr>
          <w:sz w:val="28"/>
          <w:szCs w:val="28"/>
          <w:lang w:val="uk-UA"/>
        </w:rPr>
        <w:t>(</w:t>
      </w:r>
      <w:r w:rsidRPr="00FC103B">
        <w:rPr>
          <w:sz w:val="28"/>
          <w:szCs w:val="28"/>
          <w:lang w:val="en-US"/>
        </w:rPr>
        <w:t>M</w:t>
      </w:r>
      <w:r w:rsidRPr="00FC103B">
        <w:rPr>
          <w:sz w:val="28"/>
          <w:szCs w:val="28"/>
          <w:lang w:val="uk-UA"/>
        </w:rPr>
        <w:t>±</w:t>
      </w:r>
      <w:r w:rsidRPr="00FC103B">
        <w:rPr>
          <w:sz w:val="28"/>
          <w:szCs w:val="28"/>
          <w:lang w:val="en-US"/>
        </w:rPr>
        <w:t>m</w:t>
      </w:r>
      <w:r w:rsidRPr="00FC103B">
        <w:rPr>
          <w:sz w:val="28"/>
          <w:szCs w:val="28"/>
          <w:lang w:val="uk-UA"/>
        </w:rPr>
        <w:t>)</w:t>
      </w:r>
      <w:r w:rsidRPr="00FC103B">
        <w:rPr>
          <w:b/>
          <w:sz w:val="28"/>
          <w:szCs w:val="28"/>
          <w:lang w:val="uk-UA"/>
        </w:rPr>
        <w:t xml:space="preserve"> </w:t>
      </w:r>
    </w:p>
    <w:tbl>
      <w:tblPr>
        <w:tblW w:w="5000" w:type="pct"/>
        <w:tblLook w:val="04A0" w:firstRow="1" w:lastRow="0" w:firstColumn="1" w:lastColumn="0" w:noHBand="0" w:noVBand="1"/>
      </w:tblPr>
      <w:tblGrid>
        <w:gridCol w:w="1266"/>
        <w:gridCol w:w="1384"/>
        <w:gridCol w:w="1384"/>
        <w:gridCol w:w="1384"/>
        <w:gridCol w:w="1384"/>
        <w:gridCol w:w="1384"/>
        <w:gridCol w:w="1384"/>
      </w:tblGrid>
      <w:tr w:rsidR="00FC103B" w:rsidRPr="00FC103B" w:rsidTr="00FC103B">
        <w:tc>
          <w:tcPr>
            <w:tcW w:w="661" w:type="pct"/>
            <w:vMerge w:val="restart"/>
            <w:tcBorders>
              <w:top w:val="single" w:sz="4" w:space="0" w:color="auto"/>
              <w:left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Показник</w:t>
            </w:r>
          </w:p>
        </w:tc>
        <w:tc>
          <w:tcPr>
            <w:tcW w:w="1446" w:type="pct"/>
            <w:gridSpan w:val="2"/>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lang w:val="uk-UA" w:eastAsia="en-US"/>
              </w:rPr>
            </w:pPr>
            <w:r w:rsidRPr="00FC103B">
              <w:rPr>
                <w:lang w:val="uk-UA" w:eastAsia="en-US"/>
              </w:rPr>
              <w:t xml:space="preserve">Група </w:t>
            </w:r>
          </w:p>
          <w:p w:rsidR="00FC103B" w:rsidRPr="00FC103B" w:rsidRDefault="00FC103B">
            <w:pPr>
              <w:spacing w:line="360" w:lineRule="auto"/>
              <w:jc w:val="center"/>
              <w:rPr>
                <w:rFonts w:eastAsia="Calibri"/>
                <w:lang w:val="uk-UA" w:eastAsia="en-US"/>
              </w:rPr>
            </w:pPr>
            <w:r w:rsidRPr="00FC103B">
              <w:rPr>
                <w:lang w:val="uk-UA" w:eastAsia="en-US"/>
              </w:rPr>
              <w:t>(</w:t>
            </w:r>
            <w:r w:rsidRPr="00FC103B">
              <w:rPr>
                <w:lang w:val="en-US" w:eastAsia="en-US"/>
              </w:rPr>
              <w:t>n</w:t>
            </w:r>
            <w:r w:rsidRPr="00FC103B">
              <w:rPr>
                <w:lang w:val="uk-UA" w:eastAsia="en-US"/>
              </w:rPr>
              <w:t>=106)</w:t>
            </w:r>
          </w:p>
        </w:tc>
        <w:tc>
          <w:tcPr>
            <w:tcW w:w="1446" w:type="pct"/>
            <w:gridSpan w:val="2"/>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lang w:val="uk-UA" w:eastAsia="en-US"/>
              </w:rPr>
            </w:pPr>
            <w:r w:rsidRPr="00FC103B">
              <w:rPr>
                <w:lang w:val="uk-UA" w:eastAsia="en-US"/>
              </w:rPr>
              <w:t xml:space="preserve">Група </w:t>
            </w:r>
          </w:p>
          <w:p w:rsidR="00FC103B" w:rsidRPr="00FC103B" w:rsidRDefault="00FC103B">
            <w:pPr>
              <w:spacing w:line="360" w:lineRule="auto"/>
              <w:jc w:val="center"/>
              <w:rPr>
                <w:rFonts w:eastAsia="Calibri"/>
                <w:lang w:val="en-US" w:eastAsia="en-US"/>
              </w:rPr>
            </w:pPr>
            <w:r w:rsidRPr="00FC103B">
              <w:rPr>
                <w:lang w:val="uk-UA" w:eastAsia="en-US"/>
              </w:rPr>
              <w:t>(</w:t>
            </w:r>
            <w:r w:rsidRPr="00FC103B">
              <w:rPr>
                <w:lang w:val="en-US" w:eastAsia="en-US"/>
              </w:rPr>
              <w:t>n</w:t>
            </w:r>
            <w:r w:rsidRPr="00FC103B">
              <w:rPr>
                <w:lang w:val="uk-UA" w:eastAsia="en-US"/>
              </w:rPr>
              <w:t>=156)</w:t>
            </w:r>
          </w:p>
        </w:tc>
        <w:tc>
          <w:tcPr>
            <w:tcW w:w="1446" w:type="pct"/>
            <w:gridSpan w:val="2"/>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lang w:val="uk-UA" w:eastAsia="en-US"/>
              </w:rPr>
            </w:pPr>
            <w:r w:rsidRPr="00FC103B">
              <w:rPr>
                <w:lang w:eastAsia="en-US"/>
              </w:rPr>
              <w:t>Група</w:t>
            </w:r>
            <w:r w:rsidRPr="00FC103B">
              <w:rPr>
                <w:lang w:val="uk-UA" w:eastAsia="en-US"/>
              </w:rPr>
              <w:t xml:space="preserve"> 3</w:t>
            </w:r>
          </w:p>
          <w:p w:rsidR="00FC103B" w:rsidRPr="00FC103B" w:rsidRDefault="00FC103B">
            <w:pPr>
              <w:spacing w:line="360" w:lineRule="auto"/>
              <w:jc w:val="center"/>
              <w:rPr>
                <w:rFonts w:eastAsia="Calibri"/>
                <w:lang w:eastAsia="en-US"/>
              </w:rPr>
            </w:pPr>
            <w:r w:rsidRPr="00FC103B">
              <w:rPr>
                <w:lang w:val="uk-UA" w:eastAsia="en-US"/>
              </w:rPr>
              <w:t>(</w:t>
            </w:r>
            <w:r w:rsidRPr="00FC103B">
              <w:rPr>
                <w:lang w:val="en-US" w:eastAsia="en-US"/>
              </w:rPr>
              <w:t>n</w:t>
            </w:r>
            <w:r w:rsidRPr="00FC103B">
              <w:rPr>
                <w:lang w:val="uk-UA" w:eastAsia="en-US"/>
              </w:rPr>
              <w:t>=93)</w:t>
            </w:r>
          </w:p>
        </w:tc>
      </w:tr>
      <w:tr w:rsidR="00FC103B" w:rsidRPr="00FC103B" w:rsidTr="00FC103B">
        <w:tc>
          <w:tcPr>
            <w:tcW w:w="661" w:type="pct"/>
            <w:vMerge/>
            <w:tcBorders>
              <w:left w:val="single" w:sz="4" w:space="0" w:color="auto"/>
              <w:bottom w:val="single" w:sz="4" w:space="0" w:color="auto"/>
              <w:right w:val="single" w:sz="4" w:space="0" w:color="auto"/>
            </w:tcBorders>
          </w:tcPr>
          <w:p w:rsidR="00FC103B" w:rsidRPr="00FC103B" w:rsidRDefault="00FC103B">
            <w:pPr>
              <w:spacing w:line="360" w:lineRule="auto"/>
              <w:jc w:val="center"/>
              <w:rPr>
                <w:bCs/>
                <w:iCs/>
                <w:kern w:val="36"/>
                <w:lang w:val="uk-UA" w:eastAsia="en-US"/>
              </w:rPr>
            </w:pPr>
          </w:p>
        </w:tc>
        <w:tc>
          <w:tcPr>
            <w:tcW w:w="723" w:type="pct"/>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Жінки</w:t>
            </w:r>
          </w:p>
        </w:tc>
        <w:tc>
          <w:tcPr>
            <w:tcW w:w="723" w:type="pct"/>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Чоловіки</w:t>
            </w:r>
          </w:p>
        </w:tc>
        <w:tc>
          <w:tcPr>
            <w:tcW w:w="723" w:type="pct"/>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Жінки</w:t>
            </w:r>
          </w:p>
        </w:tc>
        <w:tc>
          <w:tcPr>
            <w:tcW w:w="723" w:type="pct"/>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Чоловіки</w:t>
            </w:r>
          </w:p>
        </w:tc>
        <w:tc>
          <w:tcPr>
            <w:tcW w:w="723" w:type="pct"/>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Жінки</w:t>
            </w:r>
          </w:p>
        </w:tc>
        <w:tc>
          <w:tcPr>
            <w:tcW w:w="723" w:type="pct"/>
            <w:tcBorders>
              <w:top w:val="single" w:sz="4" w:space="0" w:color="auto"/>
              <w:left w:val="single" w:sz="4" w:space="0" w:color="auto"/>
              <w:bottom w:val="single" w:sz="4" w:space="0" w:color="auto"/>
              <w:right w:val="single" w:sz="4" w:space="0" w:color="auto"/>
            </w:tcBorders>
            <w:hideMark/>
          </w:tcPr>
          <w:p w:rsidR="00FC103B" w:rsidRPr="00FC103B" w:rsidRDefault="00FC103B">
            <w:pPr>
              <w:spacing w:line="360" w:lineRule="auto"/>
              <w:jc w:val="center"/>
              <w:rPr>
                <w:rFonts w:eastAsia="Calibri"/>
                <w:lang w:val="uk-UA" w:eastAsia="en-US"/>
              </w:rPr>
            </w:pPr>
            <w:r w:rsidRPr="00FC103B">
              <w:rPr>
                <w:bCs/>
                <w:iCs/>
                <w:kern w:val="36"/>
                <w:lang w:val="uk-UA" w:eastAsia="en-US"/>
              </w:rPr>
              <w:t>Чоловіки</w:t>
            </w:r>
          </w:p>
        </w:tc>
      </w:tr>
      <w:tr w:rsidR="00FC103B" w:rsidRPr="00FC103B" w:rsidTr="00FC103B">
        <w:tc>
          <w:tcPr>
            <w:tcW w:w="661"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lang w:val="uk-UA" w:eastAsia="en-US"/>
              </w:rPr>
            </w:pPr>
            <w:r w:rsidRPr="00FC103B">
              <w:rPr>
                <w:lang w:val="uk-UA" w:eastAsia="en-US"/>
              </w:rPr>
              <w:t>8-OHdG, пкг/мл</w:t>
            </w:r>
          </w:p>
        </w:tc>
        <w:tc>
          <w:tcPr>
            <w:tcW w:w="723"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lang w:val="uk-UA" w:eastAsia="en-US"/>
              </w:rPr>
            </w:pPr>
            <w:r w:rsidRPr="00FC103B">
              <w:rPr>
                <w:lang w:eastAsia="en-US"/>
              </w:rPr>
              <w:t>14,03±</w:t>
            </w:r>
            <w:r w:rsidRPr="00FC103B">
              <w:rPr>
                <w:lang w:val="uk-UA" w:eastAsia="en-US"/>
              </w:rPr>
              <w:t>0</w:t>
            </w:r>
            <w:r w:rsidRPr="00FC103B">
              <w:rPr>
                <w:lang w:eastAsia="en-US"/>
              </w:rPr>
              <w:t>,36</w:t>
            </w:r>
          </w:p>
        </w:tc>
        <w:tc>
          <w:tcPr>
            <w:tcW w:w="723"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lang w:val="uk-UA" w:eastAsia="en-US"/>
              </w:rPr>
            </w:pPr>
            <w:r w:rsidRPr="00FC103B">
              <w:rPr>
                <w:lang w:eastAsia="en-US"/>
              </w:rPr>
              <w:t>13,92±</w:t>
            </w:r>
            <w:r w:rsidRPr="00FC103B">
              <w:rPr>
                <w:lang w:val="uk-UA" w:eastAsia="en-US"/>
              </w:rPr>
              <w:t>0</w:t>
            </w:r>
            <w:r w:rsidRPr="00FC103B">
              <w:rPr>
                <w:lang w:eastAsia="en-US"/>
              </w:rPr>
              <w:t>,50</w:t>
            </w:r>
          </w:p>
          <w:p w:rsidR="00E3259F" w:rsidRPr="00FC103B" w:rsidRDefault="00E3259F">
            <w:pPr>
              <w:spacing w:line="360" w:lineRule="auto"/>
              <w:jc w:val="center"/>
              <w:rPr>
                <w:rFonts w:eastAsia="Calibri"/>
                <w:lang w:val="uk-UA" w:eastAsia="en-US"/>
              </w:rPr>
            </w:pPr>
            <w:r w:rsidRPr="00FC103B">
              <w:rPr>
                <w:lang w:val="uk-UA" w:eastAsia="en-US"/>
              </w:rPr>
              <w:t>р</w:t>
            </w:r>
            <w:r w:rsidRPr="00FC103B">
              <w:rPr>
                <w:shd w:val="clear" w:color="auto" w:fill="FFFFFF"/>
                <w:lang w:val="uk-UA" w:eastAsia="en-US"/>
              </w:rPr>
              <w:t>&gt;0,05</w:t>
            </w:r>
          </w:p>
        </w:tc>
        <w:tc>
          <w:tcPr>
            <w:tcW w:w="723"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lang w:val="uk-UA" w:eastAsia="en-US"/>
              </w:rPr>
            </w:pPr>
            <w:r w:rsidRPr="00FC103B">
              <w:rPr>
                <w:lang w:eastAsia="en-US"/>
              </w:rPr>
              <w:t>15,</w:t>
            </w:r>
            <w:r w:rsidRPr="00FC103B">
              <w:rPr>
                <w:lang w:val="uk-UA" w:eastAsia="en-US"/>
              </w:rPr>
              <w:t>80</w:t>
            </w:r>
            <w:r w:rsidRPr="00FC103B">
              <w:rPr>
                <w:lang w:eastAsia="en-US"/>
              </w:rPr>
              <w:t>±</w:t>
            </w:r>
            <w:r w:rsidRPr="00FC103B">
              <w:rPr>
                <w:lang w:val="uk-UA" w:eastAsia="en-US"/>
              </w:rPr>
              <w:t>0</w:t>
            </w:r>
            <w:r w:rsidRPr="00FC103B">
              <w:rPr>
                <w:lang w:eastAsia="en-US"/>
              </w:rPr>
              <w:t>,</w:t>
            </w:r>
            <w:r w:rsidRPr="00FC103B">
              <w:rPr>
                <w:lang w:val="uk-UA" w:eastAsia="en-US"/>
              </w:rPr>
              <w:t>38</w:t>
            </w:r>
          </w:p>
        </w:tc>
        <w:tc>
          <w:tcPr>
            <w:tcW w:w="723"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lang w:val="uk-UA" w:eastAsia="en-US"/>
              </w:rPr>
            </w:pPr>
            <w:r w:rsidRPr="00FC103B">
              <w:rPr>
                <w:lang w:eastAsia="en-US"/>
              </w:rPr>
              <w:t>14,</w:t>
            </w:r>
            <w:r w:rsidRPr="00FC103B">
              <w:rPr>
                <w:lang w:val="uk-UA" w:eastAsia="en-US"/>
              </w:rPr>
              <w:t>98</w:t>
            </w:r>
            <w:r w:rsidRPr="00FC103B">
              <w:rPr>
                <w:lang w:eastAsia="en-US"/>
              </w:rPr>
              <w:t>±</w:t>
            </w:r>
            <w:r w:rsidRPr="00FC103B">
              <w:rPr>
                <w:lang w:val="uk-UA" w:eastAsia="en-US"/>
              </w:rPr>
              <w:t>0</w:t>
            </w:r>
            <w:r w:rsidRPr="00FC103B">
              <w:rPr>
                <w:lang w:eastAsia="en-US"/>
              </w:rPr>
              <w:t>,3</w:t>
            </w:r>
            <w:r w:rsidRPr="00FC103B">
              <w:rPr>
                <w:lang w:val="uk-UA" w:eastAsia="en-US"/>
              </w:rPr>
              <w:t>7</w:t>
            </w:r>
          </w:p>
          <w:p w:rsidR="00E3259F" w:rsidRPr="00FC103B" w:rsidRDefault="00E3259F">
            <w:pPr>
              <w:spacing w:line="360" w:lineRule="auto"/>
              <w:jc w:val="center"/>
              <w:rPr>
                <w:rFonts w:eastAsia="Calibri"/>
                <w:lang w:val="uk-UA" w:eastAsia="en-US"/>
              </w:rPr>
            </w:pPr>
            <w:r w:rsidRPr="00FC103B">
              <w:rPr>
                <w:lang w:val="uk-UA" w:eastAsia="en-US"/>
              </w:rPr>
              <w:t>р</w:t>
            </w:r>
            <w:r w:rsidRPr="00FC103B">
              <w:rPr>
                <w:shd w:val="clear" w:color="auto" w:fill="FFFFFF"/>
                <w:lang w:val="uk-UA" w:eastAsia="en-US"/>
              </w:rPr>
              <w:t>&gt;0,05</w:t>
            </w:r>
          </w:p>
        </w:tc>
        <w:tc>
          <w:tcPr>
            <w:tcW w:w="723"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rFonts w:eastAsia="Calibri"/>
                <w:lang w:val="uk-UA" w:eastAsia="en-US"/>
              </w:rPr>
            </w:pPr>
            <w:r w:rsidRPr="00FC103B">
              <w:rPr>
                <w:lang w:eastAsia="en-US"/>
              </w:rPr>
              <w:t>13,9</w:t>
            </w:r>
            <w:r w:rsidRPr="00FC103B">
              <w:rPr>
                <w:lang w:val="uk-UA" w:eastAsia="en-US"/>
              </w:rPr>
              <w:t>7</w:t>
            </w:r>
            <w:r w:rsidRPr="00FC103B">
              <w:rPr>
                <w:lang w:eastAsia="en-US"/>
              </w:rPr>
              <w:t>±</w:t>
            </w:r>
            <w:r w:rsidRPr="00FC103B">
              <w:rPr>
                <w:lang w:val="uk-UA" w:eastAsia="en-US"/>
              </w:rPr>
              <w:t>0</w:t>
            </w:r>
            <w:r w:rsidRPr="00FC103B">
              <w:rPr>
                <w:lang w:eastAsia="en-US"/>
              </w:rPr>
              <w:t>,3</w:t>
            </w:r>
            <w:r w:rsidRPr="00FC103B">
              <w:rPr>
                <w:lang w:val="uk-UA" w:eastAsia="en-US"/>
              </w:rPr>
              <w:t>2</w:t>
            </w:r>
          </w:p>
        </w:tc>
        <w:tc>
          <w:tcPr>
            <w:tcW w:w="723" w:type="pc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360" w:lineRule="auto"/>
              <w:jc w:val="center"/>
              <w:rPr>
                <w:lang w:val="uk-UA" w:eastAsia="en-US"/>
              </w:rPr>
            </w:pPr>
            <w:r w:rsidRPr="00FC103B">
              <w:rPr>
                <w:lang w:eastAsia="en-US"/>
              </w:rPr>
              <w:t>15,2</w:t>
            </w:r>
            <w:r w:rsidRPr="00FC103B">
              <w:rPr>
                <w:lang w:val="uk-UA" w:eastAsia="en-US"/>
              </w:rPr>
              <w:t>6</w:t>
            </w:r>
            <w:r w:rsidRPr="00FC103B">
              <w:rPr>
                <w:lang w:eastAsia="en-US"/>
              </w:rPr>
              <w:t>±</w:t>
            </w:r>
            <w:r w:rsidRPr="00FC103B">
              <w:rPr>
                <w:lang w:val="uk-UA" w:eastAsia="en-US"/>
              </w:rPr>
              <w:t>0</w:t>
            </w:r>
            <w:r w:rsidRPr="00FC103B">
              <w:rPr>
                <w:lang w:eastAsia="en-US"/>
              </w:rPr>
              <w:t>,</w:t>
            </w:r>
            <w:r w:rsidRPr="00FC103B">
              <w:rPr>
                <w:lang w:val="uk-UA" w:eastAsia="en-US"/>
              </w:rPr>
              <w:t>56</w:t>
            </w:r>
          </w:p>
          <w:p w:rsidR="00E3259F" w:rsidRPr="00FC103B" w:rsidRDefault="00E3259F">
            <w:pPr>
              <w:spacing w:line="360" w:lineRule="auto"/>
              <w:jc w:val="center"/>
              <w:rPr>
                <w:rFonts w:eastAsia="Calibri"/>
                <w:lang w:val="uk-UA" w:eastAsia="en-US"/>
              </w:rPr>
            </w:pPr>
            <w:r w:rsidRPr="00FC103B">
              <w:rPr>
                <w:lang w:val="uk-UA" w:eastAsia="en-US"/>
              </w:rPr>
              <w:t>р=</w:t>
            </w:r>
            <w:r w:rsidRPr="00FC103B">
              <w:rPr>
                <w:lang w:eastAsia="en-US"/>
              </w:rPr>
              <w:t>0,</w:t>
            </w:r>
            <w:r w:rsidRPr="00FC103B">
              <w:rPr>
                <w:lang w:val="uk-UA" w:eastAsia="en-US"/>
              </w:rPr>
              <w:t>048</w:t>
            </w:r>
          </w:p>
        </w:tc>
      </w:tr>
    </w:tbl>
    <w:p w:rsidR="00E3259F" w:rsidRPr="00FC103B" w:rsidRDefault="00E3259F" w:rsidP="00FC103B">
      <w:pPr>
        <w:spacing w:line="360" w:lineRule="auto"/>
        <w:jc w:val="both"/>
        <w:rPr>
          <w:rStyle w:val="tlid-translation"/>
          <w:rFonts w:eastAsiaTheme="majorEastAsia"/>
          <w:sz w:val="26"/>
          <w:szCs w:val="26"/>
          <w:lang w:val="uk-UA" w:eastAsia="en-US"/>
        </w:rPr>
      </w:pPr>
      <w:r w:rsidRPr="00FC103B">
        <w:rPr>
          <w:sz w:val="28"/>
          <w:szCs w:val="28"/>
          <w:lang w:val="uk-UA"/>
        </w:rPr>
        <w:t>Примітка: р</w:t>
      </w:r>
      <w:r w:rsidRPr="00FC103B">
        <w:rPr>
          <w:sz w:val="28"/>
          <w:szCs w:val="28"/>
          <w:vertAlign w:val="subscript"/>
          <w:lang w:val="uk-UA"/>
        </w:rPr>
        <w:t xml:space="preserve"> -</w:t>
      </w:r>
      <w:r w:rsidRPr="00FC103B">
        <w:rPr>
          <w:sz w:val="28"/>
          <w:szCs w:val="28"/>
          <w:lang w:val="uk-UA"/>
        </w:rPr>
        <w:t xml:space="preserve">  рівень значущості відмінностей при порівнянні показника між чоловіками та жінками в групі </w:t>
      </w:r>
    </w:p>
    <w:p w:rsidR="00E3259F" w:rsidRDefault="00E3259F" w:rsidP="00E3259F">
      <w:pPr>
        <w:spacing w:line="360" w:lineRule="auto"/>
        <w:ind w:firstLine="709"/>
        <w:jc w:val="center"/>
        <w:rPr>
          <w:rFonts w:eastAsia="Calibri"/>
          <w:color w:val="FF0000"/>
          <w:sz w:val="28"/>
          <w:szCs w:val="28"/>
        </w:rPr>
      </w:pPr>
    </w:p>
    <w:p w:rsidR="00E3259F" w:rsidRPr="00FC103B" w:rsidRDefault="00E3259F" w:rsidP="00FC103B">
      <w:pPr>
        <w:spacing w:line="360" w:lineRule="auto"/>
        <w:ind w:firstLine="709"/>
        <w:jc w:val="both"/>
        <w:rPr>
          <w:sz w:val="28"/>
          <w:szCs w:val="28"/>
          <w:shd w:val="clear" w:color="auto" w:fill="FFFFFF"/>
          <w:lang w:val="uk-UA"/>
        </w:rPr>
      </w:pPr>
      <w:r w:rsidRPr="00FC103B">
        <w:rPr>
          <w:sz w:val="28"/>
          <w:szCs w:val="28"/>
          <w:shd w:val="clear" w:color="auto" w:fill="FFFFFF"/>
          <w:lang w:val="uk-UA"/>
        </w:rPr>
        <w:t xml:space="preserve">Порівняльний аналіз рівнів </w:t>
      </w:r>
      <w:r w:rsidRPr="00FC103B">
        <w:rPr>
          <w:sz w:val="28"/>
          <w:szCs w:val="28"/>
          <w:lang w:val="uk-UA"/>
        </w:rPr>
        <w:t>8-OH-dG</w:t>
      </w:r>
      <w:r w:rsidRPr="00FC103B">
        <w:rPr>
          <w:sz w:val="28"/>
          <w:szCs w:val="28"/>
          <w:shd w:val="clear" w:color="auto" w:fill="FFFFFF"/>
          <w:lang w:val="uk-UA"/>
        </w:rPr>
        <w:t xml:space="preserve"> </w:t>
      </w:r>
      <w:r w:rsidRPr="00FC103B">
        <w:rPr>
          <w:sz w:val="28"/>
          <w:szCs w:val="28"/>
          <w:lang w:val="uk-UA"/>
        </w:rPr>
        <w:t>між жінками в групах виявив достовірне підвищення цього показника при ГХ з ЦД 2 типу порівняно  з пацієнтами з ізольованою ГХ (р&lt;0,001), а при поєднаному перебігу ГХ, ЦД 2 типу та СГТ рівень 8-OH-dG  у жінок був достовірно нижче, ніж у групі з ГХ та ЦД 2 типу без порушення функції ЩЗ (р=0,001). При порівнянні рівня 8-OH-dG  у різних груп чоловіків достовірних відмінностей відзначено не було, проте спостерігалася тенденція до підвищення цього показника з 1-ї до 3-ї групи. О</w:t>
      </w:r>
      <w:r w:rsidRPr="00FC103B">
        <w:rPr>
          <w:sz w:val="28"/>
          <w:szCs w:val="28"/>
          <w:shd w:val="clear" w:color="auto" w:fill="FFFFFF"/>
          <w:lang w:val="uk-UA"/>
        </w:rPr>
        <w:t xml:space="preserve">днофакторний дисперсійний аналіз виявив у  групі 2 значущий вплив статі на рівні </w:t>
      </w:r>
      <w:r w:rsidRPr="00FC103B">
        <w:rPr>
          <w:sz w:val="28"/>
          <w:szCs w:val="28"/>
          <w:lang w:val="uk-UA"/>
        </w:rPr>
        <w:t>8-OH-dG</w:t>
      </w:r>
      <w:r w:rsidRPr="00FC103B">
        <w:rPr>
          <w:sz w:val="28"/>
          <w:szCs w:val="28"/>
          <w:shd w:val="clear" w:color="auto" w:fill="FFFFFF"/>
          <w:lang w:val="uk-UA"/>
        </w:rPr>
        <w:t xml:space="preserve"> (р=0,036). </w:t>
      </w:r>
    </w:p>
    <w:p w:rsidR="00E3259F" w:rsidRPr="00FC103B" w:rsidRDefault="00E3259F" w:rsidP="00FC103B">
      <w:pPr>
        <w:spacing w:line="360" w:lineRule="auto"/>
        <w:ind w:firstLine="709"/>
        <w:jc w:val="both"/>
        <w:rPr>
          <w:sz w:val="28"/>
          <w:szCs w:val="28"/>
          <w:shd w:val="clear" w:color="auto" w:fill="FFFFFF"/>
          <w:lang w:val="uk-UA"/>
        </w:rPr>
      </w:pPr>
      <w:r w:rsidRPr="00FC103B">
        <w:rPr>
          <w:sz w:val="28"/>
          <w:szCs w:val="28"/>
          <w:shd w:val="clear" w:color="auto" w:fill="FFFFFF"/>
          <w:lang w:val="uk-UA"/>
        </w:rPr>
        <w:t xml:space="preserve">Таким чином, жінки з поєднаним перебігом ГХ, ЦД 2 типу без порушення функції ЩЗ виявилися більш чутливими до окислювального ушкодження ДНК, ніж чоловіки або жінки із СГТ та з ізольованою ГХ. Більш високі рівні </w:t>
      </w:r>
      <w:r w:rsidRPr="00FC103B">
        <w:rPr>
          <w:sz w:val="28"/>
          <w:szCs w:val="28"/>
          <w:lang w:val="uk-UA"/>
        </w:rPr>
        <w:t>8-OH-dG у жінок у нашому дослідженні можуть бути пояснені значною кількістю жінок у постменопаузі, у яких антиоксидантний ефект естрогенів утрачений [198</w:t>
      </w:r>
      <w:r w:rsidRPr="00FC103B">
        <w:rPr>
          <w:rStyle w:val="doi"/>
          <w:sz w:val="28"/>
          <w:szCs w:val="28"/>
          <w:lang w:val="uk-UA"/>
        </w:rPr>
        <w:t>].</w:t>
      </w:r>
      <w:r w:rsidRPr="00FC103B">
        <w:rPr>
          <w:sz w:val="28"/>
          <w:szCs w:val="28"/>
          <w:shd w:val="clear" w:color="auto" w:fill="FFFFFF"/>
          <w:lang w:val="uk-UA"/>
        </w:rPr>
        <w:t xml:space="preserve">  </w:t>
      </w:r>
    </w:p>
    <w:p w:rsidR="00E3259F" w:rsidRPr="00FC103B" w:rsidRDefault="00E3259F" w:rsidP="00FC103B">
      <w:pPr>
        <w:spacing w:line="360" w:lineRule="auto"/>
        <w:ind w:firstLine="709"/>
        <w:jc w:val="both"/>
        <w:rPr>
          <w:sz w:val="28"/>
          <w:szCs w:val="28"/>
          <w:lang w:val="uk-UA"/>
        </w:rPr>
      </w:pPr>
      <w:r w:rsidRPr="00FC103B">
        <w:rPr>
          <w:sz w:val="28"/>
          <w:szCs w:val="28"/>
          <w:lang w:val="uk-UA"/>
        </w:rPr>
        <w:t>Порівняльний аналіз рівнів 8-OH-dG залежно від вікової підгрупи продемонстрував, що наявність коморбідної патології незалежно від функціонального стану ЩЗ супроводжувалася достовірним (вік-асоційованим підвищенням середнього значення 8-OH-dG в осіб більш старшої вікової групи (р</w:t>
      </w:r>
      <w:r w:rsidRPr="00FC103B">
        <w:rPr>
          <w:sz w:val="28"/>
          <w:szCs w:val="28"/>
          <w:vertAlign w:val="subscript"/>
          <w:lang w:val="uk-UA"/>
        </w:rPr>
        <w:t xml:space="preserve"> </w:t>
      </w:r>
      <w:r w:rsidRPr="00FC103B">
        <w:rPr>
          <w:sz w:val="28"/>
          <w:szCs w:val="28"/>
          <w:lang w:val="uk-UA"/>
        </w:rPr>
        <w:t>=0,001 – при порівнянні в групі 2, р=0,001 – при порівнянні в групі 3) (Таблиця 4.9). Отримаін дані збігаються з результатами робіт Chung -Ching Wang і співавт., у яких був виявлений достовірний узаємозв'язок між плазмовим рівнем 8-OHdG і віком досліджуваних суб'єктів [388]. Подібних відмінностей у групі пацієнтів із ізольованою ГХ не спостерігалось. При порівняльному аналізі рівней 8-OH-dG серед осіб однієї вікової підгрупи не було знайдено достовірних відмінностей серед осіб 1-ї, 2-ї та 3-ї групи віком  від 44 до 60 років.  Серед осіб старшої вікової підгрупи були знайдені достовірні відмінності рівнів 8-OH-dG між 1-ю та 2-ю групами (р=0,001) та рівнів 8-OH-dG між 2-ю та 3-ю групами (р=0,001), що є свідченням того, що не тільки патологічні процеси мають вплив на процеси окислювального пошкодження ДНК, але певною мірою впливає й вік.</w:t>
      </w:r>
    </w:p>
    <w:p w:rsidR="00E3259F" w:rsidRDefault="00E3259F" w:rsidP="00E3259F">
      <w:pPr>
        <w:jc w:val="right"/>
        <w:rPr>
          <w:color w:val="000000"/>
          <w:sz w:val="28"/>
          <w:szCs w:val="28"/>
          <w:lang w:val="uk-UA"/>
        </w:rPr>
      </w:pPr>
    </w:p>
    <w:p w:rsidR="00E3259F" w:rsidRDefault="00E3259F" w:rsidP="00E3259F">
      <w:pPr>
        <w:jc w:val="right"/>
        <w:rPr>
          <w:color w:val="000000"/>
          <w:sz w:val="28"/>
          <w:szCs w:val="28"/>
          <w:lang w:val="uk-UA"/>
        </w:rPr>
      </w:pPr>
      <w:r>
        <w:rPr>
          <w:color w:val="000000"/>
          <w:sz w:val="28"/>
          <w:szCs w:val="28"/>
          <w:lang w:val="uk-UA"/>
        </w:rPr>
        <w:t>Таблиця 4.9</w:t>
      </w:r>
    </w:p>
    <w:p w:rsidR="00E3259F" w:rsidRDefault="00E3259F" w:rsidP="00E3259F">
      <w:pPr>
        <w:spacing w:line="360" w:lineRule="auto"/>
        <w:ind w:firstLine="709"/>
        <w:jc w:val="center"/>
        <w:rPr>
          <w:rFonts w:eastAsiaTheme="minorHAnsi"/>
          <w:sz w:val="28"/>
          <w:szCs w:val="28"/>
          <w:lang w:val="uk-UA" w:eastAsia="en-US"/>
        </w:rPr>
      </w:pPr>
      <w:r>
        <w:rPr>
          <w:color w:val="000000"/>
          <w:sz w:val="28"/>
          <w:szCs w:val="28"/>
          <w:lang w:val="uk-UA"/>
        </w:rPr>
        <w:t xml:space="preserve">Порівняльний аналіз рівня </w:t>
      </w:r>
      <w:r>
        <w:rPr>
          <w:color w:val="000000"/>
          <w:sz w:val="28"/>
          <w:szCs w:val="28"/>
          <w:shd w:val="clear" w:color="auto" w:fill="FFFFFF"/>
          <w:lang w:val="uk-UA"/>
        </w:rPr>
        <w:t xml:space="preserve">8-гідроксі-2-деоксігуанозіна </w:t>
      </w:r>
      <w:r>
        <w:rPr>
          <w:color w:val="000000"/>
          <w:sz w:val="28"/>
          <w:szCs w:val="28"/>
          <w:lang w:val="uk-UA"/>
        </w:rPr>
        <w:t xml:space="preserve">залежно від вікової підгрупи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p>
    <w:tbl>
      <w:tblPr>
        <w:tblW w:w="9465" w:type="dxa"/>
        <w:tblLayout w:type="fixed"/>
        <w:tblLook w:val="04A0" w:firstRow="1" w:lastRow="0" w:firstColumn="1" w:lastColumn="0" w:noHBand="0" w:noVBand="1"/>
      </w:tblPr>
      <w:tblGrid>
        <w:gridCol w:w="1243"/>
        <w:gridCol w:w="1418"/>
        <w:gridCol w:w="1417"/>
        <w:gridCol w:w="1418"/>
        <w:gridCol w:w="1276"/>
        <w:gridCol w:w="1443"/>
        <w:gridCol w:w="1250"/>
      </w:tblGrid>
      <w:tr w:rsidR="00E3259F" w:rsidRPr="00FC103B" w:rsidTr="00E3259F">
        <w:tc>
          <w:tcPr>
            <w:tcW w:w="1242" w:type="dxa"/>
            <w:vMerge w:val="restart"/>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lang w:val="uk-UA" w:eastAsia="en-US"/>
              </w:rPr>
            </w:pPr>
            <w:r w:rsidRPr="00FC103B">
              <w:rPr>
                <w:lang w:val="uk-UA" w:eastAsia="en-US"/>
              </w:rPr>
              <w:t>Показник/підгрупа</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pPr>
              <w:pStyle w:val="1"/>
              <w:spacing w:before="0" w:beforeAutospacing="0" w:after="0" w:afterAutospacing="0" w:line="360" w:lineRule="auto"/>
              <w:jc w:val="center"/>
              <w:rPr>
                <w:b w:val="0"/>
                <w:sz w:val="24"/>
                <w:szCs w:val="24"/>
                <w:lang w:val="en-US" w:eastAsia="en-US"/>
              </w:rPr>
            </w:pPr>
            <w:r w:rsidRPr="00FC103B">
              <w:rPr>
                <w:b w:val="0"/>
                <w:sz w:val="24"/>
                <w:szCs w:val="24"/>
                <w:lang w:val="uk-UA" w:eastAsia="en-US"/>
              </w:rPr>
              <w:t>Група 1</w:t>
            </w:r>
          </w:p>
          <w:p w:rsidR="00E3259F" w:rsidRPr="00FC103B" w:rsidRDefault="00E3259F">
            <w:pPr>
              <w:pStyle w:val="1"/>
              <w:spacing w:before="0" w:beforeAutospacing="0" w:after="0" w:afterAutospacing="0" w:line="360" w:lineRule="auto"/>
              <w:jc w:val="center"/>
              <w:rPr>
                <w:b w:val="0"/>
                <w:sz w:val="24"/>
                <w:szCs w:val="24"/>
                <w:lang w:val="en-US" w:eastAsia="en-US"/>
              </w:rPr>
            </w:pPr>
            <w:r w:rsidRPr="00FC103B">
              <w:rPr>
                <w:b w:val="0"/>
                <w:sz w:val="24"/>
                <w:szCs w:val="24"/>
                <w:lang w:val="en-US" w:eastAsia="en-US"/>
              </w:rPr>
              <w:t>(n=</w:t>
            </w:r>
            <w:r w:rsidRPr="00FC103B">
              <w:rPr>
                <w:b w:val="0"/>
                <w:sz w:val="24"/>
                <w:szCs w:val="24"/>
                <w:lang w:val="uk-UA" w:eastAsia="en-US"/>
              </w:rPr>
              <w:t>106</w:t>
            </w:r>
            <w:r w:rsidRPr="00FC103B">
              <w:rPr>
                <w:b w:val="0"/>
                <w:sz w:val="24"/>
                <w:szCs w:val="24"/>
                <w:lang w:val="en-US" w:eastAsia="en-US"/>
              </w:rPr>
              <w:t>)</w:t>
            </w:r>
          </w:p>
        </w:tc>
        <w:tc>
          <w:tcPr>
            <w:tcW w:w="2694"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pPr>
              <w:pStyle w:val="1"/>
              <w:spacing w:before="0" w:beforeAutospacing="0" w:after="0" w:afterAutospacing="0" w:line="360" w:lineRule="auto"/>
              <w:jc w:val="center"/>
              <w:rPr>
                <w:b w:val="0"/>
                <w:sz w:val="24"/>
                <w:szCs w:val="24"/>
                <w:lang w:val="en-US" w:eastAsia="en-US"/>
              </w:rPr>
            </w:pPr>
            <w:r w:rsidRPr="00FC103B">
              <w:rPr>
                <w:b w:val="0"/>
                <w:sz w:val="24"/>
                <w:szCs w:val="24"/>
                <w:lang w:val="uk-UA" w:eastAsia="en-US"/>
              </w:rPr>
              <w:t>Група 2</w:t>
            </w:r>
          </w:p>
          <w:p w:rsidR="00E3259F" w:rsidRPr="00FC103B" w:rsidRDefault="00E3259F">
            <w:pPr>
              <w:pStyle w:val="1"/>
              <w:spacing w:before="0" w:beforeAutospacing="0" w:after="0" w:afterAutospacing="0" w:line="360" w:lineRule="auto"/>
              <w:jc w:val="center"/>
              <w:rPr>
                <w:b w:val="0"/>
                <w:sz w:val="24"/>
                <w:szCs w:val="24"/>
                <w:lang w:val="en-US" w:eastAsia="en-US"/>
              </w:rPr>
            </w:pPr>
            <w:r w:rsidRPr="00FC103B">
              <w:rPr>
                <w:b w:val="0"/>
                <w:sz w:val="24"/>
                <w:szCs w:val="24"/>
                <w:lang w:val="en-US" w:eastAsia="en-US"/>
              </w:rPr>
              <w:t>(n=</w:t>
            </w:r>
            <w:r w:rsidRPr="00FC103B">
              <w:rPr>
                <w:b w:val="0"/>
                <w:sz w:val="24"/>
                <w:szCs w:val="24"/>
                <w:lang w:val="uk-UA" w:eastAsia="en-US"/>
              </w:rPr>
              <w:t>15</w:t>
            </w:r>
            <w:r w:rsidRPr="00FC103B">
              <w:rPr>
                <w:b w:val="0"/>
                <w:sz w:val="24"/>
                <w:szCs w:val="24"/>
                <w:lang w:val="en-US" w:eastAsia="en-US"/>
              </w:rPr>
              <w:t>6)</w:t>
            </w:r>
          </w:p>
        </w:tc>
        <w:tc>
          <w:tcPr>
            <w:tcW w:w="2693" w:type="dxa"/>
            <w:gridSpan w:val="2"/>
            <w:tcBorders>
              <w:top w:val="single" w:sz="4" w:space="0" w:color="auto"/>
              <w:left w:val="single" w:sz="4" w:space="0" w:color="auto"/>
              <w:bottom w:val="single" w:sz="4" w:space="0" w:color="auto"/>
              <w:right w:val="single" w:sz="4" w:space="0" w:color="auto"/>
            </w:tcBorders>
            <w:hideMark/>
          </w:tcPr>
          <w:p w:rsidR="00E3259F" w:rsidRPr="00FC103B" w:rsidRDefault="00E3259F">
            <w:pPr>
              <w:pStyle w:val="1"/>
              <w:spacing w:before="0" w:beforeAutospacing="0" w:after="0" w:afterAutospacing="0" w:line="360" w:lineRule="auto"/>
              <w:jc w:val="center"/>
              <w:rPr>
                <w:b w:val="0"/>
                <w:sz w:val="24"/>
                <w:szCs w:val="24"/>
                <w:lang w:eastAsia="en-US"/>
              </w:rPr>
            </w:pPr>
            <w:r w:rsidRPr="00FC103B">
              <w:rPr>
                <w:b w:val="0"/>
                <w:sz w:val="24"/>
                <w:szCs w:val="24"/>
                <w:lang w:val="uk-UA" w:eastAsia="en-US"/>
              </w:rPr>
              <w:t>Група 3</w:t>
            </w:r>
          </w:p>
          <w:p w:rsidR="00E3259F" w:rsidRPr="00FC103B" w:rsidRDefault="00E3259F">
            <w:pPr>
              <w:pStyle w:val="1"/>
              <w:spacing w:before="0" w:beforeAutospacing="0" w:after="0" w:afterAutospacing="0" w:line="360" w:lineRule="auto"/>
              <w:jc w:val="center"/>
              <w:rPr>
                <w:b w:val="0"/>
                <w:sz w:val="24"/>
                <w:szCs w:val="24"/>
                <w:lang w:eastAsia="en-US"/>
              </w:rPr>
            </w:pPr>
            <w:r w:rsidRPr="00FC103B">
              <w:rPr>
                <w:b w:val="0"/>
                <w:sz w:val="24"/>
                <w:szCs w:val="24"/>
                <w:lang w:eastAsia="en-US"/>
              </w:rPr>
              <w:t>(</w:t>
            </w:r>
            <w:r w:rsidRPr="00FC103B">
              <w:rPr>
                <w:b w:val="0"/>
                <w:sz w:val="24"/>
                <w:szCs w:val="24"/>
                <w:lang w:val="en-US" w:eastAsia="en-US"/>
              </w:rPr>
              <w:t>n</w:t>
            </w:r>
            <w:r w:rsidRPr="00FC103B">
              <w:rPr>
                <w:b w:val="0"/>
                <w:sz w:val="24"/>
                <w:szCs w:val="24"/>
                <w:lang w:eastAsia="en-US"/>
              </w:rPr>
              <w:t>=</w:t>
            </w:r>
            <w:r w:rsidRPr="00FC103B">
              <w:rPr>
                <w:b w:val="0"/>
                <w:sz w:val="24"/>
                <w:szCs w:val="24"/>
                <w:lang w:val="uk-UA" w:eastAsia="en-US"/>
              </w:rPr>
              <w:t>93</w:t>
            </w:r>
            <w:r w:rsidRPr="00FC103B">
              <w:rPr>
                <w:b w:val="0"/>
                <w:sz w:val="24"/>
                <w:szCs w:val="24"/>
                <w:lang w:eastAsia="en-US"/>
              </w:rPr>
              <w:t>)</w:t>
            </w:r>
          </w:p>
        </w:tc>
      </w:tr>
      <w:tr w:rsidR="00E3259F" w:rsidRPr="00FC103B" w:rsidTr="00E3259F">
        <w:tc>
          <w:tcPr>
            <w:tcW w:w="1242" w:type="dxa"/>
            <w:vMerge/>
            <w:tcBorders>
              <w:top w:val="single" w:sz="4" w:space="0" w:color="auto"/>
              <w:left w:val="single" w:sz="4" w:space="0" w:color="auto"/>
              <w:bottom w:val="single" w:sz="4" w:space="0" w:color="auto"/>
              <w:right w:val="single" w:sz="4" w:space="0" w:color="auto"/>
            </w:tcBorders>
            <w:vAlign w:val="center"/>
            <w:hideMark/>
          </w:tcPr>
          <w:p w:rsidR="00E3259F" w:rsidRPr="00FC103B" w:rsidRDefault="00E3259F">
            <w:pPr>
              <w:rPr>
                <w:lang w:val="uk-UA" w:eastAsia="en-US"/>
              </w:rPr>
            </w:pP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jc w:val="center"/>
              <w:rPr>
                <w:lang w:val="uk-UA" w:eastAsia="en-US"/>
              </w:rPr>
            </w:pPr>
            <w:r w:rsidRPr="00FC103B">
              <w:rPr>
                <w:lang w:val="uk-UA" w:eastAsia="en-US"/>
              </w:rPr>
              <w:t xml:space="preserve">Підгрупа </w:t>
            </w:r>
          </w:p>
          <w:p w:rsidR="00E3259F" w:rsidRPr="00FC103B" w:rsidRDefault="00E3259F">
            <w:pPr>
              <w:spacing w:line="276" w:lineRule="auto"/>
              <w:jc w:val="center"/>
              <w:rPr>
                <w:lang w:val="uk-UA" w:eastAsia="en-US"/>
              </w:rPr>
            </w:pPr>
            <w:r w:rsidRPr="00FC103B">
              <w:rPr>
                <w:lang w:val="uk-UA" w:eastAsia="en-US"/>
              </w:rPr>
              <w:t>1-І</w:t>
            </w:r>
          </w:p>
          <w:p w:rsidR="00E3259F" w:rsidRPr="00FC103B" w:rsidRDefault="00E3259F">
            <w:pPr>
              <w:spacing w:line="276" w:lineRule="auto"/>
              <w:jc w:val="center"/>
              <w:rPr>
                <w:lang w:val="uk-UA" w:eastAsia="en-US"/>
              </w:rPr>
            </w:pPr>
            <w:r w:rsidRPr="00FC103B">
              <w:rPr>
                <w:lang w:val="uk-UA" w:eastAsia="en-US"/>
              </w:rPr>
              <w:t>(44-</w:t>
            </w:r>
            <w:r w:rsidRPr="00FC103B">
              <w:rPr>
                <w:lang w:eastAsia="en-US"/>
              </w:rPr>
              <w:t xml:space="preserve"> 60 </w:t>
            </w:r>
            <w:r w:rsidRPr="00FC103B">
              <w:rPr>
                <w:lang w:val="uk-UA" w:eastAsia="en-US"/>
              </w:rPr>
              <w:t>років,</w:t>
            </w:r>
          </w:p>
          <w:p w:rsidR="00E3259F" w:rsidRPr="00FC103B" w:rsidRDefault="00E3259F">
            <w:pPr>
              <w:spacing w:line="276" w:lineRule="auto"/>
              <w:jc w:val="center"/>
              <w:rPr>
                <w:lang w:eastAsia="en-US"/>
              </w:rPr>
            </w:pPr>
            <w:r w:rsidRPr="00FC103B">
              <w:rPr>
                <w:lang w:val="en-US" w:eastAsia="en-US"/>
              </w:rPr>
              <w:t>n</w:t>
            </w:r>
            <w:r w:rsidRPr="00FC103B">
              <w:rPr>
                <w:lang w:eastAsia="en-US"/>
              </w:rPr>
              <w:t>=</w:t>
            </w:r>
            <w:r w:rsidRPr="00FC103B">
              <w:rPr>
                <w:lang w:val="uk-UA" w:eastAsia="en-US"/>
              </w:rPr>
              <w:t>49</w:t>
            </w:r>
            <w:r w:rsidRPr="00FC103B">
              <w:rPr>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jc w:val="center"/>
              <w:rPr>
                <w:lang w:val="uk-UA" w:eastAsia="en-US"/>
              </w:rPr>
            </w:pPr>
            <w:r w:rsidRPr="00FC103B">
              <w:rPr>
                <w:lang w:val="uk-UA" w:eastAsia="en-US"/>
              </w:rPr>
              <w:t xml:space="preserve">Підгрупа </w:t>
            </w:r>
          </w:p>
          <w:p w:rsidR="00E3259F" w:rsidRPr="00FC103B" w:rsidRDefault="00E3259F">
            <w:pPr>
              <w:spacing w:line="276" w:lineRule="auto"/>
              <w:jc w:val="center"/>
              <w:rPr>
                <w:lang w:val="uk-UA" w:eastAsia="en-US"/>
              </w:rPr>
            </w:pPr>
            <w:r w:rsidRPr="00FC103B">
              <w:rPr>
                <w:lang w:val="uk-UA" w:eastAsia="en-US"/>
              </w:rPr>
              <w:t>1-ІІ</w:t>
            </w:r>
          </w:p>
          <w:p w:rsidR="00E3259F" w:rsidRPr="00FC103B" w:rsidRDefault="00E3259F">
            <w:pPr>
              <w:spacing w:line="276" w:lineRule="auto"/>
              <w:jc w:val="center"/>
              <w:rPr>
                <w:lang w:eastAsia="en-US"/>
              </w:rPr>
            </w:pPr>
            <w:r w:rsidRPr="00FC103B">
              <w:rPr>
                <w:lang w:val="uk-UA" w:eastAsia="en-US"/>
              </w:rPr>
              <w:t>(</w:t>
            </w:r>
            <w:r w:rsidRPr="00FC103B">
              <w:rPr>
                <w:lang w:eastAsia="en-US"/>
              </w:rPr>
              <w:t>6</w:t>
            </w:r>
            <w:r w:rsidRPr="00FC103B">
              <w:rPr>
                <w:lang w:val="uk-UA" w:eastAsia="en-US"/>
              </w:rPr>
              <w:t xml:space="preserve">1-75 років, </w:t>
            </w:r>
            <w:r w:rsidRPr="00FC103B">
              <w:rPr>
                <w:lang w:val="en-US" w:eastAsia="en-US"/>
              </w:rPr>
              <w:t>n</w:t>
            </w:r>
            <w:r w:rsidRPr="00FC103B">
              <w:rPr>
                <w:lang w:eastAsia="en-US"/>
              </w:rPr>
              <w:t>=</w:t>
            </w:r>
            <w:r w:rsidRPr="00FC103B">
              <w:rPr>
                <w:lang w:val="uk-UA" w:eastAsia="en-US"/>
              </w:rPr>
              <w:t>57</w:t>
            </w:r>
            <w:r w:rsidRPr="00FC103B">
              <w:rPr>
                <w:lang w:eastAsia="en-US"/>
              </w:rPr>
              <w:t>)</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jc w:val="center"/>
              <w:rPr>
                <w:lang w:val="uk-UA" w:eastAsia="en-US"/>
              </w:rPr>
            </w:pPr>
            <w:r w:rsidRPr="00FC103B">
              <w:rPr>
                <w:lang w:val="uk-UA" w:eastAsia="en-US"/>
              </w:rPr>
              <w:t xml:space="preserve">Підгрупа </w:t>
            </w:r>
          </w:p>
          <w:p w:rsidR="00E3259F" w:rsidRPr="00FC103B" w:rsidRDefault="00E3259F">
            <w:pPr>
              <w:spacing w:line="276" w:lineRule="auto"/>
              <w:jc w:val="center"/>
              <w:rPr>
                <w:lang w:val="uk-UA" w:eastAsia="en-US"/>
              </w:rPr>
            </w:pPr>
            <w:r w:rsidRPr="00FC103B">
              <w:rPr>
                <w:lang w:val="uk-UA" w:eastAsia="en-US"/>
              </w:rPr>
              <w:t>2-І</w:t>
            </w:r>
          </w:p>
          <w:p w:rsidR="00E3259F" w:rsidRPr="00FC103B" w:rsidRDefault="00E3259F">
            <w:pPr>
              <w:spacing w:line="276" w:lineRule="auto"/>
              <w:jc w:val="center"/>
              <w:rPr>
                <w:lang w:eastAsia="en-US"/>
              </w:rPr>
            </w:pPr>
            <w:r w:rsidRPr="00FC103B">
              <w:rPr>
                <w:lang w:val="uk-UA" w:eastAsia="en-US"/>
              </w:rPr>
              <w:t>(44-</w:t>
            </w:r>
            <w:r w:rsidRPr="00FC103B">
              <w:rPr>
                <w:lang w:eastAsia="en-US"/>
              </w:rPr>
              <w:t xml:space="preserve"> 60 </w:t>
            </w:r>
            <w:r w:rsidRPr="00FC103B">
              <w:rPr>
                <w:lang w:val="uk-UA" w:eastAsia="en-US"/>
              </w:rPr>
              <w:t xml:space="preserve">років, </w:t>
            </w:r>
            <w:r w:rsidRPr="00FC103B">
              <w:rPr>
                <w:lang w:val="en-US" w:eastAsia="en-US"/>
              </w:rPr>
              <w:t>n</w:t>
            </w:r>
            <w:r w:rsidRPr="00FC103B">
              <w:rPr>
                <w:lang w:eastAsia="en-US"/>
              </w:rPr>
              <w:t>=</w:t>
            </w:r>
            <w:r w:rsidRPr="00FC103B">
              <w:rPr>
                <w:lang w:val="uk-UA" w:eastAsia="en-US"/>
              </w:rPr>
              <w:t>56</w:t>
            </w:r>
            <w:r w:rsidRPr="00FC103B">
              <w:rPr>
                <w:lang w:eastAsia="en-US"/>
              </w:rPr>
              <w:t>)</w:t>
            </w:r>
          </w:p>
        </w:tc>
        <w:tc>
          <w:tcPr>
            <w:tcW w:w="1276"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jc w:val="center"/>
              <w:rPr>
                <w:lang w:val="uk-UA" w:eastAsia="en-US"/>
              </w:rPr>
            </w:pPr>
            <w:r w:rsidRPr="00FC103B">
              <w:rPr>
                <w:lang w:val="uk-UA" w:eastAsia="en-US"/>
              </w:rPr>
              <w:t>Підгрупа 2-ІІ</w:t>
            </w:r>
          </w:p>
          <w:p w:rsidR="00E3259F" w:rsidRPr="00FC103B" w:rsidRDefault="00E3259F">
            <w:pPr>
              <w:spacing w:line="276" w:lineRule="auto"/>
              <w:jc w:val="center"/>
              <w:rPr>
                <w:lang w:val="uk-UA" w:eastAsia="en-US"/>
              </w:rPr>
            </w:pPr>
            <w:r w:rsidRPr="00FC103B">
              <w:rPr>
                <w:lang w:val="uk-UA" w:eastAsia="en-US"/>
              </w:rPr>
              <w:t>(</w:t>
            </w:r>
            <w:r w:rsidRPr="00FC103B">
              <w:rPr>
                <w:lang w:eastAsia="en-US"/>
              </w:rPr>
              <w:t>6</w:t>
            </w:r>
            <w:r w:rsidRPr="00FC103B">
              <w:rPr>
                <w:lang w:val="uk-UA" w:eastAsia="en-US"/>
              </w:rPr>
              <w:t>1-75 рокв,</w:t>
            </w:r>
          </w:p>
          <w:p w:rsidR="00E3259F" w:rsidRPr="00FC103B" w:rsidRDefault="00E3259F">
            <w:pPr>
              <w:spacing w:line="276" w:lineRule="auto"/>
              <w:jc w:val="center"/>
              <w:rPr>
                <w:lang w:eastAsia="en-US"/>
              </w:rPr>
            </w:pPr>
            <w:r w:rsidRPr="00FC103B">
              <w:rPr>
                <w:lang w:val="en-US" w:eastAsia="en-US"/>
              </w:rPr>
              <w:t>n</w:t>
            </w:r>
            <w:r w:rsidRPr="00FC103B">
              <w:rPr>
                <w:lang w:eastAsia="en-US"/>
              </w:rPr>
              <w:t>=</w:t>
            </w:r>
            <w:r w:rsidRPr="00FC103B">
              <w:rPr>
                <w:lang w:val="uk-UA" w:eastAsia="en-US"/>
              </w:rPr>
              <w:t>100</w:t>
            </w:r>
            <w:r w:rsidRPr="00FC103B">
              <w:rPr>
                <w:lang w:eastAsia="en-US"/>
              </w:rPr>
              <w:t>)</w:t>
            </w:r>
          </w:p>
        </w:tc>
        <w:tc>
          <w:tcPr>
            <w:tcW w:w="1443"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jc w:val="center"/>
              <w:rPr>
                <w:lang w:val="uk-UA" w:eastAsia="en-US"/>
              </w:rPr>
            </w:pPr>
            <w:r w:rsidRPr="00FC103B">
              <w:rPr>
                <w:lang w:val="uk-UA" w:eastAsia="en-US"/>
              </w:rPr>
              <w:t xml:space="preserve">Підгрупа </w:t>
            </w:r>
          </w:p>
          <w:p w:rsidR="00E3259F" w:rsidRPr="00FC103B" w:rsidRDefault="00E3259F">
            <w:pPr>
              <w:spacing w:line="276" w:lineRule="auto"/>
              <w:jc w:val="center"/>
              <w:rPr>
                <w:lang w:val="uk-UA" w:eastAsia="en-US"/>
              </w:rPr>
            </w:pPr>
            <w:r w:rsidRPr="00FC103B">
              <w:rPr>
                <w:lang w:val="uk-UA" w:eastAsia="en-US"/>
              </w:rPr>
              <w:t>3-І</w:t>
            </w:r>
          </w:p>
          <w:p w:rsidR="00E3259F" w:rsidRPr="00FC103B" w:rsidRDefault="00E3259F">
            <w:pPr>
              <w:spacing w:line="276" w:lineRule="auto"/>
              <w:jc w:val="center"/>
              <w:rPr>
                <w:lang w:val="uk-UA" w:eastAsia="en-US"/>
              </w:rPr>
            </w:pPr>
            <w:r w:rsidRPr="00FC103B">
              <w:rPr>
                <w:lang w:val="uk-UA" w:eastAsia="en-US"/>
              </w:rPr>
              <w:t>(44-</w:t>
            </w:r>
            <w:r w:rsidRPr="00FC103B">
              <w:rPr>
                <w:lang w:eastAsia="en-US"/>
              </w:rPr>
              <w:t xml:space="preserve"> 60 </w:t>
            </w:r>
            <w:r w:rsidRPr="00FC103B">
              <w:rPr>
                <w:lang w:val="uk-UA" w:eastAsia="en-US"/>
              </w:rPr>
              <w:t>років,</w:t>
            </w:r>
          </w:p>
          <w:p w:rsidR="00E3259F" w:rsidRPr="00FC103B" w:rsidRDefault="00E3259F">
            <w:pPr>
              <w:spacing w:line="276" w:lineRule="auto"/>
              <w:jc w:val="center"/>
              <w:rPr>
                <w:lang w:eastAsia="en-US"/>
              </w:rPr>
            </w:pPr>
            <w:r w:rsidRPr="00FC103B">
              <w:rPr>
                <w:lang w:val="en-US" w:eastAsia="en-US"/>
              </w:rPr>
              <w:t>n</w:t>
            </w:r>
            <w:r w:rsidRPr="00FC103B">
              <w:rPr>
                <w:lang w:eastAsia="en-US"/>
              </w:rPr>
              <w:t>=</w:t>
            </w:r>
            <w:r w:rsidRPr="00FC103B">
              <w:rPr>
                <w:lang w:val="uk-UA" w:eastAsia="en-US"/>
              </w:rPr>
              <w:t>37</w:t>
            </w:r>
            <w:r w:rsidRPr="00FC103B">
              <w:rPr>
                <w:lang w:eastAsia="en-US"/>
              </w:rPr>
              <w:t>)</w:t>
            </w:r>
          </w:p>
        </w:tc>
        <w:tc>
          <w:tcPr>
            <w:tcW w:w="1250"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jc w:val="center"/>
              <w:rPr>
                <w:lang w:val="uk-UA" w:eastAsia="en-US"/>
              </w:rPr>
            </w:pPr>
            <w:r w:rsidRPr="00FC103B">
              <w:rPr>
                <w:lang w:val="uk-UA" w:eastAsia="en-US"/>
              </w:rPr>
              <w:t>Підгрупа 3-ІІ</w:t>
            </w:r>
          </w:p>
          <w:p w:rsidR="00E3259F" w:rsidRPr="00FC103B" w:rsidRDefault="00E3259F">
            <w:pPr>
              <w:spacing w:line="276" w:lineRule="auto"/>
              <w:jc w:val="center"/>
              <w:rPr>
                <w:lang w:val="uk-UA" w:eastAsia="en-US"/>
              </w:rPr>
            </w:pPr>
            <w:r w:rsidRPr="00FC103B">
              <w:rPr>
                <w:lang w:val="uk-UA" w:eastAsia="en-US"/>
              </w:rPr>
              <w:t>(</w:t>
            </w:r>
            <w:r w:rsidRPr="00FC103B">
              <w:rPr>
                <w:lang w:eastAsia="en-US"/>
              </w:rPr>
              <w:t>6</w:t>
            </w:r>
            <w:r w:rsidRPr="00FC103B">
              <w:rPr>
                <w:lang w:val="uk-UA" w:eastAsia="en-US"/>
              </w:rPr>
              <w:t>1-75 рокв,</w:t>
            </w:r>
          </w:p>
          <w:p w:rsidR="00E3259F" w:rsidRPr="00FC103B" w:rsidRDefault="00E3259F">
            <w:pPr>
              <w:spacing w:line="276" w:lineRule="auto"/>
              <w:jc w:val="center"/>
              <w:rPr>
                <w:lang w:eastAsia="en-US"/>
              </w:rPr>
            </w:pPr>
            <w:r w:rsidRPr="00FC103B">
              <w:rPr>
                <w:lang w:val="en-US" w:eastAsia="en-US"/>
              </w:rPr>
              <w:t>n</w:t>
            </w:r>
            <w:r w:rsidRPr="00FC103B">
              <w:rPr>
                <w:lang w:eastAsia="en-US"/>
              </w:rPr>
              <w:t>=</w:t>
            </w:r>
            <w:r w:rsidRPr="00FC103B">
              <w:rPr>
                <w:lang w:val="uk-UA" w:eastAsia="en-US"/>
              </w:rPr>
              <w:t>56</w:t>
            </w:r>
            <w:r w:rsidRPr="00FC103B">
              <w:rPr>
                <w:lang w:eastAsia="en-US"/>
              </w:rPr>
              <w:t>)</w:t>
            </w:r>
          </w:p>
        </w:tc>
      </w:tr>
      <w:tr w:rsidR="00E3259F" w:rsidRPr="00FC103B" w:rsidTr="00E3259F">
        <w:tc>
          <w:tcPr>
            <w:tcW w:w="1242"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lang w:val="uk-UA" w:eastAsia="en-US"/>
              </w:rPr>
            </w:pPr>
            <w:r w:rsidRPr="00FC103B">
              <w:rPr>
                <w:lang w:val="uk-UA" w:eastAsia="en-US"/>
              </w:rPr>
              <w:t>Вік, років</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5</w:t>
            </w:r>
            <w:r w:rsidRPr="00FC103B">
              <w:rPr>
                <w:sz w:val="22"/>
                <w:szCs w:val="22"/>
                <w:lang w:val="uk-UA" w:eastAsia="en-US"/>
              </w:rPr>
              <w:t>3</w:t>
            </w:r>
            <w:r w:rsidRPr="00FC103B">
              <w:rPr>
                <w:sz w:val="22"/>
                <w:szCs w:val="22"/>
                <w:lang w:eastAsia="en-US"/>
              </w:rPr>
              <w:t>,</w:t>
            </w:r>
            <w:r w:rsidRPr="00FC103B">
              <w:rPr>
                <w:sz w:val="22"/>
                <w:szCs w:val="22"/>
                <w:lang w:val="uk-UA" w:eastAsia="en-US"/>
              </w:rPr>
              <w:t>02</w:t>
            </w:r>
            <w:r w:rsidRPr="00FC103B">
              <w:rPr>
                <w:sz w:val="22"/>
                <w:szCs w:val="22"/>
                <w:lang w:eastAsia="en-US"/>
              </w:rPr>
              <w:t xml:space="preserve"> ±</w:t>
            </w:r>
            <w:r w:rsidRPr="00FC103B">
              <w:rPr>
                <w:sz w:val="22"/>
                <w:szCs w:val="22"/>
                <w:lang w:val="uk-UA" w:eastAsia="en-US"/>
              </w:rPr>
              <w:t>0</w:t>
            </w:r>
            <w:r w:rsidRPr="00FC103B">
              <w:rPr>
                <w:sz w:val="22"/>
                <w:szCs w:val="22"/>
                <w:lang w:eastAsia="en-US"/>
              </w:rPr>
              <w:t>,</w:t>
            </w:r>
            <w:r w:rsidRPr="00FC103B">
              <w:rPr>
                <w:sz w:val="22"/>
                <w:szCs w:val="22"/>
                <w:lang w:val="uk-UA" w:eastAsia="en-US"/>
              </w:rPr>
              <w:t>74</w:t>
            </w:r>
          </w:p>
        </w:tc>
        <w:tc>
          <w:tcPr>
            <w:tcW w:w="1417"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6</w:t>
            </w:r>
            <w:r w:rsidRPr="00FC103B">
              <w:rPr>
                <w:sz w:val="22"/>
                <w:szCs w:val="22"/>
                <w:lang w:val="uk-UA" w:eastAsia="en-US"/>
              </w:rPr>
              <w:t>6</w:t>
            </w:r>
            <w:r w:rsidRPr="00FC103B">
              <w:rPr>
                <w:sz w:val="22"/>
                <w:szCs w:val="22"/>
                <w:lang w:eastAsia="en-US"/>
              </w:rPr>
              <w:t>,</w:t>
            </w:r>
            <w:r w:rsidRPr="00FC103B">
              <w:rPr>
                <w:sz w:val="22"/>
                <w:szCs w:val="22"/>
                <w:lang w:val="uk-UA" w:eastAsia="en-US"/>
              </w:rPr>
              <w:t>54</w:t>
            </w:r>
            <w:r w:rsidRPr="00FC103B">
              <w:rPr>
                <w:sz w:val="22"/>
                <w:szCs w:val="22"/>
                <w:lang w:eastAsia="en-US"/>
              </w:rPr>
              <w:t>±0,</w:t>
            </w:r>
            <w:r w:rsidRPr="00FC103B">
              <w:rPr>
                <w:sz w:val="22"/>
                <w:szCs w:val="22"/>
                <w:lang w:val="uk-UA" w:eastAsia="en-US"/>
              </w:rPr>
              <w:t>49</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5</w:t>
            </w:r>
            <w:r w:rsidRPr="00FC103B">
              <w:rPr>
                <w:sz w:val="22"/>
                <w:szCs w:val="22"/>
                <w:lang w:val="uk-UA" w:eastAsia="en-US"/>
              </w:rPr>
              <w:t>6</w:t>
            </w:r>
            <w:r w:rsidRPr="00FC103B">
              <w:rPr>
                <w:sz w:val="22"/>
                <w:szCs w:val="22"/>
                <w:lang w:eastAsia="en-US"/>
              </w:rPr>
              <w:t>,</w:t>
            </w:r>
            <w:r w:rsidRPr="00FC103B">
              <w:rPr>
                <w:sz w:val="22"/>
                <w:szCs w:val="22"/>
                <w:lang w:val="uk-UA" w:eastAsia="en-US"/>
              </w:rPr>
              <w:t>64</w:t>
            </w:r>
            <w:r w:rsidRPr="00FC103B">
              <w:rPr>
                <w:sz w:val="22"/>
                <w:szCs w:val="22"/>
                <w:lang w:eastAsia="en-US"/>
              </w:rPr>
              <w:t>±1,0</w:t>
            </w:r>
            <w:r w:rsidRPr="00FC103B">
              <w:rPr>
                <w:sz w:val="22"/>
                <w:szCs w:val="22"/>
                <w:lang w:val="uk-UA" w:eastAsia="en-US"/>
              </w:rPr>
              <w:t>0</w:t>
            </w:r>
          </w:p>
        </w:tc>
        <w:tc>
          <w:tcPr>
            <w:tcW w:w="1276"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6</w:t>
            </w:r>
            <w:r w:rsidRPr="00FC103B">
              <w:rPr>
                <w:sz w:val="22"/>
                <w:szCs w:val="22"/>
                <w:lang w:val="uk-UA" w:eastAsia="en-US"/>
              </w:rPr>
              <w:t>5</w:t>
            </w:r>
            <w:r w:rsidRPr="00FC103B">
              <w:rPr>
                <w:sz w:val="22"/>
                <w:szCs w:val="22"/>
                <w:lang w:eastAsia="en-US"/>
              </w:rPr>
              <w:t>,</w:t>
            </w:r>
            <w:r w:rsidRPr="00FC103B">
              <w:rPr>
                <w:sz w:val="22"/>
                <w:szCs w:val="22"/>
                <w:lang w:val="uk-UA" w:eastAsia="en-US"/>
              </w:rPr>
              <w:t>17</w:t>
            </w:r>
            <w:r w:rsidRPr="00FC103B">
              <w:rPr>
                <w:sz w:val="22"/>
                <w:szCs w:val="22"/>
                <w:lang w:eastAsia="en-US"/>
              </w:rPr>
              <w:t>±0,</w:t>
            </w:r>
            <w:r w:rsidRPr="00FC103B">
              <w:rPr>
                <w:sz w:val="22"/>
                <w:szCs w:val="22"/>
                <w:lang w:val="uk-UA" w:eastAsia="en-US"/>
              </w:rPr>
              <w:t>67</w:t>
            </w:r>
          </w:p>
        </w:tc>
        <w:tc>
          <w:tcPr>
            <w:tcW w:w="1443"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52,8</w:t>
            </w:r>
            <w:r w:rsidRPr="00FC103B">
              <w:rPr>
                <w:sz w:val="22"/>
                <w:szCs w:val="22"/>
                <w:lang w:val="uk-UA" w:eastAsia="en-US"/>
              </w:rPr>
              <w:t>9</w:t>
            </w:r>
            <w:r w:rsidRPr="00FC103B">
              <w:rPr>
                <w:sz w:val="22"/>
                <w:szCs w:val="22"/>
                <w:lang w:eastAsia="en-US"/>
              </w:rPr>
              <w:t>±</w:t>
            </w:r>
            <w:r w:rsidRPr="00FC103B">
              <w:rPr>
                <w:sz w:val="22"/>
                <w:szCs w:val="22"/>
                <w:lang w:val="uk-UA" w:eastAsia="en-US"/>
              </w:rPr>
              <w:t>0</w:t>
            </w:r>
            <w:r w:rsidRPr="00FC103B">
              <w:rPr>
                <w:sz w:val="22"/>
                <w:szCs w:val="22"/>
                <w:lang w:eastAsia="en-US"/>
              </w:rPr>
              <w:t>,</w:t>
            </w:r>
            <w:r w:rsidRPr="00FC103B">
              <w:rPr>
                <w:sz w:val="22"/>
                <w:szCs w:val="22"/>
                <w:lang w:val="uk-UA" w:eastAsia="en-US"/>
              </w:rPr>
              <w:t>79</w:t>
            </w:r>
          </w:p>
        </w:tc>
        <w:tc>
          <w:tcPr>
            <w:tcW w:w="1250"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67,</w:t>
            </w:r>
            <w:r w:rsidRPr="00FC103B">
              <w:rPr>
                <w:sz w:val="22"/>
                <w:szCs w:val="22"/>
                <w:lang w:val="uk-UA" w:eastAsia="en-US"/>
              </w:rPr>
              <w:t>54</w:t>
            </w:r>
            <w:r w:rsidRPr="00FC103B">
              <w:rPr>
                <w:sz w:val="22"/>
                <w:szCs w:val="22"/>
                <w:lang w:eastAsia="en-US"/>
              </w:rPr>
              <w:t>±0,5</w:t>
            </w:r>
            <w:r w:rsidRPr="00FC103B">
              <w:rPr>
                <w:sz w:val="22"/>
                <w:szCs w:val="22"/>
                <w:lang w:val="uk-UA" w:eastAsia="en-US"/>
              </w:rPr>
              <w:t>4</w:t>
            </w:r>
          </w:p>
        </w:tc>
      </w:tr>
      <w:tr w:rsidR="00E3259F" w:rsidRPr="00FC103B" w:rsidTr="00E3259F">
        <w:tc>
          <w:tcPr>
            <w:tcW w:w="1242"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lang w:eastAsia="en-US"/>
              </w:rPr>
            </w:pPr>
            <w:r w:rsidRPr="00FC103B">
              <w:rPr>
                <w:lang w:val="uk-UA" w:eastAsia="en-US"/>
              </w:rPr>
              <w:t>8-OH-dG, пкг/мл</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val="uk-UA" w:eastAsia="en-US"/>
              </w:rPr>
            </w:pPr>
            <w:r w:rsidRPr="00FC103B">
              <w:rPr>
                <w:sz w:val="22"/>
                <w:szCs w:val="22"/>
                <w:lang w:eastAsia="en-US"/>
              </w:rPr>
              <w:t>1</w:t>
            </w:r>
            <w:r w:rsidRPr="00FC103B">
              <w:rPr>
                <w:sz w:val="22"/>
                <w:szCs w:val="22"/>
                <w:lang w:val="uk-UA" w:eastAsia="en-US"/>
              </w:rPr>
              <w:t>4</w:t>
            </w:r>
            <w:r w:rsidRPr="00FC103B">
              <w:rPr>
                <w:sz w:val="22"/>
                <w:szCs w:val="22"/>
                <w:lang w:eastAsia="en-US"/>
              </w:rPr>
              <w:t>,</w:t>
            </w:r>
            <w:r w:rsidRPr="00FC103B">
              <w:rPr>
                <w:sz w:val="22"/>
                <w:szCs w:val="22"/>
                <w:lang w:val="uk-UA" w:eastAsia="en-US"/>
              </w:rPr>
              <w:t>11</w:t>
            </w:r>
            <w:r w:rsidRPr="00FC103B">
              <w:rPr>
                <w:sz w:val="22"/>
                <w:szCs w:val="22"/>
                <w:lang w:eastAsia="en-US"/>
              </w:rPr>
              <w:t>±</w:t>
            </w:r>
            <w:r w:rsidRPr="00FC103B">
              <w:rPr>
                <w:sz w:val="22"/>
                <w:szCs w:val="22"/>
                <w:lang w:val="uk-UA" w:eastAsia="en-US"/>
              </w:rPr>
              <w:t>0</w:t>
            </w:r>
            <w:r w:rsidRPr="00FC103B">
              <w:rPr>
                <w:sz w:val="22"/>
                <w:szCs w:val="22"/>
                <w:lang w:eastAsia="en-US"/>
              </w:rPr>
              <w:t>,</w:t>
            </w:r>
            <w:r w:rsidRPr="00FC103B">
              <w:rPr>
                <w:sz w:val="22"/>
                <w:szCs w:val="22"/>
                <w:lang w:val="uk-UA" w:eastAsia="en-US"/>
              </w:rPr>
              <w:t>43</w:t>
            </w:r>
          </w:p>
        </w:tc>
        <w:tc>
          <w:tcPr>
            <w:tcW w:w="1417"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val="uk-UA" w:eastAsia="en-US"/>
              </w:rPr>
            </w:pPr>
            <w:r w:rsidRPr="00FC103B">
              <w:rPr>
                <w:sz w:val="22"/>
                <w:szCs w:val="22"/>
                <w:lang w:eastAsia="en-US"/>
              </w:rPr>
              <w:t>1</w:t>
            </w:r>
            <w:r w:rsidRPr="00FC103B">
              <w:rPr>
                <w:sz w:val="22"/>
                <w:szCs w:val="22"/>
                <w:lang w:val="uk-UA" w:eastAsia="en-US"/>
              </w:rPr>
              <w:t>3</w:t>
            </w:r>
            <w:r w:rsidRPr="00FC103B">
              <w:rPr>
                <w:sz w:val="22"/>
                <w:szCs w:val="22"/>
                <w:lang w:eastAsia="en-US"/>
              </w:rPr>
              <w:t>,</w:t>
            </w:r>
            <w:r w:rsidRPr="00FC103B">
              <w:rPr>
                <w:sz w:val="22"/>
                <w:szCs w:val="22"/>
                <w:lang w:val="uk-UA" w:eastAsia="en-US"/>
              </w:rPr>
              <w:t>90</w:t>
            </w:r>
            <w:r w:rsidRPr="00FC103B">
              <w:rPr>
                <w:sz w:val="22"/>
                <w:szCs w:val="22"/>
                <w:lang w:eastAsia="en-US"/>
              </w:rPr>
              <w:t>±</w:t>
            </w:r>
            <w:r w:rsidRPr="00FC103B">
              <w:rPr>
                <w:sz w:val="22"/>
                <w:szCs w:val="22"/>
                <w:lang w:val="uk-UA" w:eastAsia="en-US"/>
              </w:rPr>
              <w:t>0</w:t>
            </w:r>
            <w:r w:rsidRPr="00FC103B">
              <w:rPr>
                <w:sz w:val="22"/>
                <w:szCs w:val="22"/>
                <w:lang w:eastAsia="en-US"/>
              </w:rPr>
              <w:t>,</w:t>
            </w:r>
            <w:r w:rsidRPr="00FC103B">
              <w:rPr>
                <w:sz w:val="22"/>
                <w:szCs w:val="22"/>
                <w:lang w:val="uk-UA" w:eastAsia="en-US"/>
              </w:rPr>
              <w:t>40</w:t>
            </w:r>
          </w:p>
          <w:p w:rsidR="00E3259F" w:rsidRPr="00FC103B" w:rsidRDefault="00E3259F">
            <w:pPr>
              <w:spacing w:line="276" w:lineRule="auto"/>
              <w:rPr>
                <w:sz w:val="22"/>
                <w:szCs w:val="22"/>
                <w:lang w:val="uk-UA" w:eastAsia="en-US"/>
              </w:rPr>
            </w:pPr>
            <w:r w:rsidRPr="00FC103B">
              <w:rPr>
                <w:sz w:val="22"/>
                <w:szCs w:val="22"/>
                <w:lang w:val="uk-UA" w:eastAsia="en-US"/>
              </w:rPr>
              <w:t>р&gt;0,05</w:t>
            </w:r>
          </w:p>
        </w:tc>
        <w:tc>
          <w:tcPr>
            <w:tcW w:w="1418"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eastAsia="en-US"/>
              </w:rPr>
            </w:pPr>
            <w:r w:rsidRPr="00FC103B">
              <w:rPr>
                <w:sz w:val="22"/>
                <w:szCs w:val="22"/>
                <w:lang w:eastAsia="en-US"/>
              </w:rPr>
              <w:t>14,</w:t>
            </w:r>
            <w:r w:rsidRPr="00FC103B">
              <w:rPr>
                <w:sz w:val="22"/>
                <w:szCs w:val="22"/>
                <w:lang w:val="uk-UA" w:eastAsia="en-US"/>
              </w:rPr>
              <w:t>14</w:t>
            </w:r>
            <w:r w:rsidRPr="00FC103B">
              <w:rPr>
                <w:sz w:val="22"/>
                <w:szCs w:val="22"/>
                <w:lang w:eastAsia="en-US"/>
              </w:rPr>
              <w:t>±</w:t>
            </w:r>
            <w:r w:rsidRPr="00FC103B">
              <w:rPr>
                <w:sz w:val="22"/>
                <w:szCs w:val="22"/>
                <w:lang w:val="uk-UA" w:eastAsia="en-US"/>
              </w:rPr>
              <w:t>0</w:t>
            </w:r>
            <w:r w:rsidRPr="00FC103B">
              <w:rPr>
                <w:sz w:val="22"/>
                <w:szCs w:val="22"/>
                <w:lang w:eastAsia="en-US"/>
              </w:rPr>
              <w:t>,</w:t>
            </w:r>
            <w:r w:rsidRPr="00FC103B">
              <w:rPr>
                <w:sz w:val="22"/>
                <w:szCs w:val="22"/>
                <w:lang w:val="uk-UA" w:eastAsia="en-US"/>
              </w:rPr>
              <w:t>40</w:t>
            </w:r>
          </w:p>
        </w:tc>
        <w:tc>
          <w:tcPr>
            <w:tcW w:w="1276"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val="uk-UA" w:eastAsia="en-US"/>
              </w:rPr>
            </w:pPr>
            <w:r w:rsidRPr="00FC103B">
              <w:rPr>
                <w:sz w:val="22"/>
                <w:szCs w:val="22"/>
                <w:lang w:eastAsia="en-US"/>
              </w:rPr>
              <w:t>1</w:t>
            </w:r>
            <w:r w:rsidRPr="00FC103B">
              <w:rPr>
                <w:sz w:val="22"/>
                <w:szCs w:val="22"/>
                <w:lang w:val="uk-UA" w:eastAsia="en-US"/>
              </w:rPr>
              <w:t>6</w:t>
            </w:r>
            <w:r w:rsidRPr="00FC103B">
              <w:rPr>
                <w:sz w:val="22"/>
                <w:szCs w:val="22"/>
                <w:lang w:eastAsia="en-US"/>
              </w:rPr>
              <w:t>,</w:t>
            </w:r>
            <w:r w:rsidRPr="00FC103B">
              <w:rPr>
                <w:sz w:val="22"/>
                <w:szCs w:val="22"/>
                <w:lang w:val="uk-UA" w:eastAsia="en-US"/>
              </w:rPr>
              <w:t>06</w:t>
            </w:r>
            <w:r w:rsidRPr="00FC103B">
              <w:rPr>
                <w:sz w:val="22"/>
                <w:szCs w:val="22"/>
                <w:lang w:eastAsia="en-US"/>
              </w:rPr>
              <w:t>±0,</w:t>
            </w:r>
            <w:r w:rsidRPr="00FC103B">
              <w:rPr>
                <w:sz w:val="22"/>
                <w:szCs w:val="22"/>
                <w:lang w:val="uk-UA" w:eastAsia="en-US"/>
              </w:rPr>
              <w:t>33</w:t>
            </w:r>
          </w:p>
          <w:p w:rsidR="00E3259F" w:rsidRPr="00FC103B" w:rsidRDefault="00E3259F">
            <w:pPr>
              <w:spacing w:line="276" w:lineRule="auto"/>
              <w:rPr>
                <w:sz w:val="22"/>
                <w:szCs w:val="22"/>
                <w:lang w:val="uk-UA" w:eastAsia="en-US"/>
              </w:rPr>
            </w:pPr>
            <w:r w:rsidRPr="00FC103B">
              <w:rPr>
                <w:sz w:val="22"/>
                <w:szCs w:val="22"/>
                <w:lang w:val="uk-UA" w:eastAsia="en-US"/>
              </w:rPr>
              <w:t>р</w:t>
            </w:r>
            <w:r w:rsidRPr="00FC103B">
              <w:rPr>
                <w:sz w:val="22"/>
                <w:szCs w:val="22"/>
                <w:vertAlign w:val="subscript"/>
                <w:lang w:val="uk-UA" w:eastAsia="en-US"/>
              </w:rPr>
              <w:t xml:space="preserve"> =</w:t>
            </w:r>
            <w:r w:rsidRPr="00FC103B">
              <w:rPr>
                <w:sz w:val="22"/>
                <w:szCs w:val="22"/>
                <w:lang w:val="uk-UA" w:eastAsia="en-US"/>
              </w:rPr>
              <w:t>0</w:t>
            </w:r>
            <w:r w:rsidRPr="00FC103B">
              <w:rPr>
                <w:sz w:val="22"/>
                <w:szCs w:val="22"/>
                <w:lang w:eastAsia="en-US"/>
              </w:rPr>
              <w:t>,00</w:t>
            </w:r>
            <w:r w:rsidRPr="00FC103B">
              <w:rPr>
                <w:sz w:val="22"/>
                <w:szCs w:val="22"/>
                <w:lang w:val="uk-UA" w:eastAsia="en-US"/>
              </w:rPr>
              <w:t>1</w:t>
            </w:r>
          </w:p>
        </w:tc>
        <w:tc>
          <w:tcPr>
            <w:tcW w:w="1443"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val="uk-UA" w:eastAsia="en-US"/>
              </w:rPr>
            </w:pPr>
            <w:r w:rsidRPr="00FC103B">
              <w:rPr>
                <w:sz w:val="22"/>
                <w:szCs w:val="22"/>
                <w:lang w:eastAsia="en-US"/>
              </w:rPr>
              <w:t>13,3</w:t>
            </w:r>
            <w:r w:rsidRPr="00FC103B">
              <w:rPr>
                <w:sz w:val="22"/>
                <w:szCs w:val="22"/>
                <w:lang w:val="uk-UA" w:eastAsia="en-US"/>
              </w:rPr>
              <w:t>4</w:t>
            </w:r>
            <w:r w:rsidRPr="00FC103B">
              <w:rPr>
                <w:sz w:val="22"/>
                <w:szCs w:val="22"/>
                <w:lang w:eastAsia="en-US"/>
              </w:rPr>
              <w:t>±1,0</w:t>
            </w:r>
            <w:r w:rsidRPr="00FC103B">
              <w:rPr>
                <w:sz w:val="22"/>
                <w:szCs w:val="22"/>
                <w:lang w:val="uk-UA" w:eastAsia="en-US"/>
              </w:rPr>
              <w:t>8</w:t>
            </w:r>
          </w:p>
        </w:tc>
        <w:tc>
          <w:tcPr>
            <w:tcW w:w="1250" w:type="dxa"/>
            <w:tcBorders>
              <w:top w:val="single" w:sz="4" w:space="0" w:color="auto"/>
              <w:left w:val="single" w:sz="4" w:space="0" w:color="auto"/>
              <w:bottom w:val="single" w:sz="4" w:space="0" w:color="auto"/>
              <w:right w:val="single" w:sz="4" w:space="0" w:color="auto"/>
            </w:tcBorders>
            <w:hideMark/>
          </w:tcPr>
          <w:p w:rsidR="00E3259F" w:rsidRPr="00FC103B" w:rsidRDefault="00E3259F">
            <w:pPr>
              <w:spacing w:line="276" w:lineRule="auto"/>
              <w:rPr>
                <w:sz w:val="22"/>
                <w:szCs w:val="22"/>
                <w:lang w:val="uk-UA" w:eastAsia="en-US"/>
              </w:rPr>
            </w:pPr>
            <w:r w:rsidRPr="00FC103B">
              <w:rPr>
                <w:sz w:val="22"/>
                <w:szCs w:val="22"/>
                <w:lang w:eastAsia="en-US"/>
              </w:rPr>
              <w:t>14,7</w:t>
            </w:r>
            <w:r w:rsidRPr="00FC103B">
              <w:rPr>
                <w:sz w:val="22"/>
                <w:szCs w:val="22"/>
                <w:lang w:val="uk-UA" w:eastAsia="en-US"/>
              </w:rPr>
              <w:t>4</w:t>
            </w:r>
            <w:r w:rsidRPr="00FC103B">
              <w:rPr>
                <w:sz w:val="22"/>
                <w:szCs w:val="22"/>
                <w:lang w:eastAsia="en-US"/>
              </w:rPr>
              <w:t>±</w:t>
            </w:r>
            <w:r w:rsidRPr="00FC103B">
              <w:rPr>
                <w:sz w:val="22"/>
                <w:szCs w:val="22"/>
                <w:lang w:val="uk-UA" w:eastAsia="en-US"/>
              </w:rPr>
              <w:t>0</w:t>
            </w:r>
            <w:r w:rsidRPr="00FC103B">
              <w:rPr>
                <w:sz w:val="22"/>
                <w:szCs w:val="22"/>
                <w:lang w:eastAsia="en-US"/>
              </w:rPr>
              <w:t>,95</w:t>
            </w:r>
          </w:p>
          <w:p w:rsidR="00E3259F" w:rsidRPr="00FC103B" w:rsidRDefault="00E3259F">
            <w:pPr>
              <w:spacing w:line="276" w:lineRule="auto"/>
              <w:rPr>
                <w:sz w:val="22"/>
                <w:szCs w:val="22"/>
                <w:lang w:val="uk-UA" w:eastAsia="en-US"/>
              </w:rPr>
            </w:pPr>
            <w:r w:rsidRPr="00FC103B">
              <w:rPr>
                <w:sz w:val="22"/>
                <w:szCs w:val="22"/>
                <w:lang w:val="uk-UA" w:eastAsia="en-US"/>
              </w:rPr>
              <w:t>р=0</w:t>
            </w:r>
            <w:r w:rsidRPr="00FC103B">
              <w:rPr>
                <w:sz w:val="22"/>
                <w:szCs w:val="22"/>
                <w:lang w:eastAsia="en-US"/>
              </w:rPr>
              <w:t>,001</w:t>
            </w:r>
          </w:p>
        </w:tc>
      </w:tr>
    </w:tbl>
    <w:p w:rsidR="00E3259F" w:rsidRDefault="00E3259F" w:rsidP="00FC103B">
      <w:pPr>
        <w:spacing w:line="360" w:lineRule="auto"/>
        <w:jc w:val="both"/>
        <w:rPr>
          <w:rStyle w:val="tlid-translation"/>
          <w:rFonts w:eastAsiaTheme="majorEastAsia"/>
          <w:sz w:val="26"/>
          <w:szCs w:val="26"/>
          <w:lang w:val="uk-UA" w:eastAsia="en-US"/>
        </w:rPr>
      </w:pPr>
      <w:r w:rsidRPr="00FC103B">
        <w:rPr>
          <w:sz w:val="28"/>
          <w:szCs w:val="28"/>
          <w:lang w:val="uk-UA"/>
        </w:rPr>
        <w:t>Примітка: р</w:t>
      </w:r>
      <w:r w:rsidRPr="00FC103B">
        <w:rPr>
          <w:sz w:val="28"/>
          <w:szCs w:val="28"/>
          <w:vertAlign w:val="subscript"/>
          <w:lang w:val="uk-UA"/>
        </w:rPr>
        <w:t xml:space="preserve"> -</w:t>
      </w:r>
      <w:r w:rsidRPr="00FC103B">
        <w:rPr>
          <w:sz w:val="28"/>
          <w:szCs w:val="28"/>
          <w:lang w:val="uk-UA"/>
        </w:rPr>
        <w:t xml:space="preserve">  рівень значущості відмінностей при порівнянні І та ІІ вікових підгруп в групі </w:t>
      </w:r>
    </w:p>
    <w:p w:rsidR="00E3259F" w:rsidRDefault="00E3259F" w:rsidP="00E3259F">
      <w:pPr>
        <w:spacing w:line="360" w:lineRule="auto"/>
        <w:ind w:firstLine="709"/>
        <w:jc w:val="both"/>
        <w:rPr>
          <w:sz w:val="28"/>
          <w:szCs w:val="28"/>
        </w:rPr>
      </w:pPr>
    </w:p>
    <w:p w:rsidR="00E3259F" w:rsidRPr="00FC103B" w:rsidRDefault="00E3259F" w:rsidP="00FC103B">
      <w:pPr>
        <w:spacing w:line="360" w:lineRule="auto"/>
        <w:ind w:firstLine="709"/>
        <w:jc w:val="both"/>
        <w:rPr>
          <w:sz w:val="28"/>
          <w:szCs w:val="28"/>
          <w:shd w:val="clear" w:color="auto" w:fill="FFFFFF"/>
          <w:lang w:val="uk-UA"/>
        </w:rPr>
      </w:pPr>
      <w:r w:rsidRPr="00FC103B">
        <w:rPr>
          <w:sz w:val="28"/>
          <w:szCs w:val="28"/>
          <w:lang w:val="uk-UA"/>
        </w:rPr>
        <w:t xml:space="preserve">Вивчаючи роль </w:t>
      </w:r>
      <w:r w:rsidRPr="00FC103B">
        <w:rPr>
          <w:sz w:val="28"/>
          <w:szCs w:val="28"/>
          <w:shd w:val="clear" w:color="auto" w:fill="FFFFFF"/>
          <w:lang w:val="uk-UA"/>
        </w:rPr>
        <w:t>8-OHdG</w:t>
      </w:r>
      <w:r w:rsidRPr="00FC103B">
        <w:rPr>
          <w:b/>
          <w:sz w:val="28"/>
          <w:szCs w:val="28"/>
          <w:shd w:val="clear" w:color="auto" w:fill="FFFFFF"/>
          <w:lang w:val="uk-UA"/>
        </w:rPr>
        <w:t xml:space="preserve"> </w:t>
      </w:r>
      <w:r w:rsidRPr="00FC103B">
        <w:rPr>
          <w:sz w:val="28"/>
          <w:szCs w:val="28"/>
          <w:shd w:val="clear" w:color="auto" w:fill="FFFFFF"/>
          <w:lang w:val="uk-UA"/>
        </w:rPr>
        <w:t xml:space="preserve">як маркера перебігу та прогнозу досліджуваних захворювань, оцінювали вплив та зв’язки між цим показником та антропометричними і метаболічними показниками, що є відомими маркерами ризику кардіоваскулярних ускладнень. </w:t>
      </w:r>
    </w:p>
    <w:p w:rsidR="00E3259F" w:rsidRPr="00FC103B" w:rsidRDefault="00E3259F" w:rsidP="00FC103B">
      <w:pPr>
        <w:spacing w:line="360" w:lineRule="auto"/>
        <w:ind w:firstLine="709"/>
        <w:jc w:val="both"/>
        <w:rPr>
          <w:sz w:val="28"/>
          <w:szCs w:val="28"/>
          <w:lang w:val="uk-UA"/>
        </w:rPr>
      </w:pPr>
      <w:r w:rsidRPr="00FC103B">
        <w:rPr>
          <w:sz w:val="28"/>
          <w:szCs w:val="28"/>
          <w:shd w:val="clear" w:color="auto" w:fill="FFFFFF"/>
          <w:lang w:val="uk-UA"/>
        </w:rPr>
        <w:t>Проведення кореляційного аналізу виявило наявність кореляційних зв’язків між рівніми</w:t>
      </w:r>
      <w:r w:rsidRPr="00FC103B">
        <w:rPr>
          <w:sz w:val="28"/>
          <w:szCs w:val="28"/>
          <w:lang w:val="uk-UA"/>
        </w:rPr>
        <w:t xml:space="preserve"> 8-OH-dG та такими факторами КВР як  ПАТ (</w:t>
      </w:r>
      <w:r w:rsidRPr="00FC103B">
        <w:rPr>
          <w:sz w:val="28"/>
          <w:szCs w:val="28"/>
          <w:lang w:val="en-US"/>
        </w:rPr>
        <w:t>r</w:t>
      </w:r>
      <w:r w:rsidRPr="00FC103B">
        <w:rPr>
          <w:sz w:val="28"/>
          <w:szCs w:val="28"/>
          <w:lang w:val="uk-UA"/>
        </w:rPr>
        <w:t>=0,244, р=0,012) в  групі 1, рівні ТГ (</w:t>
      </w:r>
      <w:r w:rsidRPr="00FC103B">
        <w:rPr>
          <w:sz w:val="28"/>
          <w:szCs w:val="28"/>
          <w:lang w:val="en-US"/>
        </w:rPr>
        <w:t>r</w:t>
      </w:r>
      <w:r w:rsidRPr="00FC103B">
        <w:rPr>
          <w:sz w:val="28"/>
          <w:szCs w:val="28"/>
          <w:lang w:val="uk-UA"/>
        </w:rPr>
        <w:t>= -0,190, р=0,018), ХС ЛПВЩ (</w:t>
      </w:r>
      <w:r w:rsidRPr="00FC103B">
        <w:rPr>
          <w:sz w:val="28"/>
          <w:szCs w:val="28"/>
          <w:lang w:val="en-US"/>
        </w:rPr>
        <w:t>r</w:t>
      </w:r>
      <w:r w:rsidRPr="00FC103B">
        <w:rPr>
          <w:sz w:val="28"/>
          <w:szCs w:val="28"/>
          <w:lang w:val="uk-UA"/>
        </w:rPr>
        <w:t>=0,268,р=0,001), САТ (</w:t>
      </w:r>
      <w:r w:rsidRPr="00FC103B">
        <w:rPr>
          <w:sz w:val="28"/>
          <w:szCs w:val="28"/>
          <w:lang w:val="en-US"/>
        </w:rPr>
        <w:t>r</w:t>
      </w:r>
      <w:r w:rsidRPr="00FC103B">
        <w:rPr>
          <w:sz w:val="28"/>
          <w:szCs w:val="28"/>
          <w:lang w:val="uk-UA"/>
        </w:rPr>
        <w:t>=0,219, р=0,006), ДАТ (</w:t>
      </w:r>
      <w:r w:rsidRPr="00FC103B">
        <w:rPr>
          <w:sz w:val="28"/>
          <w:szCs w:val="28"/>
          <w:lang w:val="en-US"/>
        </w:rPr>
        <w:t>r</w:t>
      </w:r>
      <w:r w:rsidRPr="00FC103B">
        <w:rPr>
          <w:sz w:val="28"/>
          <w:szCs w:val="28"/>
          <w:lang w:val="uk-UA"/>
        </w:rPr>
        <w:t xml:space="preserve">=0,216, р=0,007) в групі 2. Був виявлений негативний кореляційний </w:t>
      </w:r>
      <w:r w:rsidRPr="00FC103B">
        <w:rPr>
          <w:sz w:val="28"/>
          <w:szCs w:val="28"/>
          <w:shd w:val="clear" w:color="auto" w:fill="FFFFFF"/>
          <w:lang w:val="uk-UA"/>
        </w:rPr>
        <w:t xml:space="preserve">зв’язок між рівнями </w:t>
      </w:r>
      <w:r w:rsidRPr="00FC103B">
        <w:rPr>
          <w:sz w:val="28"/>
          <w:szCs w:val="28"/>
          <w:lang w:val="uk-UA"/>
        </w:rPr>
        <w:t>8-OH-dG та рівнями Т4віл (</w:t>
      </w:r>
      <w:r w:rsidRPr="00FC103B">
        <w:rPr>
          <w:sz w:val="28"/>
          <w:szCs w:val="28"/>
          <w:lang w:val="en-US"/>
        </w:rPr>
        <w:t>r</w:t>
      </w:r>
      <w:r w:rsidRPr="00FC103B">
        <w:rPr>
          <w:sz w:val="28"/>
          <w:szCs w:val="28"/>
          <w:lang w:val="uk-UA"/>
        </w:rPr>
        <w:t>=-0,265, р=0,010) у 3 групі.</w:t>
      </w:r>
    </w:p>
    <w:p w:rsidR="00E3259F" w:rsidRPr="00FC103B" w:rsidRDefault="00E3259F" w:rsidP="00FC103B">
      <w:pPr>
        <w:spacing w:line="360" w:lineRule="auto"/>
        <w:ind w:firstLine="709"/>
        <w:jc w:val="both"/>
        <w:rPr>
          <w:sz w:val="28"/>
          <w:szCs w:val="28"/>
          <w:shd w:val="clear" w:color="auto" w:fill="FFFFFF"/>
          <w:lang w:val="uk-UA"/>
        </w:rPr>
      </w:pPr>
      <w:r w:rsidRPr="00FC103B">
        <w:rPr>
          <w:sz w:val="28"/>
          <w:szCs w:val="28"/>
          <w:lang w:val="uk-UA"/>
        </w:rPr>
        <w:t xml:space="preserve">Проведення дисперсійного аналізу виявило в  групі 1 значимий вплив рівнів 8-OH-dG на рівні глюкози крові (р=0,038), інсуліну плазми крові (р=0,0001), індекс ІР </w:t>
      </w:r>
      <w:r w:rsidRPr="00FC103B">
        <w:rPr>
          <w:sz w:val="28"/>
          <w:szCs w:val="28"/>
          <w:lang w:val="en-US"/>
        </w:rPr>
        <w:t>HOMA</w:t>
      </w:r>
      <w:r w:rsidRPr="00FC103B">
        <w:rPr>
          <w:sz w:val="28"/>
          <w:szCs w:val="28"/>
          <w:lang w:val="uk-UA"/>
        </w:rPr>
        <w:t>-</w:t>
      </w:r>
      <w:r w:rsidRPr="00FC103B">
        <w:rPr>
          <w:sz w:val="28"/>
          <w:szCs w:val="28"/>
          <w:lang w:val="en-US"/>
        </w:rPr>
        <w:t>IR</w:t>
      </w:r>
      <w:r w:rsidRPr="00FC103B">
        <w:rPr>
          <w:sz w:val="28"/>
          <w:szCs w:val="28"/>
          <w:lang w:val="uk-UA"/>
        </w:rPr>
        <w:t xml:space="preserve"> (</w:t>
      </w:r>
      <w:r w:rsidRPr="00FC103B">
        <w:rPr>
          <w:sz w:val="28"/>
          <w:szCs w:val="28"/>
          <w:lang w:val="en-US"/>
        </w:rPr>
        <w:t>p</w:t>
      </w:r>
      <w:r w:rsidRPr="00FC103B">
        <w:rPr>
          <w:sz w:val="28"/>
          <w:szCs w:val="28"/>
          <w:lang w:val="uk-UA"/>
        </w:rPr>
        <w:t xml:space="preserve">=0,0001), ДАТ (р=0,045); в  групі 2 – на  ІМТ (р=0,008), рівні ЗХС (р=0,004), ТГ (р=0,010), ХС ЛПНЩ (р=0,005), </w:t>
      </w:r>
      <w:r w:rsidRPr="00FC103B">
        <w:rPr>
          <w:sz w:val="28"/>
          <w:szCs w:val="28"/>
        </w:rPr>
        <w:t>HbA</w:t>
      </w:r>
      <w:r w:rsidRPr="00FC103B">
        <w:rPr>
          <w:sz w:val="28"/>
          <w:szCs w:val="28"/>
          <w:lang w:val="uk-UA"/>
        </w:rPr>
        <w:t>1с (р=0,033), НОМА-</w:t>
      </w:r>
      <w:r w:rsidRPr="00FC103B">
        <w:rPr>
          <w:sz w:val="28"/>
          <w:szCs w:val="28"/>
          <w:lang w:val="en-US"/>
        </w:rPr>
        <w:t>IR</w:t>
      </w:r>
      <w:r w:rsidRPr="00FC103B">
        <w:rPr>
          <w:sz w:val="28"/>
          <w:szCs w:val="28"/>
          <w:lang w:val="uk-UA"/>
        </w:rPr>
        <w:t xml:space="preserve"> (р=0,001), ТТГ (р=0,022) САТ (р=0,008), ПАТ (р=0,007); ПАТ (р=0,007) у групі 3.</w:t>
      </w:r>
    </w:p>
    <w:p w:rsidR="00E3259F" w:rsidRPr="00FC103B" w:rsidRDefault="00E3259F" w:rsidP="00FC103B">
      <w:pPr>
        <w:spacing w:line="360" w:lineRule="auto"/>
        <w:ind w:firstLine="709"/>
        <w:jc w:val="both"/>
        <w:rPr>
          <w:sz w:val="28"/>
          <w:szCs w:val="28"/>
          <w:lang w:val="uk-UA" w:eastAsia="en-US"/>
        </w:rPr>
      </w:pPr>
      <w:r w:rsidRPr="00FC103B">
        <w:rPr>
          <w:sz w:val="28"/>
          <w:szCs w:val="28"/>
          <w:shd w:val="clear" w:color="auto" w:fill="FFFFFF"/>
          <w:lang w:val="uk-UA"/>
        </w:rPr>
        <w:t xml:space="preserve">Проведення кореляційного аналізу з урахуванням вікової підгрупи виявило значну кількість кореляційних зв’язків рівнів </w:t>
      </w:r>
      <w:r w:rsidRPr="00FC103B">
        <w:rPr>
          <w:sz w:val="28"/>
          <w:szCs w:val="28"/>
          <w:lang w:val="uk-UA"/>
        </w:rPr>
        <w:t>8-OH-dG</w:t>
      </w:r>
      <w:r w:rsidRPr="00FC103B">
        <w:rPr>
          <w:sz w:val="28"/>
          <w:szCs w:val="28"/>
          <w:shd w:val="clear" w:color="auto" w:fill="FFFFFF"/>
          <w:lang w:val="uk-UA"/>
        </w:rPr>
        <w:t xml:space="preserve"> як позитивного, так і негативного характеру з показниками ліпідного обміну, АТ в усіх вікових групах, ІМТ для пацієнтів групи 1 вікової категорії 40-60 років ( </w:t>
      </w:r>
      <w:r w:rsidRPr="00FC103B">
        <w:rPr>
          <w:sz w:val="28"/>
          <w:szCs w:val="28"/>
          <w:shd w:val="clear" w:color="auto" w:fill="FFFFFF"/>
          <w:lang w:val="en-US"/>
        </w:rPr>
        <w:t>r</w:t>
      </w:r>
      <w:r w:rsidRPr="00FC103B">
        <w:rPr>
          <w:sz w:val="28"/>
          <w:szCs w:val="28"/>
          <w:shd w:val="clear" w:color="auto" w:fill="FFFFFF"/>
          <w:lang w:val="uk-UA"/>
        </w:rPr>
        <w:t>=-</w:t>
      </w:r>
      <w:r w:rsidRPr="00FC103B">
        <w:rPr>
          <w:sz w:val="28"/>
          <w:szCs w:val="28"/>
          <w:lang w:val="uk-UA" w:eastAsia="en-US"/>
        </w:rPr>
        <w:t xml:space="preserve">0,325, р=0,023), </w:t>
      </w:r>
      <w:r w:rsidRPr="00FC103B">
        <w:rPr>
          <w:sz w:val="28"/>
          <w:szCs w:val="28"/>
          <w:shd w:val="clear" w:color="auto" w:fill="FFFFFF"/>
          <w:lang w:val="uk-UA"/>
        </w:rPr>
        <w:t xml:space="preserve"> рівнями Т4віл для пацієнтів  групи 2 віком від 61 до 75 років (</w:t>
      </w:r>
      <w:r w:rsidRPr="00FC103B">
        <w:rPr>
          <w:sz w:val="28"/>
          <w:szCs w:val="28"/>
          <w:shd w:val="clear" w:color="auto" w:fill="FFFFFF"/>
          <w:lang w:val="en-US"/>
        </w:rPr>
        <w:t>r</w:t>
      </w:r>
      <w:r w:rsidRPr="00FC103B">
        <w:rPr>
          <w:sz w:val="28"/>
          <w:szCs w:val="28"/>
          <w:shd w:val="clear" w:color="auto" w:fill="FFFFFF"/>
          <w:lang w:val="uk-UA"/>
        </w:rPr>
        <w:t>=-</w:t>
      </w:r>
      <w:r w:rsidRPr="00FC103B">
        <w:rPr>
          <w:sz w:val="28"/>
          <w:szCs w:val="28"/>
          <w:lang w:val="uk-UA" w:eastAsia="en-US"/>
        </w:rPr>
        <w:t xml:space="preserve">0,223, р=0,026) </w:t>
      </w:r>
      <w:r w:rsidRPr="00FC103B">
        <w:rPr>
          <w:sz w:val="28"/>
          <w:szCs w:val="28"/>
          <w:shd w:val="clear" w:color="auto" w:fill="FFFFFF"/>
          <w:lang w:val="uk-UA"/>
        </w:rPr>
        <w:t>та пацієнтів  групи 3 віком від 44 до 60 років               (</w:t>
      </w:r>
      <w:r w:rsidRPr="00FC103B">
        <w:rPr>
          <w:sz w:val="28"/>
          <w:szCs w:val="28"/>
          <w:shd w:val="clear" w:color="auto" w:fill="FFFFFF"/>
          <w:lang w:val="en-US"/>
        </w:rPr>
        <w:t>r</w:t>
      </w:r>
      <w:r w:rsidRPr="00FC103B">
        <w:rPr>
          <w:sz w:val="28"/>
          <w:szCs w:val="28"/>
          <w:shd w:val="clear" w:color="auto" w:fill="FFFFFF"/>
          <w:lang w:val="uk-UA"/>
        </w:rPr>
        <w:t>=</w:t>
      </w:r>
      <w:r w:rsidRPr="00FC103B">
        <w:rPr>
          <w:sz w:val="28"/>
          <w:szCs w:val="28"/>
          <w:lang w:val="uk-UA" w:eastAsia="en-US"/>
        </w:rPr>
        <w:t xml:space="preserve">-0,323,р=0,050) (Таблиця 4.10). Між рівнями </w:t>
      </w:r>
      <w:r w:rsidRPr="00FC103B">
        <w:rPr>
          <w:sz w:val="28"/>
          <w:szCs w:val="28"/>
          <w:lang w:val="uk-UA"/>
        </w:rPr>
        <w:t xml:space="preserve">8-OH-dG та показниками вуглеводного обміну був виявлений лише прямий кореляційний зв’язок з рівнем </w:t>
      </w:r>
      <w:r w:rsidRPr="00FC103B">
        <w:rPr>
          <w:sz w:val="28"/>
          <w:szCs w:val="28"/>
        </w:rPr>
        <w:t>HbA</w:t>
      </w:r>
      <w:r w:rsidRPr="00FC103B">
        <w:rPr>
          <w:sz w:val="28"/>
          <w:szCs w:val="28"/>
          <w:lang w:val="uk-UA"/>
        </w:rPr>
        <w:t xml:space="preserve">1с в  групі 1 пацієнтів віком від 44 до 60 років </w:t>
      </w:r>
      <w:r w:rsidRPr="00FC103B">
        <w:rPr>
          <w:sz w:val="28"/>
          <w:szCs w:val="28"/>
          <w:shd w:val="clear" w:color="auto" w:fill="FFFFFF"/>
          <w:lang w:val="uk-UA"/>
        </w:rPr>
        <w:t xml:space="preserve">( </w:t>
      </w:r>
      <w:r w:rsidRPr="00FC103B">
        <w:rPr>
          <w:sz w:val="28"/>
          <w:szCs w:val="28"/>
          <w:shd w:val="clear" w:color="auto" w:fill="FFFFFF"/>
          <w:lang w:val="en-US"/>
        </w:rPr>
        <w:t>r</w:t>
      </w:r>
      <w:r w:rsidRPr="00FC103B">
        <w:rPr>
          <w:sz w:val="28"/>
          <w:szCs w:val="28"/>
          <w:shd w:val="clear" w:color="auto" w:fill="FFFFFF"/>
          <w:lang w:val="uk-UA"/>
        </w:rPr>
        <w:t>=</w:t>
      </w:r>
      <w:r w:rsidRPr="00FC103B">
        <w:rPr>
          <w:sz w:val="28"/>
          <w:szCs w:val="28"/>
          <w:lang w:val="uk-UA" w:eastAsia="en-US"/>
        </w:rPr>
        <w:t>0,316, р=0,027). Серед осіб  групи  3 віком від 61 до 75 років кореляційних зв</w:t>
      </w:r>
      <w:r w:rsidRPr="00FC103B">
        <w:rPr>
          <w:sz w:val="28"/>
          <w:szCs w:val="28"/>
          <w:lang w:eastAsia="en-US"/>
        </w:rPr>
        <w:t>’</w:t>
      </w:r>
      <w:r w:rsidRPr="00FC103B">
        <w:rPr>
          <w:sz w:val="28"/>
          <w:szCs w:val="28"/>
          <w:lang w:val="uk-UA" w:eastAsia="en-US"/>
        </w:rPr>
        <w:t>язків із зазначеними показниками знайдено не було.</w:t>
      </w:r>
    </w:p>
    <w:p w:rsidR="00E3259F" w:rsidRDefault="00E3259F" w:rsidP="00E3259F">
      <w:pPr>
        <w:spacing w:line="360" w:lineRule="auto"/>
        <w:jc w:val="right"/>
        <w:rPr>
          <w:color w:val="000000"/>
          <w:sz w:val="28"/>
          <w:szCs w:val="28"/>
          <w:lang w:val="uk-UA"/>
        </w:rPr>
      </w:pPr>
      <w:r>
        <w:rPr>
          <w:color w:val="000000"/>
          <w:sz w:val="28"/>
          <w:szCs w:val="28"/>
          <w:lang w:val="uk-UA"/>
        </w:rPr>
        <w:t>Таблиця 4.10</w:t>
      </w:r>
    </w:p>
    <w:p w:rsidR="00E3259F" w:rsidRPr="00FC103B" w:rsidRDefault="00E3259F" w:rsidP="00E3259F">
      <w:pPr>
        <w:spacing w:line="360" w:lineRule="auto"/>
        <w:jc w:val="center"/>
        <w:rPr>
          <w:sz w:val="28"/>
          <w:szCs w:val="28"/>
          <w:lang w:val="uk-UA"/>
        </w:rPr>
      </w:pPr>
      <w:r w:rsidRPr="00FC103B">
        <w:rPr>
          <w:sz w:val="28"/>
          <w:szCs w:val="28"/>
          <w:lang w:val="uk-UA"/>
        </w:rPr>
        <w:t xml:space="preserve">Кореляційні зв’язки між антропометричніми , метаболічними показниками та рівнем </w:t>
      </w:r>
      <w:r w:rsidRPr="00FC103B">
        <w:rPr>
          <w:sz w:val="28"/>
          <w:szCs w:val="28"/>
          <w:shd w:val="clear" w:color="auto" w:fill="FFFFFF"/>
          <w:lang w:val="uk-UA"/>
        </w:rPr>
        <w:t xml:space="preserve">8-гідрокси-2'-деоксигуанозину  </w:t>
      </w:r>
      <w:r w:rsidRPr="00FC103B">
        <w:rPr>
          <w:sz w:val="28"/>
          <w:szCs w:val="28"/>
          <w:lang w:val="uk-UA"/>
        </w:rPr>
        <w:t>залежно від вікової групи.</w:t>
      </w:r>
    </w:p>
    <w:tbl>
      <w:tblPr>
        <w:tblW w:w="0" w:type="auto"/>
        <w:tblLook w:val="04A0" w:firstRow="1" w:lastRow="0" w:firstColumn="1" w:lastColumn="0" w:noHBand="0" w:noVBand="1"/>
      </w:tblPr>
      <w:tblGrid>
        <w:gridCol w:w="3189"/>
        <w:gridCol w:w="3190"/>
        <w:gridCol w:w="3191"/>
      </w:tblGrid>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both"/>
              <w:rPr>
                <w:sz w:val="28"/>
                <w:szCs w:val="28"/>
                <w:lang w:val="uk-UA" w:eastAsia="en-US"/>
              </w:rPr>
            </w:pPr>
            <w:r w:rsidRPr="00FC103B">
              <w:rPr>
                <w:sz w:val="28"/>
                <w:szCs w:val="28"/>
                <w:lang w:val="uk-UA" w:eastAsia="en-US"/>
              </w:rPr>
              <w:t>Показники</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both"/>
              <w:rPr>
                <w:sz w:val="28"/>
                <w:szCs w:val="28"/>
                <w:lang w:val="en-US" w:eastAsia="en-US"/>
              </w:rPr>
            </w:pPr>
            <w:r w:rsidRPr="00FC103B">
              <w:rPr>
                <w:sz w:val="28"/>
                <w:szCs w:val="28"/>
                <w:lang w:val="uk-UA" w:eastAsia="en-US"/>
              </w:rPr>
              <w:t>Коефіцієнт к</w:t>
            </w:r>
            <w:r w:rsidRPr="00FC103B">
              <w:rPr>
                <w:sz w:val="28"/>
                <w:szCs w:val="28"/>
                <w:lang w:eastAsia="en-US"/>
              </w:rPr>
              <w:t>ореляц</w:t>
            </w:r>
            <w:r w:rsidRPr="00FC103B">
              <w:rPr>
                <w:sz w:val="28"/>
                <w:szCs w:val="28"/>
                <w:lang w:val="uk-UA" w:eastAsia="en-US"/>
              </w:rPr>
              <w:t>ії</w:t>
            </w:r>
            <w:r w:rsidRPr="00FC103B">
              <w:rPr>
                <w:sz w:val="28"/>
                <w:szCs w:val="28"/>
                <w:lang w:eastAsia="en-US"/>
              </w:rPr>
              <w:t xml:space="preserve"> П</w:t>
            </w:r>
            <w:r w:rsidRPr="00FC103B">
              <w:rPr>
                <w:sz w:val="28"/>
                <w:szCs w:val="28"/>
                <w:lang w:val="uk-UA" w:eastAsia="en-US"/>
              </w:rPr>
              <w:t>і</w:t>
            </w:r>
            <w:r w:rsidRPr="00FC103B">
              <w:rPr>
                <w:sz w:val="28"/>
                <w:szCs w:val="28"/>
                <w:lang w:eastAsia="en-US"/>
              </w:rPr>
              <w:t>рсона</w:t>
            </w:r>
            <w:r w:rsidRPr="00FC103B">
              <w:rPr>
                <w:sz w:val="28"/>
                <w:szCs w:val="28"/>
                <w:lang w:val="uk-UA" w:eastAsia="en-US"/>
              </w:rPr>
              <w:t>,</w:t>
            </w:r>
            <w:r w:rsidRPr="00FC103B">
              <w:rPr>
                <w:sz w:val="28"/>
                <w:szCs w:val="28"/>
                <w:lang w:val="en-US" w:eastAsia="en-US"/>
              </w:rPr>
              <w:t xml:space="preserve"> r</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both"/>
              <w:rPr>
                <w:sz w:val="28"/>
                <w:szCs w:val="28"/>
                <w:lang w:eastAsia="en-US"/>
              </w:rPr>
            </w:pPr>
            <w:r w:rsidRPr="00FC103B">
              <w:rPr>
                <w:sz w:val="28"/>
                <w:szCs w:val="28"/>
                <w:lang w:val="uk-UA" w:eastAsia="en-US"/>
              </w:rPr>
              <w:t>Рівень з</w:t>
            </w:r>
            <w:r w:rsidRPr="00FC103B">
              <w:rPr>
                <w:sz w:val="28"/>
                <w:szCs w:val="28"/>
                <w:lang w:eastAsia="en-US"/>
              </w:rPr>
              <w:t>нач</w:t>
            </w:r>
            <w:r w:rsidRPr="00FC103B">
              <w:rPr>
                <w:sz w:val="28"/>
                <w:szCs w:val="28"/>
                <w:lang w:val="uk-UA" w:eastAsia="en-US"/>
              </w:rPr>
              <w:t>ущості, р</w:t>
            </w:r>
          </w:p>
        </w:tc>
      </w:tr>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bCs/>
                <w:sz w:val="28"/>
                <w:szCs w:val="28"/>
                <w:lang w:eastAsia="en-US"/>
              </w:rPr>
              <w:t>В</w:t>
            </w:r>
            <w:r w:rsidRPr="00FC103B">
              <w:rPr>
                <w:bCs/>
                <w:sz w:val="28"/>
                <w:szCs w:val="28"/>
                <w:lang w:val="uk-UA" w:eastAsia="en-US"/>
              </w:rPr>
              <w:t>ікова підгрупа від 44 до 60 років</w:t>
            </w:r>
          </w:p>
        </w:tc>
      </w:tr>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sz w:val="28"/>
                <w:szCs w:val="28"/>
                <w:lang w:val="uk-UA" w:eastAsia="en-US"/>
              </w:rPr>
              <w:t>1 група</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8-OH-dG-І</w:t>
            </w:r>
            <w:r w:rsidRPr="00FC103B">
              <w:rPr>
                <w:sz w:val="28"/>
                <w:szCs w:val="28"/>
                <w:lang w:eastAsia="en-US"/>
              </w:rPr>
              <w:t>МТ</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en-US" w:eastAsia="en-US"/>
              </w:rPr>
              <w:t>-</w:t>
            </w:r>
            <w:r w:rsidRPr="00FC103B">
              <w:rPr>
                <w:sz w:val="28"/>
                <w:szCs w:val="28"/>
                <w:lang w:val="uk-UA" w:eastAsia="en-US"/>
              </w:rPr>
              <w:t>0</w:t>
            </w:r>
            <w:r w:rsidRPr="00FC103B">
              <w:rPr>
                <w:sz w:val="28"/>
                <w:szCs w:val="28"/>
                <w:lang w:val="en-US" w:eastAsia="en-US"/>
              </w:rPr>
              <w:t>,325</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val="en-US" w:eastAsia="en-US"/>
              </w:rPr>
              <w:t>,023</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w:t>
            </w:r>
            <w:r w:rsidRPr="00FC103B">
              <w:rPr>
                <w:sz w:val="28"/>
                <w:szCs w:val="28"/>
                <w:lang w:val="en-US" w:eastAsia="en-US"/>
              </w:rPr>
              <w:t>HbA1</w:t>
            </w:r>
            <w:r w:rsidRPr="00FC103B">
              <w:rPr>
                <w:sz w:val="28"/>
                <w:szCs w:val="28"/>
                <w:lang w:val="uk-UA" w:eastAsia="en-US"/>
              </w:rPr>
              <w:t>с</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val="en-US" w:eastAsia="en-US"/>
              </w:rPr>
              <w:t>,316</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val="en-US" w:eastAsia="en-US"/>
              </w:rPr>
              <w:t>,027</w:t>
            </w:r>
          </w:p>
        </w:tc>
      </w:tr>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sz w:val="28"/>
                <w:szCs w:val="28"/>
                <w:lang w:val="uk-UA" w:eastAsia="en-US"/>
              </w:rPr>
              <w:t>2 група</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8-OH-dG-ЗХС</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en-US" w:eastAsia="en-US"/>
              </w:rPr>
              <w:t>-</w:t>
            </w:r>
            <w:r w:rsidRPr="00FC103B">
              <w:rPr>
                <w:sz w:val="28"/>
                <w:szCs w:val="28"/>
                <w:lang w:val="uk-UA" w:eastAsia="en-US"/>
              </w:rPr>
              <w:t>0</w:t>
            </w:r>
            <w:r w:rsidRPr="00FC103B">
              <w:rPr>
                <w:sz w:val="28"/>
                <w:szCs w:val="28"/>
                <w:lang w:val="en-US" w:eastAsia="en-US"/>
              </w:rPr>
              <w:t>,262</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val="en-US" w:eastAsia="en-US"/>
              </w:rPr>
              <w:t>,</w:t>
            </w:r>
            <w:r w:rsidRPr="00FC103B">
              <w:rPr>
                <w:sz w:val="28"/>
                <w:szCs w:val="28"/>
                <w:lang w:eastAsia="en-US"/>
              </w:rPr>
              <w:t>05</w:t>
            </w:r>
            <w:r w:rsidRPr="00FC103B">
              <w:rPr>
                <w:sz w:val="28"/>
                <w:szCs w:val="28"/>
                <w:lang w:val="uk-UA" w:eastAsia="en-US"/>
              </w:rPr>
              <w:t>0</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8-OH-dG-ХСЛПДНЩ</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,382</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,004</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8-OH-dG-ХСЛПНЩ</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eastAsia="en-US"/>
              </w:rPr>
              <w:t>-</w:t>
            </w:r>
            <w:r w:rsidRPr="00FC103B">
              <w:rPr>
                <w:sz w:val="28"/>
                <w:szCs w:val="28"/>
                <w:lang w:val="uk-UA" w:eastAsia="en-US"/>
              </w:rPr>
              <w:t>0</w:t>
            </w:r>
            <w:r w:rsidRPr="00FC103B">
              <w:rPr>
                <w:sz w:val="28"/>
                <w:szCs w:val="28"/>
                <w:lang w:eastAsia="en-US"/>
              </w:rPr>
              <w:t>,416</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,001</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8-OH-dG-САТ</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,531</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,00</w:t>
            </w:r>
            <w:r w:rsidRPr="00FC103B">
              <w:rPr>
                <w:sz w:val="28"/>
                <w:szCs w:val="28"/>
                <w:lang w:val="uk-UA" w:eastAsia="en-US"/>
              </w:rPr>
              <w:t>1</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8-OH-dG-ПАТ</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,517</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,00</w:t>
            </w:r>
            <w:r w:rsidRPr="00FC103B">
              <w:rPr>
                <w:sz w:val="28"/>
                <w:szCs w:val="28"/>
                <w:lang w:val="uk-UA" w:eastAsia="en-US"/>
              </w:rPr>
              <w:t>1</w:t>
            </w:r>
          </w:p>
        </w:tc>
      </w:tr>
    </w:tbl>
    <w:p w:rsidR="00FC103B" w:rsidRDefault="00FC103B">
      <w:pPr>
        <w:rPr>
          <w:lang w:val="uk-UA"/>
        </w:rPr>
      </w:pPr>
    </w:p>
    <w:p w:rsidR="00FC103B" w:rsidRDefault="00FC103B">
      <w:pPr>
        <w:rPr>
          <w:i/>
          <w:spacing w:val="-2"/>
          <w:sz w:val="28"/>
          <w:szCs w:val="28"/>
          <w:lang w:val="uk-UA"/>
        </w:rPr>
      </w:pPr>
    </w:p>
    <w:p w:rsidR="00FC103B" w:rsidRPr="00FC103B" w:rsidRDefault="00FC103B" w:rsidP="00FC103B">
      <w:pPr>
        <w:jc w:val="right"/>
        <w:rPr>
          <w:lang w:val="uk-UA"/>
        </w:rPr>
      </w:pPr>
      <w:r>
        <w:rPr>
          <w:i/>
          <w:spacing w:val="-2"/>
          <w:sz w:val="28"/>
          <w:szCs w:val="28"/>
        </w:rPr>
        <w:t xml:space="preserve">Продовження табл. </w:t>
      </w:r>
      <w:r>
        <w:rPr>
          <w:i/>
          <w:spacing w:val="-2"/>
          <w:sz w:val="28"/>
          <w:szCs w:val="28"/>
          <w:lang w:val="uk-UA"/>
        </w:rPr>
        <w:t>4</w:t>
      </w:r>
      <w:r>
        <w:rPr>
          <w:i/>
          <w:spacing w:val="-2"/>
          <w:sz w:val="28"/>
          <w:szCs w:val="28"/>
        </w:rPr>
        <w:t>.1</w:t>
      </w:r>
      <w:r>
        <w:rPr>
          <w:i/>
          <w:spacing w:val="-2"/>
          <w:sz w:val="28"/>
          <w:szCs w:val="28"/>
          <w:lang w:val="uk-UA"/>
        </w:rPr>
        <w:t>0</w:t>
      </w:r>
    </w:p>
    <w:tbl>
      <w:tblPr>
        <w:tblW w:w="0" w:type="auto"/>
        <w:tblLook w:val="04A0" w:firstRow="1" w:lastRow="0" w:firstColumn="1" w:lastColumn="0" w:noHBand="0" w:noVBand="1"/>
      </w:tblPr>
      <w:tblGrid>
        <w:gridCol w:w="3189"/>
        <w:gridCol w:w="3190"/>
        <w:gridCol w:w="3191"/>
      </w:tblGrid>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sz w:val="28"/>
                <w:szCs w:val="28"/>
                <w:lang w:val="uk-UA" w:eastAsia="en-US"/>
              </w:rPr>
              <w:t>3 група</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8-OH-dG-Т4віл</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eastAsia="en-US"/>
              </w:rPr>
              <w:t>-</w:t>
            </w:r>
            <w:r w:rsidRPr="00FC103B">
              <w:rPr>
                <w:sz w:val="28"/>
                <w:szCs w:val="28"/>
                <w:lang w:val="uk-UA" w:eastAsia="en-US"/>
              </w:rPr>
              <w:t>0</w:t>
            </w:r>
            <w:r w:rsidRPr="00FC103B">
              <w:rPr>
                <w:sz w:val="28"/>
                <w:szCs w:val="28"/>
                <w:lang w:eastAsia="en-US"/>
              </w:rPr>
              <w:t>,323</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,05</w:t>
            </w:r>
            <w:r w:rsidRPr="00FC103B">
              <w:rPr>
                <w:sz w:val="28"/>
                <w:szCs w:val="28"/>
                <w:lang w:val="uk-UA" w:eastAsia="en-US"/>
              </w:rPr>
              <w:t>0</w:t>
            </w:r>
          </w:p>
        </w:tc>
      </w:tr>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bCs/>
                <w:sz w:val="28"/>
                <w:szCs w:val="28"/>
                <w:lang w:eastAsia="en-US"/>
              </w:rPr>
              <w:t>В</w:t>
            </w:r>
            <w:r w:rsidRPr="00FC103B">
              <w:rPr>
                <w:bCs/>
                <w:sz w:val="28"/>
                <w:szCs w:val="28"/>
                <w:lang w:val="uk-UA" w:eastAsia="en-US"/>
              </w:rPr>
              <w:t>ікова підгрупа від 61 до 75 років</w:t>
            </w:r>
          </w:p>
        </w:tc>
      </w:tr>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sz w:val="28"/>
                <w:szCs w:val="28"/>
                <w:lang w:val="uk-UA" w:eastAsia="en-US"/>
              </w:rPr>
              <w:t>1 група</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8-OH-dG-ЗХ</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w:t>
            </w:r>
            <w:r w:rsidRPr="00FC103B">
              <w:rPr>
                <w:sz w:val="28"/>
                <w:szCs w:val="28"/>
                <w:lang w:val="uk-UA" w:eastAsia="en-US"/>
              </w:rPr>
              <w:t>263</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w:t>
            </w:r>
            <w:r w:rsidRPr="00FC103B">
              <w:rPr>
                <w:sz w:val="28"/>
                <w:szCs w:val="28"/>
                <w:lang w:val="uk-UA" w:eastAsia="en-US"/>
              </w:rPr>
              <w:t>48</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8-OH-dG-ХСЛПДНЩ</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w:t>
            </w:r>
            <w:r w:rsidRPr="00FC103B">
              <w:rPr>
                <w:sz w:val="28"/>
                <w:szCs w:val="28"/>
                <w:lang w:val="uk-UA" w:eastAsia="en-US"/>
              </w:rPr>
              <w:t>271</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w:t>
            </w:r>
            <w:r w:rsidRPr="00FC103B">
              <w:rPr>
                <w:sz w:val="28"/>
                <w:szCs w:val="28"/>
                <w:lang w:val="uk-UA" w:eastAsia="en-US"/>
              </w:rPr>
              <w:t>42</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8-OH-dG-ПАТ</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w:t>
            </w:r>
            <w:r w:rsidRPr="00FC103B">
              <w:rPr>
                <w:sz w:val="28"/>
                <w:szCs w:val="28"/>
                <w:lang w:val="uk-UA" w:eastAsia="en-US"/>
              </w:rPr>
              <w:t>363</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w:t>
            </w:r>
            <w:r w:rsidRPr="00FC103B">
              <w:rPr>
                <w:sz w:val="28"/>
                <w:szCs w:val="28"/>
                <w:lang w:val="uk-UA" w:eastAsia="en-US"/>
              </w:rPr>
              <w:t>06</w:t>
            </w:r>
          </w:p>
        </w:tc>
      </w:tr>
      <w:tr w:rsidR="00FC103B" w:rsidRPr="00FC103B"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jc w:val="center"/>
              <w:rPr>
                <w:sz w:val="28"/>
                <w:szCs w:val="28"/>
                <w:lang w:val="uk-UA" w:eastAsia="en-US"/>
              </w:rPr>
            </w:pPr>
            <w:r w:rsidRPr="00FC103B">
              <w:rPr>
                <w:sz w:val="28"/>
                <w:szCs w:val="28"/>
                <w:lang w:val="uk-UA" w:eastAsia="en-US"/>
              </w:rPr>
              <w:t>2 група</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8-OH-dG-ХСЛПВЩ</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,245</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,014</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8-OH-dG/Т4віл</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eastAsia="en-US"/>
              </w:rPr>
              <w:t>-</w:t>
            </w:r>
            <w:r w:rsidRPr="00FC103B">
              <w:rPr>
                <w:sz w:val="28"/>
                <w:szCs w:val="28"/>
                <w:lang w:val="uk-UA" w:eastAsia="en-US"/>
              </w:rPr>
              <w:t>0</w:t>
            </w:r>
            <w:r w:rsidRPr="00FC103B">
              <w:rPr>
                <w:sz w:val="28"/>
                <w:szCs w:val="28"/>
                <w:lang w:eastAsia="en-US"/>
              </w:rPr>
              <w:t>,223</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,026</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8-OH-dG/САТ</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,243</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,015</w:t>
            </w:r>
          </w:p>
        </w:tc>
      </w:tr>
      <w:tr w:rsidR="00FC103B" w:rsidRPr="00FC103B" w:rsidTr="00E3259F">
        <w:tc>
          <w:tcPr>
            <w:tcW w:w="3189"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8-OH-dG/ДАТ</w:t>
            </w:r>
          </w:p>
        </w:tc>
        <w:tc>
          <w:tcPr>
            <w:tcW w:w="3190"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,351</w:t>
            </w:r>
          </w:p>
        </w:tc>
        <w:tc>
          <w:tcPr>
            <w:tcW w:w="3191" w:type="dxa"/>
            <w:tcBorders>
              <w:top w:val="single" w:sz="4" w:space="0" w:color="auto"/>
              <w:left w:val="single" w:sz="4" w:space="0" w:color="auto"/>
              <w:bottom w:val="single" w:sz="4" w:space="0" w:color="auto"/>
              <w:right w:val="single" w:sz="4" w:space="0" w:color="auto"/>
            </w:tcBorders>
            <w:hideMark/>
          </w:tcPr>
          <w:p w:rsidR="00E3259F" w:rsidRPr="00FC103B" w:rsidRDefault="00E3259F" w:rsidP="00FC103B">
            <w:pPr>
              <w:spacing w:line="360" w:lineRule="auto"/>
              <w:rPr>
                <w:sz w:val="28"/>
                <w:szCs w:val="28"/>
                <w:lang w:val="uk-UA" w:eastAsia="en-US"/>
              </w:rPr>
            </w:pPr>
            <w:r w:rsidRPr="00FC103B">
              <w:rPr>
                <w:sz w:val="28"/>
                <w:szCs w:val="28"/>
                <w:lang w:val="uk-UA" w:eastAsia="en-US"/>
              </w:rPr>
              <w:t>0</w:t>
            </w:r>
            <w:r w:rsidRPr="00FC103B">
              <w:rPr>
                <w:sz w:val="28"/>
                <w:szCs w:val="28"/>
                <w:lang w:eastAsia="en-US"/>
              </w:rPr>
              <w:t>,00</w:t>
            </w:r>
            <w:r w:rsidRPr="00FC103B">
              <w:rPr>
                <w:sz w:val="28"/>
                <w:szCs w:val="28"/>
                <w:lang w:val="uk-UA" w:eastAsia="en-US"/>
              </w:rPr>
              <w:t>1</w:t>
            </w:r>
          </w:p>
        </w:tc>
      </w:tr>
    </w:tbl>
    <w:p w:rsidR="00E3259F" w:rsidRDefault="00E3259F" w:rsidP="00E3259F">
      <w:pPr>
        <w:rPr>
          <w:color w:val="000000"/>
          <w:sz w:val="28"/>
          <w:szCs w:val="28"/>
          <w:lang w:val="uk-UA"/>
        </w:rPr>
      </w:pPr>
    </w:p>
    <w:p w:rsidR="00E3259F" w:rsidRDefault="00E3259F" w:rsidP="00E3259F">
      <w:pPr>
        <w:spacing w:line="360" w:lineRule="auto"/>
        <w:jc w:val="both"/>
        <w:rPr>
          <w:color w:val="000000"/>
          <w:sz w:val="28"/>
          <w:szCs w:val="28"/>
          <w:lang w:val="uk-UA"/>
        </w:rPr>
      </w:pPr>
    </w:p>
    <w:p w:rsidR="00E3259F" w:rsidRPr="00FC103B" w:rsidRDefault="00E3259F" w:rsidP="00FC103B">
      <w:pPr>
        <w:spacing w:line="360" w:lineRule="auto"/>
        <w:ind w:firstLine="709"/>
        <w:jc w:val="both"/>
        <w:rPr>
          <w:sz w:val="28"/>
          <w:szCs w:val="28"/>
          <w:lang w:val="uk-UA"/>
        </w:rPr>
      </w:pPr>
      <w:r w:rsidRPr="00FC103B">
        <w:rPr>
          <w:sz w:val="28"/>
          <w:szCs w:val="28"/>
          <w:lang w:val="uk-UA"/>
        </w:rPr>
        <w:t xml:space="preserve">Таким чином, при дослідженні маркера ушкодження ДНК було встановлено достовірно вищій рівень 8-OH-dG у пацієнтів досліджуваних груп порівняно з групою контролю, наявність СГТ на тлі поєднаного перебігу ГХ та ЦД 2 типу супроводжувалася достовірно нижчим рівнем </w:t>
      </w:r>
      <w:r w:rsidRPr="00FC103B">
        <w:rPr>
          <w:sz w:val="28"/>
          <w:szCs w:val="28"/>
          <w:shd w:val="clear" w:color="auto" w:fill="FFFFFF"/>
          <w:lang w:val="uk-UA"/>
        </w:rPr>
        <w:t>окислювального пошкодження ДНК</w:t>
      </w:r>
      <w:r w:rsidRPr="00FC103B">
        <w:rPr>
          <w:sz w:val="28"/>
          <w:szCs w:val="28"/>
          <w:lang w:val="uk-UA"/>
        </w:rPr>
        <w:t xml:space="preserve"> порівняно з групою пацієнтів з ГХ, ЦД 2 типу без порушення функції ЩЗ. Був виявлений гендерний вплив на чутливість  до </w:t>
      </w:r>
      <w:r w:rsidRPr="00FC103B">
        <w:rPr>
          <w:sz w:val="28"/>
          <w:szCs w:val="28"/>
          <w:shd w:val="clear" w:color="auto" w:fill="FFFFFF"/>
          <w:lang w:val="uk-UA"/>
        </w:rPr>
        <w:t xml:space="preserve">окислювального пошкодження ДНК в залежності від функціонального стану ЩЗ при коморбідній патології: при еутиреозі рівень </w:t>
      </w:r>
      <w:r w:rsidRPr="00FC103B">
        <w:rPr>
          <w:sz w:val="28"/>
          <w:szCs w:val="28"/>
          <w:lang w:val="uk-UA"/>
        </w:rPr>
        <w:t xml:space="preserve">8-OH-dG був вище у жінок, а при </w:t>
      </w:r>
      <w:r w:rsidRPr="00FC103B">
        <w:rPr>
          <w:sz w:val="28"/>
          <w:szCs w:val="28"/>
          <w:shd w:val="clear" w:color="auto" w:fill="FFFFFF"/>
          <w:lang w:val="uk-UA"/>
        </w:rPr>
        <w:t>наявності СГТ  - вище у чоловіків.</w:t>
      </w:r>
      <w:r w:rsidRPr="00FC103B">
        <w:rPr>
          <w:sz w:val="28"/>
          <w:szCs w:val="28"/>
          <w:lang w:val="uk-UA"/>
        </w:rPr>
        <w:t xml:space="preserve"> Крім того, відзначено вік-асоційоване підвищення середнього значення 8-OH-dG в осіб більш старшої вікової групи, але достовірні значення спостерігалися тільки при коморбідній патології незалежно від функціонального стану ЩЗ (p=0,001), що свідчить про наявність вік-асоційованого поглиблення негативного впливу коморбідності хронічних захворювань, а саме ГХ, ЦД 2 типу та СГТ, на процеси </w:t>
      </w:r>
      <w:r w:rsidRPr="00FC103B">
        <w:rPr>
          <w:sz w:val="28"/>
          <w:szCs w:val="28"/>
          <w:shd w:val="clear" w:color="auto" w:fill="FFFFFF"/>
          <w:lang w:val="uk-UA"/>
        </w:rPr>
        <w:t>окислювального ушкодження ДНК</w:t>
      </w:r>
      <w:r w:rsidRPr="00FC103B">
        <w:rPr>
          <w:sz w:val="28"/>
          <w:szCs w:val="28"/>
          <w:lang w:val="uk-UA"/>
        </w:rPr>
        <w:t xml:space="preserve"> у даної категорії пацієнтів. </w:t>
      </w:r>
    </w:p>
    <w:p w:rsidR="00E3259F" w:rsidRDefault="00E3259F" w:rsidP="00E3259F">
      <w:pPr>
        <w:spacing w:line="360" w:lineRule="auto"/>
        <w:jc w:val="both"/>
        <w:rPr>
          <w:sz w:val="28"/>
          <w:szCs w:val="28"/>
          <w:lang w:val="uk-UA"/>
        </w:rPr>
      </w:pPr>
    </w:p>
    <w:p w:rsidR="00E3259F" w:rsidRDefault="00E3259F" w:rsidP="00E3259F">
      <w:pPr>
        <w:spacing w:line="360" w:lineRule="auto"/>
        <w:jc w:val="both"/>
        <w:rPr>
          <w:sz w:val="28"/>
          <w:szCs w:val="28"/>
          <w:lang w:val="uk-UA"/>
        </w:rPr>
      </w:pPr>
      <w:r>
        <w:rPr>
          <w:sz w:val="28"/>
          <w:szCs w:val="28"/>
          <w:lang w:val="uk-UA"/>
        </w:rPr>
        <w:t xml:space="preserve">4.3. </w:t>
      </w:r>
      <w:r w:rsidRPr="000027F2">
        <w:rPr>
          <w:sz w:val="28"/>
          <w:szCs w:val="28"/>
          <w:lang w:val="uk-UA"/>
        </w:rPr>
        <w:t xml:space="preserve">Особливості взаємозв’язку біологічного віку, процесів старіння та оксидативного стресу у хворих на гіпертонічну хворобу у поєднанні з цукровим діабетом 2 типу без порушення функції щитоподібної залози та  з субклінічним гіпотиреозом.  </w:t>
      </w:r>
    </w:p>
    <w:p w:rsidR="00E3259F" w:rsidRDefault="00E3259F" w:rsidP="00E3259F">
      <w:pPr>
        <w:pStyle w:val="a4"/>
        <w:spacing w:line="360" w:lineRule="auto"/>
        <w:ind w:left="0" w:firstLine="709"/>
        <w:jc w:val="both"/>
        <w:textAlignment w:val="top"/>
        <w:rPr>
          <w:sz w:val="28"/>
          <w:szCs w:val="28"/>
          <w:lang w:val="uk-UA" w:eastAsia="uk-UA"/>
        </w:rPr>
      </w:pPr>
    </w:p>
    <w:p w:rsidR="00E3259F" w:rsidRPr="000027F2" w:rsidRDefault="00E3259F" w:rsidP="00E3259F">
      <w:pPr>
        <w:pStyle w:val="a4"/>
        <w:spacing w:line="360" w:lineRule="auto"/>
        <w:ind w:left="0" w:firstLine="709"/>
        <w:jc w:val="both"/>
        <w:textAlignment w:val="top"/>
        <w:rPr>
          <w:sz w:val="28"/>
          <w:szCs w:val="28"/>
          <w:lang w:eastAsia="uk-UA"/>
        </w:rPr>
      </w:pPr>
      <w:r w:rsidRPr="000027F2">
        <w:rPr>
          <w:sz w:val="28"/>
          <w:szCs w:val="28"/>
          <w:lang w:val="uk-UA" w:eastAsia="uk-UA"/>
        </w:rPr>
        <w:t>Певні фактори, так звані предиктори передчасного старіння, включаючи, згідно із сучасними концепціями, окислювальний стрес,  сприяють процесу патологічного (передчасного) типу старіння [</w:t>
      </w:r>
      <w:r w:rsidRPr="000027F2">
        <w:rPr>
          <w:sz w:val="28"/>
          <w:szCs w:val="28"/>
          <w:lang w:val="uk-UA" w:eastAsia="en-US"/>
        </w:rPr>
        <w:t>43</w:t>
      </w:r>
      <w:r w:rsidRPr="000027F2">
        <w:rPr>
          <w:sz w:val="28"/>
          <w:szCs w:val="28"/>
          <w:lang w:eastAsia="en-US"/>
        </w:rPr>
        <w:t>,1</w:t>
      </w:r>
      <w:r w:rsidRPr="000027F2">
        <w:rPr>
          <w:sz w:val="28"/>
          <w:szCs w:val="28"/>
          <w:lang w:val="uk-UA" w:eastAsia="en-US"/>
        </w:rPr>
        <w:t>26</w:t>
      </w:r>
      <w:r w:rsidRPr="000027F2">
        <w:rPr>
          <w:sz w:val="28"/>
          <w:szCs w:val="28"/>
          <w:lang w:val="uk-UA" w:eastAsia="uk-UA"/>
        </w:rPr>
        <w:t>].</w:t>
      </w:r>
    </w:p>
    <w:p w:rsidR="00E3259F" w:rsidRPr="000027F2" w:rsidRDefault="00E3259F" w:rsidP="00E3259F">
      <w:pPr>
        <w:spacing w:line="360" w:lineRule="auto"/>
        <w:ind w:firstLine="709"/>
        <w:jc w:val="both"/>
        <w:rPr>
          <w:rStyle w:val="tlid-translation"/>
        </w:rPr>
      </w:pPr>
      <w:r w:rsidRPr="000027F2">
        <w:rPr>
          <w:rStyle w:val="tlid-translation"/>
          <w:sz w:val="28"/>
          <w:szCs w:val="28"/>
          <w:lang w:val="uk-UA"/>
        </w:rPr>
        <w:t xml:space="preserve">Був проведений аналіз особливостей </w:t>
      </w:r>
      <w:r w:rsidRPr="000027F2">
        <w:rPr>
          <w:sz w:val="28"/>
          <w:szCs w:val="28"/>
          <w:lang w:val="uk-UA"/>
        </w:rPr>
        <w:t xml:space="preserve">показників прооксидантно-антиоксидантної системи  залежно від темпу старіння в досліджуваних групах хворих </w:t>
      </w:r>
      <w:r w:rsidRPr="000027F2">
        <w:rPr>
          <w:rStyle w:val="tlid-translation"/>
          <w:sz w:val="28"/>
          <w:szCs w:val="28"/>
          <w:lang w:val="uk-UA"/>
        </w:rPr>
        <w:t xml:space="preserve">(Таблиця 4.11). </w:t>
      </w:r>
    </w:p>
    <w:p w:rsidR="00E3259F" w:rsidRDefault="00E3259F" w:rsidP="00E3259F">
      <w:pPr>
        <w:spacing w:line="360" w:lineRule="auto"/>
        <w:ind w:firstLine="709"/>
        <w:jc w:val="right"/>
        <w:rPr>
          <w:rStyle w:val="tlid-translation"/>
          <w:sz w:val="28"/>
          <w:szCs w:val="28"/>
          <w:lang w:val="uk-UA"/>
        </w:rPr>
      </w:pPr>
      <w:r>
        <w:rPr>
          <w:rStyle w:val="tlid-translation"/>
          <w:sz w:val="28"/>
          <w:szCs w:val="28"/>
          <w:lang w:val="uk-UA"/>
        </w:rPr>
        <w:t>Таблиця 4.11</w:t>
      </w:r>
    </w:p>
    <w:p w:rsidR="00E3259F" w:rsidRDefault="00E3259F" w:rsidP="00E3259F">
      <w:pPr>
        <w:spacing w:line="360" w:lineRule="auto"/>
        <w:ind w:firstLine="709"/>
        <w:jc w:val="center"/>
      </w:pPr>
      <w:r>
        <w:rPr>
          <w:rStyle w:val="tlid-translation"/>
          <w:sz w:val="28"/>
          <w:szCs w:val="28"/>
          <w:lang w:val="uk-UA"/>
        </w:rPr>
        <w:t xml:space="preserve">Показникі </w:t>
      </w:r>
      <w:r>
        <w:rPr>
          <w:sz w:val="28"/>
          <w:szCs w:val="28"/>
          <w:lang w:val="uk-UA"/>
        </w:rPr>
        <w:t>прооксидантно-антиоксидантної системи</w:t>
      </w:r>
      <w:r>
        <w:rPr>
          <w:rStyle w:val="tlid-translation"/>
          <w:sz w:val="28"/>
          <w:szCs w:val="28"/>
          <w:lang w:val="uk-UA"/>
        </w:rPr>
        <w:t xml:space="preserve"> в залежності від темпу старіння, </w:t>
      </w:r>
      <w:r>
        <w:rPr>
          <w:sz w:val="28"/>
          <w:szCs w:val="28"/>
        </w:rPr>
        <w:t>(</w:t>
      </w:r>
      <w:r>
        <w:rPr>
          <w:sz w:val="28"/>
          <w:szCs w:val="28"/>
          <w:lang w:val="en-US"/>
        </w:rPr>
        <w:t>M</w:t>
      </w:r>
      <w:r>
        <w:rPr>
          <w:sz w:val="28"/>
          <w:szCs w:val="28"/>
        </w:rPr>
        <w:t>±</w:t>
      </w:r>
      <w:r>
        <w:rPr>
          <w:sz w:val="28"/>
          <w:szCs w:val="28"/>
          <w:lang w:val="en-US"/>
        </w:rPr>
        <w:t>m</w:t>
      </w:r>
      <w:r>
        <w:rPr>
          <w:sz w:val="28"/>
          <w:szCs w:val="28"/>
        </w:rPr>
        <w:t>)</w:t>
      </w:r>
    </w:p>
    <w:tbl>
      <w:tblPr>
        <w:tblW w:w="5000" w:type="pct"/>
        <w:tblLook w:val="04A0" w:firstRow="1" w:lastRow="0" w:firstColumn="1" w:lastColumn="0" w:noHBand="0" w:noVBand="1"/>
      </w:tblPr>
      <w:tblGrid>
        <w:gridCol w:w="1415"/>
        <w:gridCol w:w="1382"/>
        <w:gridCol w:w="1390"/>
        <w:gridCol w:w="1277"/>
        <w:gridCol w:w="1277"/>
        <w:gridCol w:w="1382"/>
        <w:gridCol w:w="1447"/>
      </w:tblGrid>
      <w:tr w:rsidR="00E3259F" w:rsidRPr="000027F2" w:rsidTr="00E3259F">
        <w:tc>
          <w:tcPr>
            <w:tcW w:w="740" w:type="pct"/>
            <w:vMerge w:val="restar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Показник/</w:t>
            </w:r>
          </w:p>
          <w:p w:rsidR="00E3259F" w:rsidRPr="000027F2" w:rsidRDefault="00E3259F" w:rsidP="000027F2">
            <w:pPr>
              <w:spacing w:line="360" w:lineRule="auto"/>
              <w:jc w:val="both"/>
              <w:rPr>
                <w:lang w:val="uk-UA" w:eastAsia="en-US"/>
              </w:rPr>
            </w:pPr>
            <w:r w:rsidRPr="000027F2">
              <w:rPr>
                <w:lang w:val="uk-UA" w:eastAsia="en-US"/>
              </w:rPr>
              <w:t>Темп старіння</w:t>
            </w:r>
          </w:p>
        </w:tc>
        <w:tc>
          <w:tcPr>
            <w:tcW w:w="1448" w:type="pct"/>
            <w:gridSpan w:val="2"/>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center"/>
              <w:rPr>
                <w:lang w:val="uk-UA" w:eastAsia="en-US"/>
              </w:rPr>
            </w:pPr>
            <w:r w:rsidRPr="000027F2">
              <w:rPr>
                <w:lang w:val="uk-UA" w:eastAsia="en-US"/>
              </w:rPr>
              <w:t>Група 1</w:t>
            </w:r>
          </w:p>
          <w:p w:rsidR="00E3259F" w:rsidRPr="000027F2" w:rsidRDefault="00E3259F" w:rsidP="000027F2">
            <w:pPr>
              <w:spacing w:line="360" w:lineRule="auto"/>
              <w:jc w:val="center"/>
              <w:rPr>
                <w:lang w:val="uk-UA" w:eastAsia="en-US"/>
              </w:rPr>
            </w:pPr>
            <w:r w:rsidRPr="000027F2">
              <w:rPr>
                <w:lang w:val="uk-UA" w:eastAsia="en-US"/>
              </w:rPr>
              <w:t>(</w:t>
            </w:r>
            <w:r w:rsidRPr="000027F2">
              <w:rPr>
                <w:lang w:val="en-US" w:eastAsia="en-US"/>
              </w:rPr>
              <w:t>n=106)</w:t>
            </w:r>
          </w:p>
        </w:tc>
        <w:tc>
          <w:tcPr>
            <w:tcW w:w="1334" w:type="pct"/>
            <w:gridSpan w:val="2"/>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center"/>
              <w:rPr>
                <w:lang w:val="uk-UA" w:eastAsia="en-US"/>
              </w:rPr>
            </w:pPr>
            <w:r w:rsidRPr="000027F2">
              <w:rPr>
                <w:lang w:val="uk-UA" w:eastAsia="en-US"/>
              </w:rPr>
              <w:t>Група 2</w:t>
            </w:r>
          </w:p>
          <w:p w:rsidR="00E3259F" w:rsidRPr="000027F2" w:rsidRDefault="00E3259F" w:rsidP="000027F2">
            <w:pPr>
              <w:spacing w:line="360" w:lineRule="auto"/>
              <w:jc w:val="center"/>
              <w:rPr>
                <w:lang w:val="uk-UA" w:eastAsia="en-US"/>
              </w:rPr>
            </w:pPr>
            <w:r w:rsidRPr="000027F2">
              <w:rPr>
                <w:lang w:val="uk-UA" w:eastAsia="en-US"/>
              </w:rPr>
              <w:t>(</w:t>
            </w:r>
            <w:r w:rsidRPr="000027F2">
              <w:rPr>
                <w:lang w:val="en-US" w:eastAsia="en-US"/>
              </w:rPr>
              <w:t>n=156)</w:t>
            </w:r>
          </w:p>
        </w:tc>
        <w:tc>
          <w:tcPr>
            <w:tcW w:w="1478" w:type="pct"/>
            <w:gridSpan w:val="2"/>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center"/>
              <w:rPr>
                <w:lang w:val="uk-UA" w:eastAsia="en-US"/>
              </w:rPr>
            </w:pPr>
            <w:r w:rsidRPr="000027F2">
              <w:rPr>
                <w:lang w:val="uk-UA" w:eastAsia="en-US"/>
              </w:rPr>
              <w:t>Група 3</w:t>
            </w:r>
          </w:p>
          <w:p w:rsidR="00E3259F" w:rsidRPr="000027F2" w:rsidRDefault="00E3259F" w:rsidP="000027F2">
            <w:pPr>
              <w:spacing w:line="360" w:lineRule="auto"/>
              <w:jc w:val="center"/>
              <w:rPr>
                <w:lang w:val="uk-UA" w:eastAsia="en-US"/>
              </w:rPr>
            </w:pPr>
            <w:r w:rsidRPr="000027F2">
              <w:rPr>
                <w:lang w:val="en-US" w:eastAsia="en-US"/>
              </w:rPr>
              <w:t>(n=93)</w:t>
            </w:r>
          </w:p>
        </w:tc>
      </w:tr>
      <w:tr w:rsidR="00E3259F" w:rsidRPr="000027F2" w:rsidTr="00E3259F">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0027F2" w:rsidRDefault="00E3259F" w:rsidP="000027F2">
            <w:pPr>
              <w:spacing w:line="360" w:lineRule="auto"/>
              <w:rPr>
                <w:lang w:val="uk-UA" w:eastAsia="en-US"/>
              </w:rPr>
            </w:pP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У</w:t>
            </w:r>
            <w:r w:rsidRPr="000027F2">
              <w:rPr>
                <w:lang w:eastAsia="en-US"/>
              </w:rPr>
              <w:t>ТС</w:t>
            </w:r>
          </w:p>
          <w:p w:rsidR="00E3259F" w:rsidRPr="000027F2" w:rsidRDefault="00E3259F" w:rsidP="000027F2">
            <w:pPr>
              <w:spacing w:line="360" w:lineRule="auto"/>
              <w:jc w:val="both"/>
              <w:rPr>
                <w:lang w:val="uk-UA" w:eastAsia="en-US"/>
              </w:rPr>
            </w:pPr>
            <w:r w:rsidRPr="000027F2">
              <w:rPr>
                <w:lang w:eastAsia="en-US"/>
              </w:rPr>
              <w:t>(</w:t>
            </w:r>
            <w:r w:rsidRPr="000027F2">
              <w:rPr>
                <w:lang w:val="en-US" w:eastAsia="en-US"/>
              </w:rPr>
              <w:t>n=59)</w:t>
            </w:r>
          </w:p>
        </w:tc>
        <w:tc>
          <w:tcPr>
            <w:tcW w:w="72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П</w:t>
            </w:r>
            <w:r w:rsidRPr="000027F2">
              <w:rPr>
                <w:lang w:eastAsia="en-US"/>
              </w:rPr>
              <w:t>ТС</w:t>
            </w:r>
          </w:p>
          <w:p w:rsidR="00E3259F" w:rsidRPr="000027F2" w:rsidRDefault="00E3259F" w:rsidP="000027F2">
            <w:pPr>
              <w:spacing w:line="360" w:lineRule="auto"/>
              <w:jc w:val="both"/>
              <w:rPr>
                <w:lang w:val="uk-UA" w:eastAsia="en-US"/>
              </w:rPr>
            </w:pPr>
            <w:r w:rsidRPr="000027F2">
              <w:rPr>
                <w:lang w:eastAsia="en-US"/>
              </w:rPr>
              <w:t>(</w:t>
            </w:r>
            <w:r w:rsidRPr="000027F2">
              <w:rPr>
                <w:lang w:val="en-US" w:eastAsia="en-US"/>
              </w:rPr>
              <w:t>n=33)</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У</w:t>
            </w:r>
            <w:r w:rsidRPr="000027F2">
              <w:rPr>
                <w:lang w:eastAsia="en-US"/>
              </w:rPr>
              <w:t>ТС</w:t>
            </w:r>
          </w:p>
          <w:p w:rsidR="00E3259F" w:rsidRPr="000027F2" w:rsidRDefault="00E3259F" w:rsidP="000027F2">
            <w:pPr>
              <w:spacing w:line="360" w:lineRule="auto"/>
              <w:jc w:val="both"/>
              <w:rPr>
                <w:lang w:val="uk-UA" w:eastAsia="en-US"/>
              </w:rPr>
            </w:pPr>
            <w:r w:rsidRPr="000027F2">
              <w:rPr>
                <w:lang w:eastAsia="en-US"/>
              </w:rPr>
              <w:t>(</w:t>
            </w:r>
            <w:r w:rsidRPr="000027F2">
              <w:rPr>
                <w:lang w:val="en-US" w:eastAsia="en-US"/>
              </w:rPr>
              <w:t>n=57)</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П</w:t>
            </w:r>
            <w:r w:rsidRPr="000027F2">
              <w:rPr>
                <w:lang w:eastAsia="en-US"/>
              </w:rPr>
              <w:t>ТС</w:t>
            </w:r>
          </w:p>
          <w:p w:rsidR="00E3259F" w:rsidRPr="000027F2" w:rsidRDefault="00E3259F" w:rsidP="000027F2">
            <w:pPr>
              <w:spacing w:line="360" w:lineRule="auto"/>
              <w:jc w:val="both"/>
              <w:rPr>
                <w:lang w:val="uk-UA" w:eastAsia="en-US"/>
              </w:rPr>
            </w:pPr>
            <w:r w:rsidRPr="000027F2">
              <w:rPr>
                <w:lang w:eastAsia="en-US"/>
              </w:rPr>
              <w:t>(</w:t>
            </w:r>
            <w:r w:rsidRPr="000027F2">
              <w:rPr>
                <w:lang w:val="en-US" w:eastAsia="en-US"/>
              </w:rPr>
              <w:t>n=84)</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У</w:t>
            </w:r>
            <w:r w:rsidRPr="000027F2">
              <w:rPr>
                <w:lang w:eastAsia="en-US"/>
              </w:rPr>
              <w:t>ТС</w:t>
            </w:r>
          </w:p>
          <w:p w:rsidR="00E3259F" w:rsidRPr="000027F2" w:rsidRDefault="00E3259F" w:rsidP="000027F2">
            <w:pPr>
              <w:spacing w:line="360" w:lineRule="auto"/>
              <w:jc w:val="both"/>
              <w:rPr>
                <w:lang w:val="uk-UA" w:eastAsia="en-US"/>
              </w:rPr>
            </w:pPr>
            <w:r w:rsidRPr="000027F2">
              <w:rPr>
                <w:lang w:eastAsia="en-US"/>
              </w:rPr>
              <w:t>(</w:t>
            </w:r>
            <w:r w:rsidRPr="000027F2">
              <w:rPr>
                <w:lang w:val="en-US" w:eastAsia="en-US"/>
              </w:rPr>
              <w:t>n=38)</w:t>
            </w:r>
          </w:p>
        </w:tc>
        <w:tc>
          <w:tcPr>
            <w:tcW w:w="75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lang w:val="uk-UA" w:eastAsia="en-US"/>
              </w:rPr>
            </w:pPr>
            <w:r w:rsidRPr="000027F2">
              <w:rPr>
                <w:lang w:val="uk-UA" w:eastAsia="en-US"/>
              </w:rPr>
              <w:t>П</w:t>
            </w:r>
            <w:r w:rsidRPr="000027F2">
              <w:rPr>
                <w:lang w:eastAsia="en-US"/>
              </w:rPr>
              <w:t>ТС</w:t>
            </w:r>
          </w:p>
          <w:p w:rsidR="00E3259F" w:rsidRPr="000027F2" w:rsidRDefault="00E3259F" w:rsidP="000027F2">
            <w:pPr>
              <w:spacing w:line="360" w:lineRule="auto"/>
              <w:jc w:val="both"/>
              <w:rPr>
                <w:lang w:val="uk-UA" w:eastAsia="en-US"/>
              </w:rPr>
            </w:pPr>
            <w:r w:rsidRPr="000027F2">
              <w:rPr>
                <w:lang w:eastAsia="en-US"/>
              </w:rPr>
              <w:t>(</w:t>
            </w:r>
            <w:r w:rsidRPr="000027F2">
              <w:rPr>
                <w:lang w:val="en-US" w:eastAsia="en-US"/>
              </w:rPr>
              <w:t>n=51)</w:t>
            </w:r>
          </w:p>
        </w:tc>
      </w:tr>
      <w:tr w:rsidR="00E3259F" w:rsidRPr="000027F2" w:rsidTr="00E3259F">
        <w:tc>
          <w:tcPr>
            <w:tcW w:w="740"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pStyle w:val="a4"/>
              <w:spacing w:line="360" w:lineRule="auto"/>
              <w:ind w:left="0"/>
              <w:jc w:val="both"/>
              <w:textAlignment w:val="top"/>
              <w:rPr>
                <w:lang w:val="uk-UA" w:eastAsia="en-US"/>
              </w:rPr>
            </w:pPr>
            <w:r w:rsidRPr="000027F2">
              <w:rPr>
                <w:lang w:val="uk-UA" w:eastAsia="en-US"/>
              </w:rPr>
              <w:t>8-OH-dG, пкг/мл</w:t>
            </w:r>
            <w:r w:rsidRPr="000027F2">
              <w:rPr>
                <w:lang w:val="en-US" w:eastAsia="en-US"/>
              </w:rPr>
              <w:t xml:space="preserve"> </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14,0</w:t>
            </w:r>
            <w:r w:rsidRPr="000027F2">
              <w:rPr>
                <w:sz w:val="21"/>
                <w:szCs w:val="21"/>
                <w:lang w:val="uk-UA" w:eastAsia="en-US"/>
              </w:rPr>
              <w:t>9</w:t>
            </w:r>
            <w:r w:rsidRPr="000027F2">
              <w:rPr>
                <w:sz w:val="21"/>
                <w:szCs w:val="21"/>
                <w:lang w:eastAsia="en-US"/>
              </w:rPr>
              <w:t>±</w:t>
            </w:r>
            <w:r w:rsidRPr="000027F2">
              <w:rPr>
                <w:sz w:val="21"/>
                <w:szCs w:val="21"/>
                <w:lang w:val="uk-UA" w:eastAsia="en-US"/>
              </w:rPr>
              <w:t>0</w:t>
            </w:r>
            <w:r w:rsidRPr="000027F2">
              <w:rPr>
                <w:sz w:val="21"/>
                <w:szCs w:val="21"/>
                <w:lang w:eastAsia="en-US"/>
              </w:rPr>
              <w:t>,39</w:t>
            </w:r>
          </w:p>
        </w:tc>
        <w:tc>
          <w:tcPr>
            <w:tcW w:w="72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val="uk-UA" w:eastAsia="en-US"/>
              </w:rPr>
              <w:t>14</w:t>
            </w:r>
            <w:r w:rsidRPr="000027F2">
              <w:rPr>
                <w:sz w:val="21"/>
                <w:szCs w:val="21"/>
                <w:lang w:eastAsia="en-US"/>
              </w:rPr>
              <w:t>,</w:t>
            </w:r>
            <w:r w:rsidRPr="000027F2">
              <w:rPr>
                <w:sz w:val="21"/>
                <w:szCs w:val="21"/>
                <w:lang w:val="uk-UA" w:eastAsia="en-US"/>
              </w:rPr>
              <w:t>12</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54</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р&gt;0,05</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16,1</w:t>
            </w:r>
            <w:r w:rsidRPr="000027F2">
              <w:rPr>
                <w:sz w:val="21"/>
                <w:szCs w:val="21"/>
                <w:lang w:val="uk-UA" w:eastAsia="en-US"/>
              </w:rPr>
              <w:t>0</w:t>
            </w:r>
            <w:r w:rsidRPr="000027F2">
              <w:rPr>
                <w:sz w:val="21"/>
                <w:szCs w:val="21"/>
                <w:lang w:eastAsia="en-US"/>
              </w:rPr>
              <w:t>±</w:t>
            </w:r>
            <w:r w:rsidRPr="000027F2">
              <w:rPr>
                <w:sz w:val="21"/>
                <w:szCs w:val="21"/>
                <w:lang w:val="uk-UA" w:eastAsia="en-US"/>
              </w:rPr>
              <w:t>0</w:t>
            </w:r>
            <w:r w:rsidRPr="000027F2">
              <w:rPr>
                <w:sz w:val="21"/>
                <w:szCs w:val="21"/>
                <w:lang w:eastAsia="en-US"/>
              </w:rPr>
              <w:t>,4</w:t>
            </w:r>
            <w:r w:rsidRPr="000027F2">
              <w:rPr>
                <w:sz w:val="21"/>
                <w:szCs w:val="21"/>
                <w:lang w:val="uk-UA" w:eastAsia="en-US"/>
              </w:rPr>
              <w:t>1</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val="uk-UA" w:eastAsia="en-US"/>
              </w:rPr>
              <w:t>14</w:t>
            </w:r>
            <w:r w:rsidRPr="000027F2">
              <w:rPr>
                <w:sz w:val="21"/>
                <w:szCs w:val="21"/>
                <w:lang w:eastAsia="en-US"/>
              </w:rPr>
              <w:t>,</w:t>
            </w:r>
            <w:r w:rsidRPr="000027F2">
              <w:rPr>
                <w:sz w:val="21"/>
                <w:szCs w:val="21"/>
                <w:lang w:val="uk-UA" w:eastAsia="en-US"/>
              </w:rPr>
              <w:t>84</w:t>
            </w:r>
            <w:r w:rsidRPr="000027F2">
              <w:rPr>
                <w:sz w:val="21"/>
                <w:szCs w:val="21"/>
                <w:lang w:eastAsia="en-US"/>
              </w:rPr>
              <w:t>±</w:t>
            </w:r>
            <w:r w:rsidRPr="000027F2">
              <w:rPr>
                <w:sz w:val="21"/>
                <w:szCs w:val="21"/>
                <w:lang w:val="uk-UA" w:eastAsia="en-US"/>
              </w:rPr>
              <w:t>0</w:t>
            </w:r>
            <w:r w:rsidRPr="000027F2">
              <w:rPr>
                <w:sz w:val="21"/>
                <w:szCs w:val="21"/>
                <w:lang w:eastAsia="en-US"/>
              </w:rPr>
              <w:t>,3</w:t>
            </w:r>
            <w:r w:rsidRPr="000027F2">
              <w:rPr>
                <w:sz w:val="21"/>
                <w:szCs w:val="21"/>
                <w:lang w:val="uk-UA" w:eastAsia="en-US"/>
              </w:rPr>
              <w:t>2</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р=0</w:t>
            </w:r>
            <w:r w:rsidRPr="000027F2">
              <w:rPr>
                <w:sz w:val="21"/>
                <w:szCs w:val="21"/>
                <w:lang w:eastAsia="en-US"/>
              </w:rPr>
              <w:t>,0</w:t>
            </w:r>
            <w:r w:rsidRPr="000027F2">
              <w:rPr>
                <w:sz w:val="21"/>
                <w:szCs w:val="21"/>
                <w:lang w:val="uk-UA" w:eastAsia="en-US"/>
              </w:rPr>
              <w:t>17</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14,</w:t>
            </w:r>
            <w:r w:rsidRPr="000027F2">
              <w:rPr>
                <w:sz w:val="21"/>
                <w:szCs w:val="21"/>
                <w:lang w:val="uk-UA" w:eastAsia="en-US"/>
              </w:rPr>
              <w:t>57</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5</w:t>
            </w:r>
            <w:r w:rsidRPr="000027F2">
              <w:rPr>
                <w:sz w:val="21"/>
                <w:szCs w:val="21"/>
                <w:lang w:eastAsia="en-US"/>
              </w:rPr>
              <w:t>7</w:t>
            </w:r>
          </w:p>
        </w:tc>
        <w:tc>
          <w:tcPr>
            <w:tcW w:w="75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1</w:t>
            </w:r>
            <w:r w:rsidRPr="000027F2">
              <w:rPr>
                <w:sz w:val="21"/>
                <w:szCs w:val="21"/>
                <w:lang w:val="uk-UA" w:eastAsia="en-US"/>
              </w:rPr>
              <w:t>4</w:t>
            </w:r>
            <w:r w:rsidRPr="000027F2">
              <w:rPr>
                <w:sz w:val="21"/>
                <w:szCs w:val="21"/>
                <w:lang w:eastAsia="en-US"/>
              </w:rPr>
              <w:t>,</w:t>
            </w:r>
            <w:r w:rsidRPr="000027F2">
              <w:rPr>
                <w:sz w:val="21"/>
                <w:szCs w:val="21"/>
                <w:lang w:val="uk-UA" w:eastAsia="en-US"/>
              </w:rPr>
              <w:t>07</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46</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р&gt;0,05</w:t>
            </w:r>
          </w:p>
        </w:tc>
      </w:tr>
      <w:tr w:rsidR="00E3259F" w:rsidRPr="000027F2" w:rsidTr="00E3259F">
        <w:tc>
          <w:tcPr>
            <w:tcW w:w="740"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pStyle w:val="a4"/>
              <w:spacing w:line="360" w:lineRule="auto"/>
              <w:ind w:left="0"/>
              <w:jc w:val="both"/>
              <w:textAlignment w:val="top"/>
              <w:rPr>
                <w:lang w:val="uk-UA" w:eastAsia="en-US"/>
              </w:rPr>
            </w:pPr>
            <w:r w:rsidRPr="000027F2">
              <w:rPr>
                <w:lang w:val="uk-UA" w:eastAsia="en-US"/>
              </w:rPr>
              <w:t>ГПО, мккат/гНв</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eastAsia="en-US"/>
              </w:rPr>
            </w:pPr>
            <w:r w:rsidRPr="000027F2">
              <w:rPr>
                <w:sz w:val="21"/>
                <w:szCs w:val="21"/>
                <w:lang w:val="uk-UA" w:eastAsia="en-US"/>
              </w:rPr>
              <w:t>5</w:t>
            </w:r>
            <w:r w:rsidRPr="000027F2">
              <w:rPr>
                <w:sz w:val="21"/>
                <w:szCs w:val="21"/>
                <w:lang w:eastAsia="en-US"/>
              </w:rPr>
              <w:t>,</w:t>
            </w:r>
            <w:r w:rsidRPr="000027F2">
              <w:rPr>
                <w:sz w:val="21"/>
                <w:szCs w:val="21"/>
                <w:lang w:val="uk-UA" w:eastAsia="en-US"/>
              </w:rPr>
              <w:t>78</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19</w:t>
            </w:r>
          </w:p>
        </w:tc>
        <w:tc>
          <w:tcPr>
            <w:tcW w:w="72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w:t>
            </w:r>
            <w:r w:rsidRPr="000027F2">
              <w:rPr>
                <w:sz w:val="21"/>
                <w:szCs w:val="21"/>
                <w:lang w:val="uk-UA" w:eastAsia="en-US"/>
              </w:rPr>
              <w:t>65±0</w:t>
            </w:r>
            <w:r w:rsidRPr="000027F2">
              <w:rPr>
                <w:sz w:val="21"/>
                <w:szCs w:val="21"/>
                <w:lang w:eastAsia="en-US"/>
              </w:rPr>
              <w:t>,3</w:t>
            </w:r>
            <w:r w:rsidRPr="000027F2">
              <w:rPr>
                <w:sz w:val="21"/>
                <w:szCs w:val="21"/>
                <w:lang w:val="uk-UA" w:eastAsia="en-US"/>
              </w:rPr>
              <w:t>0</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р&gt;0,05</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5,0</w:t>
            </w:r>
            <w:r w:rsidRPr="000027F2">
              <w:rPr>
                <w:sz w:val="21"/>
                <w:szCs w:val="21"/>
                <w:lang w:val="uk-UA" w:eastAsia="en-US"/>
              </w:rPr>
              <w:t>1</w:t>
            </w:r>
            <w:r w:rsidRPr="000027F2">
              <w:rPr>
                <w:sz w:val="21"/>
                <w:szCs w:val="21"/>
                <w:lang w:eastAsia="en-US"/>
              </w:rPr>
              <w:t>±</w:t>
            </w:r>
            <w:r w:rsidRPr="000027F2">
              <w:rPr>
                <w:sz w:val="21"/>
                <w:szCs w:val="21"/>
                <w:lang w:val="uk-UA" w:eastAsia="en-US"/>
              </w:rPr>
              <w:t>0</w:t>
            </w:r>
            <w:r w:rsidRPr="000027F2">
              <w:rPr>
                <w:sz w:val="21"/>
                <w:szCs w:val="21"/>
                <w:lang w:eastAsia="en-US"/>
              </w:rPr>
              <w:t>,1</w:t>
            </w:r>
            <w:r w:rsidRPr="000027F2">
              <w:rPr>
                <w:sz w:val="21"/>
                <w:szCs w:val="21"/>
                <w:lang w:val="uk-UA" w:eastAsia="en-US"/>
              </w:rPr>
              <w:t>4</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w:t>
            </w:r>
            <w:r w:rsidRPr="000027F2">
              <w:rPr>
                <w:sz w:val="21"/>
                <w:szCs w:val="21"/>
                <w:lang w:val="uk-UA" w:eastAsia="en-US"/>
              </w:rPr>
              <w:t>64</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15</w:t>
            </w:r>
          </w:p>
          <w:p w:rsidR="00E3259F" w:rsidRPr="000027F2" w:rsidRDefault="00E3259F" w:rsidP="000027F2">
            <w:pPr>
              <w:spacing w:line="360" w:lineRule="auto"/>
              <w:jc w:val="both"/>
              <w:rPr>
                <w:sz w:val="21"/>
                <w:szCs w:val="21"/>
                <w:lang w:val="uk-UA" w:eastAsia="en-US"/>
              </w:rPr>
            </w:pPr>
            <w:r w:rsidRPr="000027F2">
              <w:rPr>
                <w:sz w:val="21"/>
                <w:szCs w:val="21"/>
                <w:shd w:val="clear" w:color="auto" w:fill="FFFFFF"/>
                <w:lang w:val="uk-UA" w:eastAsia="en-US"/>
              </w:rPr>
              <w:t>р=0,002</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w:t>
            </w:r>
            <w:r w:rsidRPr="000027F2">
              <w:rPr>
                <w:sz w:val="21"/>
                <w:szCs w:val="21"/>
                <w:lang w:val="uk-UA" w:eastAsia="en-US"/>
              </w:rPr>
              <w:t>42</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19</w:t>
            </w:r>
          </w:p>
        </w:tc>
        <w:tc>
          <w:tcPr>
            <w:tcW w:w="75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5,0</w:t>
            </w:r>
            <w:r w:rsidRPr="000027F2">
              <w:rPr>
                <w:sz w:val="21"/>
                <w:szCs w:val="21"/>
                <w:lang w:val="uk-UA" w:eastAsia="en-US"/>
              </w:rPr>
              <w:t>0</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18</w:t>
            </w:r>
          </w:p>
          <w:p w:rsidR="00E3259F" w:rsidRPr="000027F2" w:rsidRDefault="00E3259F" w:rsidP="000027F2">
            <w:pPr>
              <w:spacing w:line="360" w:lineRule="auto"/>
              <w:jc w:val="both"/>
              <w:rPr>
                <w:sz w:val="21"/>
                <w:szCs w:val="21"/>
                <w:lang w:val="uk-UA" w:eastAsia="en-US"/>
              </w:rPr>
            </w:pPr>
            <w:r w:rsidRPr="000027F2">
              <w:rPr>
                <w:sz w:val="21"/>
                <w:szCs w:val="21"/>
                <w:shd w:val="clear" w:color="auto" w:fill="FFFFFF"/>
                <w:lang w:val="uk-UA" w:eastAsia="en-US"/>
              </w:rPr>
              <w:t>р&gt;0,05</w:t>
            </w:r>
          </w:p>
        </w:tc>
      </w:tr>
      <w:tr w:rsidR="00E3259F" w:rsidRPr="000027F2" w:rsidTr="00E3259F">
        <w:tc>
          <w:tcPr>
            <w:tcW w:w="740"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pStyle w:val="a4"/>
              <w:spacing w:line="360" w:lineRule="auto"/>
              <w:ind w:left="0"/>
              <w:jc w:val="both"/>
              <w:textAlignment w:val="top"/>
              <w:rPr>
                <w:lang w:val="en-US" w:eastAsia="en-US"/>
              </w:rPr>
            </w:pPr>
            <w:r w:rsidRPr="000027F2">
              <w:rPr>
                <w:lang w:val="en-US" w:eastAsia="en-US"/>
              </w:rPr>
              <w:t>SH-</w:t>
            </w:r>
            <w:r w:rsidRPr="000027F2">
              <w:rPr>
                <w:lang w:val="uk-UA" w:eastAsia="en-US"/>
              </w:rPr>
              <w:t>групи,</w:t>
            </w:r>
            <w:r w:rsidRPr="000027F2">
              <w:rPr>
                <w:lang w:val="en-US" w:eastAsia="en-US"/>
              </w:rPr>
              <w:t xml:space="preserve"> </w:t>
            </w:r>
            <w:r w:rsidRPr="000027F2">
              <w:rPr>
                <w:lang w:val="uk-UA" w:eastAsia="en-US"/>
              </w:rPr>
              <w:t>мкмоль</w:t>
            </w:r>
            <w:r w:rsidRPr="000027F2">
              <w:rPr>
                <w:lang w:val="en-US" w:eastAsia="en-US"/>
              </w:rPr>
              <w:t>/</w:t>
            </w:r>
            <w:r w:rsidRPr="000027F2">
              <w:rPr>
                <w:lang w:val="uk-UA" w:eastAsia="en-US"/>
              </w:rPr>
              <w:t>л</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eastAsia="en-US"/>
              </w:rPr>
            </w:pPr>
            <w:r w:rsidRPr="000027F2">
              <w:rPr>
                <w:sz w:val="21"/>
                <w:szCs w:val="21"/>
                <w:lang w:eastAsia="en-US"/>
              </w:rPr>
              <w:t>5</w:t>
            </w:r>
            <w:r w:rsidRPr="000027F2">
              <w:rPr>
                <w:sz w:val="21"/>
                <w:szCs w:val="21"/>
                <w:lang w:val="uk-UA" w:eastAsia="en-US"/>
              </w:rPr>
              <w:t>65</w:t>
            </w:r>
            <w:r w:rsidRPr="000027F2">
              <w:rPr>
                <w:sz w:val="21"/>
                <w:szCs w:val="21"/>
                <w:lang w:eastAsia="en-US"/>
              </w:rPr>
              <w:t>,2</w:t>
            </w:r>
            <w:r w:rsidRPr="000027F2">
              <w:rPr>
                <w:sz w:val="21"/>
                <w:szCs w:val="21"/>
                <w:lang w:val="uk-UA" w:eastAsia="en-US"/>
              </w:rPr>
              <w:t>2</w:t>
            </w:r>
            <w:r w:rsidRPr="000027F2">
              <w:rPr>
                <w:sz w:val="21"/>
                <w:szCs w:val="21"/>
                <w:lang w:eastAsia="en-US"/>
              </w:rPr>
              <w:t>±</w:t>
            </w:r>
            <w:r w:rsidRPr="000027F2">
              <w:rPr>
                <w:sz w:val="21"/>
                <w:szCs w:val="21"/>
                <w:lang w:val="uk-UA" w:eastAsia="en-US"/>
              </w:rPr>
              <w:t>10</w:t>
            </w:r>
            <w:r w:rsidRPr="000027F2">
              <w:rPr>
                <w:sz w:val="21"/>
                <w:szCs w:val="21"/>
                <w:lang w:eastAsia="en-US"/>
              </w:rPr>
              <w:t>,00</w:t>
            </w:r>
          </w:p>
        </w:tc>
        <w:tc>
          <w:tcPr>
            <w:tcW w:w="72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w:t>
            </w:r>
            <w:r w:rsidRPr="000027F2">
              <w:rPr>
                <w:sz w:val="21"/>
                <w:szCs w:val="21"/>
                <w:lang w:val="uk-UA" w:eastAsia="en-US"/>
              </w:rPr>
              <w:t>89</w:t>
            </w:r>
            <w:r w:rsidRPr="000027F2">
              <w:rPr>
                <w:sz w:val="21"/>
                <w:szCs w:val="21"/>
                <w:lang w:eastAsia="en-US"/>
              </w:rPr>
              <w:t>,</w:t>
            </w:r>
            <w:r w:rsidRPr="000027F2">
              <w:rPr>
                <w:sz w:val="21"/>
                <w:szCs w:val="21"/>
                <w:lang w:val="uk-UA" w:eastAsia="en-US"/>
              </w:rPr>
              <w:t>53±</w:t>
            </w:r>
            <w:r w:rsidRPr="000027F2">
              <w:rPr>
                <w:sz w:val="21"/>
                <w:szCs w:val="21"/>
                <w:lang w:eastAsia="en-US"/>
              </w:rPr>
              <w:t>14,</w:t>
            </w:r>
            <w:r w:rsidRPr="000027F2">
              <w:rPr>
                <w:sz w:val="21"/>
                <w:szCs w:val="21"/>
                <w:lang w:val="uk-UA" w:eastAsia="en-US"/>
              </w:rPr>
              <w:t>84</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р&gt;0,05</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eastAsia="en-US"/>
              </w:rPr>
            </w:pPr>
            <w:r w:rsidRPr="000027F2">
              <w:rPr>
                <w:sz w:val="21"/>
                <w:szCs w:val="21"/>
                <w:lang w:eastAsia="en-US"/>
              </w:rPr>
              <w:t>5</w:t>
            </w:r>
            <w:r w:rsidRPr="000027F2">
              <w:rPr>
                <w:sz w:val="21"/>
                <w:szCs w:val="21"/>
                <w:lang w:val="uk-UA" w:eastAsia="en-US"/>
              </w:rPr>
              <w:t>57</w:t>
            </w:r>
            <w:r w:rsidRPr="000027F2">
              <w:rPr>
                <w:sz w:val="21"/>
                <w:szCs w:val="21"/>
                <w:lang w:eastAsia="en-US"/>
              </w:rPr>
              <w:t>,</w:t>
            </w:r>
            <w:r w:rsidRPr="000027F2">
              <w:rPr>
                <w:sz w:val="21"/>
                <w:szCs w:val="21"/>
                <w:lang w:val="uk-UA" w:eastAsia="en-US"/>
              </w:rPr>
              <w:t>23</w:t>
            </w:r>
            <w:r w:rsidRPr="000027F2">
              <w:rPr>
                <w:sz w:val="21"/>
                <w:szCs w:val="21"/>
                <w:lang w:eastAsia="en-US"/>
              </w:rPr>
              <w:t>±8,</w:t>
            </w:r>
            <w:r w:rsidRPr="000027F2">
              <w:rPr>
                <w:sz w:val="21"/>
                <w:szCs w:val="21"/>
                <w:lang w:val="uk-UA" w:eastAsia="en-US"/>
              </w:rPr>
              <w:t>26</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w:t>
            </w:r>
            <w:r w:rsidRPr="000027F2">
              <w:rPr>
                <w:sz w:val="21"/>
                <w:szCs w:val="21"/>
                <w:lang w:val="uk-UA" w:eastAsia="en-US"/>
              </w:rPr>
              <w:t>8</w:t>
            </w:r>
            <w:r w:rsidRPr="000027F2">
              <w:rPr>
                <w:sz w:val="21"/>
                <w:szCs w:val="21"/>
                <w:lang w:eastAsia="en-US"/>
              </w:rPr>
              <w:t>6,</w:t>
            </w:r>
            <w:r w:rsidRPr="000027F2">
              <w:rPr>
                <w:sz w:val="21"/>
                <w:szCs w:val="21"/>
                <w:lang w:val="uk-UA" w:eastAsia="en-US"/>
              </w:rPr>
              <w:t>32</w:t>
            </w:r>
            <w:r w:rsidRPr="000027F2">
              <w:rPr>
                <w:sz w:val="21"/>
                <w:szCs w:val="21"/>
                <w:lang w:eastAsia="en-US"/>
              </w:rPr>
              <w:t>±</w:t>
            </w:r>
            <w:r w:rsidRPr="000027F2">
              <w:rPr>
                <w:sz w:val="21"/>
                <w:szCs w:val="21"/>
                <w:lang w:val="uk-UA" w:eastAsia="en-US"/>
              </w:rPr>
              <w:t>9</w:t>
            </w:r>
            <w:r w:rsidRPr="000027F2">
              <w:rPr>
                <w:sz w:val="21"/>
                <w:szCs w:val="21"/>
                <w:lang w:eastAsia="en-US"/>
              </w:rPr>
              <w:t>,</w:t>
            </w:r>
            <w:r w:rsidRPr="000027F2">
              <w:rPr>
                <w:sz w:val="21"/>
                <w:szCs w:val="21"/>
                <w:lang w:val="uk-UA" w:eastAsia="en-US"/>
              </w:rPr>
              <w:t>17</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р=0</w:t>
            </w:r>
            <w:r w:rsidRPr="000027F2">
              <w:rPr>
                <w:sz w:val="21"/>
                <w:szCs w:val="21"/>
                <w:lang w:eastAsia="en-US"/>
              </w:rPr>
              <w:t>,</w:t>
            </w:r>
            <w:r w:rsidRPr="000027F2">
              <w:rPr>
                <w:sz w:val="21"/>
                <w:szCs w:val="21"/>
                <w:lang w:val="uk-UA" w:eastAsia="en-US"/>
              </w:rPr>
              <w:t>020</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56</w:t>
            </w:r>
            <w:r w:rsidRPr="000027F2">
              <w:rPr>
                <w:sz w:val="21"/>
                <w:szCs w:val="21"/>
                <w:lang w:val="uk-UA" w:eastAsia="en-US"/>
              </w:rPr>
              <w:t>1</w:t>
            </w:r>
            <w:r w:rsidRPr="000027F2">
              <w:rPr>
                <w:sz w:val="21"/>
                <w:szCs w:val="21"/>
                <w:lang w:eastAsia="en-US"/>
              </w:rPr>
              <w:t>,</w:t>
            </w:r>
            <w:r w:rsidRPr="000027F2">
              <w:rPr>
                <w:sz w:val="21"/>
                <w:szCs w:val="21"/>
                <w:lang w:val="uk-UA" w:eastAsia="en-US"/>
              </w:rPr>
              <w:t>96</w:t>
            </w:r>
            <w:r w:rsidRPr="000027F2">
              <w:rPr>
                <w:sz w:val="21"/>
                <w:szCs w:val="21"/>
                <w:lang w:eastAsia="en-US"/>
              </w:rPr>
              <w:t>±</w:t>
            </w:r>
            <w:r w:rsidRPr="000027F2">
              <w:rPr>
                <w:sz w:val="21"/>
                <w:szCs w:val="21"/>
                <w:lang w:val="uk-UA" w:eastAsia="en-US"/>
              </w:rPr>
              <w:t>15</w:t>
            </w:r>
            <w:r w:rsidRPr="000027F2">
              <w:rPr>
                <w:sz w:val="21"/>
                <w:szCs w:val="21"/>
                <w:lang w:eastAsia="en-US"/>
              </w:rPr>
              <w:t>,</w:t>
            </w:r>
            <w:r w:rsidRPr="000027F2">
              <w:rPr>
                <w:sz w:val="21"/>
                <w:szCs w:val="21"/>
                <w:lang w:val="uk-UA" w:eastAsia="en-US"/>
              </w:rPr>
              <w:t>5</w:t>
            </w:r>
            <w:r w:rsidRPr="000027F2">
              <w:rPr>
                <w:sz w:val="21"/>
                <w:szCs w:val="21"/>
                <w:lang w:eastAsia="en-US"/>
              </w:rPr>
              <w:t>4</w:t>
            </w:r>
          </w:p>
        </w:tc>
        <w:tc>
          <w:tcPr>
            <w:tcW w:w="75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5</w:t>
            </w:r>
            <w:r w:rsidRPr="000027F2">
              <w:rPr>
                <w:sz w:val="21"/>
                <w:szCs w:val="21"/>
                <w:lang w:val="uk-UA" w:eastAsia="en-US"/>
              </w:rPr>
              <w:t>72</w:t>
            </w:r>
            <w:r w:rsidRPr="000027F2">
              <w:rPr>
                <w:sz w:val="21"/>
                <w:szCs w:val="21"/>
                <w:lang w:eastAsia="en-US"/>
              </w:rPr>
              <w:t>,</w:t>
            </w:r>
            <w:r w:rsidRPr="000027F2">
              <w:rPr>
                <w:sz w:val="21"/>
                <w:szCs w:val="21"/>
                <w:lang w:val="uk-UA" w:eastAsia="en-US"/>
              </w:rPr>
              <w:t>1</w:t>
            </w:r>
            <w:r w:rsidRPr="000027F2">
              <w:rPr>
                <w:sz w:val="21"/>
                <w:szCs w:val="21"/>
                <w:lang w:eastAsia="en-US"/>
              </w:rPr>
              <w:t>2± 1</w:t>
            </w:r>
            <w:r w:rsidRPr="000027F2">
              <w:rPr>
                <w:sz w:val="21"/>
                <w:szCs w:val="21"/>
                <w:lang w:val="uk-UA" w:eastAsia="en-US"/>
              </w:rPr>
              <w:t>2</w:t>
            </w:r>
            <w:r w:rsidRPr="000027F2">
              <w:rPr>
                <w:sz w:val="21"/>
                <w:szCs w:val="21"/>
                <w:lang w:eastAsia="en-US"/>
              </w:rPr>
              <w:t>,</w:t>
            </w:r>
            <w:r w:rsidRPr="000027F2">
              <w:rPr>
                <w:sz w:val="21"/>
                <w:szCs w:val="21"/>
                <w:lang w:val="uk-UA" w:eastAsia="en-US"/>
              </w:rPr>
              <w:t>2</w:t>
            </w:r>
            <w:r w:rsidRPr="000027F2">
              <w:rPr>
                <w:sz w:val="21"/>
                <w:szCs w:val="21"/>
                <w:lang w:eastAsia="en-US"/>
              </w:rPr>
              <w:t>0</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р&gt;0,05</w:t>
            </w:r>
          </w:p>
        </w:tc>
      </w:tr>
      <w:tr w:rsidR="00E3259F" w:rsidRPr="000027F2" w:rsidTr="00E3259F">
        <w:tc>
          <w:tcPr>
            <w:tcW w:w="740"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pStyle w:val="a4"/>
              <w:spacing w:line="360" w:lineRule="auto"/>
              <w:ind w:left="0"/>
              <w:jc w:val="both"/>
              <w:textAlignment w:val="top"/>
              <w:rPr>
                <w:lang w:val="uk-UA" w:eastAsia="en-US"/>
              </w:rPr>
            </w:pPr>
            <w:r w:rsidRPr="000027F2">
              <w:rPr>
                <w:lang w:val="uk-UA" w:eastAsia="en-US"/>
              </w:rPr>
              <w:t xml:space="preserve">МДА, мкмоль/л </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widowControl w:val="0"/>
              <w:autoSpaceDE w:val="0"/>
              <w:autoSpaceDN w:val="0"/>
              <w:adjustRightInd w:val="0"/>
              <w:spacing w:line="360" w:lineRule="auto"/>
              <w:jc w:val="both"/>
              <w:rPr>
                <w:sz w:val="21"/>
                <w:szCs w:val="21"/>
                <w:lang w:eastAsia="en-US"/>
              </w:rPr>
            </w:pPr>
            <w:r w:rsidRPr="000027F2">
              <w:rPr>
                <w:sz w:val="21"/>
                <w:szCs w:val="21"/>
                <w:lang w:val="uk-UA" w:eastAsia="en-US"/>
              </w:rPr>
              <w:t>6</w:t>
            </w:r>
            <w:r w:rsidRPr="000027F2">
              <w:rPr>
                <w:sz w:val="21"/>
                <w:szCs w:val="21"/>
                <w:lang w:eastAsia="en-US"/>
              </w:rPr>
              <w:t>,</w:t>
            </w:r>
            <w:r w:rsidRPr="000027F2">
              <w:rPr>
                <w:sz w:val="21"/>
                <w:szCs w:val="21"/>
                <w:lang w:val="uk-UA" w:eastAsia="en-US"/>
              </w:rPr>
              <w:t>15</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21</w:t>
            </w:r>
          </w:p>
        </w:tc>
        <w:tc>
          <w:tcPr>
            <w:tcW w:w="72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widowControl w:val="0"/>
              <w:autoSpaceDE w:val="0"/>
              <w:autoSpaceDN w:val="0"/>
              <w:adjustRightInd w:val="0"/>
              <w:spacing w:line="360" w:lineRule="auto"/>
              <w:jc w:val="both"/>
              <w:rPr>
                <w:sz w:val="21"/>
                <w:szCs w:val="21"/>
                <w:lang w:val="uk-UA" w:eastAsia="en-US"/>
              </w:rPr>
            </w:pPr>
            <w:r w:rsidRPr="000027F2">
              <w:rPr>
                <w:sz w:val="21"/>
                <w:szCs w:val="21"/>
                <w:lang w:eastAsia="en-US"/>
              </w:rPr>
              <w:t>6,</w:t>
            </w:r>
            <w:r w:rsidRPr="000027F2">
              <w:rPr>
                <w:sz w:val="21"/>
                <w:szCs w:val="21"/>
                <w:lang w:val="uk-UA" w:eastAsia="en-US"/>
              </w:rPr>
              <w:t>07</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35</w:t>
            </w:r>
          </w:p>
          <w:p w:rsidR="00E3259F" w:rsidRPr="000027F2" w:rsidRDefault="00E3259F" w:rsidP="000027F2">
            <w:pPr>
              <w:widowControl w:val="0"/>
              <w:autoSpaceDE w:val="0"/>
              <w:autoSpaceDN w:val="0"/>
              <w:adjustRightInd w:val="0"/>
              <w:spacing w:line="360" w:lineRule="auto"/>
              <w:jc w:val="both"/>
              <w:rPr>
                <w:sz w:val="21"/>
                <w:szCs w:val="21"/>
                <w:lang w:val="uk-UA" w:eastAsia="en-US"/>
              </w:rPr>
            </w:pPr>
            <w:r w:rsidRPr="000027F2">
              <w:rPr>
                <w:sz w:val="21"/>
                <w:szCs w:val="21"/>
                <w:lang w:val="uk-UA" w:eastAsia="en-US"/>
              </w:rPr>
              <w:t>р&gt;0,05</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eastAsia="en-US"/>
              </w:rPr>
            </w:pPr>
            <w:r w:rsidRPr="000027F2">
              <w:rPr>
                <w:sz w:val="21"/>
                <w:szCs w:val="21"/>
                <w:lang w:eastAsia="en-US"/>
              </w:rPr>
              <w:t>6,</w:t>
            </w:r>
            <w:r w:rsidRPr="000027F2">
              <w:rPr>
                <w:sz w:val="21"/>
                <w:szCs w:val="21"/>
                <w:lang w:val="uk-UA" w:eastAsia="en-US"/>
              </w:rPr>
              <w:t>23</w:t>
            </w:r>
            <w:r w:rsidRPr="000027F2">
              <w:rPr>
                <w:sz w:val="21"/>
                <w:szCs w:val="21"/>
                <w:lang w:eastAsia="en-US"/>
              </w:rPr>
              <w:t>±0,19</w:t>
            </w:r>
          </w:p>
        </w:tc>
        <w:tc>
          <w:tcPr>
            <w:tcW w:w="667"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6,</w:t>
            </w:r>
            <w:r w:rsidRPr="000027F2">
              <w:rPr>
                <w:sz w:val="21"/>
                <w:szCs w:val="21"/>
                <w:lang w:val="uk-UA" w:eastAsia="en-US"/>
              </w:rPr>
              <w:t>95</w:t>
            </w:r>
            <w:r w:rsidRPr="000027F2">
              <w:rPr>
                <w:sz w:val="21"/>
                <w:szCs w:val="21"/>
                <w:lang w:eastAsia="en-US"/>
              </w:rPr>
              <w:t>±0,2</w:t>
            </w:r>
            <w:r w:rsidRPr="000027F2">
              <w:rPr>
                <w:sz w:val="21"/>
                <w:szCs w:val="21"/>
                <w:lang w:val="uk-UA" w:eastAsia="en-US"/>
              </w:rPr>
              <w:t>0</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р=0</w:t>
            </w:r>
            <w:r w:rsidRPr="000027F2">
              <w:rPr>
                <w:sz w:val="21"/>
                <w:szCs w:val="21"/>
                <w:lang w:eastAsia="en-US"/>
              </w:rPr>
              <w:t>,</w:t>
            </w:r>
            <w:r w:rsidRPr="000027F2">
              <w:rPr>
                <w:sz w:val="21"/>
                <w:szCs w:val="21"/>
                <w:lang w:val="uk-UA" w:eastAsia="en-US"/>
              </w:rPr>
              <w:t>010</w:t>
            </w:r>
          </w:p>
        </w:tc>
        <w:tc>
          <w:tcPr>
            <w:tcW w:w="722"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eastAsia="en-US"/>
              </w:rPr>
              <w:t>6,</w:t>
            </w:r>
            <w:r w:rsidRPr="000027F2">
              <w:rPr>
                <w:sz w:val="21"/>
                <w:szCs w:val="21"/>
                <w:lang w:val="uk-UA" w:eastAsia="en-US"/>
              </w:rPr>
              <w:t>40</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19</w:t>
            </w:r>
          </w:p>
        </w:tc>
        <w:tc>
          <w:tcPr>
            <w:tcW w:w="756" w:type="pct"/>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1"/>
                <w:szCs w:val="21"/>
                <w:lang w:val="uk-UA" w:eastAsia="en-US"/>
              </w:rPr>
            </w:pPr>
            <w:r w:rsidRPr="000027F2">
              <w:rPr>
                <w:sz w:val="21"/>
                <w:szCs w:val="21"/>
                <w:lang w:val="uk-UA" w:eastAsia="en-US"/>
              </w:rPr>
              <w:t>6</w:t>
            </w:r>
            <w:r w:rsidRPr="000027F2">
              <w:rPr>
                <w:sz w:val="21"/>
                <w:szCs w:val="21"/>
                <w:lang w:eastAsia="en-US"/>
              </w:rPr>
              <w:t>,</w:t>
            </w:r>
            <w:r w:rsidRPr="000027F2">
              <w:rPr>
                <w:sz w:val="21"/>
                <w:szCs w:val="21"/>
                <w:lang w:val="uk-UA" w:eastAsia="en-US"/>
              </w:rPr>
              <w:t>93</w:t>
            </w:r>
            <w:r w:rsidRPr="000027F2">
              <w:rPr>
                <w:sz w:val="21"/>
                <w:szCs w:val="21"/>
                <w:lang w:eastAsia="en-US"/>
              </w:rPr>
              <w:t>±</w:t>
            </w:r>
            <w:r w:rsidRPr="000027F2">
              <w:rPr>
                <w:sz w:val="21"/>
                <w:szCs w:val="21"/>
                <w:lang w:val="uk-UA" w:eastAsia="en-US"/>
              </w:rPr>
              <w:t>0</w:t>
            </w:r>
            <w:r w:rsidRPr="000027F2">
              <w:rPr>
                <w:sz w:val="21"/>
                <w:szCs w:val="21"/>
                <w:lang w:eastAsia="en-US"/>
              </w:rPr>
              <w:t>,</w:t>
            </w:r>
            <w:r w:rsidRPr="000027F2">
              <w:rPr>
                <w:sz w:val="21"/>
                <w:szCs w:val="21"/>
                <w:lang w:val="uk-UA" w:eastAsia="en-US"/>
              </w:rPr>
              <w:t>17</w:t>
            </w:r>
          </w:p>
          <w:p w:rsidR="00E3259F" w:rsidRPr="000027F2" w:rsidRDefault="00E3259F" w:rsidP="000027F2">
            <w:pPr>
              <w:spacing w:line="360" w:lineRule="auto"/>
              <w:jc w:val="both"/>
              <w:rPr>
                <w:sz w:val="21"/>
                <w:szCs w:val="21"/>
                <w:lang w:val="uk-UA" w:eastAsia="en-US"/>
              </w:rPr>
            </w:pPr>
            <w:r w:rsidRPr="000027F2">
              <w:rPr>
                <w:sz w:val="21"/>
                <w:szCs w:val="21"/>
                <w:lang w:val="uk-UA" w:eastAsia="en-US"/>
              </w:rPr>
              <w:t>р=0</w:t>
            </w:r>
            <w:r w:rsidRPr="000027F2">
              <w:rPr>
                <w:sz w:val="21"/>
                <w:szCs w:val="21"/>
                <w:lang w:eastAsia="en-US"/>
              </w:rPr>
              <w:t>,</w:t>
            </w:r>
            <w:r w:rsidRPr="000027F2">
              <w:rPr>
                <w:sz w:val="21"/>
                <w:szCs w:val="21"/>
                <w:lang w:val="uk-UA" w:eastAsia="en-US"/>
              </w:rPr>
              <w:t>041</w:t>
            </w:r>
          </w:p>
        </w:tc>
      </w:tr>
    </w:tbl>
    <w:p w:rsidR="00E3259F" w:rsidRPr="000027F2" w:rsidRDefault="00E3259F" w:rsidP="000027F2">
      <w:pPr>
        <w:spacing w:line="360" w:lineRule="auto"/>
        <w:jc w:val="both"/>
        <w:rPr>
          <w:rFonts w:eastAsiaTheme="minorHAnsi"/>
          <w:sz w:val="18"/>
          <w:szCs w:val="18"/>
          <w:lang w:val="uk-UA" w:eastAsia="en-US"/>
        </w:rPr>
      </w:pPr>
      <w:r w:rsidRPr="000027F2">
        <w:rPr>
          <w:sz w:val="28"/>
          <w:szCs w:val="28"/>
          <w:lang w:val="uk-UA"/>
        </w:rPr>
        <w:t>Примітка:</w:t>
      </w:r>
      <w:r w:rsidR="000027F2">
        <w:rPr>
          <w:sz w:val="28"/>
          <w:szCs w:val="28"/>
          <w:lang w:val="uk-UA"/>
        </w:rPr>
        <w:t xml:space="preserve"> </w:t>
      </w:r>
      <w:r w:rsidRPr="000027F2">
        <w:rPr>
          <w:sz w:val="28"/>
          <w:szCs w:val="28"/>
          <w:lang w:val="uk-UA"/>
        </w:rPr>
        <w:t xml:space="preserve"> р- рівнь значущості відмінностей при порівнянні пацієнтів з УТС та ПТС в групах</w:t>
      </w:r>
    </w:p>
    <w:p w:rsidR="00E3259F" w:rsidRPr="000027F2" w:rsidRDefault="00E3259F" w:rsidP="000027F2">
      <w:pPr>
        <w:spacing w:line="360" w:lineRule="auto"/>
        <w:ind w:firstLine="709"/>
        <w:jc w:val="both"/>
        <w:rPr>
          <w:sz w:val="28"/>
          <w:szCs w:val="28"/>
          <w:lang w:val="uk-UA"/>
        </w:rPr>
      </w:pPr>
      <w:r w:rsidRPr="000027F2">
        <w:rPr>
          <w:sz w:val="28"/>
          <w:szCs w:val="28"/>
          <w:lang w:val="uk-UA"/>
        </w:rPr>
        <w:t xml:space="preserve">За результатами дослідження було виявлено, що показник ПОЛ – MДA  був достовірно вище при ПТС при коморбідній патології незалежно від функціонального стану ЩЗ (р=0,010 в групі 2, р=0,041 в групі 3) а при ізольованій ГХ навпаки, спостерігаються нижчі рівні МДА при ПТС, хоча отримані відмінності були статистично не значимі (р&gt;0,05). Міжгруповий порівняльний аналіз виявив достовірно нищі рівні МДА при ПТС у групі ізольованої ГХ порівняно з групами пацієнтів з коморбідною патологією (р=0,021 при порівнянні 1 та 2 груп, р=0,033 при порівнянні 1 та 3 групи). При УТС спостерігалася тенденція до підвищення рівня МДА з 1-ї групи до 3-ї групи, проте ці відмінності були недостовірні. Наявність СГТ не приводила до достовірних відмінностей рівнів МДА між групами з коморбідною патологією як при УТС, так і ПТС. </w:t>
      </w:r>
    </w:p>
    <w:p w:rsidR="00E3259F" w:rsidRPr="000027F2" w:rsidRDefault="00E3259F" w:rsidP="000027F2">
      <w:pPr>
        <w:spacing w:line="360" w:lineRule="auto"/>
        <w:ind w:firstLine="709"/>
        <w:jc w:val="both"/>
        <w:rPr>
          <w:sz w:val="28"/>
          <w:szCs w:val="28"/>
          <w:lang w:val="uk-UA"/>
        </w:rPr>
      </w:pPr>
      <w:r w:rsidRPr="000027F2">
        <w:rPr>
          <w:sz w:val="28"/>
          <w:szCs w:val="28"/>
          <w:lang w:val="uk-UA"/>
        </w:rPr>
        <w:t xml:space="preserve">При УТС у хворих з коморбідною патологією не спостерігалися достовірні відмінності рівнів </w:t>
      </w:r>
      <w:r w:rsidRPr="000027F2">
        <w:rPr>
          <w:sz w:val="28"/>
          <w:szCs w:val="28"/>
          <w:lang w:val="en-US" w:eastAsia="en-US"/>
        </w:rPr>
        <w:t>SH</w:t>
      </w:r>
      <w:r w:rsidRPr="000027F2">
        <w:rPr>
          <w:sz w:val="28"/>
          <w:szCs w:val="28"/>
          <w:lang w:val="uk-UA" w:eastAsia="en-US"/>
        </w:rPr>
        <w:t>-груп порівняно з  ізольованою ГХ (</w:t>
      </w:r>
      <w:r w:rsidRPr="000027F2">
        <w:rPr>
          <w:sz w:val="28"/>
          <w:szCs w:val="28"/>
          <w:lang w:val="uk-UA"/>
        </w:rPr>
        <w:t>р&gt;0,05), що вказує на наявність механізмів, що підтримують AOЗ на певному рівні незалежно від ступеня порушення обмінних процесів. Наявність ПТС супроводжується активацією тиолового статусу в усіх досліждуваних групах, проте статистично значимі відмінності спостерігались лише в групі ГХ та ЦД 2 типу (р=0,020). Вірогідних відмінностей рівней тіолових груп між групами пацієнтів залежно від ТС знайдено не було.</w:t>
      </w:r>
    </w:p>
    <w:p w:rsidR="00E3259F" w:rsidRPr="000027F2" w:rsidRDefault="00E3259F" w:rsidP="000027F2">
      <w:pPr>
        <w:spacing w:line="360" w:lineRule="auto"/>
        <w:ind w:firstLine="709"/>
        <w:jc w:val="both"/>
        <w:rPr>
          <w:sz w:val="28"/>
          <w:szCs w:val="28"/>
          <w:lang w:val="uk-UA"/>
        </w:rPr>
      </w:pPr>
      <w:r w:rsidRPr="000027F2">
        <w:rPr>
          <w:sz w:val="28"/>
          <w:szCs w:val="28"/>
          <w:lang w:val="uk-UA"/>
        </w:rPr>
        <w:t>Активність ГПО в пацієнтів з ізольованою ГХ при УТС  була вище ніж у пацієнтів з коморбідною патологією, сягаючи достовірних відмінностей порівняно із групою пацієнтів з ГХ та ЦД 2 типу (р=0,001). Наявність ПТС у групі ГХ та ЦД 2 типу супроводжувалась вищою активністю ГПО (р=0,002). прорівняно з пацієнтами з ознаками УТС, на відміну від інших груп, де спостерігались нижча активність ГПО при ПТС. Такий неоднозначний та різноспрямований статус оксидантно-антиоксидантної системи при ПТС у пацієнтів з ГХ та ЦД 2 типу може бути пояснений тим, що механізми, які запускають процес прискореного старіння на організмовому рівні, мають як негативну, так і захисну (стимулюючу) дію відносно антиоксидантного захисту.</w:t>
      </w:r>
    </w:p>
    <w:p w:rsidR="00E3259F" w:rsidRPr="000027F2" w:rsidRDefault="00E3259F" w:rsidP="000027F2">
      <w:pPr>
        <w:pStyle w:val="xfmc5"/>
        <w:spacing w:before="0" w:beforeAutospacing="0" w:after="0" w:afterAutospacing="0" w:line="360" w:lineRule="auto"/>
        <w:ind w:firstLine="709"/>
        <w:jc w:val="both"/>
        <w:rPr>
          <w:sz w:val="28"/>
          <w:szCs w:val="28"/>
          <w:shd w:val="clear" w:color="auto" w:fill="FFFFFF"/>
          <w:lang w:val="uk-UA"/>
        </w:rPr>
      </w:pPr>
      <w:r w:rsidRPr="000027F2">
        <w:rPr>
          <w:sz w:val="28"/>
          <w:szCs w:val="28"/>
          <w:lang w:val="uk-UA"/>
        </w:rPr>
        <w:t xml:space="preserve">При порівнянні рівней 8-OH-dG в групах залежно від ТС достовірні відмінності плазмових рівнів 8-OH-dG між пацієнтами з УТС та ПТС спостерігалися лише в групі пацієнтів з ГХ та ЦД 2 типу (р=0,017). Вищі значення рівнів 8-OH-dG при УТС у хворих з коморбідною патологією незалежно від функціонального стану ЩЗ були статистично не значимими. Ці дані  частково співпадають з результатами метааналізу, який був проведений </w:t>
      </w:r>
      <w:r w:rsidRPr="000027F2">
        <w:rPr>
          <w:sz w:val="28"/>
          <w:szCs w:val="28"/>
        </w:rPr>
        <w:t>Alessandro</w:t>
      </w:r>
      <w:r w:rsidRPr="000027F2">
        <w:rPr>
          <w:sz w:val="28"/>
          <w:szCs w:val="28"/>
          <w:lang w:val="uk-UA"/>
        </w:rPr>
        <w:t xml:space="preserve"> </w:t>
      </w:r>
      <w:r w:rsidRPr="000027F2">
        <w:rPr>
          <w:sz w:val="28"/>
          <w:szCs w:val="28"/>
        </w:rPr>
        <w:t>Di</w:t>
      </w:r>
      <w:r w:rsidRPr="000027F2">
        <w:rPr>
          <w:sz w:val="28"/>
          <w:szCs w:val="28"/>
          <w:lang w:val="uk-UA"/>
        </w:rPr>
        <w:t xml:space="preserve"> </w:t>
      </w:r>
      <w:r w:rsidRPr="000027F2">
        <w:rPr>
          <w:sz w:val="28"/>
          <w:szCs w:val="28"/>
        </w:rPr>
        <w:t>Minno</w:t>
      </w:r>
      <w:r w:rsidRPr="000027F2">
        <w:rPr>
          <w:sz w:val="28"/>
          <w:szCs w:val="28"/>
          <w:lang w:val="uk-UA"/>
        </w:rPr>
        <w:t xml:space="preserve"> та співавт. (2016), у якому був виявлений узаємозв`зок між рівнями 8-OH-dG, віком та ССЗ при недоведеному впливі ЦД 2 типу [198]. У нашому дослідженні спостерігалися достовірні відмінності плазмових рівнів 8-OH-dG між групою з ізольованою ГХ  та  групою з поєднаним перебігом ГХ та ЦД 2 типу (р=0,001), що співпадає з думкою авторів, які вважають продукти глікування при ЦД тригерами старіння клітин [</w:t>
      </w:r>
      <w:r w:rsidRPr="000027F2">
        <w:rPr>
          <w:sz w:val="28"/>
          <w:szCs w:val="28"/>
          <w:shd w:val="clear" w:color="auto" w:fill="FFFFFF"/>
          <w:lang w:val="uk-UA"/>
        </w:rPr>
        <w:t xml:space="preserve">167]. </w:t>
      </w:r>
    </w:p>
    <w:p w:rsidR="00E3259F" w:rsidRPr="000027F2" w:rsidRDefault="00E3259F" w:rsidP="000027F2">
      <w:pPr>
        <w:pStyle w:val="xfmc5"/>
        <w:spacing w:before="0" w:beforeAutospacing="0" w:after="0" w:afterAutospacing="0" w:line="360" w:lineRule="auto"/>
        <w:ind w:firstLine="709"/>
        <w:jc w:val="both"/>
        <w:rPr>
          <w:sz w:val="28"/>
          <w:szCs w:val="28"/>
          <w:lang w:val="uk-UA"/>
        </w:rPr>
      </w:pPr>
      <w:r w:rsidRPr="000027F2">
        <w:rPr>
          <w:sz w:val="28"/>
          <w:szCs w:val="28"/>
          <w:lang w:val="uk-UA"/>
        </w:rPr>
        <w:t>Цікавим є той факт, що наявність СГТ в групі 3 супроводжувалася достовірно нижчими рівнями 8-OH-dG  у порівнянні з  групою 2 (р=0,005), але достовірних відмінностей з групою 1 виявлено не було (р&gt;0,05). Наявність більш низьких рівнів 8-OH-dG при ПТС у пацієнтів з коморбідною патологією скоріш за все обумовлена зниженням інтенсивності репарації ДНК з віком.</w:t>
      </w:r>
    </w:p>
    <w:p w:rsidR="00E3259F" w:rsidRPr="000027F2" w:rsidRDefault="00E3259F" w:rsidP="000027F2">
      <w:pPr>
        <w:pStyle w:val="xfmc5"/>
        <w:spacing w:before="0" w:beforeAutospacing="0" w:after="0" w:afterAutospacing="0" w:line="360" w:lineRule="auto"/>
        <w:ind w:firstLine="709"/>
        <w:jc w:val="both"/>
        <w:rPr>
          <w:sz w:val="28"/>
          <w:szCs w:val="28"/>
          <w:lang w:val="uk-UA"/>
        </w:rPr>
      </w:pPr>
      <w:r w:rsidRPr="000027F2">
        <w:rPr>
          <w:sz w:val="28"/>
          <w:szCs w:val="28"/>
          <w:lang w:val="uk-UA"/>
        </w:rPr>
        <w:t xml:space="preserve">Проведення кореляційного аналізу виявило наявність певної кількості кореляційних зв’язків як позитивного, так і негативного характеру, між показниками оксидантно-антиоксидантної системи та показниками, які характеризують темпи старіння, у підгрупах як УТС (для групи 1 та 2 пацієнтів), так і ПТС у пацієнтів групи 2 (Таблиця 4.12). </w:t>
      </w:r>
    </w:p>
    <w:p w:rsidR="000027F2" w:rsidRDefault="000027F2" w:rsidP="00E3259F">
      <w:pPr>
        <w:spacing w:line="360" w:lineRule="auto"/>
        <w:jc w:val="right"/>
        <w:rPr>
          <w:sz w:val="28"/>
          <w:szCs w:val="28"/>
          <w:lang w:val="uk-UA"/>
        </w:rPr>
      </w:pPr>
    </w:p>
    <w:p w:rsidR="000027F2" w:rsidRDefault="000027F2" w:rsidP="00E3259F">
      <w:pPr>
        <w:spacing w:line="360" w:lineRule="auto"/>
        <w:jc w:val="right"/>
        <w:rPr>
          <w:sz w:val="28"/>
          <w:szCs w:val="28"/>
          <w:lang w:val="uk-UA"/>
        </w:rPr>
      </w:pPr>
    </w:p>
    <w:p w:rsidR="000027F2" w:rsidRDefault="000027F2" w:rsidP="00E3259F">
      <w:pPr>
        <w:spacing w:line="360" w:lineRule="auto"/>
        <w:jc w:val="right"/>
        <w:rPr>
          <w:sz w:val="28"/>
          <w:szCs w:val="28"/>
          <w:lang w:val="uk-UA"/>
        </w:rPr>
      </w:pPr>
    </w:p>
    <w:p w:rsidR="000027F2" w:rsidRDefault="000027F2" w:rsidP="00E3259F">
      <w:pPr>
        <w:spacing w:line="360" w:lineRule="auto"/>
        <w:jc w:val="right"/>
        <w:rPr>
          <w:sz w:val="28"/>
          <w:szCs w:val="28"/>
          <w:lang w:val="uk-UA"/>
        </w:rPr>
      </w:pPr>
    </w:p>
    <w:p w:rsidR="00E3259F" w:rsidRDefault="00E3259F" w:rsidP="00E3259F">
      <w:pPr>
        <w:spacing w:line="360" w:lineRule="auto"/>
        <w:jc w:val="right"/>
        <w:rPr>
          <w:sz w:val="28"/>
          <w:szCs w:val="28"/>
          <w:lang w:val="uk-UA"/>
        </w:rPr>
      </w:pPr>
      <w:r>
        <w:rPr>
          <w:sz w:val="28"/>
          <w:szCs w:val="28"/>
          <w:lang w:val="uk-UA"/>
        </w:rPr>
        <w:t>Таблиця 4.12</w:t>
      </w:r>
    </w:p>
    <w:p w:rsidR="00E3259F" w:rsidRPr="000027F2" w:rsidRDefault="00E3259F" w:rsidP="00E3259F">
      <w:pPr>
        <w:spacing w:line="360" w:lineRule="auto"/>
        <w:jc w:val="center"/>
        <w:rPr>
          <w:sz w:val="28"/>
          <w:szCs w:val="28"/>
          <w:lang w:val="uk-UA"/>
        </w:rPr>
      </w:pPr>
      <w:r w:rsidRPr="000027F2">
        <w:rPr>
          <w:sz w:val="28"/>
          <w:szCs w:val="28"/>
          <w:lang w:val="uk-UA"/>
        </w:rPr>
        <w:t>Результати кореляційного аналізу між показниками оксидативного стресу та  віковими показниками, які характеризують темпи старіння, в залежності від темпу старіння</w:t>
      </w:r>
    </w:p>
    <w:tbl>
      <w:tblPr>
        <w:tblW w:w="0" w:type="auto"/>
        <w:tblLook w:val="04A0" w:firstRow="1" w:lastRow="0" w:firstColumn="1" w:lastColumn="0" w:noHBand="0" w:noVBand="1"/>
      </w:tblPr>
      <w:tblGrid>
        <w:gridCol w:w="4076"/>
        <w:gridCol w:w="3119"/>
        <w:gridCol w:w="2375"/>
      </w:tblGrid>
      <w:tr w:rsidR="000027F2" w:rsidRPr="000027F2"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center"/>
              <w:rPr>
                <w:sz w:val="28"/>
                <w:szCs w:val="28"/>
                <w:lang w:val="uk-UA" w:eastAsia="en-US"/>
              </w:rPr>
            </w:pPr>
            <w:r w:rsidRPr="000027F2">
              <w:rPr>
                <w:sz w:val="28"/>
                <w:szCs w:val="28"/>
                <w:lang w:val="uk-UA" w:eastAsia="en-US"/>
              </w:rPr>
              <w:t>УТС</w:t>
            </w:r>
          </w:p>
        </w:tc>
      </w:tr>
      <w:tr w:rsidR="000027F2" w:rsidRPr="000027F2"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center"/>
              <w:rPr>
                <w:sz w:val="28"/>
                <w:szCs w:val="28"/>
                <w:lang w:val="uk-UA" w:eastAsia="en-US"/>
              </w:rPr>
            </w:pPr>
            <w:r w:rsidRPr="000027F2">
              <w:rPr>
                <w:sz w:val="28"/>
                <w:szCs w:val="28"/>
                <w:lang w:val="uk-UA" w:eastAsia="en-US"/>
              </w:rPr>
              <w:t>1 група</w:t>
            </w:r>
          </w:p>
        </w:tc>
      </w:tr>
      <w:tr w:rsidR="000027F2" w:rsidRPr="000027F2" w:rsidTr="00E3259F">
        <w:tc>
          <w:tcPr>
            <w:tcW w:w="4076" w:type="dxa"/>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8"/>
                <w:szCs w:val="28"/>
                <w:lang w:val="uk-UA" w:eastAsia="en-US"/>
              </w:rPr>
            </w:pPr>
            <w:r w:rsidRPr="000027F2">
              <w:rPr>
                <w:sz w:val="28"/>
                <w:szCs w:val="28"/>
                <w:lang w:val="uk-UA" w:eastAsia="en-US"/>
              </w:rPr>
              <w:t>Показники</w:t>
            </w:r>
          </w:p>
        </w:tc>
        <w:tc>
          <w:tcPr>
            <w:tcW w:w="3119" w:type="dxa"/>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8"/>
                <w:szCs w:val="28"/>
                <w:lang w:val="en-US" w:eastAsia="en-US"/>
              </w:rPr>
            </w:pPr>
            <w:r w:rsidRPr="000027F2">
              <w:rPr>
                <w:sz w:val="28"/>
                <w:szCs w:val="28"/>
                <w:lang w:val="uk-UA" w:eastAsia="en-US"/>
              </w:rPr>
              <w:t>Коефіцієнт к</w:t>
            </w:r>
            <w:r w:rsidRPr="000027F2">
              <w:rPr>
                <w:sz w:val="28"/>
                <w:szCs w:val="28"/>
                <w:lang w:eastAsia="en-US"/>
              </w:rPr>
              <w:t>ореляц</w:t>
            </w:r>
            <w:r w:rsidRPr="000027F2">
              <w:rPr>
                <w:sz w:val="28"/>
                <w:szCs w:val="28"/>
                <w:lang w:val="uk-UA" w:eastAsia="en-US"/>
              </w:rPr>
              <w:t>ії</w:t>
            </w:r>
            <w:r w:rsidRPr="000027F2">
              <w:rPr>
                <w:sz w:val="28"/>
                <w:szCs w:val="28"/>
                <w:lang w:eastAsia="en-US"/>
              </w:rPr>
              <w:t xml:space="preserve"> П</w:t>
            </w:r>
            <w:r w:rsidRPr="000027F2">
              <w:rPr>
                <w:sz w:val="28"/>
                <w:szCs w:val="28"/>
                <w:lang w:val="uk-UA" w:eastAsia="en-US"/>
              </w:rPr>
              <w:t>і</w:t>
            </w:r>
            <w:r w:rsidRPr="000027F2">
              <w:rPr>
                <w:sz w:val="28"/>
                <w:szCs w:val="28"/>
                <w:lang w:eastAsia="en-US"/>
              </w:rPr>
              <w:t>рсона</w:t>
            </w:r>
            <w:r w:rsidRPr="000027F2">
              <w:rPr>
                <w:sz w:val="28"/>
                <w:szCs w:val="28"/>
                <w:lang w:val="uk-UA" w:eastAsia="en-US"/>
              </w:rPr>
              <w:t>,</w:t>
            </w:r>
            <w:r w:rsidRPr="000027F2">
              <w:rPr>
                <w:sz w:val="28"/>
                <w:szCs w:val="28"/>
                <w:lang w:val="en-US" w:eastAsia="en-US"/>
              </w:rPr>
              <w:t xml:space="preserve"> r</w:t>
            </w:r>
          </w:p>
        </w:tc>
        <w:tc>
          <w:tcPr>
            <w:tcW w:w="2375" w:type="dxa"/>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8"/>
                <w:szCs w:val="28"/>
                <w:lang w:eastAsia="en-US"/>
              </w:rPr>
            </w:pPr>
            <w:r w:rsidRPr="000027F2">
              <w:rPr>
                <w:sz w:val="28"/>
                <w:szCs w:val="28"/>
                <w:lang w:val="uk-UA" w:eastAsia="en-US"/>
              </w:rPr>
              <w:t>Рівень з</w:t>
            </w:r>
            <w:r w:rsidRPr="000027F2">
              <w:rPr>
                <w:sz w:val="28"/>
                <w:szCs w:val="28"/>
                <w:lang w:eastAsia="en-US"/>
              </w:rPr>
              <w:t>нач</w:t>
            </w:r>
            <w:r w:rsidRPr="000027F2">
              <w:rPr>
                <w:sz w:val="28"/>
                <w:szCs w:val="28"/>
                <w:lang w:val="uk-UA" w:eastAsia="en-US"/>
              </w:rPr>
              <w:t>ущості, р</w:t>
            </w:r>
          </w:p>
        </w:tc>
      </w:tr>
      <w:tr w:rsidR="000027F2" w:rsidRPr="000027F2" w:rsidTr="00E3259F">
        <w:tc>
          <w:tcPr>
            <w:tcW w:w="4076" w:type="dxa"/>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8"/>
                <w:szCs w:val="28"/>
                <w:lang w:val="uk-UA" w:eastAsia="en-US"/>
              </w:rPr>
            </w:pPr>
            <w:r w:rsidRPr="000027F2">
              <w:rPr>
                <w:sz w:val="28"/>
                <w:szCs w:val="28"/>
                <w:lang w:val="uk-UA" w:eastAsia="en-US"/>
              </w:rPr>
              <w:t>8-OH-dG-</w:t>
            </w:r>
            <w:r w:rsidRPr="000027F2">
              <w:rPr>
                <w:sz w:val="28"/>
                <w:szCs w:val="28"/>
                <w:lang w:eastAsia="en-US"/>
              </w:rPr>
              <w:t>БВ</w:t>
            </w:r>
          </w:p>
        </w:tc>
        <w:tc>
          <w:tcPr>
            <w:tcW w:w="3119" w:type="dxa"/>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8"/>
                <w:szCs w:val="28"/>
                <w:lang w:val="uk-UA" w:eastAsia="en-US"/>
              </w:rPr>
            </w:pPr>
            <w:r w:rsidRPr="000027F2">
              <w:rPr>
                <w:sz w:val="28"/>
                <w:szCs w:val="28"/>
                <w:lang w:val="uk-UA" w:eastAsia="en-US"/>
              </w:rPr>
              <w:t>0</w:t>
            </w:r>
            <w:r w:rsidRPr="000027F2">
              <w:rPr>
                <w:sz w:val="28"/>
                <w:szCs w:val="28"/>
                <w:lang w:eastAsia="en-US"/>
              </w:rPr>
              <w:t>,295</w:t>
            </w:r>
          </w:p>
        </w:tc>
        <w:tc>
          <w:tcPr>
            <w:tcW w:w="2375" w:type="dxa"/>
            <w:tcBorders>
              <w:top w:val="single" w:sz="4" w:space="0" w:color="auto"/>
              <w:left w:val="single" w:sz="4" w:space="0" w:color="auto"/>
              <w:bottom w:val="single" w:sz="4" w:space="0" w:color="auto"/>
              <w:right w:val="single" w:sz="4" w:space="0" w:color="auto"/>
            </w:tcBorders>
            <w:hideMark/>
          </w:tcPr>
          <w:p w:rsidR="00E3259F" w:rsidRPr="000027F2" w:rsidRDefault="00E3259F" w:rsidP="000027F2">
            <w:pPr>
              <w:spacing w:line="360" w:lineRule="auto"/>
              <w:jc w:val="both"/>
              <w:rPr>
                <w:sz w:val="28"/>
                <w:szCs w:val="28"/>
                <w:lang w:val="uk-UA" w:eastAsia="en-US"/>
              </w:rPr>
            </w:pPr>
            <w:r w:rsidRPr="000027F2">
              <w:rPr>
                <w:sz w:val="28"/>
                <w:szCs w:val="28"/>
                <w:lang w:val="uk-UA" w:eastAsia="en-US"/>
              </w:rPr>
              <w:t>0</w:t>
            </w:r>
            <w:r w:rsidRPr="000027F2">
              <w:rPr>
                <w:sz w:val="28"/>
                <w:szCs w:val="28"/>
                <w:lang w:eastAsia="en-US"/>
              </w:rPr>
              <w:t>,023</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и-БВ</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,777</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,008</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 Коеф.швид.стар.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,748</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,013</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uk-UA" w:eastAsia="en-US"/>
              </w:rPr>
            </w:pPr>
            <w:r>
              <w:rPr>
                <w:sz w:val="28"/>
                <w:szCs w:val="28"/>
                <w:lang w:val="uk-UA" w:eastAsia="en-US"/>
              </w:rPr>
              <w:t>2 група</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8-OH-dG-Коеф.стар.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-0,293</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0,018</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ГПО-БВ</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270</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30</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ГПО-Індекс.швид.стар.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,3</w:t>
            </w:r>
            <w:r>
              <w:rPr>
                <w:color w:val="000000"/>
                <w:sz w:val="28"/>
                <w:szCs w:val="28"/>
                <w:lang w:val="uk-UA" w:eastAsia="en-US"/>
              </w:rPr>
              <w:t>36</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06</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ГПО-Коеф.швид.стар.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,4</w:t>
            </w:r>
            <w:r>
              <w:rPr>
                <w:color w:val="000000"/>
                <w:sz w:val="28"/>
                <w:szCs w:val="28"/>
                <w:lang w:val="uk-UA" w:eastAsia="en-US"/>
              </w:rPr>
              <w:t>56</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МДА-Коеф.стар.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,2</w:t>
            </w:r>
            <w:r>
              <w:rPr>
                <w:color w:val="000000"/>
                <w:sz w:val="28"/>
                <w:szCs w:val="28"/>
                <w:lang w:val="uk-UA" w:eastAsia="en-US"/>
              </w:rPr>
              <w:t>55</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41</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МДА-Коеф.швид.стар.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w:t>
            </w:r>
            <w:r>
              <w:rPr>
                <w:color w:val="000000"/>
                <w:sz w:val="28"/>
                <w:szCs w:val="28"/>
                <w:lang w:val="uk-UA" w:eastAsia="en-US"/>
              </w:rPr>
              <w:t>356</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w:t>
            </w:r>
            <w:r>
              <w:rPr>
                <w:color w:val="000000"/>
                <w:sz w:val="28"/>
                <w:szCs w:val="28"/>
                <w:lang w:val="uk-UA" w:eastAsia="en-US"/>
              </w:rPr>
              <w:t>4</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и-БВ</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,31</w:t>
            </w:r>
            <w:r>
              <w:rPr>
                <w:color w:val="000000"/>
                <w:sz w:val="28"/>
                <w:szCs w:val="28"/>
                <w:lang w:val="uk-UA" w:eastAsia="en-US"/>
              </w:rPr>
              <w:t>6</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w:t>
            </w:r>
            <w:r>
              <w:rPr>
                <w:color w:val="000000"/>
                <w:sz w:val="28"/>
                <w:szCs w:val="28"/>
                <w:lang w:val="uk-UA" w:eastAsia="en-US"/>
              </w:rPr>
              <w:t>0</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и-Коеф.стар.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,41</w:t>
            </w:r>
            <w:r>
              <w:rPr>
                <w:color w:val="000000"/>
                <w:sz w:val="28"/>
                <w:szCs w:val="28"/>
                <w:lang w:val="uk-UA" w:eastAsia="en-US"/>
              </w:rPr>
              <w:t>2</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val="uk-UA" w:eastAsia="en-US"/>
              </w:rPr>
              <w:t>-групи-Індекс 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,30</w:t>
            </w:r>
            <w:r>
              <w:rPr>
                <w:color w:val="000000"/>
                <w:sz w:val="28"/>
                <w:szCs w:val="28"/>
                <w:lang w:val="uk-UA" w:eastAsia="en-US"/>
              </w:rPr>
              <w:t>7</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,01</w:t>
            </w:r>
            <w:r>
              <w:rPr>
                <w:color w:val="000000"/>
                <w:sz w:val="28"/>
                <w:szCs w:val="28"/>
                <w:lang w:val="uk-UA" w:eastAsia="en-US"/>
              </w:rPr>
              <w:t>3</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ПТС</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2 група</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ГПО-БВ</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,230</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,040</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ГПО-Індекс.швид.стар.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330</w:t>
            </w:r>
            <w:r>
              <w:rPr>
                <w:color w:val="000000"/>
                <w:sz w:val="28"/>
                <w:szCs w:val="28"/>
                <w:lang w:eastAsia="en-US"/>
              </w:rPr>
              <w:t>8</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3</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ГПО-Коеф.швид.стар.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387</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en-US" w:eastAsia="en-US"/>
              </w:rPr>
              <w:t>SH</w:t>
            </w:r>
            <w:r>
              <w:rPr>
                <w:sz w:val="28"/>
                <w:szCs w:val="28"/>
                <w:lang w:eastAsia="en-US"/>
              </w:rPr>
              <w:t>-груп</w:t>
            </w:r>
            <w:r>
              <w:rPr>
                <w:sz w:val="28"/>
                <w:szCs w:val="28"/>
                <w:lang w:val="uk-UA" w:eastAsia="en-US"/>
              </w:rPr>
              <w:t>и-КВ</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,410</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,002</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en-US" w:eastAsia="en-US"/>
              </w:rPr>
              <w:t>SH</w:t>
            </w:r>
            <w:r>
              <w:rPr>
                <w:sz w:val="28"/>
                <w:szCs w:val="28"/>
                <w:lang w:eastAsia="en-US"/>
              </w:rPr>
              <w:t>-груп</w:t>
            </w:r>
            <w:r>
              <w:rPr>
                <w:sz w:val="28"/>
                <w:szCs w:val="28"/>
                <w:lang w:val="uk-UA" w:eastAsia="en-US"/>
              </w:rPr>
              <w:t>и-НБВ</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,493</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4076"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val="uk-UA" w:eastAsia="en-US"/>
              </w:rPr>
              <w:t>-групи- Коеф.швид.стар.</w:t>
            </w:r>
          </w:p>
        </w:tc>
        <w:tc>
          <w:tcPr>
            <w:tcW w:w="311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w:t>
            </w:r>
            <w:r>
              <w:rPr>
                <w:color w:val="000000"/>
                <w:sz w:val="28"/>
                <w:szCs w:val="28"/>
                <w:lang w:val="uk-UA" w:eastAsia="en-US"/>
              </w:rPr>
              <w:t>287</w:t>
            </w:r>
          </w:p>
        </w:tc>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w:t>
            </w:r>
            <w:r>
              <w:rPr>
                <w:color w:val="000000"/>
                <w:sz w:val="28"/>
                <w:szCs w:val="28"/>
                <w:lang w:val="uk-UA" w:eastAsia="en-US"/>
              </w:rPr>
              <w:t>10</w:t>
            </w:r>
          </w:p>
        </w:tc>
      </w:tr>
    </w:tbl>
    <w:p w:rsidR="00E3259F" w:rsidRPr="006E540D" w:rsidRDefault="00E3259F" w:rsidP="006E540D">
      <w:pPr>
        <w:spacing w:line="360" w:lineRule="auto"/>
        <w:ind w:firstLine="709"/>
        <w:jc w:val="both"/>
        <w:rPr>
          <w:sz w:val="28"/>
          <w:szCs w:val="28"/>
          <w:lang w:val="uk-UA"/>
        </w:rPr>
      </w:pPr>
      <w:r w:rsidRPr="006E540D">
        <w:rPr>
          <w:sz w:val="28"/>
          <w:szCs w:val="28"/>
          <w:lang w:val="uk-UA"/>
        </w:rPr>
        <w:t xml:space="preserve">У групі 3 кореляційних зв’язків між показниками, що характеризують біологічний вік та темпи старіння, та показниками ОС виявлено не було. </w:t>
      </w:r>
    </w:p>
    <w:p w:rsidR="00E3259F" w:rsidRPr="006E540D" w:rsidRDefault="00E3259F" w:rsidP="006E540D">
      <w:pPr>
        <w:spacing w:line="360" w:lineRule="auto"/>
        <w:ind w:firstLine="709"/>
        <w:jc w:val="both"/>
        <w:rPr>
          <w:sz w:val="28"/>
          <w:szCs w:val="28"/>
          <w:lang w:val="uk-UA"/>
        </w:rPr>
      </w:pPr>
      <w:r w:rsidRPr="006E540D">
        <w:rPr>
          <w:sz w:val="28"/>
          <w:szCs w:val="28"/>
          <w:shd w:val="clear" w:color="auto" w:fill="FFFFFF"/>
          <w:lang w:val="uk-UA"/>
        </w:rPr>
        <w:t xml:space="preserve">Для визначення впливу показників ОС на показники, що характеризують БВ та ТС використовувався дисперсійний аналіз, в результаті якого було виявлено достовірно значимий вплив </w:t>
      </w:r>
      <w:r w:rsidRPr="006E540D">
        <w:rPr>
          <w:sz w:val="28"/>
          <w:szCs w:val="28"/>
          <w:lang w:val="uk-UA" w:eastAsia="en-US"/>
        </w:rPr>
        <w:t>8-OH-dG</w:t>
      </w:r>
      <w:r w:rsidRPr="006E540D">
        <w:rPr>
          <w:sz w:val="28"/>
          <w:szCs w:val="28"/>
          <w:shd w:val="clear" w:color="auto" w:fill="FFFFFF"/>
          <w:lang w:val="uk-UA"/>
        </w:rPr>
        <w:t xml:space="preserve"> на рівні показників, що характеризують ступінь старіння тільки в 2 групі: на </w:t>
      </w:r>
      <w:r w:rsidRPr="006E540D">
        <w:rPr>
          <w:sz w:val="28"/>
          <w:szCs w:val="28"/>
          <w:lang w:val="uk-UA"/>
        </w:rPr>
        <w:t>БВ</w:t>
      </w:r>
      <w:r w:rsidRPr="006E540D">
        <w:rPr>
          <w:sz w:val="28"/>
          <w:szCs w:val="28"/>
          <w:shd w:val="clear" w:color="auto" w:fill="FFFFFF"/>
          <w:lang w:val="uk-UA"/>
        </w:rPr>
        <w:t xml:space="preserve"> (р=0,001), коефіцієнт старіння (р=0,002), індекс швидкості старіння (р=0,017).  </w:t>
      </w:r>
    </w:p>
    <w:p w:rsidR="00E3259F" w:rsidRPr="006E540D" w:rsidRDefault="00E3259F" w:rsidP="006E540D">
      <w:pPr>
        <w:shd w:val="clear" w:color="auto" w:fill="FFFFFF"/>
        <w:spacing w:line="360" w:lineRule="auto"/>
        <w:ind w:firstLine="709"/>
        <w:jc w:val="both"/>
        <w:textAlignment w:val="top"/>
        <w:rPr>
          <w:sz w:val="28"/>
          <w:szCs w:val="28"/>
          <w:lang w:val="uk-UA"/>
        </w:rPr>
      </w:pPr>
      <w:r w:rsidRPr="006E540D">
        <w:rPr>
          <w:sz w:val="28"/>
          <w:szCs w:val="28"/>
          <w:lang w:val="uk-UA"/>
        </w:rPr>
        <w:t>Було виявлено статистично достовірні негативні зв'язки: між рівнем ГПО та оцінкою ТС (r =-0,397, p = 0,024) у 1-й групі і між 8-OH -dG сироватки крові й оцінкою ТС (r = -0,520, p = 0,019) - у 2-й групі, що підтверджує значущість цього показника не тільки як маркера ОС, а і як біомаркера старіння, зокрема й при коморбідній патології.</w:t>
      </w:r>
    </w:p>
    <w:p w:rsidR="00E3259F" w:rsidRPr="006E540D" w:rsidRDefault="00E3259F" w:rsidP="006E540D">
      <w:pPr>
        <w:spacing w:line="360" w:lineRule="auto"/>
        <w:ind w:firstLine="709"/>
        <w:jc w:val="both"/>
        <w:rPr>
          <w:sz w:val="28"/>
          <w:szCs w:val="28"/>
          <w:lang w:val="uk-UA"/>
        </w:rPr>
      </w:pPr>
      <w:r w:rsidRPr="006E540D">
        <w:rPr>
          <w:sz w:val="28"/>
          <w:szCs w:val="28"/>
          <w:lang w:val="uk-UA"/>
        </w:rPr>
        <w:t>Наявність не значної кількості та сили кореляційних зв'язків між показниками, які використовували для оцінки ТС, та показниками, що характеризують ОС, може вказувати на досить виражений компенсаторний стан на цій стадії (до дослідження не було залучено пацієнтів із вираженими серцево-судинними та діабетичними ускладненнями). Проте, ПТС при коморбідній патології характеризувався значною активацією ПОЛ та стимуляцією АОЗ порівняно з особами з УТС, незалежно від функціонального стану ЩЗ.</w:t>
      </w:r>
    </w:p>
    <w:p w:rsidR="006E540D" w:rsidRDefault="00E3259F" w:rsidP="006E540D">
      <w:pPr>
        <w:spacing w:line="360" w:lineRule="auto"/>
        <w:ind w:firstLine="709"/>
        <w:jc w:val="both"/>
        <w:rPr>
          <w:sz w:val="28"/>
          <w:szCs w:val="28"/>
          <w:lang w:val="uk-UA"/>
        </w:rPr>
      </w:pPr>
      <w:r w:rsidRPr="006E540D">
        <w:rPr>
          <w:sz w:val="28"/>
          <w:szCs w:val="28"/>
          <w:lang w:val="uk-UA"/>
        </w:rPr>
        <w:t xml:space="preserve">Проведення кореляційного аналізу показників ОС з показниками ТС серед осіб груп 2 та 3 з урахуванням статі виявило значну кількість кореляційних зв’язків серед осіб обох статей групи 2 (таблиця 4.13). </w:t>
      </w:r>
    </w:p>
    <w:p w:rsidR="006E540D" w:rsidRDefault="006E540D" w:rsidP="006E540D">
      <w:pPr>
        <w:pStyle w:val="1"/>
        <w:shd w:val="clear" w:color="auto" w:fill="FFFFFF"/>
        <w:spacing w:before="0" w:beforeAutospacing="0" w:after="0" w:afterAutospacing="0" w:line="360" w:lineRule="auto"/>
        <w:ind w:firstLine="709"/>
        <w:jc w:val="both"/>
        <w:rPr>
          <w:b w:val="0"/>
          <w:sz w:val="28"/>
          <w:szCs w:val="28"/>
          <w:lang w:val="uk-UA"/>
        </w:rPr>
      </w:pPr>
      <w:r w:rsidRPr="006E540D">
        <w:rPr>
          <w:b w:val="0"/>
          <w:sz w:val="28"/>
          <w:szCs w:val="28"/>
          <w:lang w:val="uk-UA"/>
        </w:rPr>
        <w:t xml:space="preserve">При наявності СГТ на тлі коморбідності ГХ та ЦД 2 типу кореляційні зв’язки були виявлені тільки у чоловіків та тільки з показником ПОЛ - МДА, з показниками АОЗ кореляційних зв’язків знайдено не було. </w:t>
      </w:r>
      <w:r>
        <w:rPr>
          <w:b w:val="0"/>
          <w:sz w:val="28"/>
          <w:szCs w:val="28"/>
          <w:lang w:val="uk-UA"/>
        </w:rPr>
        <w:t xml:space="preserve">Проведення оцінювання за допомогою кореляційного аналізу </w:t>
      </w:r>
      <w:r>
        <w:rPr>
          <w:b w:val="0"/>
          <w:color w:val="000000"/>
          <w:sz w:val="28"/>
          <w:szCs w:val="28"/>
          <w:lang w:val="uk-UA"/>
        </w:rPr>
        <w:t>зв'язку між показниками ОС та характеристикою ТС з урахуванням статі</w:t>
      </w:r>
      <w:r>
        <w:rPr>
          <w:b w:val="0"/>
          <w:sz w:val="28"/>
          <w:szCs w:val="28"/>
          <w:lang w:val="uk-UA"/>
        </w:rPr>
        <w:t xml:space="preserve"> виявило наявність статистично достовірного негативного зв'язку значної сили  між рівнями</w:t>
      </w:r>
      <w:r>
        <w:rPr>
          <w:b w:val="0"/>
          <w:sz w:val="28"/>
          <w:szCs w:val="28"/>
          <w:lang w:val="uk-UA" w:eastAsia="en-US"/>
        </w:rPr>
        <w:t xml:space="preserve"> </w:t>
      </w:r>
      <w:r>
        <w:rPr>
          <w:b w:val="0"/>
          <w:sz w:val="28"/>
          <w:szCs w:val="28"/>
          <w:lang w:val="en-US" w:eastAsia="en-US"/>
        </w:rPr>
        <w:t>SH</w:t>
      </w:r>
      <w:r>
        <w:rPr>
          <w:b w:val="0"/>
          <w:sz w:val="28"/>
          <w:szCs w:val="28"/>
          <w:lang w:val="uk-UA" w:eastAsia="en-US"/>
        </w:rPr>
        <w:t>-груп та</w:t>
      </w:r>
      <w:r>
        <w:rPr>
          <w:b w:val="0"/>
          <w:sz w:val="28"/>
          <w:szCs w:val="28"/>
          <w:lang w:val="uk-UA"/>
        </w:rPr>
        <w:t xml:space="preserve"> характеристикою ТС (r=-0,998, p=0,044) у  групі 3 для чоловіків.</w:t>
      </w:r>
    </w:p>
    <w:p w:rsidR="00E3259F" w:rsidRDefault="00E3259F" w:rsidP="00E3259F">
      <w:pPr>
        <w:spacing w:line="360" w:lineRule="auto"/>
        <w:ind w:firstLine="709"/>
        <w:jc w:val="right"/>
        <w:rPr>
          <w:sz w:val="28"/>
          <w:szCs w:val="28"/>
          <w:lang w:val="uk-UA"/>
        </w:rPr>
      </w:pPr>
      <w:r>
        <w:rPr>
          <w:sz w:val="28"/>
          <w:szCs w:val="28"/>
          <w:lang w:val="uk-UA"/>
        </w:rPr>
        <w:t>Таблиця 4.13</w:t>
      </w:r>
    </w:p>
    <w:p w:rsidR="00E3259F" w:rsidRDefault="00E3259F" w:rsidP="00E3259F">
      <w:pPr>
        <w:spacing w:line="360" w:lineRule="auto"/>
        <w:ind w:firstLine="709"/>
        <w:jc w:val="center"/>
        <w:rPr>
          <w:sz w:val="28"/>
          <w:szCs w:val="28"/>
          <w:lang w:val="uk-UA"/>
        </w:rPr>
      </w:pPr>
      <w:r>
        <w:rPr>
          <w:sz w:val="28"/>
          <w:szCs w:val="28"/>
          <w:lang w:val="uk-UA"/>
        </w:rPr>
        <w:t>Результати кореляційного аналізу між показниками оксидативного стресу та показниками, які характеризують темпи старіння, залежно від статі</w:t>
      </w:r>
    </w:p>
    <w:tbl>
      <w:tblPr>
        <w:tblW w:w="0" w:type="auto"/>
        <w:tblLook w:val="04A0" w:firstRow="1" w:lastRow="0" w:firstColumn="1" w:lastColumn="0" w:noHBand="0" w:noVBand="1"/>
      </w:tblPr>
      <w:tblGrid>
        <w:gridCol w:w="4643"/>
        <w:gridCol w:w="2694"/>
        <w:gridCol w:w="2233"/>
      </w:tblGrid>
      <w:tr w:rsidR="00CF693D" w:rsidRPr="00CF693D" w:rsidTr="00E3259F">
        <w:tc>
          <w:tcPr>
            <w:tcW w:w="4643" w:type="dxa"/>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360" w:lineRule="auto"/>
              <w:jc w:val="both"/>
              <w:rPr>
                <w:sz w:val="28"/>
                <w:szCs w:val="28"/>
                <w:lang w:val="uk-UA" w:eastAsia="en-US"/>
              </w:rPr>
            </w:pPr>
            <w:r w:rsidRPr="00CF693D">
              <w:rPr>
                <w:sz w:val="28"/>
                <w:szCs w:val="28"/>
                <w:lang w:val="uk-UA" w:eastAsia="en-US"/>
              </w:rPr>
              <w:t>Показники</w:t>
            </w:r>
          </w:p>
        </w:tc>
        <w:tc>
          <w:tcPr>
            <w:tcW w:w="2694" w:type="dxa"/>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360" w:lineRule="auto"/>
              <w:jc w:val="both"/>
              <w:rPr>
                <w:sz w:val="28"/>
                <w:szCs w:val="28"/>
                <w:lang w:val="en-US" w:eastAsia="en-US"/>
              </w:rPr>
            </w:pPr>
            <w:r w:rsidRPr="00CF693D">
              <w:rPr>
                <w:sz w:val="28"/>
                <w:szCs w:val="28"/>
                <w:lang w:val="uk-UA" w:eastAsia="en-US"/>
              </w:rPr>
              <w:t>Коефіцієнт к</w:t>
            </w:r>
            <w:r w:rsidRPr="00CF693D">
              <w:rPr>
                <w:sz w:val="28"/>
                <w:szCs w:val="28"/>
                <w:lang w:eastAsia="en-US"/>
              </w:rPr>
              <w:t>ореляц</w:t>
            </w:r>
            <w:r w:rsidRPr="00CF693D">
              <w:rPr>
                <w:sz w:val="28"/>
                <w:szCs w:val="28"/>
                <w:lang w:val="uk-UA" w:eastAsia="en-US"/>
              </w:rPr>
              <w:t>ії</w:t>
            </w:r>
            <w:r w:rsidRPr="00CF693D">
              <w:rPr>
                <w:sz w:val="28"/>
                <w:szCs w:val="28"/>
                <w:lang w:eastAsia="en-US"/>
              </w:rPr>
              <w:t xml:space="preserve"> П</w:t>
            </w:r>
            <w:r w:rsidRPr="00CF693D">
              <w:rPr>
                <w:sz w:val="28"/>
                <w:szCs w:val="28"/>
                <w:lang w:val="uk-UA" w:eastAsia="en-US"/>
              </w:rPr>
              <w:t>і</w:t>
            </w:r>
            <w:r w:rsidRPr="00CF693D">
              <w:rPr>
                <w:sz w:val="28"/>
                <w:szCs w:val="28"/>
                <w:lang w:eastAsia="en-US"/>
              </w:rPr>
              <w:t>рсона</w:t>
            </w:r>
            <w:r w:rsidRPr="00CF693D">
              <w:rPr>
                <w:sz w:val="28"/>
                <w:szCs w:val="28"/>
                <w:lang w:val="uk-UA" w:eastAsia="en-US"/>
              </w:rPr>
              <w:t>,</w:t>
            </w:r>
            <w:r w:rsidRPr="00CF693D">
              <w:rPr>
                <w:sz w:val="28"/>
                <w:szCs w:val="28"/>
                <w:lang w:val="en-US" w:eastAsia="en-US"/>
              </w:rPr>
              <w:t xml:space="preserve"> r</w:t>
            </w:r>
          </w:p>
        </w:tc>
        <w:tc>
          <w:tcPr>
            <w:tcW w:w="2233" w:type="dxa"/>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360" w:lineRule="auto"/>
              <w:jc w:val="both"/>
              <w:rPr>
                <w:sz w:val="28"/>
                <w:szCs w:val="28"/>
                <w:lang w:eastAsia="en-US"/>
              </w:rPr>
            </w:pPr>
            <w:r w:rsidRPr="00CF693D">
              <w:rPr>
                <w:sz w:val="28"/>
                <w:szCs w:val="28"/>
                <w:lang w:val="uk-UA" w:eastAsia="en-US"/>
              </w:rPr>
              <w:t>Рівень з</w:t>
            </w:r>
            <w:r w:rsidRPr="00CF693D">
              <w:rPr>
                <w:sz w:val="28"/>
                <w:szCs w:val="28"/>
                <w:lang w:eastAsia="en-US"/>
              </w:rPr>
              <w:t>нач</w:t>
            </w:r>
            <w:r w:rsidRPr="00CF693D">
              <w:rPr>
                <w:sz w:val="28"/>
                <w:szCs w:val="28"/>
                <w:lang w:val="uk-UA" w:eastAsia="en-US"/>
              </w:rPr>
              <w:t>ущості, р</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uk-UA" w:eastAsia="en-US"/>
              </w:rPr>
            </w:pPr>
            <w:r>
              <w:rPr>
                <w:sz w:val="28"/>
                <w:szCs w:val="28"/>
                <w:lang w:val="uk-UA" w:eastAsia="en-US"/>
              </w:rPr>
              <w:t>2 група</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uk-UA" w:eastAsia="en-US"/>
              </w:rPr>
            </w:pPr>
            <w:r>
              <w:rPr>
                <w:sz w:val="28"/>
                <w:szCs w:val="28"/>
                <w:lang w:val="uk-UA" w:eastAsia="en-US"/>
              </w:rPr>
              <w:t>Жінки</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8-OH-dG-коеф. 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,295</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,010</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8-OH-dG-інд.швидкості 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,290</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,012</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8-OH-dG-коеф.швид.старіння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,251</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,030</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uk-UA" w:eastAsia="en-US"/>
              </w:rPr>
              <w:t>МДА-БВ</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,253</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,028</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eastAsia="en-US"/>
              </w:rPr>
              <w:t>ГПО</w:t>
            </w:r>
            <w:r>
              <w:rPr>
                <w:sz w:val="28"/>
                <w:szCs w:val="28"/>
                <w:lang w:val="uk-UA" w:eastAsia="en-US"/>
              </w:rPr>
              <w:t>-БВ</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,338</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,003</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eastAsia="en-US"/>
              </w:rPr>
              <w:t>ГПО</w:t>
            </w:r>
            <w:r>
              <w:rPr>
                <w:sz w:val="28"/>
                <w:szCs w:val="28"/>
                <w:lang w:val="uk-UA" w:eastAsia="en-US"/>
              </w:rPr>
              <w:t>- к</w:t>
            </w:r>
            <w:r>
              <w:rPr>
                <w:sz w:val="28"/>
                <w:szCs w:val="28"/>
                <w:lang w:eastAsia="en-US"/>
              </w:rPr>
              <w:t>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,384</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eastAsia="en-US"/>
              </w:rPr>
              <w:t>ГПО</w:t>
            </w:r>
            <w:r>
              <w:rPr>
                <w:sz w:val="28"/>
                <w:szCs w:val="28"/>
                <w:lang w:val="uk-UA" w:eastAsia="en-US"/>
              </w:rPr>
              <w:t>-інд.швид.</w:t>
            </w:r>
            <w:r>
              <w:rPr>
                <w:sz w:val="28"/>
                <w:szCs w:val="28"/>
                <w:lang w:eastAsia="en-US"/>
              </w:rPr>
              <w:t>стар</w:t>
            </w:r>
            <w:r>
              <w:rPr>
                <w:sz w:val="28"/>
                <w:szCs w:val="28"/>
                <w:lang w:val="uk-UA" w:eastAsia="en-US"/>
              </w:rPr>
              <w:t>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eastAsia="en-US"/>
              </w:rPr>
            </w:pPr>
            <w:r>
              <w:rPr>
                <w:color w:val="000000"/>
                <w:sz w:val="28"/>
                <w:szCs w:val="28"/>
                <w:lang w:val="uk-UA" w:eastAsia="en-US"/>
              </w:rPr>
              <w:t>0</w:t>
            </w:r>
            <w:r>
              <w:rPr>
                <w:color w:val="000000"/>
                <w:sz w:val="28"/>
                <w:szCs w:val="28"/>
                <w:lang w:eastAsia="en-US"/>
              </w:rPr>
              <w:t>,402</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en-US" w:eastAsia="en-US"/>
              </w:rPr>
            </w:pPr>
            <w:r>
              <w:rPr>
                <w:sz w:val="28"/>
                <w:szCs w:val="28"/>
                <w:lang w:eastAsia="en-US"/>
              </w:rPr>
              <w:t>ГПО</w:t>
            </w:r>
            <w:r>
              <w:rPr>
                <w:sz w:val="28"/>
                <w:szCs w:val="28"/>
                <w:lang w:val="uk-UA" w:eastAsia="en-US"/>
              </w:rPr>
              <w:t xml:space="preserve"> -коеф.швид.старіння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eastAsia="en-US"/>
              </w:rPr>
            </w:pPr>
            <w:r>
              <w:rPr>
                <w:color w:val="000000"/>
                <w:sz w:val="28"/>
                <w:szCs w:val="28"/>
                <w:lang w:val="uk-UA" w:eastAsia="en-US"/>
              </w:rPr>
              <w:t>0</w:t>
            </w:r>
            <w:r>
              <w:rPr>
                <w:color w:val="000000"/>
                <w:sz w:val="28"/>
                <w:szCs w:val="28"/>
                <w:lang w:eastAsia="en-US"/>
              </w:rPr>
              <w:t>,425</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val="uk-UA" w:eastAsia="en-US"/>
              </w:rPr>
              <w:t>-групи -</w:t>
            </w:r>
            <w:r>
              <w:rPr>
                <w:sz w:val="28"/>
                <w:szCs w:val="28"/>
                <w:lang w:eastAsia="en-US"/>
              </w:rPr>
              <w:t>БВ</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,343</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,003</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val="uk-UA" w:eastAsia="en-US"/>
              </w:rPr>
              <w:t>-групи-к</w:t>
            </w:r>
            <w:r>
              <w:rPr>
                <w:sz w:val="28"/>
                <w:szCs w:val="28"/>
                <w:lang w:eastAsia="en-US"/>
              </w:rPr>
              <w:t>о</w:t>
            </w:r>
            <w:r>
              <w:rPr>
                <w:sz w:val="28"/>
                <w:szCs w:val="28"/>
                <w:lang w:val="uk-UA" w:eastAsia="en-US"/>
              </w:rPr>
              <w:t>е</w:t>
            </w:r>
            <w:r>
              <w:rPr>
                <w:sz w:val="28"/>
                <w:szCs w:val="28"/>
                <w:lang w:eastAsia="en-US"/>
              </w:rPr>
              <w:t>ф</w:t>
            </w:r>
            <w:r>
              <w:rPr>
                <w:sz w:val="28"/>
                <w:szCs w:val="28"/>
                <w:lang w:val="uk-UA" w:eastAsia="en-US"/>
              </w:rPr>
              <w:t>.</w:t>
            </w:r>
            <w:r>
              <w:rPr>
                <w:sz w:val="28"/>
                <w:szCs w:val="28"/>
                <w:lang w:eastAsia="en-US"/>
              </w:rPr>
              <w:t>стар</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,335</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,003</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val="uk-UA" w:eastAsia="en-US"/>
              </w:rPr>
              <w:t>-групи-інд.швид.старіння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,268</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,020</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sz w:val="28"/>
                <w:szCs w:val="28"/>
                <w:lang w:val="en-US" w:eastAsia="en-US"/>
              </w:rPr>
              <w:t>SH</w:t>
            </w:r>
            <w:r>
              <w:rPr>
                <w:sz w:val="28"/>
                <w:szCs w:val="28"/>
                <w:lang w:val="uk-UA" w:eastAsia="en-US"/>
              </w:rPr>
              <w:t>-групи/коеф.швид.старіння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,351</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en-US"/>
              </w:rPr>
            </w:pPr>
            <w:r>
              <w:rPr>
                <w:color w:val="000000"/>
                <w:sz w:val="28"/>
                <w:szCs w:val="28"/>
                <w:lang w:val="uk-UA" w:eastAsia="en-US"/>
              </w:rPr>
              <w:t>0</w:t>
            </w:r>
            <w:r>
              <w:rPr>
                <w:color w:val="000000"/>
                <w:sz w:val="28"/>
                <w:szCs w:val="28"/>
                <w:lang w:eastAsia="en-US"/>
              </w:rPr>
              <w:t>,002</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uk-UA" w:eastAsia="en-US"/>
              </w:rPr>
            </w:pPr>
            <w:r>
              <w:rPr>
                <w:sz w:val="28"/>
                <w:szCs w:val="28"/>
                <w:lang w:val="uk-UA" w:eastAsia="en-US"/>
              </w:rPr>
              <w:t>Чоловіки</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w:t>
            </w:r>
            <w:r>
              <w:rPr>
                <w:color w:val="000000"/>
                <w:sz w:val="28"/>
                <w:szCs w:val="28"/>
                <w:lang w:eastAsia="en-US"/>
              </w:rPr>
              <w:t>БВ</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,291</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,008</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ГПО-коеф.старіння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color w:val="000000"/>
                <w:sz w:val="28"/>
                <w:szCs w:val="28"/>
                <w:lang w:val="uk-UA" w:eastAsia="en-US"/>
              </w:rPr>
              <w:t>0</w:t>
            </w:r>
            <w:r>
              <w:rPr>
                <w:color w:val="000000"/>
                <w:sz w:val="28"/>
                <w:szCs w:val="28"/>
                <w:lang w:eastAsia="en-US"/>
              </w:rPr>
              <w:t>,275</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color w:val="000000"/>
                <w:sz w:val="28"/>
                <w:szCs w:val="28"/>
                <w:lang w:val="uk-UA" w:eastAsia="en-US"/>
              </w:rPr>
              <w:t>0</w:t>
            </w:r>
            <w:r>
              <w:rPr>
                <w:color w:val="000000"/>
                <w:sz w:val="28"/>
                <w:szCs w:val="28"/>
                <w:lang w:eastAsia="en-US"/>
              </w:rPr>
              <w:t>,013</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 інд.швид.старіння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,332</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color w:val="000000"/>
                <w:sz w:val="28"/>
                <w:szCs w:val="28"/>
                <w:lang w:val="uk-UA" w:eastAsia="en-US"/>
              </w:rPr>
              <w:t>0</w:t>
            </w:r>
            <w:r>
              <w:rPr>
                <w:color w:val="000000"/>
                <w:sz w:val="28"/>
                <w:szCs w:val="28"/>
                <w:lang w:eastAsia="en-US"/>
              </w:rPr>
              <w:t>,002</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ГПО- коеф.швид.старіння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,427</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en-US" w:eastAsia="en-US"/>
              </w:rPr>
              <w:t>SH</w:t>
            </w:r>
            <w:r>
              <w:rPr>
                <w:sz w:val="28"/>
                <w:szCs w:val="28"/>
                <w:lang w:eastAsia="en-US"/>
              </w:rPr>
              <w:t>-груп</w:t>
            </w:r>
            <w:r>
              <w:rPr>
                <w:sz w:val="28"/>
                <w:szCs w:val="28"/>
                <w:lang w:val="uk-UA" w:eastAsia="en-US"/>
              </w:rPr>
              <w:t>и- інд.швид.старіння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,291</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,008</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en-US" w:eastAsia="en-US"/>
              </w:rPr>
              <w:t>SH</w:t>
            </w:r>
            <w:r>
              <w:rPr>
                <w:sz w:val="28"/>
                <w:szCs w:val="28"/>
                <w:lang w:eastAsia="en-US"/>
              </w:rPr>
              <w:t>-груп</w:t>
            </w:r>
            <w:r>
              <w:rPr>
                <w:sz w:val="28"/>
                <w:szCs w:val="28"/>
                <w:lang w:val="uk-UA" w:eastAsia="en-US"/>
              </w:rPr>
              <w:t>и- коеф.швид.старіння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,258</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,020</w:t>
            </w:r>
          </w:p>
        </w:tc>
      </w:tr>
    </w:tbl>
    <w:p w:rsidR="006E540D" w:rsidRDefault="006E540D">
      <w:pPr>
        <w:rPr>
          <w:lang w:val="uk-UA"/>
        </w:rPr>
      </w:pPr>
    </w:p>
    <w:p w:rsidR="006E540D" w:rsidRDefault="006E540D">
      <w:pPr>
        <w:rPr>
          <w:lang w:val="uk-UA"/>
        </w:rPr>
      </w:pPr>
    </w:p>
    <w:p w:rsidR="006E540D" w:rsidRDefault="006E540D">
      <w:pPr>
        <w:rPr>
          <w:lang w:val="uk-UA"/>
        </w:rPr>
      </w:pPr>
    </w:p>
    <w:p w:rsidR="006E540D" w:rsidRDefault="006E540D">
      <w:pPr>
        <w:rPr>
          <w:lang w:val="uk-UA"/>
        </w:rPr>
      </w:pPr>
    </w:p>
    <w:p w:rsidR="006E540D" w:rsidRDefault="006E540D">
      <w:pPr>
        <w:rPr>
          <w:lang w:val="uk-UA"/>
        </w:rPr>
      </w:pPr>
    </w:p>
    <w:p w:rsidR="006E540D" w:rsidRDefault="006E540D">
      <w:pPr>
        <w:rPr>
          <w:lang w:val="uk-UA"/>
        </w:rPr>
      </w:pPr>
    </w:p>
    <w:p w:rsidR="006E540D" w:rsidRPr="006E540D" w:rsidRDefault="006E540D" w:rsidP="006E540D">
      <w:pPr>
        <w:jc w:val="right"/>
        <w:rPr>
          <w:lang w:val="uk-UA"/>
        </w:rPr>
      </w:pPr>
      <w:r>
        <w:rPr>
          <w:i/>
          <w:spacing w:val="-2"/>
          <w:sz w:val="28"/>
          <w:szCs w:val="28"/>
        </w:rPr>
        <w:t xml:space="preserve">Продовження табл. </w:t>
      </w:r>
      <w:r>
        <w:rPr>
          <w:i/>
          <w:spacing w:val="-2"/>
          <w:sz w:val="28"/>
          <w:szCs w:val="28"/>
          <w:lang w:val="uk-UA"/>
        </w:rPr>
        <w:t>4</w:t>
      </w:r>
      <w:r>
        <w:rPr>
          <w:i/>
          <w:spacing w:val="-2"/>
          <w:sz w:val="28"/>
          <w:szCs w:val="28"/>
        </w:rPr>
        <w:t>.1</w:t>
      </w:r>
      <w:r>
        <w:rPr>
          <w:i/>
          <w:spacing w:val="-2"/>
          <w:sz w:val="28"/>
          <w:szCs w:val="28"/>
          <w:lang w:val="uk-UA"/>
        </w:rPr>
        <w:t>3</w:t>
      </w:r>
    </w:p>
    <w:tbl>
      <w:tblPr>
        <w:tblW w:w="0" w:type="auto"/>
        <w:tblLook w:val="04A0" w:firstRow="1" w:lastRow="0" w:firstColumn="1" w:lastColumn="0" w:noHBand="0" w:noVBand="1"/>
      </w:tblPr>
      <w:tblGrid>
        <w:gridCol w:w="4643"/>
        <w:gridCol w:w="2694"/>
        <w:gridCol w:w="2233"/>
      </w:tblGrid>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3 група</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color w:val="000000"/>
                <w:sz w:val="28"/>
                <w:szCs w:val="28"/>
                <w:lang w:val="uk-UA" w:eastAsia="en-US"/>
              </w:rPr>
            </w:pPr>
            <w:r>
              <w:rPr>
                <w:color w:val="000000"/>
                <w:sz w:val="28"/>
                <w:szCs w:val="28"/>
                <w:lang w:val="uk-UA" w:eastAsia="en-US"/>
              </w:rPr>
              <w:t>Чоловіки</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МДА-коеф.старіння</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,616</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,033</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МДА- Індекс.швид.стар.</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,781</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,003</w:t>
            </w:r>
          </w:p>
        </w:tc>
      </w:tr>
      <w:tr w:rsidR="00E3259F" w:rsidTr="00E3259F">
        <w:tc>
          <w:tcPr>
            <w:tcW w:w="46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МДА- Коеф.швид.стар.</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eastAsia="en-US"/>
              </w:rPr>
              <w:t>-</w:t>
            </w:r>
            <w:r>
              <w:rPr>
                <w:color w:val="000000"/>
                <w:sz w:val="28"/>
                <w:szCs w:val="28"/>
                <w:lang w:val="uk-UA" w:eastAsia="en-US"/>
              </w:rPr>
              <w:t>0</w:t>
            </w:r>
            <w:r>
              <w:rPr>
                <w:color w:val="000000"/>
                <w:sz w:val="28"/>
                <w:szCs w:val="28"/>
                <w:lang w:eastAsia="en-US"/>
              </w:rPr>
              <w:t>,760</w:t>
            </w:r>
          </w:p>
        </w:tc>
        <w:tc>
          <w:tcPr>
            <w:tcW w:w="22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,004</w:t>
            </w:r>
          </w:p>
        </w:tc>
      </w:tr>
    </w:tbl>
    <w:p w:rsidR="00E3259F" w:rsidRDefault="00E3259F" w:rsidP="00E3259F">
      <w:pPr>
        <w:spacing w:line="360" w:lineRule="auto"/>
        <w:ind w:firstLine="709"/>
        <w:jc w:val="both"/>
        <w:rPr>
          <w:sz w:val="28"/>
          <w:szCs w:val="28"/>
          <w:lang w:val="uk-UA"/>
        </w:rPr>
      </w:pPr>
    </w:p>
    <w:p w:rsidR="00E3259F" w:rsidRPr="006E540D" w:rsidRDefault="00E3259F" w:rsidP="006E540D">
      <w:pPr>
        <w:pStyle w:val="1"/>
        <w:shd w:val="clear" w:color="auto" w:fill="FFFFFF"/>
        <w:spacing w:before="0" w:beforeAutospacing="0" w:after="0" w:afterAutospacing="0" w:line="360" w:lineRule="auto"/>
        <w:ind w:firstLine="709"/>
        <w:jc w:val="both"/>
        <w:rPr>
          <w:b w:val="0"/>
          <w:sz w:val="28"/>
          <w:szCs w:val="28"/>
          <w:lang w:val="uk-UA"/>
        </w:rPr>
      </w:pPr>
      <w:r w:rsidRPr="006E540D">
        <w:rPr>
          <w:b w:val="0"/>
          <w:sz w:val="28"/>
          <w:szCs w:val="28"/>
          <w:lang w:val="uk-UA"/>
        </w:rPr>
        <w:t>Ці дані співпадають з результатами, отриманими іншими дослідниками, які засвідчили, що жінки більш стійкі до ОС та мають більш виражену адаптивну регуляцію [305]. У чоловіків ОС вважається більш значущим для розвитку та прогресування ГХ, окислювального ураження міокарда у вигдяді більш виражених депресорних впливів на антиоксиданти, ніж у жінок [</w:t>
      </w:r>
      <w:bookmarkStart w:id="18" w:name="_Hlk43664011"/>
      <w:r w:rsidRPr="006E540D">
        <w:rPr>
          <w:b w:val="0"/>
          <w:sz w:val="28"/>
          <w:szCs w:val="28"/>
          <w:lang w:val="uk-UA"/>
        </w:rPr>
        <w:t>65,113,3</w:t>
      </w:r>
      <w:bookmarkEnd w:id="18"/>
      <w:r w:rsidRPr="006E540D">
        <w:rPr>
          <w:b w:val="0"/>
          <w:sz w:val="28"/>
          <w:szCs w:val="28"/>
          <w:lang w:val="uk-UA"/>
        </w:rPr>
        <w:t>29,330].</w:t>
      </w:r>
    </w:p>
    <w:p w:rsidR="00E3259F" w:rsidRPr="006E540D" w:rsidRDefault="00E3259F" w:rsidP="00E3259F">
      <w:pPr>
        <w:spacing w:line="360" w:lineRule="auto"/>
        <w:ind w:firstLine="709"/>
        <w:jc w:val="both"/>
        <w:rPr>
          <w:sz w:val="28"/>
          <w:szCs w:val="28"/>
          <w:lang w:val="uk-UA"/>
        </w:rPr>
      </w:pPr>
      <w:r w:rsidRPr="006E540D">
        <w:rPr>
          <w:sz w:val="28"/>
          <w:szCs w:val="28"/>
          <w:lang w:val="uk-UA"/>
        </w:rPr>
        <w:t>Таким чином, встановлено, що ОС у більшості випадків супроводжує перебіг як поєднаного перебігу ГХ та ЦД 2 типу без порушення функції ЩЗ, так  і при наявності СГТ, незалежно від швидкості старіння. Прискорений темп старіння, незалежно від існуючих патологічних процесів і станів, супроводжується більш значними проявами ОС, ніж при уповільненому темпі старіння. Визначення БВ та швидкості старіння в період пізнього онтогенезу з високим ступенем точності відображає вираженість порушення фізіологічної адаптації організму, що розвивається в результаті поєднання вікових та патологічних процесів, включаючи ОС, тому оцінювання ОС разом з віковими характеристиками може використовуватися не тільки для оцінки стану організму, але і як інтегральний показник, що характеризує ефективність заходів лікування та профілактики.</w:t>
      </w:r>
    </w:p>
    <w:p w:rsidR="00E3259F" w:rsidRDefault="00E3259F" w:rsidP="00E3259F">
      <w:pPr>
        <w:shd w:val="clear" w:color="auto" w:fill="FFFFFF" w:themeFill="background1"/>
        <w:spacing w:line="360" w:lineRule="auto"/>
        <w:ind w:firstLine="709"/>
        <w:jc w:val="both"/>
        <w:rPr>
          <w:sz w:val="28"/>
          <w:szCs w:val="28"/>
          <w:lang w:val="uk-UA"/>
        </w:rPr>
      </w:pPr>
    </w:p>
    <w:p w:rsidR="006E540D" w:rsidRDefault="006E540D" w:rsidP="00E3259F">
      <w:pPr>
        <w:shd w:val="clear" w:color="auto" w:fill="FFFFFF" w:themeFill="background1"/>
        <w:spacing w:line="360" w:lineRule="auto"/>
        <w:ind w:firstLine="709"/>
        <w:jc w:val="both"/>
        <w:rPr>
          <w:sz w:val="28"/>
          <w:szCs w:val="28"/>
          <w:lang w:val="uk-UA" w:eastAsia="en-US"/>
        </w:rPr>
      </w:pPr>
    </w:p>
    <w:p w:rsidR="006E540D" w:rsidRDefault="006E540D" w:rsidP="00E3259F">
      <w:pPr>
        <w:shd w:val="clear" w:color="auto" w:fill="FFFFFF" w:themeFill="background1"/>
        <w:spacing w:line="360" w:lineRule="auto"/>
        <w:ind w:firstLine="709"/>
        <w:jc w:val="both"/>
        <w:rPr>
          <w:sz w:val="28"/>
          <w:szCs w:val="28"/>
          <w:lang w:val="uk-UA" w:eastAsia="en-US"/>
        </w:rPr>
      </w:pPr>
    </w:p>
    <w:p w:rsidR="006E540D" w:rsidRDefault="006E540D" w:rsidP="00E3259F">
      <w:pPr>
        <w:shd w:val="clear" w:color="auto" w:fill="FFFFFF" w:themeFill="background1"/>
        <w:spacing w:line="360" w:lineRule="auto"/>
        <w:ind w:firstLine="709"/>
        <w:jc w:val="both"/>
        <w:rPr>
          <w:sz w:val="28"/>
          <w:szCs w:val="28"/>
          <w:lang w:val="uk-UA" w:eastAsia="en-US"/>
        </w:rPr>
      </w:pPr>
    </w:p>
    <w:p w:rsidR="00E3259F" w:rsidRDefault="00E3259F" w:rsidP="00E3259F">
      <w:pPr>
        <w:shd w:val="clear" w:color="auto" w:fill="FFFFFF" w:themeFill="background1"/>
        <w:spacing w:line="360" w:lineRule="auto"/>
        <w:ind w:firstLine="709"/>
        <w:jc w:val="both"/>
        <w:rPr>
          <w:sz w:val="28"/>
          <w:szCs w:val="28"/>
          <w:lang w:val="uk-UA"/>
        </w:rPr>
      </w:pPr>
      <w:r>
        <w:rPr>
          <w:sz w:val="28"/>
          <w:szCs w:val="28"/>
          <w:lang w:val="uk-UA" w:eastAsia="en-US"/>
        </w:rPr>
        <w:t>4.4. Спосіб визначення прогресування оксидативного стресу у пацієнтів з гіпертонічною хворобою та цукровим діабетом 2 типу в поєднанні з субклінічним гіпотереозом</w:t>
      </w:r>
    </w:p>
    <w:p w:rsidR="00E3259F" w:rsidRDefault="00E3259F" w:rsidP="00E3259F">
      <w:pPr>
        <w:shd w:val="clear" w:color="auto" w:fill="FFFFFF" w:themeFill="background1"/>
        <w:spacing w:line="360" w:lineRule="auto"/>
        <w:ind w:firstLine="709"/>
        <w:jc w:val="both"/>
        <w:rPr>
          <w:sz w:val="28"/>
          <w:szCs w:val="28"/>
          <w:lang w:val="uk-UA"/>
        </w:rPr>
      </w:pPr>
    </w:p>
    <w:p w:rsidR="00E3259F" w:rsidRPr="006E540D" w:rsidRDefault="00E3259F" w:rsidP="006E540D">
      <w:pPr>
        <w:shd w:val="clear" w:color="auto" w:fill="FFFFFF" w:themeFill="background1"/>
        <w:spacing w:line="360" w:lineRule="auto"/>
        <w:ind w:firstLine="709"/>
        <w:jc w:val="both"/>
        <w:rPr>
          <w:sz w:val="28"/>
          <w:szCs w:val="28"/>
        </w:rPr>
      </w:pPr>
      <w:r w:rsidRPr="006E540D">
        <w:rPr>
          <w:sz w:val="28"/>
          <w:szCs w:val="28"/>
          <w:lang w:val="uk-UA"/>
        </w:rPr>
        <w:t>Для визначення прогресування ОС та його прогностичного впливу на темпи формування КВР, з метою підвищення ефективності профілактичних та лікувальних заходів у пацієнтів з ГХ та ЦД 2 типу у поєднанні з СГТ була створена модель, для якої було відібрано та обстежено 57 пацієнтів з ГХ у поєднанні зі ЦД 2 типу та СГТ. У</w:t>
      </w:r>
      <w:r w:rsidRPr="006E540D">
        <w:rPr>
          <w:sz w:val="28"/>
          <w:szCs w:val="28"/>
        </w:rPr>
        <w:t>сі пацієнти були роз</w:t>
      </w:r>
      <w:r w:rsidRPr="006E540D">
        <w:rPr>
          <w:sz w:val="28"/>
          <w:szCs w:val="28"/>
          <w:lang w:val="uk-UA"/>
        </w:rPr>
        <w:t>по</w:t>
      </w:r>
      <w:r w:rsidRPr="006E540D">
        <w:rPr>
          <w:sz w:val="28"/>
          <w:szCs w:val="28"/>
        </w:rPr>
        <w:t xml:space="preserve">ділені на дві групи </w:t>
      </w:r>
      <w:r w:rsidRPr="006E540D">
        <w:rPr>
          <w:sz w:val="28"/>
          <w:szCs w:val="28"/>
          <w:lang w:val="uk-UA"/>
        </w:rPr>
        <w:t>таким</w:t>
      </w:r>
      <w:r w:rsidRPr="006E540D">
        <w:rPr>
          <w:sz w:val="28"/>
          <w:szCs w:val="28"/>
        </w:rPr>
        <w:t xml:space="preserve"> чином:</w:t>
      </w:r>
    </w:p>
    <w:p w:rsidR="00E3259F" w:rsidRPr="006E540D" w:rsidRDefault="00E3259F" w:rsidP="006E540D">
      <w:pPr>
        <w:spacing w:line="360" w:lineRule="auto"/>
        <w:ind w:firstLine="709"/>
        <w:jc w:val="both"/>
        <w:rPr>
          <w:sz w:val="28"/>
          <w:szCs w:val="28"/>
        </w:rPr>
      </w:pPr>
      <w:r w:rsidRPr="006E540D">
        <w:rPr>
          <w:sz w:val="28"/>
          <w:szCs w:val="28"/>
        </w:rPr>
        <w:t>1-</w:t>
      </w:r>
      <w:r w:rsidRPr="006E540D">
        <w:rPr>
          <w:sz w:val="28"/>
          <w:szCs w:val="28"/>
          <w:lang w:val="uk-UA"/>
        </w:rPr>
        <w:t>ша</w:t>
      </w:r>
      <w:r w:rsidRPr="006E540D">
        <w:rPr>
          <w:sz w:val="28"/>
          <w:szCs w:val="28"/>
        </w:rPr>
        <w:t xml:space="preserve"> група - невиражений (неінтенсивний) оксидативний стрес (дисбаланс між оксидантною та антиоксидантною системами не виражений) (19 пацієнтів);</w:t>
      </w:r>
    </w:p>
    <w:p w:rsidR="00E3259F" w:rsidRPr="006E540D" w:rsidRDefault="00E3259F" w:rsidP="006E540D">
      <w:pPr>
        <w:spacing w:line="360" w:lineRule="auto"/>
        <w:ind w:firstLine="709"/>
        <w:jc w:val="both"/>
        <w:rPr>
          <w:sz w:val="28"/>
          <w:szCs w:val="28"/>
        </w:rPr>
      </w:pPr>
      <w:r w:rsidRPr="006E540D">
        <w:rPr>
          <w:sz w:val="28"/>
          <w:szCs w:val="28"/>
        </w:rPr>
        <w:t>2-я група - виражений оксидативний стрес (</w:t>
      </w:r>
      <w:r w:rsidRPr="006E540D">
        <w:rPr>
          <w:sz w:val="28"/>
          <w:szCs w:val="28"/>
          <w:lang w:val="uk-UA"/>
        </w:rPr>
        <w:t>виражений</w:t>
      </w:r>
      <w:r w:rsidRPr="006E540D">
        <w:rPr>
          <w:sz w:val="28"/>
          <w:szCs w:val="28"/>
        </w:rPr>
        <w:t xml:space="preserve"> дисбаланс між оксидантною та антиоксидантною системами) (38 пацієнтів).</w:t>
      </w:r>
    </w:p>
    <w:p w:rsidR="00E3259F" w:rsidRPr="006E540D" w:rsidRDefault="00E3259F" w:rsidP="006E540D">
      <w:pPr>
        <w:spacing w:line="360" w:lineRule="auto"/>
        <w:ind w:firstLine="720"/>
        <w:jc w:val="both"/>
        <w:rPr>
          <w:rFonts w:eastAsia="Lucida Sans Unicode"/>
          <w:kern w:val="2"/>
          <w:sz w:val="28"/>
          <w:szCs w:val="28"/>
          <w:lang w:eastAsia="ar-SA"/>
        </w:rPr>
      </w:pPr>
      <w:r w:rsidRPr="006E540D">
        <w:rPr>
          <w:sz w:val="28"/>
          <w:szCs w:val="28"/>
        </w:rPr>
        <w:t xml:space="preserve">Кожному з пацієнтів було проведено комплексне клініко-інструментальне дослідження. </w:t>
      </w:r>
      <w:r w:rsidRPr="006E540D">
        <w:rPr>
          <w:rFonts w:eastAsia="Lucida Sans Unicode"/>
          <w:kern w:val="2"/>
          <w:sz w:val="28"/>
          <w:szCs w:val="28"/>
          <w:lang w:val="uk-UA" w:eastAsia="ar-SA"/>
        </w:rPr>
        <w:t>У</w:t>
      </w:r>
      <w:r w:rsidRPr="006E540D">
        <w:rPr>
          <w:rFonts w:eastAsia="Lucida Sans Unicode"/>
          <w:kern w:val="2"/>
          <w:sz w:val="28"/>
          <w:szCs w:val="28"/>
          <w:lang w:eastAsia="ar-SA"/>
        </w:rPr>
        <w:t>сі діагностичні ознаки були закодовані та поставлені відповідно вектору, який враховує відсутність, наявність, спрямованість та величину кожної ознаки.</w:t>
      </w:r>
    </w:p>
    <w:p w:rsidR="00E3259F" w:rsidRPr="006E540D" w:rsidRDefault="00E3259F" w:rsidP="006E540D">
      <w:pPr>
        <w:spacing w:line="360" w:lineRule="auto"/>
        <w:ind w:firstLine="720"/>
        <w:jc w:val="both"/>
        <w:rPr>
          <w:rFonts w:eastAsia="Lucida Sans Unicode"/>
          <w:kern w:val="2"/>
          <w:sz w:val="28"/>
          <w:szCs w:val="28"/>
          <w:lang w:eastAsia="ar-SA"/>
        </w:rPr>
      </w:pPr>
      <w:r w:rsidRPr="006E540D">
        <w:rPr>
          <w:rFonts w:eastAsia="Lucida Sans Unicode"/>
          <w:kern w:val="2"/>
          <w:sz w:val="28"/>
          <w:szCs w:val="28"/>
          <w:lang w:eastAsia="ar-SA"/>
        </w:rPr>
        <w:t>Математична обробка результатів проводилася з використанням пакета прикладних програм SPSS 21 для Windows.</w:t>
      </w:r>
    </w:p>
    <w:p w:rsidR="00E3259F" w:rsidRPr="006E540D" w:rsidRDefault="00E3259F" w:rsidP="006E540D">
      <w:pPr>
        <w:spacing w:line="360" w:lineRule="auto"/>
        <w:ind w:firstLine="720"/>
        <w:jc w:val="both"/>
        <w:rPr>
          <w:sz w:val="28"/>
          <w:szCs w:val="28"/>
          <w:lang w:eastAsia="ar-SA"/>
        </w:rPr>
      </w:pPr>
      <w:r w:rsidRPr="006E540D">
        <w:rPr>
          <w:rFonts w:eastAsia="Lucida Sans Unicode"/>
          <w:kern w:val="2"/>
          <w:sz w:val="28"/>
          <w:szCs w:val="28"/>
          <w:lang w:eastAsia="ar-SA"/>
        </w:rPr>
        <w:t xml:space="preserve">Рівняння бінарної логістичної регресії, за яким визначається ймовірність прогресування </w:t>
      </w:r>
      <w:r w:rsidRPr="006E540D">
        <w:rPr>
          <w:rFonts w:eastAsia="Lucida Sans Unicode"/>
          <w:kern w:val="2"/>
          <w:sz w:val="28"/>
          <w:szCs w:val="28"/>
          <w:lang w:val="uk-UA" w:eastAsia="ar-SA"/>
        </w:rPr>
        <w:t>оксидативного стресу</w:t>
      </w:r>
      <w:r w:rsidRPr="006E540D">
        <w:rPr>
          <w:rFonts w:eastAsia="Lucida Sans Unicode"/>
          <w:kern w:val="2"/>
          <w:sz w:val="28"/>
          <w:szCs w:val="28"/>
          <w:lang w:eastAsia="ar-SA"/>
        </w:rPr>
        <w:t xml:space="preserve">, має </w:t>
      </w:r>
      <w:r w:rsidRPr="006E540D">
        <w:rPr>
          <w:rFonts w:eastAsia="Lucida Sans Unicode"/>
          <w:kern w:val="2"/>
          <w:sz w:val="28"/>
          <w:szCs w:val="28"/>
          <w:lang w:val="uk-UA" w:eastAsia="ar-SA"/>
        </w:rPr>
        <w:t>такий</w:t>
      </w:r>
      <w:r w:rsidRPr="006E540D">
        <w:rPr>
          <w:rFonts w:eastAsia="Lucida Sans Unicode"/>
          <w:kern w:val="2"/>
          <w:sz w:val="28"/>
          <w:szCs w:val="28"/>
          <w:lang w:eastAsia="ar-SA"/>
        </w:rPr>
        <w:t xml:space="preserve"> вигляд:</w:t>
      </w:r>
    </w:p>
    <w:p w:rsidR="00E3259F" w:rsidRPr="006E540D" w:rsidRDefault="00E3259F" w:rsidP="006E540D">
      <w:pPr>
        <w:suppressAutoHyphens/>
        <w:overflowPunct w:val="0"/>
        <w:autoSpaceDE w:val="0"/>
        <w:autoSpaceDN w:val="0"/>
        <w:adjustRightInd w:val="0"/>
        <w:spacing w:line="360" w:lineRule="auto"/>
        <w:jc w:val="center"/>
        <w:textAlignment w:val="baseline"/>
        <w:rPr>
          <w:kern w:val="2"/>
          <w:sz w:val="28"/>
          <w:szCs w:val="28"/>
          <w:lang w:val="uk-UA"/>
        </w:rPr>
      </w:pPr>
      <w:r w:rsidRPr="006E540D">
        <w:rPr>
          <w:kern w:val="2"/>
          <w:sz w:val="28"/>
          <w:szCs w:val="28"/>
          <w:lang w:val="uk-UA"/>
        </w:rPr>
        <w:t xml:space="preserve">                                      </w:t>
      </w:r>
      <w:r w:rsidRPr="006E540D">
        <w:rPr>
          <w:kern w:val="2"/>
          <w:position w:val="-10"/>
          <w:sz w:val="28"/>
          <w:szCs w:val="28"/>
          <w:lang w:val="uk-UA"/>
        </w:rPr>
        <w:object w:dxaOrig="1860" w:dyaOrig="540">
          <v:shape id="_x0000_i1026" type="#_x0000_t75" style="width:93.75pt;height:26.25pt" o:ole="">
            <v:imagedata r:id="rId15" o:title=""/>
          </v:shape>
          <o:OLEObject Type="Embed" ProgID="Equation.3" ShapeID="_x0000_i1026" DrawAspect="Content" ObjectID="_1669446810" r:id="rId16"/>
        </w:object>
      </w:r>
      <w:r w:rsidRPr="006E540D">
        <w:rPr>
          <w:kern w:val="2"/>
          <w:sz w:val="28"/>
          <w:szCs w:val="28"/>
        </w:rPr>
        <w:t>,</w:t>
      </w:r>
      <w:r w:rsidRPr="006E540D">
        <w:rPr>
          <w:kern w:val="2"/>
          <w:sz w:val="28"/>
          <w:szCs w:val="28"/>
          <w:lang w:val="uk-UA"/>
        </w:rPr>
        <w:t xml:space="preserve">                                          (4.1)</w:t>
      </w: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kern w:val="2"/>
          <w:sz w:val="28"/>
          <w:szCs w:val="28"/>
        </w:rPr>
      </w:pPr>
      <w:r w:rsidRPr="006E540D">
        <w:rPr>
          <w:kern w:val="2"/>
          <w:sz w:val="28"/>
          <w:szCs w:val="28"/>
        </w:rPr>
        <w:t xml:space="preserve">де </w:t>
      </w:r>
      <w:r w:rsidRPr="006E540D">
        <w:rPr>
          <w:kern w:val="2"/>
          <w:position w:val="-4"/>
          <w:sz w:val="28"/>
          <w:szCs w:val="28"/>
          <w:lang w:val="uk-UA"/>
        </w:rPr>
        <w:object w:dxaOrig="240" w:dyaOrig="420">
          <v:shape id="_x0000_i1027" type="#_x0000_t75" style="width:12.75pt;height:21.75pt" o:ole="">
            <v:imagedata r:id="rId17" o:title=""/>
          </v:shape>
          <o:OLEObject Type="Embed" ProgID="Equation.3" ShapeID="_x0000_i1027" DrawAspect="Content" ObjectID="_1669446811" r:id="rId18"/>
        </w:object>
      </w:r>
      <w:r w:rsidRPr="006E540D">
        <w:rPr>
          <w:kern w:val="2"/>
          <w:sz w:val="28"/>
          <w:szCs w:val="28"/>
        </w:rPr>
        <w:t xml:space="preserve"> – імовірність того, що </w:t>
      </w:r>
      <w:r w:rsidRPr="006E540D">
        <w:rPr>
          <w:kern w:val="2"/>
          <w:sz w:val="28"/>
          <w:szCs w:val="28"/>
          <w:lang w:val="uk-UA"/>
        </w:rPr>
        <w:t>ОС</w:t>
      </w:r>
      <w:r w:rsidRPr="006E540D">
        <w:rPr>
          <w:kern w:val="2"/>
          <w:sz w:val="28"/>
          <w:szCs w:val="28"/>
        </w:rPr>
        <w:t xml:space="preserve"> прогресуватиме;</w:t>
      </w: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kern w:val="2"/>
          <w:sz w:val="28"/>
          <w:szCs w:val="28"/>
        </w:rPr>
      </w:pPr>
      <w:r w:rsidRPr="006E540D">
        <w:rPr>
          <w:kern w:val="2"/>
          <w:sz w:val="28"/>
          <w:szCs w:val="28"/>
        </w:rPr>
        <w:t xml:space="preserve">       z – значення логістичної функції, яка визначається згідно з формулою:</w:t>
      </w: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kern w:val="2"/>
          <w:sz w:val="16"/>
          <w:szCs w:val="16"/>
        </w:rPr>
      </w:pPr>
    </w:p>
    <w:p w:rsidR="00E3259F" w:rsidRPr="006E540D" w:rsidRDefault="00E3259F" w:rsidP="006E540D">
      <w:pPr>
        <w:suppressAutoHyphens/>
        <w:overflowPunct w:val="0"/>
        <w:autoSpaceDE w:val="0"/>
        <w:autoSpaceDN w:val="0"/>
        <w:adjustRightInd w:val="0"/>
        <w:spacing w:line="360" w:lineRule="auto"/>
        <w:jc w:val="center"/>
        <w:textAlignment w:val="baseline"/>
        <w:rPr>
          <w:kern w:val="2"/>
          <w:sz w:val="28"/>
          <w:szCs w:val="28"/>
          <w:lang w:val="uk-UA"/>
        </w:rPr>
      </w:pPr>
      <w:r w:rsidRPr="006E540D">
        <w:rPr>
          <w:kern w:val="2"/>
          <w:sz w:val="28"/>
          <w:szCs w:val="28"/>
          <w:lang w:val="uk-UA"/>
        </w:rPr>
        <w:t xml:space="preserve">                  </w:t>
      </w:r>
      <w:r w:rsidRPr="006E540D">
        <w:rPr>
          <w:kern w:val="2"/>
          <w:position w:val="-12"/>
          <w:sz w:val="28"/>
          <w:szCs w:val="28"/>
          <w:lang w:val="uk-UA"/>
        </w:rPr>
        <w:object w:dxaOrig="5055" w:dyaOrig="420">
          <v:shape id="_x0000_i1028" type="#_x0000_t75" style="width:252.75pt;height:21.75pt" o:ole="">
            <v:imagedata r:id="rId19" o:title=""/>
          </v:shape>
          <o:OLEObject Type="Embed" ProgID="Equation.3" ShapeID="_x0000_i1028" DrawAspect="Content" ObjectID="_1669446812" r:id="rId20"/>
        </w:object>
      </w:r>
      <w:r w:rsidRPr="006E540D">
        <w:rPr>
          <w:kern w:val="2"/>
          <w:sz w:val="28"/>
          <w:szCs w:val="28"/>
        </w:rPr>
        <w:t>,</w:t>
      </w:r>
      <w:r w:rsidRPr="006E540D">
        <w:rPr>
          <w:kern w:val="2"/>
          <w:sz w:val="28"/>
          <w:szCs w:val="28"/>
          <w:lang w:val="uk-UA"/>
        </w:rPr>
        <w:t xml:space="preserve">                  (4.2)</w:t>
      </w:r>
    </w:p>
    <w:p w:rsidR="00E3259F" w:rsidRPr="006E540D" w:rsidRDefault="00E3259F" w:rsidP="006E540D">
      <w:pPr>
        <w:suppressAutoHyphens/>
        <w:overflowPunct w:val="0"/>
        <w:autoSpaceDE w:val="0"/>
        <w:autoSpaceDN w:val="0"/>
        <w:adjustRightInd w:val="0"/>
        <w:spacing w:line="360" w:lineRule="auto"/>
        <w:jc w:val="center"/>
        <w:textAlignment w:val="baseline"/>
        <w:rPr>
          <w:kern w:val="2"/>
          <w:sz w:val="16"/>
          <w:szCs w:val="16"/>
        </w:rPr>
      </w:pP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kern w:val="2"/>
          <w:sz w:val="28"/>
          <w:szCs w:val="28"/>
        </w:rPr>
      </w:pPr>
      <w:r w:rsidRPr="006E540D">
        <w:rPr>
          <w:kern w:val="2"/>
          <w:sz w:val="28"/>
          <w:szCs w:val="28"/>
        </w:rPr>
        <w:t>де Х</w:t>
      </w:r>
      <w:r w:rsidRPr="006E540D">
        <w:rPr>
          <w:kern w:val="2"/>
          <w:sz w:val="28"/>
          <w:szCs w:val="28"/>
          <w:vertAlign w:val="subscript"/>
        </w:rPr>
        <w:t>i</w:t>
      </w:r>
      <w:r w:rsidRPr="006E540D">
        <w:rPr>
          <w:kern w:val="2"/>
          <w:sz w:val="28"/>
          <w:szCs w:val="28"/>
        </w:rPr>
        <w:t xml:space="preserve"> – фактор ризику </w:t>
      </w:r>
      <w:r w:rsidRPr="006E540D">
        <w:rPr>
          <w:rFonts w:eastAsia="Lucida Sans Unicode"/>
          <w:kern w:val="2"/>
          <w:sz w:val="28"/>
          <w:szCs w:val="28"/>
          <w:lang w:eastAsia="ar-SA"/>
        </w:rPr>
        <w:t xml:space="preserve">прогресування </w:t>
      </w:r>
      <w:r w:rsidRPr="006E540D">
        <w:rPr>
          <w:rFonts w:eastAsia="Lucida Sans Unicode"/>
          <w:kern w:val="2"/>
          <w:sz w:val="28"/>
          <w:szCs w:val="28"/>
          <w:lang w:val="uk-UA" w:eastAsia="ar-SA"/>
        </w:rPr>
        <w:t>ОС</w:t>
      </w:r>
      <w:r w:rsidRPr="006E540D">
        <w:rPr>
          <w:kern w:val="2"/>
          <w:sz w:val="28"/>
          <w:szCs w:val="28"/>
        </w:rPr>
        <w:t>,</w:t>
      </w: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kern w:val="2"/>
          <w:sz w:val="28"/>
          <w:szCs w:val="28"/>
        </w:rPr>
      </w:pPr>
      <w:r w:rsidRPr="006E540D">
        <w:rPr>
          <w:kern w:val="2"/>
          <w:position w:val="-10"/>
          <w:sz w:val="28"/>
          <w:szCs w:val="28"/>
          <w:lang w:val="uk-UA"/>
        </w:rPr>
        <w:object w:dxaOrig="255" w:dyaOrig="345">
          <v:shape id="_x0000_i1029" type="#_x0000_t75" style="width:12.75pt;height:18pt" o:ole="">
            <v:imagedata r:id="rId21" o:title=""/>
          </v:shape>
          <o:OLEObject Type="Embed" ProgID="Equation.3" ShapeID="_x0000_i1029" DrawAspect="Content" ObjectID="_1669446813" r:id="rId22"/>
        </w:object>
      </w:r>
      <w:r w:rsidRPr="006E540D">
        <w:rPr>
          <w:kern w:val="2"/>
          <w:sz w:val="28"/>
          <w:szCs w:val="28"/>
        </w:rPr>
        <w:t xml:space="preserve"> – коефіцієнти, розрахунок яких є завданням бінарної логістичної регресії.</w:t>
      </w: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kern w:val="2"/>
          <w:sz w:val="28"/>
          <w:szCs w:val="28"/>
        </w:rPr>
      </w:pPr>
      <w:r w:rsidRPr="006E540D">
        <w:rPr>
          <w:kern w:val="2"/>
          <w:sz w:val="28"/>
          <w:szCs w:val="28"/>
        </w:rPr>
        <w:t xml:space="preserve">Значення коефіцієнта </w:t>
      </w:r>
      <w:r w:rsidRPr="006E540D">
        <w:rPr>
          <w:kern w:val="2"/>
          <w:position w:val="-10"/>
          <w:sz w:val="28"/>
          <w:szCs w:val="28"/>
          <w:lang w:val="uk-UA"/>
        </w:rPr>
        <w:object w:dxaOrig="255" w:dyaOrig="345">
          <v:shape id="_x0000_i1030" type="#_x0000_t75" style="width:12.75pt;height:18pt" o:ole="">
            <v:imagedata r:id="rId21" o:title=""/>
          </v:shape>
          <o:OLEObject Type="Embed" ProgID="Equation.3" ShapeID="_x0000_i1030" DrawAspect="Content" ObjectID="_1669446814" r:id="rId23"/>
        </w:object>
      </w:r>
      <w:r w:rsidRPr="006E540D">
        <w:rPr>
          <w:kern w:val="2"/>
          <w:sz w:val="28"/>
          <w:szCs w:val="28"/>
        </w:rPr>
        <w:t xml:space="preserve"> вказує на зміну відношення шансів при зміні Х</w:t>
      </w:r>
      <w:r w:rsidRPr="006E540D">
        <w:rPr>
          <w:kern w:val="2"/>
          <w:sz w:val="28"/>
          <w:szCs w:val="28"/>
          <w:vertAlign w:val="subscript"/>
        </w:rPr>
        <w:t>i</w:t>
      </w:r>
      <w:r w:rsidRPr="006E540D">
        <w:rPr>
          <w:kern w:val="2"/>
          <w:sz w:val="28"/>
          <w:szCs w:val="28"/>
        </w:rPr>
        <w:t>.</w:t>
      </w:r>
      <w:r w:rsidRPr="006E540D">
        <w:rPr>
          <w:sz w:val="28"/>
          <w:szCs w:val="28"/>
        </w:rPr>
        <w:t xml:space="preserve"> Відношенням шансів є частка від ділення ймовірності того, що </w:t>
      </w:r>
      <w:r w:rsidRPr="006E540D">
        <w:rPr>
          <w:kern w:val="2"/>
          <w:sz w:val="28"/>
          <w:szCs w:val="28"/>
        </w:rPr>
        <w:t>захворювання прогресуватиме,</w:t>
      </w:r>
      <w:r w:rsidRPr="006E540D">
        <w:rPr>
          <w:sz w:val="28"/>
          <w:szCs w:val="28"/>
        </w:rPr>
        <w:t xml:space="preserve"> до ймовірності того, що воно не </w:t>
      </w:r>
      <w:r w:rsidRPr="006E540D">
        <w:rPr>
          <w:kern w:val="2"/>
          <w:sz w:val="28"/>
          <w:szCs w:val="28"/>
        </w:rPr>
        <w:t>прогресуватиме</w:t>
      </w:r>
      <w:r w:rsidRPr="006E540D">
        <w:rPr>
          <w:sz w:val="28"/>
          <w:szCs w:val="28"/>
        </w:rPr>
        <w:t xml:space="preserve">, розраховується як </w:t>
      </w:r>
      <w:r w:rsidRPr="006E540D">
        <w:rPr>
          <w:kern w:val="2"/>
          <w:sz w:val="28"/>
          <w:szCs w:val="28"/>
        </w:rPr>
        <w:t>P/(1–P).</w:t>
      </w:r>
    </w:p>
    <w:p w:rsidR="00E3259F" w:rsidRPr="006E540D" w:rsidRDefault="00E3259F" w:rsidP="006E540D">
      <w:pPr>
        <w:spacing w:line="360" w:lineRule="auto"/>
        <w:ind w:firstLine="709"/>
        <w:jc w:val="both"/>
        <w:rPr>
          <w:rFonts w:eastAsia="Calibri"/>
          <w:sz w:val="28"/>
          <w:szCs w:val="28"/>
          <w:lang w:eastAsia="en-US"/>
        </w:rPr>
      </w:pPr>
      <w:r w:rsidRPr="006E540D">
        <w:rPr>
          <w:kern w:val="2"/>
          <w:sz w:val="28"/>
          <w:szCs w:val="28"/>
        </w:rPr>
        <w:t xml:space="preserve">Метод покрокового включення предикторів, який ранжує ознаки відповідно до їхнього внеску в модель, застосовувався при оцінці рівнянь регресії. </w:t>
      </w:r>
      <w:r w:rsidRPr="006E540D">
        <w:rPr>
          <w:sz w:val="28"/>
          <w:szCs w:val="28"/>
          <w:lang w:val="uk-UA"/>
        </w:rPr>
        <w:t>І</w:t>
      </w:r>
      <w:r w:rsidRPr="006E540D">
        <w:rPr>
          <w:sz w:val="28"/>
          <w:szCs w:val="28"/>
        </w:rPr>
        <w:t xml:space="preserve">мовірність </w:t>
      </w:r>
      <w:r w:rsidRPr="006E540D">
        <w:rPr>
          <w:kern w:val="2"/>
          <w:position w:val="-4"/>
          <w:sz w:val="28"/>
          <w:szCs w:val="28"/>
        </w:rPr>
        <w:object w:dxaOrig="240" w:dyaOrig="420">
          <v:shape id="_x0000_i1031" type="#_x0000_t75" style="width:12.75pt;height:21.75pt" o:ole="">
            <v:imagedata r:id="rId17" o:title=""/>
          </v:shape>
          <o:OLEObject Type="Embed" ProgID="Equation.3" ShapeID="_x0000_i1031" DrawAspect="Content" ObjectID="_1669446815" r:id="rId24"/>
        </w:object>
      </w:r>
      <w:r w:rsidRPr="006E540D">
        <w:rPr>
          <w:kern w:val="2"/>
          <w:sz w:val="28"/>
          <w:szCs w:val="28"/>
        </w:rPr>
        <w:t xml:space="preserve"> </w:t>
      </w:r>
      <w:r w:rsidRPr="006E540D">
        <w:rPr>
          <w:sz w:val="28"/>
          <w:szCs w:val="28"/>
        </w:rPr>
        <w:t xml:space="preserve">прогресування оксидативного стресу </w:t>
      </w:r>
      <w:r w:rsidRPr="006E540D">
        <w:rPr>
          <w:sz w:val="28"/>
          <w:szCs w:val="28"/>
          <w:lang w:val="uk-UA"/>
        </w:rPr>
        <w:t>в</w:t>
      </w:r>
      <w:r w:rsidRPr="006E540D">
        <w:rPr>
          <w:sz w:val="28"/>
          <w:szCs w:val="28"/>
        </w:rPr>
        <w:t xml:space="preserve"> пацієнтів з Г</w:t>
      </w:r>
      <w:r w:rsidRPr="006E540D">
        <w:rPr>
          <w:sz w:val="28"/>
          <w:szCs w:val="28"/>
          <w:lang w:val="uk-UA"/>
        </w:rPr>
        <w:t>Х</w:t>
      </w:r>
      <w:r w:rsidRPr="006E540D">
        <w:rPr>
          <w:sz w:val="28"/>
          <w:szCs w:val="28"/>
        </w:rPr>
        <w:t>, ЦД</w:t>
      </w:r>
      <w:r w:rsidRPr="006E540D">
        <w:rPr>
          <w:sz w:val="28"/>
          <w:szCs w:val="28"/>
          <w:lang w:val="uk-UA"/>
        </w:rPr>
        <w:t xml:space="preserve"> </w:t>
      </w:r>
      <w:r w:rsidRPr="006E540D">
        <w:rPr>
          <w:sz w:val="28"/>
          <w:szCs w:val="28"/>
        </w:rPr>
        <w:t>2</w:t>
      </w:r>
      <w:r w:rsidRPr="006E540D">
        <w:rPr>
          <w:sz w:val="28"/>
          <w:szCs w:val="28"/>
          <w:lang w:val="uk-UA"/>
        </w:rPr>
        <w:t xml:space="preserve"> типу</w:t>
      </w:r>
      <w:r w:rsidRPr="006E540D">
        <w:rPr>
          <w:sz w:val="28"/>
          <w:szCs w:val="28"/>
        </w:rPr>
        <w:t xml:space="preserve"> та СГТ визначається за створеним </w:t>
      </w:r>
      <w:r w:rsidRPr="006E540D">
        <w:rPr>
          <w:sz w:val="28"/>
          <w:szCs w:val="28"/>
          <w:lang w:eastAsia="ar-SA"/>
        </w:rPr>
        <w:t>рівнянням логістичної регресії</w:t>
      </w:r>
      <w:r w:rsidRPr="006E540D">
        <w:rPr>
          <w:sz w:val="28"/>
          <w:szCs w:val="28"/>
        </w:rPr>
        <w:t>:</w:t>
      </w:r>
    </w:p>
    <w:p w:rsidR="00E3259F" w:rsidRPr="006E540D" w:rsidRDefault="00E3259F" w:rsidP="006E540D">
      <w:pPr>
        <w:spacing w:line="360" w:lineRule="auto"/>
        <w:ind w:firstLine="709"/>
        <w:jc w:val="both"/>
        <w:rPr>
          <w:sz w:val="16"/>
          <w:szCs w:val="16"/>
          <w:lang w:eastAsia="uk-UA"/>
        </w:rPr>
      </w:pPr>
    </w:p>
    <w:p w:rsidR="00E3259F" w:rsidRPr="006E540D" w:rsidRDefault="00E3259F" w:rsidP="006E540D">
      <w:pPr>
        <w:autoSpaceDE w:val="0"/>
        <w:autoSpaceDN w:val="0"/>
        <w:adjustRightInd w:val="0"/>
        <w:spacing w:line="360" w:lineRule="auto"/>
        <w:jc w:val="center"/>
        <w:rPr>
          <w:lang w:val="uk-UA"/>
        </w:rPr>
      </w:pPr>
      <w:r w:rsidRPr="006E540D">
        <w:rPr>
          <w:kern w:val="2"/>
          <w:position w:val="-4"/>
          <w:sz w:val="28"/>
          <w:szCs w:val="28"/>
        </w:rPr>
        <w:object w:dxaOrig="240" w:dyaOrig="420">
          <v:shape id="_x0000_i1032" type="#_x0000_t75" style="width:12.75pt;height:21.75pt" o:ole="">
            <v:imagedata r:id="rId17" o:title=""/>
          </v:shape>
          <o:OLEObject Type="Embed" ProgID="Equation.3" ShapeID="_x0000_i1032" DrawAspect="Content" ObjectID="_1669446816" r:id="rId25"/>
        </w:object>
      </w:r>
      <w:r w:rsidRPr="006E540D">
        <w:rPr>
          <w:kern w:val="2"/>
          <w:sz w:val="28"/>
          <w:szCs w:val="28"/>
        </w:rPr>
        <w:t xml:space="preserve">=[1+ </w:t>
      </w:r>
      <w:r w:rsidRPr="006E540D">
        <w:rPr>
          <w:kern w:val="2"/>
          <w:sz w:val="28"/>
          <w:szCs w:val="28"/>
          <w:lang w:val="en-US"/>
        </w:rPr>
        <w:t>exp</w:t>
      </w:r>
      <w:r w:rsidRPr="006E540D">
        <w:rPr>
          <w:kern w:val="2"/>
          <w:sz w:val="28"/>
          <w:szCs w:val="28"/>
        </w:rPr>
        <w:t>(0</w:t>
      </w:r>
      <w:r w:rsidRPr="006E540D">
        <w:rPr>
          <w:sz w:val="28"/>
          <w:szCs w:val="28"/>
        </w:rPr>
        <w:t>,953</w:t>
      </w:r>
      <w:r w:rsidRPr="006E540D">
        <w:rPr>
          <w:kern w:val="2"/>
          <w:sz w:val="28"/>
          <w:szCs w:val="28"/>
        </w:rPr>
        <w:t xml:space="preserve"> </w:t>
      </w:r>
      <w:r w:rsidRPr="006E540D">
        <w:rPr>
          <w:i/>
          <w:kern w:val="2"/>
          <w:sz w:val="28"/>
          <w:szCs w:val="28"/>
          <w:lang w:val="en-US"/>
        </w:rPr>
        <w:t>X</w:t>
      </w:r>
      <w:r w:rsidRPr="006E540D">
        <w:rPr>
          <w:i/>
          <w:kern w:val="2"/>
          <w:sz w:val="28"/>
          <w:szCs w:val="28"/>
          <w:vertAlign w:val="subscript"/>
        </w:rPr>
        <w:t>1</w:t>
      </w:r>
      <w:r w:rsidRPr="006E540D">
        <w:rPr>
          <w:kern w:val="2"/>
          <w:sz w:val="28"/>
          <w:szCs w:val="28"/>
        </w:rPr>
        <w:t>+</w:t>
      </w:r>
      <w:r w:rsidRPr="006E540D">
        <w:rPr>
          <w:sz w:val="28"/>
          <w:szCs w:val="28"/>
        </w:rPr>
        <w:t>9,895</w:t>
      </w:r>
      <w:r w:rsidRPr="006E540D">
        <w:rPr>
          <w:kern w:val="2"/>
          <w:sz w:val="28"/>
          <w:szCs w:val="28"/>
        </w:rPr>
        <w:t xml:space="preserve"> </w:t>
      </w:r>
      <w:r w:rsidRPr="006E540D">
        <w:rPr>
          <w:i/>
          <w:kern w:val="2"/>
          <w:sz w:val="28"/>
          <w:szCs w:val="28"/>
          <w:lang w:val="en-US"/>
        </w:rPr>
        <w:t>X</w:t>
      </w:r>
      <w:r w:rsidRPr="006E540D">
        <w:rPr>
          <w:i/>
          <w:kern w:val="2"/>
          <w:sz w:val="28"/>
          <w:szCs w:val="28"/>
          <w:vertAlign w:val="subscript"/>
        </w:rPr>
        <w:t>2</w:t>
      </w:r>
      <w:r w:rsidRPr="006E540D">
        <w:rPr>
          <w:kern w:val="2"/>
          <w:sz w:val="28"/>
          <w:szCs w:val="28"/>
          <w:vertAlign w:val="subscript"/>
        </w:rPr>
        <w:t xml:space="preserve"> </w:t>
      </w:r>
      <w:r w:rsidRPr="006E540D">
        <w:rPr>
          <w:kern w:val="2"/>
          <w:sz w:val="28"/>
          <w:szCs w:val="28"/>
        </w:rPr>
        <w:t xml:space="preserve">- </w:t>
      </w:r>
      <w:r w:rsidRPr="006E540D">
        <w:rPr>
          <w:sz w:val="28"/>
          <w:szCs w:val="28"/>
        </w:rPr>
        <w:t>138,922</w:t>
      </w:r>
      <w:r w:rsidRPr="006E540D">
        <w:rPr>
          <w:kern w:val="2"/>
          <w:sz w:val="28"/>
          <w:szCs w:val="28"/>
        </w:rPr>
        <w:t xml:space="preserve"> </w:t>
      </w:r>
      <w:r w:rsidRPr="006E540D">
        <w:rPr>
          <w:i/>
          <w:kern w:val="2"/>
          <w:sz w:val="28"/>
          <w:szCs w:val="28"/>
          <w:lang w:val="en-US"/>
        </w:rPr>
        <w:t>X</w:t>
      </w:r>
      <w:r w:rsidRPr="006E540D">
        <w:rPr>
          <w:i/>
          <w:kern w:val="2"/>
          <w:sz w:val="28"/>
          <w:szCs w:val="28"/>
          <w:vertAlign w:val="subscript"/>
        </w:rPr>
        <w:t>3</w:t>
      </w:r>
      <w:r w:rsidRPr="006E540D">
        <w:rPr>
          <w:kern w:val="2"/>
          <w:sz w:val="28"/>
          <w:szCs w:val="28"/>
        </w:rPr>
        <w:t>+</w:t>
      </w:r>
      <w:r w:rsidRPr="006E540D">
        <w:rPr>
          <w:sz w:val="28"/>
          <w:szCs w:val="28"/>
        </w:rPr>
        <w:t xml:space="preserve">11,200 </w:t>
      </w:r>
      <w:r w:rsidRPr="006E540D">
        <w:rPr>
          <w:i/>
          <w:kern w:val="2"/>
          <w:sz w:val="28"/>
          <w:szCs w:val="28"/>
          <w:lang w:val="en-US"/>
        </w:rPr>
        <w:t>X</w:t>
      </w:r>
      <w:r w:rsidRPr="006E540D">
        <w:rPr>
          <w:i/>
          <w:kern w:val="2"/>
          <w:sz w:val="28"/>
          <w:szCs w:val="28"/>
          <w:vertAlign w:val="subscript"/>
        </w:rPr>
        <w:t>4</w:t>
      </w:r>
      <w:r w:rsidRPr="006E540D">
        <w:rPr>
          <w:kern w:val="2"/>
          <w:sz w:val="28"/>
          <w:szCs w:val="28"/>
          <w:vertAlign w:val="subscript"/>
        </w:rPr>
        <w:t xml:space="preserve"> </w:t>
      </w:r>
      <w:r w:rsidRPr="006E540D">
        <w:rPr>
          <w:sz w:val="28"/>
          <w:szCs w:val="28"/>
        </w:rPr>
        <w:t xml:space="preserve">-4,466 </w:t>
      </w:r>
      <w:r w:rsidRPr="006E540D">
        <w:rPr>
          <w:i/>
          <w:kern w:val="2"/>
          <w:sz w:val="28"/>
          <w:szCs w:val="28"/>
          <w:lang w:val="en-US"/>
        </w:rPr>
        <w:t>X</w:t>
      </w:r>
      <w:r w:rsidRPr="006E540D">
        <w:rPr>
          <w:i/>
          <w:kern w:val="2"/>
          <w:sz w:val="28"/>
          <w:szCs w:val="28"/>
          <w:vertAlign w:val="subscript"/>
        </w:rPr>
        <w:t>5</w:t>
      </w:r>
      <w:r w:rsidRPr="006E540D">
        <w:rPr>
          <w:sz w:val="28"/>
          <w:szCs w:val="28"/>
        </w:rPr>
        <w:t xml:space="preserve"> - 80,843</w:t>
      </w:r>
      <w:r w:rsidRPr="006E540D">
        <w:rPr>
          <w:kern w:val="2"/>
          <w:sz w:val="28"/>
          <w:szCs w:val="28"/>
        </w:rPr>
        <w:t>)]</w:t>
      </w:r>
      <w:r w:rsidRPr="006E540D">
        <w:rPr>
          <w:kern w:val="2"/>
          <w:sz w:val="28"/>
          <w:szCs w:val="28"/>
          <w:vertAlign w:val="superscript"/>
        </w:rPr>
        <w:t>-1</w:t>
      </w:r>
      <w:r w:rsidRPr="006E540D">
        <w:rPr>
          <w:kern w:val="2"/>
          <w:sz w:val="28"/>
          <w:szCs w:val="28"/>
        </w:rPr>
        <w:t>,</w:t>
      </w:r>
      <w:r w:rsidRPr="006E540D">
        <w:rPr>
          <w:kern w:val="2"/>
          <w:sz w:val="28"/>
          <w:szCs w:val="28"/>
          <w:lang w:val="uk-UA"/>
        </w:rPr>
        <w:t xml:space="preserve"> (4.3)</w:t>
      </w:r>
    </w:p>
    <w:p w:rsidR="00E3259F" w:rsidRPr="006E540D" w:rsidRDefault="00E3259F" w:rsidP="006E540D">
      <w:pPr>
        <w:spacing w:line="360" w:lineRule="auto"/>
        <w:jc w:val="center"/>
        <w:rPr>
          <w:sz w:val="16"/>
          <w:szCs w:val="16"/>
        </w:rPr>
      </w:pPr>
    </w:p>
    <w:p w:rsidR="00E3259F" w:rsidRPr="006E540D" w:rsidRDefault="00E3259F" w:rsidP="006E540D">
      <w:pPr>
        <w:spacing w:line="360" w:lineRule="auto"/>
        <w:ind w:firstLine="709"/>
        <w:jc w:val="both"/>
        <w:rPr>
          <w:kern w:val="2"/>
          <w:sz w:val="28"/>
          <w:szCs w:val="28"/>
        </w:rPr>
      </w:pPr>
      <w:r w:rsidRPr="006E540D">
        <w:rPr>
          <w:kern w:val="2"/>
          <w:sz w:val="28"/>
          <w:szCs w:val="28"/>
        </w:rPr>
        <w:t xml:space="preserve">де </w:t>
      </w:r>
      <w:r w:rsidRPr="006E540D">
        <w:rPr>
          <w:kern w:val="2"/>
          <w:position w:val="-4"/>
          <w:sz w:val="28"/>
          <w:szCs w:val="28"/>
        </w:rPr>
        <w:object w:dxaOrig="240" w:dyaOrig="420">
          <v:shape id="_x0000_i1033" type="#_x0000_t75" style="width:12.75pt;height:21.75pt" o:ole="">
            <v:imagedata r:id="rId17" o:title=""/>
          </v:shape>
          <o:OLEObject Type="Embed" ProgID="Equation.3" ShapeID="_x0000_i1033" DrawAspect="Content" ObjectID="_1669446817" r:id="rId26"/>
        </w:object>
      </w:r>
      <w:r w:rsidRPr="006E540D">
        <w:rPr>
          <w:kern w:val="2"/>
          <w:sz w:val="28"/>
          <w:szCs w:val="28"/>
        </w:rPr>
        <w:t xml:space="preserve"> – </w:t>
      </w:r>
      <w:r w:rsidRPr="006E540D">
        <w:rPr>
          <w:sz w:val="28"/>
          <w:szCs w:val="28"/>
          <w:lang w:val="uk-UA"/>
        </w:rPr>
        <w:t>і</w:t>
      </w:r>
      <w:r w:rsidRPr="006E540D">
        <w:rPr>
          <w:sz w:val="28"/>
          <w:szCs w:val="28"/>
        </w:rPr>
        <w:t>мовірність прогресування оксидативного стресу у пацієнтів з Г</w:t>
      </w:r>
      <w:r w:rsidRPr="006E540D">
        <w:rPr>
          <w:sz w:val="28"/>
          <w:szCs w:val="28"/>
          <w:lang w:val="uk-UA"/>
        </w:rPr>
        <w:t>Х</w:t>
      </w:r>
      <w:r w:rsidRPr="006E540D">
        <w:rPr>
          <w:sz w:val="28"/>
          <w:szCs w:val="28"/>
        </w:rPr>
        <w:t xml:space="preserve"> та ЦД</w:t>
      </w:r>
      <w:r w:rsidRPr="006E540D">
        <w:rPr>
          <w:sz w:val="28"/>
          <w:szCs w:val="28"/>
          <w:lang w:val="uk-UA"/>
        </w:rPr>
        <w:t xml:space="preserve"> 2 типу</w:t>
      </w:r>
      <w:r w:rsidRPr="006E540D">
        <w:rPr>
          <w:sz w:val="28"/>
          <w:szCs w:val="28"/>
        </w:rPr>
        <w:t xml:space="preserve"> в поєднанні з СГ</w:t>
      </w:r>
      <w:r w:rsidRPr="006E540D">
        <w:rPr>
          <w:sz w:val="28"/>
          <w:szCs w:val="28"/>
          <w:lang w:val="uk-UA"/>
        </w:rPr>
        <w:t>Т</w:t>
      </w:r>
      <w:r w:rsidRPr="006E540D">
        <w:rPr>
          <w:sz w:val="28"/>
          <w:szCs w:val="28"/>
        </w:rPr>
        <w:t>;</w:t>
      </w:r>
    </w:p>
    <w:p w:rsidR="00E3259F" w:rsidRPr="006E540D" w:rsidRDefault="00E3259F" w:rsidP="006E540D">
      <w:pPr>
        <w:shd w:val="clear" w:color="auto" w:fill="FFFFFF" w:themeFill="background1"/>
        <w:spacing w:line="360" w:lineRule="auto"/>
        <w:ind w:firstLine="709"/>
        <w:jc w:val="both"/>
        <w:rPr>
          <w:rFonts w:eastAsia="Calibri"/>
          <w:sz w:val="28"/>
          <w:szCs w:val="28"/>
          <w:lang w:eastAsia="en-US"/>
        </w:rPr>
      </w:pPr>
      <w:r w:rsidRPr="006E540D">
        <w:rPr>
          <w:i/>
          <w:kern w:val="2"/>
          <w:sz w:val="28"/>
          <w:szCs w:val="28"/>
          <w:lang w:val="en-US"/>
        </w:rPr>
        <w:t>X</w:t>
      </w:r>
      <w:r w:rsidRPr="006E540D">
        <w:rPr>
          <w:i/>
          <w:kern w:val="2"/>
          <w:sz w:val="28"/>
          <w:szCs w:val="28"/>
          <w:vertAlign w:val="subscript"/>
        </w:rPr>
        <w:t>1</w:t>
      </w:r>
      <w:r w:rsidRPr="006E540D">
        <w:rPr>
          <w:kern w:val="2"/>
          <w:sz w:val="28"/>
          <w:szCs w:val="28"/>
          <w:vertAlign w:val="subscript"/>
        </w:rPr>
        <w:t xml:space="preserve"> </w:t>
      </w:r>
      <w:r w:rsidRPr="006E540D">
        <w:rPr>
          <w:kern w:val="2"/>
          <w:sz w:val="28"/>
          <w:szCs w:val="28"/>
        </w:rPr>
        <w:t xml:space="preserve">– </w:t>
      </w:r>
      <w:r w:rsidRPr="006E540D">
        <w:rPr>
          <w:kern w:val="2"/>
          <w:sz w:val="28"/>
          <w:szCs w:val="28"/>
          <w:lang w:val="uk-UA"/>
        </w:rPr>
        <w:t xml:space="preserve">рівень </w:t>
      </w:r>
      <w:r w:rsidRPr="006E540D">
        <w:rPr>
          <w:kern w:val="2"/>
          <w:sz w:val="28"/>
          <w:szCs w:val="28"/>
        </w:rPr>
        <w:t>8-гідрокси-2-дезоксигуанозин</w:t>
      </w:r>
      <w:r w:rsidRPr="006E540D">
        <w:rPr>
          <w:kern w:val="2"/>
          <w:sz w:val="28"/>
          <w:szCs w:val="28"/>
          <w:lang w:val="uk-UA"/>
        </w:rPr>
        <w:t>у</w:t>
      </w:r>
      <w:r w:rsidRPr="006E540D">
        <w:rPr>
          <w:sz w:val="28"/>
          <w:szCs w:val="28"/>
        </w:rPr>
        <w:t>, нг/л;</w:t>
      </w:r>
    </w:p>
    <w:p w:rsidR="00E3259F" w:rsidRPr="006E540D" w:rsidRDefault="00E3259F" w:rsidP="006E540D">
      <w:pPr>
        <w:shd w:val="clear" w:color="auto" w:fill="FFFFFF" w:themeFill="background1"/>
        <w:spacing w:line="360" w:lineRule="auto"/>
        <w:ind w:firstLine="709"/>
        <w:jc w:val="both"/>
        <w:rPr>
          <w:sz w:val="28"/>
          <w:szCs w:val="28"/>
          <w:lang w:eastAsia="uk-UA"/>
        </w:rPr>
      </w:pPr>
      <w:r w:rsidRPr="006E540D">
        <w:rPr>
          <w:i/>
          <w:kern w:val="2"/>
          <w:sz w:val="28"/>
          <w:szCs w:val="28"/>
          <w:lang w:val="en-US"/>
        </w:rPr>
        <w:t>X</w:t>
      </w:r>
      <w:r w:rsidRPr="006E540D">
        <w:rPr>
          <w:i/>
          <w:kern w:val="2"/>
          <w:sz w:val="28"/>
          <w:szCs w:val="28"/>
          <w:vertAlign w:val="subscript"/>
        </w:rPr>
        <w:t xml:space="preserve">2 </w:t>
      </w:r>
      <w:r w:rsidRPr="006E540D">
        <w:rPr>
          <w:kern w:val="2"/>
          <w:sz w:val="28"/>
          <w:szCs w:val="28"/>
        </w:rPr>
        <w:t>– рівень малонового діальдегіду</w:t>
      </w:r>
      <w:r w:rsidRPr="006E540D">
        <w:rPr>
          <w:sz w:val="28"/>
          <w:szCs w:val="28"/>
        </w:rPr>
        <w:t>, мкмоль/л;</w:t>
      </w:r>
    </w:p>
    <w:p w:rsidR="00E3259F" w:rsidRPr="006E540D" w:rsidRDefault="00E3259F" w:rsidP="006E540D">
      <w:pPr>
        <w:shd w:val="clear" w:color="auto" w:fill="FFFFFF" w:themeFill="background1"/>
        <w:spacing w:line="360" w:lineRule="auto"/>
        <w:ind w:firstLine="709"/>
        <w:jc w:val="both"/>
        <w:rPr>
          <w:spacing w:val="-4"/>
          <w:sz w:val="28"/>
          <w:szCs w:val="28"/>
        </w:rPr>
      </w:pPr>
      <w:r w:rsidRPr="006E540D">
        <w:rPr>
          <w:i/>
          <w:spacing w:val="-4"/>
          <w:kern w:val="2"/>
          <w:sz w:val="28"/>
          <w:szCs w:val="28"/>
          <w:lang w:val="en-US"/>
        </w:rPr>
        <w:t>X</w:t>
      </w:r>
      <w:r w:rsidRPr="006E540D">
        <w:rPr>
          <w:i/>
          <w:spacing w:val="-4"/>
          <w:kern w:val="2"/>
          <w:sz w:val="28"/>
          <w:szCs w:val="28"/>
          <w:vertAlign w:val="subscript"/>
        </w:rPr>
        <w:t>3</w:t>
      </w:r>
      <w:r w:rsidRPr="006E540D">
        <w:rPr>
          <w:spacing w:val="-4"/>
          <w:kern w:val="2"/>
          <w:sz w:val="28"/>
          <w:szCs w:val="28"/>
          <w:vertAlign w:val="subscript"/>
        </w:rPr>
        <w:t xml:space="preserve"> </w:t>
      </w:r>
      <w:r w:rsidRPr="006E540D">
        <w:rPr>
          <w:spacing w:val="-4"/>
          <w:kern w:val="2"/>
          <w:sz w:val="28"/>
          <w:szCs w:val="28"/>
        </w:rPr>
        <w:t xml:space="preserve">– </w:t>
      </w:r>
      <w:r w:rsidRPr="006E540D">
        <w:rPr>
          <w:spacing w:val="-4"/>
          <w:kern w:val="2"/>
          <w:sz w:val="28"/>
          <w:szCs w:val="28"/>
          <w:lang w:val="uk-UA"/>
        </w:rPr>
        <w:t xml:space="preserve">ТКІМ </w:t>
      </w:r>
      <w:r w:rsidRPr="006E540D">
        <w:rPr>
          <w:spacing w:val="-4"/>
          <w:kern w:val="2"/>
          <w:sz w:val="28"/>
          <w:szCs w:val="28"/>
        </w:rPr>
        <w:t>загальної сонної артерії</w:t>
      </w:r>
      <w:r w:rsidRPr="006E540D">
        <w:rPr>
          <w:spacing w:val="-4"/>
          <w:sz w:val="28"/>
          <w:szCs w:val="28"/>
        </w:rPr>
        <w:t>, мм;</w:t>
      </w:r>
    </w:p>
    <w:p w:rsidR="00E3259F" w:rsidRPr="006E540D" w:rsidRDefault="00E3259F" w:rsidP="006E540D">
      <w:pPr>
        <w:shd w:val="clear" w:color="auto" w:fill="FFFFFF" w:themeFill="background1"/>
        <w:spacing w:line="360" w:lineRule="auto"/>
        <w:ind w:firstLine="709"/>
        <w:jc w:val="both"/>
        <w:rPr>
          <w:sz w:val="28"/>
          <w:szCs w:val="28"/>
        </w:rPr>
      </w:pPr>
      <w:r w:rsidRPr="006E540D">
        <w:rPr>
          <w:i/>
          <w:kern w:val="2"/>
          <w:sz w:val="28"/>
          <w:szCs w:val="28"/>
          <w:lang w:val="en-US"/>
        </w:rPr>
        <w:t>X</w:t>
      </w:r>
      <w:r w:rsidRPr="006E540D">
        <w:rPr>
          <w:i/>
          <w:kern w:val="2"/>
          <w:sz w:val="28"/>
          <w:szCs w:val="28"/>
          <w:vertAlign w:val="subscript"/>
        </w:rPr>
        <w:t>4</w:t>
      </w:r>
      <w:r w:rsidRPr="006E540D">
        <w:rPr>
          <w:kern w:val="2"/>
          <w:sz w:val="28"/>
          <w:szCs w:val="28"/>
          <w:vertAlign w:val="subscript"/>
        </w:rPr>
        <w:t xml:space="preserve"> </w:t>
      </w:r>
      <w:r w:rsidRPr="006E540D">
        <w:rPr>
          <w:kern w:val="2"/>
          <w:sz w:val="28"/>
          <w:szCs w:val="28"/>
        </w:rPr>
        <w:t xml:space="preserve">– </w:t>
      </w:r>
      <w:r w:rsidRPr="006E540D">
        <w:rPr>
          <w:kern w:val="2"/>
          <w:sz w:val="28"/>
          <w:szCs w:val="28"/>
          <w:lang w:val="uk-UA"/>
        </w:rPr>
        <w:t xml:space="preserve"> </w:t>
      </w:r>
      <w:r w:rsidRPr="006E540D">
        <w:rPr>
          <w:sz w:val="28"/>
          <w:szCs w:val="28"/>
        </w:rPr>
        <w:t>SH-групи (якісний показник</w:t>
      </w:r>
      <w:r w:rsidRPr="006E540D">
        <w:rPr>
          <w:sz w:val="28"/>
          <w:szCs w:val="28"/>
          <w:lang w:val="uk-UA"/>
        </w:rPr>
        <w:t>,1- в межах нормальних значень, 2- нижче за норму</w:t>
      </w:r>
      <w:r w:rsidRPr="006E540D">
        <w:rPr>
          <w:sz w:val="28"/>
          <w:szCs w:val="28"/>
        </w:rPr>
        <w:t>);</w:t>
      </w:r>
    </w:p>
    <w:p w:rsidR="00E3259F" w:rsidRPr="006E540D" w:rsidRDefault="00E3259F" w:rsidP="006E540D">
      <w:pPr>
        <w:shd w:val="clear" w:color="auto" w:fill="FFFFFF" w:themeFill="background1"/>
        <w:suppressAutoHyphens/>
        <w:overflowPunct w:val="0"/>
        <w:autoSpaceDE w:val="0"/>
        <w:autoSpaceDN w:val="0"/>
        <w:adjustRightInd w:val="0"/>
        <w:spacing w:line="360" w:lineRule="auto"/>
        <w:ind w:firstLine="709"/>
        <w:jc w:val="both"/>
        <w:textAlignment w:val="baseline"/>
        <w:rPr>
          <w:kern w:val="2"/>
          <w:sz w:val="28"/>
          <w:szCs w:val="28"/>
          <w:lang w:val="uk-UA"/>
        </w:rPr>
      </w:pPr>
      <w:r w:rsidRPr="006E540D">
        <w:rPr>
          <w:i/>
          <w:kern w:val="2"/>
          <w:sz w:val="28"/>
          <w:szCs w:val="28"/>
          <w:lang w:val="en-US"/>
        </w:rPr>
        <w:t>X</w:t>
      </w:r>
      <w:r w:rsidRPr="006E540D">
        <w:rPr>
          <w:i/>
          <w:kern w:val="2"/>
          <w:sz w:val="28"/>
          <w:szCs w:val="28"/>
          <w:vertAlign w:val="subscript"/>
        </w:rPr>
        <w:t>5</w:t>
      </w:r>
      <w:r w:rsidRPr="006E540D">
        <w:rPr>
          <w:kern w:val="2"/>
          <w:sz w:val="28"/>
          <w:szCs w:val="28"/>
          <w:vertAlign w:val="subscript"/>
        </w:rPr>
        <w:t xml:space="preserve"> </w:t>
      </w:r>
      <w:r w:rsidRPr="006E540D">
        <w:rPr>
          <w:kern w:val="2"/>
          <w:sz w:val="28"/>
          <w:szCs w:val="28"/>
        </w:rPr>
        <w:t xml:space="preserve">– </w:t>
      </w:r>
      <w:r w:rsidRPr="006E540D">
        <w:rPr>
          <w:kern w:val="2"/>
          <w:sz w:val="28"/>
          <w:szCs w:val="28"/>
          <w:lang w:val="uk-UA"/>
        </w:rPr>
        <w:t xml:space="preserve">рівень ХС </w:t>
      </w:r>
      <w:r w:rsidRPr="006E540D">
        <w:rPr>
          <w:sz w:val="28"/>
          <w:szCs w:val="28"/>
        </w:rPr>
        <w:t>ЛПВЩ, ммоль/л.</w:t>
      </w:r>
    </w:p>
    <w:p w:rsidR="00E3259F" w:rsidRPr="006E540D" w:rsidRDefault="00E3259F" w:rsidP="006E540D">
      <w:pPr>
        <w:suppressAutoHyphens/>
        <w:overflowPunct w:val="0"/>
        <w:autoSpaceDE w:val="0"/>
        <w:autoSpaceDN w:val="0"/>
        <w:adjustRightInd w:val="0"/>
        <w:spacing w:line="360" w:lineRule="auto"/>
        <w:ind w:firstLine="709"/>
        <w:jc w:val="both"/>
        <w:textAlignment w:val="baseline"/>
        <w:rPr>
          <w:sz w:val="28"/>
          <w:szCs w:val="28"/>
        </w:rPr>
      </w:pPr>
      <w:r w:rsidRPr="006E540D">
        <w:rPr>
          <w:sz w:val="28"/>
          <w:szCs w:val="28"/>
        </w:rPr>
        <w:t xml:space="preserve">Значення </w:t>
      </w:r>
      <w:r w:rsidRPr="006E540D">
        <w:rPr>
          <w:rFonts w:eastAsia="Calibri"/>
          <w:kern w:val="2"/>
          <w:position w:val="-4"/>
          <w:sz w:val="28"/>
          <w:szCs w:val="28"/>
          <w:lang w:eastAsia="en-US"/>
        </w:rPr>
        <w:object w:dxaOrig="240" w:dyaOrig="420">
          <v:shape id="_x0000_i1034" type="#_x0000_t75" style="width:12.75pt;height:21.75pt" o:ole="">
            <v:imagedata r:id="rId17" o:title=""/>
          </v:shape>
          <o:OLEObject Type="Embed" ProgID="Equation.3" ShapeID="_x0000_i1034" DrawAspect="Content" ObjectID="_1669446818" r:id="rId27"/>
        </w:object>
      </w:r>
      <w:r w:rsidRPr="006E540D">
        <w:rPr>
          <w:kern w:val="2"/>
          <w:sz w:val="28"/>
          <w:szCs w:val="28"/>
        </w:rPr>
        <w:t xml:space="preserve"> лежи</w:t>
      </w:r>
      <w:r w:rsidRPr="006E540D">
        <w:rPr>
          <w:kern w:val="2"/>
          <w:sz w:val="28"/>
          <w:szCs w:val="28"/>
          <w:lang w:eastAsia="ar-SA"/>
        </w:rPr>
        <w:t xml:space="preserve">ть </w:t>
      </w:r>
      <w:r w:rsidRPr="006E540D">
        <w:rPr>
          <w:kern w:val="2"/>
          <w:sz w:val="28"/>
          <w:szCs w:val="28"/>
          <w:lang w:val="uk-UA" w:eastAsia="ar-SA"/>
        </w:rPr>
        <w:t>у</w:t>
      </w:r>
      <w:r w:rsidRPr="006E540D">
        <w:rPr>
          <w:kern w:val="2"/>
          <w:sz w:val="28"/>
          <w:szCs w:val="28"/>
          <w:lang w:eastAsia="ar-SA"/>
        </w:rPr>
        <w:t xml:space="preserve"> межах від 0 до 1 та відображує ймовірність </w:t>
      </w:r>
      <w:r w:rsidRPr="006E540D">
        <w:rPr>
          <w:sz w:val="28"/>
          <w:szCs w:val="28"/>
        </w:rPr>
        <w:t xml:space="preserve">вираженого </w:t>
      </w:r>
      <w:r w:rsidRPr="006E540D">
        <w:rPr>
          <w:sz w:val="28"/>
          <w:szCs w:val="28"/>
          <w:lang w:val="uk-UA"/>
        </w:rPr>
        <w:t>ОС</w:t>
      </w:r>
      <w:r w:rsidRPr="006E540D">
        <w:rPr>
          <w:kern w:val="2"/>
          <w:sz w:val="28"/>
          <w:szCs w:val="28"/>
          <w:lang w:eastAsia="ar-SA"/>
        </w:rPr>
        <w:t xml:space="preserve">. Чим </w:t>
      </w:r>
      <w:r w:rsidRPr="006E540D">
        <w:rPr>
          <w:sz w:val="28"/>
          <w:szCs w:val="28"/>
        </w:rPr>
        <w:t xml:space="preserve">ближче значення прогнозованої ймовірності до одиниці, тим вище </w:t>
      </w:r>
      <w:r w:rsidRPr="006E540D">
        <w:rPr>
          <w:sz w:val="28"/>
          <w:szCs w:val="28"/>
          <w:lang w:val="uk-UA"/>
        </w:rPr>
        <w:t>вираженість та ймовірність прогресування ОС в</w:t>
      </w:r>
      <w:r w:rsidRPr="006E540D">
        <w:rPr>
          <w:sz w:val="28"/>
          <w:szCs w:val="28"/>
        </w:rPr>
        <w:t xml:space="preserve"> пацієнтів з Г</w:t>
      </w:r>
      <w:r w:rsidRPr="006E540D">
        <w:rPr>
          <w:sz w:val="28"/>
          <w:szCs w:val="28"/>
          <w:lang w:val="uk-UA"/>
        </w:rPr>
        <w:t>Х</w:t>
      </w:r>
      <w:r w:rsidRPr="006E540D">
        <w:rPr>
          <w:sz w:val="28"/>
          <w:szCs w:val="28"/>
        </w:rPr>
        <w:t xml:space="preserve"> та ЦД</w:t>
      </w:r>
      <w:r w:rsidRPr="006E540D">
        <w:rPr>
          <w:sz w:val="28"/>
          <w:szCs w:val="28"/>
          <w:lang w:val="uk-UA"/>
        </w:rPr>
        <w:t xml:space="preserve"> </w:t>
      </w:r>
      <w:r w:rsidRPr="006E540D">
        <w:rPr>
          <w:sz w:val="28"/>
          <w:szCs w:val="28"/>
        </w:rPr>
        <w:t>2</w:t>
      </w:r>
      <w:r w:rsidRPr="006E540D">
        <w:rPr>
          <w:sz w:val="28"/>
          <w:szCs w:val="28"/>
          <w:lang w:val="uk-UA"/>
        </w:rPr>
        <w:t xml:space="preserve"> типу</w:t>
      </w:r>
      <w:r w:rsidRPr="006E540D">
        <w:rPr>
          <w:sz w:val="28"/>
          <w:szCs w:val="28"/>
        </w:rPr>
        <w:t xml:space="preserve"> в поєднанні з СГТ. Я</w:t>
      </w:r>
      <w:r w:rsidRPr="006E540D">
        <w:rPr>
          <w:kern w:val="2"/>
          <w:sz w:val="28"/>
          <w:szCs w:val="28"/>
          <w:lang w:eastAsia="ar-SA"/>
        </w:rPr>
        <w:t xml:space="preserve">кщо </w:t>
      </w:r>
      <w:r w:rsidRPr="006E540D">
        <w:rPr>
          <w:sz w:val="28"/>
          <w:szCs w:val="28"/>
        </w:rPr>
        <w:t xml:space="preserve">значення </w:t>
      </w:r>
      <w:r w:rsidRPr="006E540D">
        <w:rPr>
          <w:rFonts w:eastAsia="Calibri"/>
          <w:kern w:val="2"/>
          <w:position w:val="-4"/>
          <w:sz w:val="28"/>
          <w:szCs w:val="28"/>
          <w:lang w:eastAsia="en-US"/>
        </w:rPr>
        <w:object w:dxaOrig="240" w:dyaOrig="420">
          <v:shape id="_x0000_i1035" type="#_x0000_t75" style="width:12.75pt;height:21.75pt" o:ole="">
            <v:imagedata r:id="rId17" o:title=""/>
          </v:shape>
          <o:OLEObject Type="Embed" ProgID="Equation.3" ShapeID="_x0000_i1035" DrawAspect="Content" ObjectID="_1669446819" r:id="rId28"/>
        </w:object>
      </w:r>
      <w:r w:rsidRPr="006E540D">
        <w:rPr>
          <w:kern w:val="2"/>
          <w:sz w:val="28"/>
          <w:szCs w:val="28"/>
          <w:lang w:eastAsia="ar-SA"/>
        </w:rPr>
        <w:t xml:space="preserve"> знаходиться в діапазоні від 0 до 0,5, робиться висновок, що </w:t>
      </w:r>
      <w:r w:rsidRPr="006E540D">
        <w:rPr>
          <w:kern w:val="2"/>
          <w:sz w:val="28"/>
          <w:szCs w:val="28"/>
          <w:lang w:val="uk-UA" w:eastAsia="ar-SA"/>
        </w:rPr>
        <w:t>в</w:t>
      </w:r>
      <w:r w:rsidRPr="006E540D">
        <w:rPr>
          <w:kern w:val="2"/>
          <w:sz w:val="28"/>
          <w:szCs w:val="28"/>
          <w:lang w:eastAsia="ar-SA"/>
        </w:rPr>
        <w:t xml:space="preserve"> пацієнта не</w:t>
      </w:r>
      <w:r w:rsidRPr="006E540D">
        <w:rPr>
          <w:sz w:val="28"/>
          <w:szCs w:val="28"/>
        </w:rPr>
        <w:t>виражений оксидативний стрес,</w:t>
      </w:r>
      <w:r w:rsidRPr="006E540D">
        <w:rPr>
          <w:kern w:val="2"/>
          <w:sz w:val="28"/>
          <w:szCs w:val="28"/>
          <w:lang w:eastAsia="ar-SA"/>
        </w:rPr>
        <w:t xml:space="preserve"> якщо </w:t>
      </w:r>
      <w:r w:rsidRPr="006E540D">
        <w:rPr>
          <w:rFonts w:eastAsia="Calibri"/>
          <w:kern w:val="2"/>
          <w:position w:val="-4"/>
          <w:sz w:val="28"/>
          <w:szCs w:val="28"/>
          <w:lang w:eastAsia="en-US"/>
        </w:rPr>
        <w:object w:dxaOrig="240" w:dyaOrig="420">
          <v:shape id="_x0000_i1036" type="#_x0000_t75" style="width:12.75pt;height:21.75pt" o:ole="">
            <v:imagedata r:id="rId17" o:title=""/>
          </v:shape>
          <o:OLEObject Type="Embed" ProgID="Equation.3" ShapeID="_x0000_i1036" DrawAspect="Content" ObjectID="_1669446820" r:id="rId29"/>
        </w:object>
      </w:r>
      <w:r w:rsidRPr="006E540D">
        <w:rPr>
          <w:kern w:val="2"/>
          <w:sz w:val="28"/>
          <w:szCs w:val="28"/>
        </w:rPr>
        <w:t xml:space="preserve"> перевищує 0,5 – </w:t>
      </w:r>
      <w:r w:rsidRPr="006E540D">
        <w:rPr>
          <w:sz w:val="28"/>
          <w:szCs w:val="28"/>
        </w:rPr>
        <w:t>оксидативний стрес у пацієнта з Г</w:t>
      </w:r>
      <w:r w:rsidRPr="006E540D">
        <w:rPr>
          <w:sz w:val="28"/>
          <w:szCs w:val="28"/>
          <w:lang w:val="uk-UA"/>
        </w:rPr>
        <w:t>Х</w:t>
      </w:r>
      <w:r w:rsidRPr="006E540D">
        <w:rPr>
          <w:sz w:val="28"/>
          <w:szCs w:val="28"/>
        </w:rPr>
        <w:t xml:space="preserve"> та ЦД </w:t>
      </w:r>
      <w:r w:rsidRPr="006E540D">
        <w:rPr>
          <w:sz w:val="28"/>
          <w:szCs w:val="28"/>
          <w:lang w:val="uk-UA"/>
        </w:rPr>
        <w:t xml:space="preserve"> 2 типу</w:t>
      </w:r>
      <w:r w:rsidRPr="006E540D">
        <w:rPr>
          <w:sz w:val="28"/>
          <w:szCs w:val="28"/>
        </w:rPr>
        <w:t>в поєднанні з</w:t>
      </w:r>
      <w:r w:rsidRPr="006E540D">
        <w:rPr>
          <w:sz w:val="28"/>
          <w:szCs w:val="28"/>
          <w:lang w:val="uk-UA"/>
        </w:rPr>
        <w:t>і</w:t>
      </w:r>
      <w:r w:rsidRPr="006E540D">
        <w:rPr>
          <w:sz w:val="28"/>
          <w:szCs w:val="28"/>
        </w:rPr>
        <w:t xml:space="preserve"> СГТ виражений</w:t>
      </w:r>
      <w:r w:rsidRPr="006E540D">
        <w:rPr>
          <w:kern w:val="2"/>
          <w:sz w:val="28"/>
          <w:szCs w:val="28"/>
        </w:rPr>
        <w:t>.</w:t>
      </w:r>
    </w:p>
    <w:p w:rsidR="00E3259F" w:rsidRPr="006E540D" w:rsidRDefault="00E3259F" w:rsidP="006E540D">
      <w:pPr>
        <w:spacing w:line="360" w:lineRule="auto"/>
        <w:ind w:firstLine="709"/>
        <w:jc w:val="both"/>
        <w:rPr>
          <w:kern w:val="2"/>
          <w:sz w:val="28"/>
          <w:szCs w:val="28"/>
        </w:rPr>
      </w:pPr>
      <w:r w:rsidRPr="006E540D">
        <w:rPr>
          <w:kern w:val="2"/>
          <w:sz w:val="28"/>
          <w:szCs w:val="28"/>
        </w:rPr>
        <w:t>Розраховані коефіцієнти регресійної функції та результати перевірки їх значущості наведені в табл</w:t>
      </w:r>
      <w:r w:rsidRPr="006E540D">
        <w:rPr>
          <w:kern w:val="2"/>
          <w:sz w:val="28"/>
          <w:szCs w:val="28"/>
          <w:lang w:val="uk-UA"/>
        </w:rPr>
        <w:t>иці 4</w:t>
      </w:r>
      <w:r w:rsidRPr="006E540D">
        <w:rPr>
          <w:kern w:val="2"/>
          <w:sz w:val="28"/>
          <w:szCs w:val="28"/>
        </w:rPr>
        <w:t>.</w:t>
      </w:r>
      <w:r w:rsidRPr="006E540D">
        <w:rPr>
          <w:kern w:val="2"/>
          <w:sz w:val="28"/>
          <w:szCs w:val="28"/>
          <w:lang w:val="uk-UA"/>
        </w:rPr>
        <w:t>14</w:t>
      </w:r>
      <w:r w:rsidRPr="006E540D">
        <w:rPr>
          <w:kern w:val="2"/>
          <w:sz w:val="28"/>
          <w:szCs w:val="28"/>
        </w:rPr>
        <w:t xml:space="preserve">. </w:t>
      </w:r>
      <w:r w:rsidRPr="006E540D">
        <w:rPr>
          <w:kern w:val="2"/>
          <w:sz w:val="28"/>
          <w:szCs w:val="28"/>
          <w:lang w:val="uk-UA"/>
        </w:rPr>
        <w:t>У</w:t>
      </w:r>
      <w:r w:rsidRPr="006E540D">
        <w:rPr>
          <w:kern w:val="2"/>
          <w:sz w:val="28"/>
          <w:szCs w:val="28"/>
        </w:rPr>
        <w:t>сі змінні, згідно статистики Вальда,  значущі (p</w:t>
      </w:r>
      <w:r w:rsidRPr="006E540D">
        <w:rPr>
          <w:kern w:val="2"/>
          <w:sz w:val="28"/>
          <w:szCs w:val="28"/>
          <w:vertAlign w:val="subscript"/>
        </w:rPr>
        <w:t>i</w:t>
      </w:r>
      <w:r w:rsidRPr="006E540D">
        <w:rPr>
          <w:kern w:val="2"/>
          <w:sz w:val="28"/>
          <w:szCs w:val="28"/>
        </w:rPr>
        <w:t xml:space="preserve"> &lt;0,05) та підібрані правильно.</w:t>
      </w:r>
    </w:p>
    <w:p w:rsidR="00E3259F" w:rsidRDefault="00E3259F" w:rsidP="00E3259F">
      <w:pPr>
        <w:suppressAutoHyphens/>
        <w:overflowPunct w:val="0"/>
        <w:autoSpaceDE w:val="0"/>
        <w:autoSpaceDN w:val="0"/>
        <w:adjustRightInd w:val="0"/>
        <w:spacing w:line="360" w:lineRule="auto"/>
        <w:jc w:val="right"/>
        <w:textAlignment w:val="baseline"/>
        <w:rPr>
          <w:bCs/>
          <w:kern w:val="2"/>
          <w:sz w:val="28"/>
          <w:szCs w:val="28"/>
          <w:lang w:val="uk-UA"/>
        </w:rPr>
      </w:pPr>
      <w:r>
        <w:rPr>
          <w:bCs/>
          <w:kern w:val="2"/>
          <w:sz w:val="28"/>
          <w:szCs w:val="28"/>
          <w:lang w:val="uk-UA"/>
        </w:rPr>
        <w:t>Таблиця 4.14</w:t>
      </w:r>
    </w:p>
    <w:p w:rsidR="00E3259F" w:rsidRDefault="00E3259F" w:rsidP="00E3259F">
      <w:pPr>
        <w:spacing w:line="360" w:lineRule="auto"/>
        <w:jc w:val="center"/>
        <w:rPr>
          <w:rFonts w:eastAsia="Calibri"/>
          <w:sz w:val="28"/>
          <w:szCs w:val="28"/>
          <w:lang w:val="uk-UA" w:eastAsia="en-US"/>
        </w:rPr>
      </w:pPr>
      <w:r>
        <w:rPr>
          <w:bCs/>
          <w:kern w:val="2"/>
          <w:sz w:val="28"/>
          <w:szCs w:val="28"/>
          <w:lang w:val="uk-UA"/>
        </w:rPr>
        <w:t xml:space="preserve">Коефіцієнти </w:t>
      </w:r>
      <w:r>
        <w:rPr>
          <w:sz w:val="28"/>
          <w:szCs w:val="28"/>
          <w:lang w:val="uk-UA"/>
        </w:rPr>
        <w:t>моделі бінарної логістичної регресії, створеної для визначення прогресування оксидативного стресу в пацієнтів з ГХ та ЦД 2 типу в поєднанні з СГТ</w:t>
      </w:r>
    </w:p>
    <w:tbl>
      <w:tblPr>
        <w:tblW w:w="49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424"/>
        <w:gridCol w:w="2139"/>
        <w:gridCol w:w="2190"/>
        <w:gridCol w:w="2135"/>
        <w:gridCol w:w="1453"/>
      </w:tblGrid>
      <w:tr w:rsidR="00E3259F" w:rsidTr="006E540D">
        <w:trPr>
          <w:cantSplit/>
          <w:trHeight w:val="690"/>
          <w:tblHeader/>
        </w:trPr>
        <w:tc>
          <w:tcPr>
            <w:tcW w:w="762"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Ознаки,</w:t>
            </w:r>
          </w:p>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Х</w:t>
            </w:r>
            <w:r>
              <w:rPr>
                <w:kern w:val="2"/>
                <w:sz w:val="28"/>
                <w:szCs w:val="28"/>
                <w:vertAlign w:val="subscript"/>
                <w:lang w:eastAsia="en-US"/>
              </w:rPr>
              <w:t>i</w:t>
            </w:r>
          </w:p>
        </w:tc>
        <w:tc>
          <w:tcPr>
            <w:tcW w:w="1145"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Коефіцієнти</w:t>
            </w:r>
          </w:p>
        </w:tc>
        <w:tc>
          <w:tcPr>
            <w:tcW w:w="1172"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Стандартні похибки</w:t>
            </w:r>
          </w:p>
        </w:tc>
        <w:tc>
          <w:tcPr>
            <w:tcW w:w="1143"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Критері</w:t>
            </w:r>
            <w:r>
              <w:rPr>
                <w:kern w:val="2"/>
                <w:sz w:val="28"/>
                <w:szCs w:val="28"/>
                <w:lang w:val="uk-UA" w:eastAsia="en-US"/>
              </w:rPr>
              <w:t>й</w:t>
            </w:r>
          </w:p>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Вальда</w:t>
            </w:r>
          </w:p>
        </w:tc>
        <w:tc>
          <w:tcPr>
            <w:tcW w:w="778"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rsidP="006E540D">
            <w:pPr>
              <w:suppressAutoHyphens/>
              <w:overflowPunct w:val="0"/>
              <w:autoSpaceDE w:val="0"/>
              <w:autoSpaceDN w:val="0"/>
              <w:adjustRightInd w:val="0"/>
              <w:spacing w:line="360" w:lineRule="auto"/>
              <w:jc w:val="center"/>
              <w:textAlignment w:val="baseline"/>
              <w:rPr>
                <w:kern w:val="2"/>
                <w:sz w:val="28"/>
                <w:szCs w:val="28"/>
                <w:lang w:val="uk-UA" w:eastAsia="en-US"/>
              </w:rPr>
            </w:pPr>
            <w:r>
              <w:rPr>
                <w:kern w:val="2"/>
                <w:sz w:val="28"/>
                <w:szCs w:val="28"/>
                <w:lang w:eastAsia="en-US"/>
              </w:rPr>
              <w:t>Значущість (p</w:t>
            </w:r>
            <w:r>
              <w:rPr>
                <w:kern w:val="2"/>
                <w:sz w:val="28"/>
                <w:szCs w:val="28"/>
                <w:vertAlign w:val="subscript"/>
                <w:lang w:eastAsia="en-US"/>
              </w:rPr>
              <w:t>i</w:t>
            </w:r>
            <w:r>
              <w:rPr>
                <w:kern w:val="2"/>
                <w:sz w:val="28"/>
                <w:szCs w:val="28"/>
                <w:lang w:eastAsia="en-US"/>
              </w:rPr>
              <w:t>)</w:t>
            </w:r>
          </w:p>
        </w:tc>
      </w:tr>
      <w:tr w:rsidR="00E3259F" w:rsidTr="00E3259F">
        <w:trPr>
          <w:cantSplit/>
          <w:trHeight w:val="614"/>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kern w:val="2"/>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kern w:val="2"/>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kern w:val="2"/>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kern w:val="2"/>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kern w:val="2"/>
                <w:sz w:val="28"/>
                <w:szCs w:val="28"/>
                <w:lang w:val="uk-UA" w:eastAsia="en-US"/>
              </w:rPr>
            </w:pPr>
          </w:p>
        </w:tc>
      </w:tr>
      <w:tr w:rsidR="00E3259F" w:rsidTr="00E3259F">
        <w:trPr>
          <w:cantSplit/>
          <w:tblHead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uppressAutoHyphens/>
              <w:overflowPunct w:val="0"/>
              <w:autoSpaceDE w:val="0"/>
              <w:autoSpaceDN w:val="0"/>
              <w:adjustRightInd w:val="0"/>
              <w:spacing w:line="276" w:lineRule="auto"/>
              <w:jc w:val="center"/>
              <w:textAlignment w:val="baseline"/>
              <w:rPr>
                <w:kern w:val="2"/>
                <w:sz w:val="28"/>
                <w:szCs w:val="28"/>
                <w:lang w:val="uk-UA" w:eastAsia="en-US"/>
              </w:rPr>
            </w:pPr>
            <w:r>
              <w:rPr>
                <w:kern w:val="2"/>
                <w:sz w:val="28"/>
                <w:szCs w:val="28"/>
                <w:lang w:val="uk-UA" w:eastAsia="en-US"/>
              </w:rPr>
              <w:object w:dxaOrig="315" w:dyaOrig="345">
                <v:shape id="_x0000_i1037" type="#_x0000_t75" style="width:15pt;height:18pt" o:ole="">
                  <v:imagedata r:id="rId30" o:title=""/>
                </v:shape>
                <o:OLEObject Type="Embed" ProgID="Equation.3" ShapeID="_x0000_i1037" DrawAspect="Content" ObjectID="_1669446821" r:id="rId31"/>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0,953</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0,396</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5,784</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0,016</w:t>
            </w:r>
          </w:p>
        </w:tc>
      </w:tr>
      <w:tr w:rsidR="00E3259F" w:rsidTr="00E3259F">
        <w:trPr>
          <w:cantSplit/>
          <w:tblHead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uppressAutoHyphens/>
              <w:overflowPunct w:val="0"/>
              <w:autoSpaceDE w:val="0"/>
              <w:autoSpaceDN w:val="0"/>
              <w:adjustRightInd w:val="0"/>
              <w:spacing w:line="276" w:lineRule="auto"/>
              <w:jc w:val="center"/>
              <w:textAlignment w:val="baseline"/>
              <w:rPr>
                <w:kern w:val="2"/>
                <w:sz w:val="28"/>
                <w:szCs w:val="28"/>
                <w:lang w:val="uk-UA" w:eastAsia="en-US"/>
              </w:rPr>
            </w:pPr>
            <w:r>
              <w:rPr>
                <w:kern w:val="2"/>
                <w:sz w:val="28"/>
                <w:szCs w:val="28"/>
                <w:lang w:val="uk-UA" w:eastAsia="en-US"/>
              </w:rPr>
              <w:object w:dxaOrig="345" w:dyaOrig="345">
                <v:shape id="_x0000_i1038" type="#_x0000_t75" style="width:18pt;height:18pt" o:ole="">
                  <v:imagedata r:id="rId32" o:title=""/>
                </v:shape>
                <o:OLEObject Type="Embed" ProgID="Equation.3" ShapeID="_x0000_i1038" DrawAspect="Content" ObjectID="_1669446822" r:id="rId33"/>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9,895</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4,217</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5,507</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0,019</w:t>
            </w:r>
          </w:p>
        </w:tc>
      </w:tr>
      <w:tr w:rsidR="00E3259F" w:rsidTr="00E3259F">
        <w:trPr>
          <w:cantSplit/>
          <w:tblHead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uppressAutoHyphens/>
              <w:overflowPunct w:val="0"/>
              <w:autoSpaceDE w:val="0"/>
              <w:autoSpaceDN w:val="0"/>
              <w:adjustRightInd w:val="0"/>
              <w:spacing w:line="276" w:lineRule="auto"/>
              <w:jc w:val="center"/>
              <w:textAlignment w:val="baseline"/>
              <w:rPr>
                <w:kern w:val="2"/>
                <w:sz w:val="28"/>
                <w:szCs w:val="28"/>
                <w:lang w:val="uk-UA" w:eastAsia="en-US"/>
              </w:rPr>
            </w:pPr>
            <w:r>
              <w:rPr>
                <w:kern w:val="2"/>
                <w:sz w:val="28"/>
                <w:szCs w:val="28"/>
                <w:lang w:val="uk-UA" w:eastAsia="en-US"/>
              </w:rPr>
              <w:object w:dxaOrig="315" w:dyaOrig="375">
                <v:shape id="_x0000_i1039" type="#_x0000_t75" style="width:15pt;height:18.75pt" o:ole="">
                  <v:imagedata r:id="rId34" o:title=""/>
                </v:shape>
                <o:OLEObject Type="Embed" ProgID="Equation.3" ShapeID="_x0000_i1039" DrawAspect="Content" ObjectID="_1669446823" r:id="rId35"/>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-138,922</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61,460</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5,109</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0,024</w:t>
            </w:r>
          </w:p>
        </w:tc>
      </w:tr>
      <w:tr w:rsidR="00E3259F" w:rsidTr="00E3259F">
        <w:trPr>
          <w:cantSplit/>
          <w:tblHead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uppressAutoHyphens/>
              <w:overflowPunct w:val="0"/>
              <w:autoSpaceDE w:val="0"/>
              <w:autoSpaceDN w:val="0"/>
              <w:adjustRightInd w:val="0"/>
              <w:spacing w:line="276" w:lineRule="auto"/>
              <w:jc w:val="center"/>
              <w:textAlignment w:val="baseline"/>
              <w:rPr>
                <w:kern w:val="2"/>
                <w:sz w:val="28"/>
                <w:szCs w:val="28"/>
                <w:lang w:val="uk-UA" w:eastAsia="en-US"/>
              </w:rPr>
            </w:pPr>
            <w:r>
              <w:rPr>
                <w:kern w:val="2"/>
                <w:position w:val="-10"/>
                <w:sz w:val="28"/>
                <w:szCs w:val="28"/>
                <w:lang w:val="uk-UA" w:eastAsia="en-US"/>
              </w:rPr>
              <w:object w:dxaOrig="345" w:dyaOrig="345">
                <v:shape id="_x0000_i1040" type="#_x0000_t75" style="width:18pt;height:18pt" o:ole="">
                  <v:imagedata r:id="rId36" o:title=""/>
                </v:shape>
                <o:OLEObject Type="Embed" ProgID="Equation.3" ShapeID="_x0000_i1040" DrawAspect="Content" ObjectID="_1669446824" r:id="rId37"/>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11,200</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5,327</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4,421</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0,035</w:t>
            </w:r>
          </w:p>
        </w:tc>
      </w:tr>
      <w:tr w:rsidR="00E3259F" w:rsidTr="00E3259F">
        <w:trPr>
          <w:cantSplit/>
          <w:tblHead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uppressAutoHyphens/>
              <w:overflowPunct w:val="0"/>
              <w:autoSpaceDE w:val="0"/>
              <w:autoSpaceDN w:val="0"/>
              <w:adjustRightInd w:val="0"/>
              <w:spacing w:line="276" w:lineRule="auto"/>
              <w:jc w:val="center"/>
              <w:textAlignment w:val="baseline"/>
              <w:rPr>
                <w:kern w:val="2"/>
                <w:sz w:val="28"/>
                <w:szCs w:val="28"/>
                <w:lang w:val="uk-UA" w:eastAsia="en-US"/>
              </w:rPr>
            </w:pPr>
            <w:r>
              <w:rPr>
                <w:kern w:val="2"/>
                <w:sz w:val="28"/>
                <w:szCs w:val="28"/>
                <w:lang w:val="en-US" w:eastAsia="en-US"/>
              </w:rPr>
              <w:t>X</w:t>
            </w:r>
            <w:r>
              <w:rPr>
                <w:kern w:val="2"/>
                <w:sz w:val="28"/>
                <w:szCs w:val="28"/>
                <w:vertAlign w:val="subscript"/>
                <w:lang w:eastAsia="en-US"/>
              </w:rPr>
              <w:t>5</w: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-4,466</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2,271</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3,867</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0,049</w:t>
            </w:r>
          </w:p>
        </w:tc>
      </w:tr>
      <w:tr w:rsidR="00E3259F" w:rsidTr="00E3259F">
        <w:trPr>
          <w:cantSplit/>
          <w:tblHead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uppressAutoHyphens/>
              <w:overflowPunct w:val="0"/>
              <w:autoSpaceDE w:val="0"/>
              <w:autoSpaceDN w:val="0"/>
              <w:adjustRightInd w:val="0"/>
              <w:spacing w:line="276" w:lineRule="auto"/>
              <w:jc w:val="center"/>
              <w:textAlignment w:val="baseline"/>
              <w:rPr>
                <w:kern w:val="2"/>
                <w:sz w:val="28"/>
                <w:szCs w:val="28"/>
                <w:lang w:val="uk-UA" w:eastAsia="en-US"/>
              </w:rPr>
            </w:pPr>
            <w:r>
              <w:rPr>
                <w:kern w:val="2"/>
                <w:sz w:val="28"/>
                <w:szCs w:val="28"/>
                <w:lang w:eastAsia="en-US"/>
              </w:rPr>
              <w:t>Константа</w: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-80,843</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35,992</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5,045</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rFonts w:eastAsia="Calibri"/>
                <w:sz w:val="28"/>
                <w:szCs w:val="28"/>
                <w:lang w:val="uk-UA" w:eastAsia="en-US"/>
              </w:rPr>
            </w:pPr>
            <w:r>
              <w:rPr>
                <w:sz w:val="28"/>
                <w:szCs w:val="28"/>
                <w:lang w:eastAsia="en-US"/>
              </w:rPr>
              <w:t>0,025</w:t>
            </w:r>
          </w:p>
        </w:tc>
      </w:tr>
    </w:tbl>
    <w:p w:rsidR="00E3259F" w:rsidRDefault="00E3259F" w:rsidP="00E3259F">
      <w:pPr>
        <w:spacing w:line="348" w:lineRule="auto"/>
        <w:ind w:firstLine="709"/>
        <w:jc w:val="both"/>
        <w:rPr>
          <w:kern w:val="2"/>
          <w:sz w:val="28"/>
          <w:szCs w:val="28"/>
          <w:lang w:val="uk-UA"/>
        </w:rPr>
      </w:pPr>
    </w:p>
    <w:p w:rsidR="00E3259F" w:rsidRDefault="00E3259F" w:rsidP="00E3259F">
      <w:pPr>
        <w:spacing w:line="348" w:lineRule="auto"/>
        <w:ind w:firstLine="709"/>
        <w:jc w:val="both"/>
        <w:rPr>
          <w:kern w:val="2"/>
          <w:sz w:val="28"/>
          <w:szCs w:val="28"/>
          <w:lang w:val="uk-UA"/>
        </w:rPr>
      </w:pPr>
      <w:r>
        <w:rPr>
          <w:kern w:val="2"/>
          <w:sz w:val="28"/>
          <w:szCs w:val="28"/>
        </w:rPr>
        <w:t xml:space="preserve">Якість наближення регресійній моделі оцінюється за допомогою функції подібності. У дослідженні, G = </w:t>
      </w:r>
      <w:r>
        <w:rPr>
          <w:sz w:val="28"/>
          <w:szCs w:val="28"/>
        </w:rPr>
        <w:t xml:space="preserve">14,433 </w:t>
      </w:r>
      <w:r>
        <w:rPr>
          <w:kern w:val="2"/>
          <w:sz w:val="28"/>
          <w:szCs w:val="28"/>
        </w:rPr>
        <w:t>при р = 0,001 (табл</w:t>
      </w:r>
      <w:r>
        <w:rPr>
          <w:kern w:val="2"/>
          <w:sz w:val="28"/>
          <w:szCs w:val="28"/>
          <w:lang w:val="uk-UA"/>
        </w:rPr>
        <w:t>иця 4.15</w:t>
      </w:r>
      <w:r>
        <w:rPr>
          <w:kern w:val="2"/>
          <w:sz w:val="28"/>
          <w:szCs w:val="28"/>
        </w:rPr>
        <w:t>), що вказує на те, що в цілому незалежні змінні мають значний в</w:t>
      </w:r>
      <w:r>
        <w:rPr>
          <w:kern w:val="2"/>
          <w:sz w:val="28"/>
          <w:szCs w:val="28"/>
          <w:lang w:val="uk-UA"/>
        </w:rPr>
        <w:t>несок</w:t>
      </w:r>
      <w:r>
        <w:rPr>
          <w:kern w:val="2"/>
          <w:sz w:val="28"/>
          <w:szCs w:val="28"/>
        </w:rPr>
        <w:t xml:space="preserve"> щодо прогнозування залежної змінної. </w:t>
      </w:r>
    </w:p>
    <w:p w:rsidR="00E3259F" w:rsidRDefault="00E3259F" w:rsidP="00E3259F">
      <w:pPr>
        <w:spacing w:line="360" w:lineRule="auto"/>
        <w:jc w:val="right"/>
        <w:rPr>
          <w:rFonts w:eastAsia="Calibri"/>
          <w:sz w:val="28"/>
          <w:szCs w:val="28"/>
          <w:lang w:val="uk-UA" w:eastAsia="en-US"/>
        </w:rPr>
      </w:pPr>
      <w:r>
        <w:rPr>
          <w:bCs/>
          <w:kern w:val="2"/>
          <w:sz w:val="28"/>
          <w:szCs w:val="28"/>
          <w:lang w:val="uk-UA"/>
        </w:rPr>
        <w:t>Таблиця</w:t>
      </w:r>
      <w:r>
        <w:rPr>
          <w:sz w:val="28"/>
          <w:szCs w:val="28"/>
          <w:lang w:val="uk-UA"/>
        </w:rPr>
        <w:t xml:space="preserve"> 4.15</w:t>
      </w:r>
    </w:p>
    <w:p w:rsidR="00E3259F" w:rsidRDefault="00E3259F" w:rsidP="00E3259F">
      <w:pPr>
        <w:spacing w:line="360" w:lineRule="auto"/>
        <w:ind w:firstLine="709"/>
        <w:jc w:val="center"/>
        <w:rPr>
          <w:sz w:val="28"/>
          <w:szCs w:val="28"/>
          <w:lang w:val="uk-UA" w:eastAsia="uk-UA"/>
        </w:rPr>
      </w:pPr>
      <w:r>
        <w:rPr>
          <w:sz w:val="28"/>
          <w:szCs w:val="28"/>
          <w:lang w:val="uk-UA"/>
        </w:rPr>
        <w:t>Характеристики моделі бінарної логістичної регресії, створеної для визначення прогресування оксидативного стресу в пацієнтів з ГХ та ЦД 2 типу в поєднанні з СГТ</w:t>
      </w:r>
    </w:p>
    <w:tbl>
      <w:tblPr>
        <w:tblW w:w="93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551"/>
        <w:gridCol w:w="2127"/>
        <w:gridCol w:w="1134"/>
        <w:gridCol w:w="1568"/>
      </w:tblGrid>
      <w:tr w:rsidR="00E3259F" w:rsidTr="00E3259F">
        <w:trPr>
          <w:cantSplit/>
        </w:trPr>
        <w:tc>
          <w:tcPr>
            <w:tcW w:w="1985" w:type="dxa"/>
            <w:vMerge w:val="restart"/>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Результати заключного кроку аналізу</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 xml:space="preserve"> –2 Log Правдоподіб’я (G)</w:t>
            </w:r>
          </w:p>
        </w:tc>
        <w:tc>
          <w:tcPr>
            <w:tcW w:w="212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uk-UA"/>
              </w:rPr>
            </w:pPr>
            <w:r>
              <w:rPr>
                <w:sz w:val="28"/>
                <w:szCs w:val="28"/>
                <w:lang w:eastAsia="en-US"/>
              </w:rPr>
              <w:t xml:space="preserve">R ²    </w:t>
            </w:r>
          </w:p>
          <w:p w:rsidR="00E3259F" w:rsidRDefault="00E3259F">
            <w:pPr>
              <w:spacing w:line="360" w:lineRule="auto"/>
              <w:jc w:val="center"/>
              <w:rPr>
                <w:rFonts w:eastAsia="Calibri"/>
                <w:sz w:val="28"/>
                <w:szCs w:val="28"/>
                <w:lang w:val="uk-UA" w:eastAsia="en-US"/>
              </w:rPr>
            </w:pPr>
            <w:r>
              <w:rPr>
                <w:color w:val="000000"/>
                <w:sz w:val="28"/>
                <w:szCs w:val="28"/>
                <w:lang w:eastAsia="en-US"/>
              </w:rPr>
              <w:t>Нейджелкерка</w:t>
            </w:r>
          </w:p>
        </w:tc>
        <w:tc>
          <w:tcPr>
            <w:tcW w:w="113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χ²</w:t>
            </w:r>
          </w:p>
        </w:tc>
        <w:tc>
          <w:tcPr>
            <w:tcW w:w="156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kern w:val="2"/>
                <w:sz w:val="28"/>
                <w:szCs w:val="28"/>
                <w:lang w:eastAsia="en-US"/>
              </w:rPr>
              <w:t>Значущість (p)</w:t>
            </w:r>
          </w:p>
        </w:tc>
      </w:tr>
      <w:tr w:rsidR="00E3259F" w:rsidTr="00E3259F">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rFonts w:eastAsia="Calibri"/>
                <w:sz w:val="28"/>
                <w:szCs w:val="28"/>
                <w:lang w:val="uk-UA" w:eastAsia="en-US"/>
              </w:rPr>
            </w:pP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14,433</w:t>
            </w:r>
          </w:p>
        </w:tc>
        <w:tc>
          <w:tcPr>
            <w:tcW w:w="2127"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0,888</w:t>
            </w:r>
          </w:p>
        </w:tc>
        <w:tc>
          <w:tcPr>
            <w:tcW w:w="113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58,130</w:t>
            </w:r>
          </w:p>
        </w:tc>
        <w:tc>
          <w:tcPr>
            <w:tcW w:w="1568"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rFonts w:eastAsia="Calibri"/>
                <w:sz w:val="28"/>
                <w:szCs w:val="28"/>
                <w:lang w:val="uk-UA" w:eastAsia="en-US"/>
              </w:rPr>
            </w:pPr>
            <w:r>
              <w:rPr>
                <w:sz w:val="28"/>
                <w:szCs w:val="28"/>
                <w:lang w:eastAsia="en-US"/>
              </w:rPr>
              <w:t>0,001</w:t>
            </w:r>
          </w:p>
        </w:tc>
      </w:tr>
    </w:tbl>
    <w:p w:rsidR="00E3259F" w:rsidRDefault="00E3259F" w:rsidP="00E3259F">
      <w:pPr>
        <w:spacing w:line="348" w:lineRule="auto"/>
        <w:ind w:firstLine="709"/>
        <w:jc w:val="both"/>
        <w:rPr>
          <w:kern w:val="2"/>
          <w:sz w:val="28"/>
          <w:szCs w:val="28"/>
          <w:lang w:val="uk-UA"/>
        </w:rPr>
      </w:pPr>
    </w:p>
    <w:p w:rsidR="005242C9" w:rsidRDefault="005242C9" w:rsidP="005242C9">
      <w:pPr>
        <w:spacing w:line="360" w:lineRule="auto"/>
        <w:ind w:firstLine="709"/>
        <w:jc w:val="both"/>
        <w:rPr>
          <w:kern w:val="2"/>
          <w:sz w:val="28"/>
          <w:szCs w:val="28"/>
          <w:lang w:val="uk-UA"/>
        </w:rPr>
      </w:pPr>
      <w:r>
        <w:rPr>
          <w:kern w:val="2"/>
          <w:sz w:val="28"/>
          <w:szCs w:val="28"/>
        </w:rPr>
        <w:t>Показник Нейджелкерка, який вар</w:t>
      </w:r>
      <w:r>
        <w:rPr>
          <w:kern w:val="2"/>
          <w:sz w:val="28"/>
          <w:szCs w:val="28"/>
          <w:lang w:val="uk-UA"/>
        </w:rPr>
        <w:t>ію</w:t>
      </w:r>
      <w:r>
        <w:rPr>
          <w:kern w:val="2"/>
          <w:sz w:val="28"/>
          <w:szCs w:val="28"/>
        </w:rPr>
        <w:t xml:space="preserve">ється від 0 до 1 є мірою визначеності. Згідно зі значенням розрахованого показника R² Нейджелкерка, частина дисперсії, </w:t>
      </w:r>
      <w:r>
        <w:rPr>
          <w:kern w:val="2"/>
          <w:sz w:val="28"/>
          <w:szCs w:val="28"/>
          <w:lang w:val="uk-UA"/>
        </w:rPr>
        <w:t xml:space="preserve">яка </w:t>
      </w:r>
      <w:r>
        <w:rPr>
          <w:kern w:val="2"/>
          <w:sz w:val="28"/>
          <w:szCs w:val="28"/>
        </w:rPr>
        <w:t>пояснен</w:t>
      </w:r>
      <w:r>
        <w:rPr>
          <w:kern w:val="2"/>
          <w:sz w:val="28"/>
          <w:szCs w:val="28"/>
          <w:lang w:val="uk-UA"/>
        </w:rPr>
        <w:t>а</w:t>
      </w:r>
      <w:r>
        <w:rPr>
          <w:kern w:val="2"/>
          <w:sz w:val="28"/>
          <w:szCs w:val="28"/>
        </w:rPr>
        <w:t xml:space="preserve"> за допомогою отриманої логістичної функції становить 88,8%.</w:t>
      </w:r>
    </w:p>
    <w:p w:rsidR="00E3259F" w:rsidRDefault="00E3259F" w:rsidP="005242C9">
      <w:pPr>
        <w:spacing w:line="360" w:lineRule="auto"/>
        <w:ind w:firstLine="709"/>
        <w:jc w:val="both"/>
        <w:rPr>
          <w:sz w:val="28"/>
          <w:szCs w:val="28"/>
          <w:lang w:eastAsia="uk-UA"/>
        </w:rPr>
      </w:pPr>
      <w:r>
        <w:rPr>
          <w:sz w:val="28"/>
          <w:szCs w:val="28"/>
        </w:rPr>
        <w:t xml:space="preserve">На </w:t>
      </w:r>
      <w:r>
        <w:rPr>
          <w:sz w:val="28"/>
          <w:szCs w:val="28"/>
          <w:lang w:val="uk-UA"/>
        </w:rPr>
        <w:t>Рисунку 4</w:t>
      </w:r>
      <w:r>
        <w:rPr>
          <w:sz w:val="28"/>
          <w:szCs w:val="28"/>
        </w:rPr>
        <w:t xml:space="preserve">. 1 представлена діаграма розподілу значень розрахованих ймовірністей </w:t>
      </w:r>
      <w:r>
        <w:rPr>
          <w:kern w:val="2"/>
          <w:position w:val="-4"/>
          <w:sz w:val="28"/>
          <w:szCs w:val="28"/>
        </w:rPr>
        <w:object w:dxaOrig="240" w:dyaOrig="420">
          <v:shape id="_x0000_i1041" type="#_x0000_t75" style="width:12.75pt;height:21.75pt" o:ole="">
            <v:imagedata r:id="rId17" o:title=""/>
          </v:shape>
          <o:OLEObject Type="Embed" ProgID="Equation.3" ShapeID="_x0000_i1041" DrawAspect="Content" ObjectID="_1669446825" r:id="rId38"/>
        </w:object>
      </w:r>
      <w:r>
        <w:rPr>
          <w:kern w:val="2"/>
          <w:sz w:val="28"/>
          <w:szCs w:val="28"/>
        </w:rPr>
        <w:t xml:space="preserve"> </w:t>
      </w:r>
      <w:r>
        <w:rPr>
          <w:sz w:val="28"/>
          <w:szCs w:val="28"/>
        </w:rPr>
        <w:t xml:space="preserve">прогресування </w:t>
      </w:r>
      <w:r>
        <w:rPr>
          <w:sz w:val="28"/>
          <w:szCs w:val="28"/>
          <w:lang w:val="uk-UA"/>
        </w:rPr>
        <w:t>ОС в</w:t>
      </w:r>
      <w:r>
        <w:rPr>
          <w:sz w:val="28"/>
          <w:szCs w:val="28"/>
        </w:rPr>
        <w:t xml:space="preserve"> пацієнтів з Г</w:t>
      </w:r>
      <w:r>
        <w:rPr>
          <w:sz w:val="28"/>
          <w:szCs w:val="28"/>
          <w:lang w:val="uk-UA"/>
        </w:rPr>
        <w:t>Х</w:t>
      </w:r>
      <w:r>
        <w:rPr>
          <w:sz w:val="28"/>
          <w:szCs w:val="28"/>
        </w:rPr>
        <w:t xml:space="preserve"> та ЦД </w:t>
      </w:r>
      <w:r>
        <w:rPr>
          <w:sz w:val="28"/>
          <w:szCs w:val="28"/>
          <w:lang w:val="uk-UA"/>
        </w:rPr>
        <w:t>2 типу</w:t>
      </w:r>
      <w:r>
        <w:rPr>
          <w:sz w:val="28"/>
          <w:szCs w:val="28"/>
        </w:rPr>
        <w:t>в поєднанні з СГ</w:t>
      </w:r>
      <w:r>
        <w:rPr>
          <w:sz w:val="28"/>
          <w:szCs w:val="28"/>
          <w:lang w:val="uk-UA"/>
        </w:rPr>
        <w:t>Т</w:t>
      </w:r>
      <w:r>
        <w:rPr>
          <w:sz w:val="28"/>
          <w:szCs w:val="28"/>
        </w:rPr>
        <w:t>. По горизонтальній осі відкладені значення передбаченої ймовірності</w:t>
      </w:r>
      <w:r>
        <w:rPr>
          <w:kern w:val="2"/>
          <w:sz w:val="28"/>
          <w:szCs w:val="28"/>
        </w:rPr>
        <w:t xml:space="preserve"> </w:t>
      </w:r>
      <w:r>
        <w:rPr>
          <w:sz w:val="28"/>
          <w:szCs w:val="28"/>
        </w:rPr>
        <w:t xml:space="preserve">прогресування </w:t>
      </w:r>
      <w:r>
        <w:rPr>
          <w:sz w:val="28"/>
          <w:szCs w:val="28"/>
          <w:lang w:val="uk-UA"/>
        </w:rPr>
        <w:t>ОС</w:t>
      </w:r>
      <w:r>
        <w:rPr>
          <w:sz w:val="28"/>
          <w:szCs w:val="28"/>
        </w:rPr>
        <w:t xml:space="preserve">, обчислені за розробленим рівнянням бінарної логістичної регресії, по вертикалі – кількість пацієнтів з відповідним значенням </w:t>
      </w:r>
      <w:r>
        <w:rPr>
          <w:kern w:val="2"/>
          <w:position w:val="-4"/>
          <w:sz w:val="28"/>
          <w:szCs w:val="28"/>
        </w:rPr>
        <w:object w:dxaOrig="240" w:dyaOrig="420">
          <v:shape id="_x0000_i1042" type="#_x0000_t75" style="width:12.75pt;height:21.75pt" o:ole="">
            <v:imagedata r:id="rId17" o:title=""/>
          </v:shape>
          <o:OLEObject Type="Embed" ProgID="Equation.3" ShapeID="_x0000_i1042" DrawAspect="Content" ObjectID="_1669446826" r:id="rId39"/>
        </w:object>
      </w:r>
      <w:r>
        <w:rPr>
          <w:sz w:val="28"/>
          <w:szCs w:val="28"/>
        </w:rPr>
        <w:t xml:space="preserve">. Чим ближче значення прогнозованої ймовірності до одиниці, тим вище ступінь </w:t>
      </w:r>
      <w:r>
        <w:rPr>
          <w:sz w:val="28"/>
          <w:szCs w:val="28"/>
          <w:lang w:val="uk-UA"/>
        </w:rPr>
        <w:t>ОС</w:t>
      </w:r>
      <w:r>
        <w:rPr>
          <w:sz w:val="28"/>
          <w:szCs w:val="28"/>
        </w:rPr>
        <w:t xml:space="preserve"> у пацієнтів з Г</w:t>
      </w:r>
      <w:r>
        <w:rPr>
          <w:sz w:val="28"/>
          <w:szCs w:val="28"/>
          <w:lang w:val="uk-UA"/>
        </w:rPr>
        <w:t>Х</w:t>
      </w:r>
      <w:r>
        <w:rPr>
          <w:sz w:val="28"/>
          <w:szCs w:val="28"/>
        </w:rPr>
        <w:t xml:space="preserve"> та ЦД</w:t>
      </w:r>
      <w:r>
        <w:rPr>
          <w:sz w:val="28"/>
          <w:szCs w:val="28"/>
          <w:lang w:val="uk-UA"/>
        </w:rPr>
        <w:t xml:space="preserve"> 2 типу</w:t>
      </w:r>
      <w:r>
        <w:rPr>
          <w:sz w:val="28"/>
          <w:szCs w:val="28"/>
        </w:rPr>
        <w:t xml:space="preserve"> в поєднанні з СГТ.</w:t>
      </w:r>
    </w:p>
    <w:p w:rsidR="00E3259F" w:rsidRDefault="00E3259F" w:rsidP="00E3259F">
      <w:pPr>
        <w:spacing w:line="360" w:lineRule="auto"/>
        <w:ind w:firstLine="709"/>
        <w:jc w:val="both"/>
        <w:rPr>
          <w:sz w:val="28"/>
          <w:szCs w:val="28"/>
        </w:rPr>
      </w:pPr>
    </w:p>
    <w:p w:rsidR="00E3259F" w:rsidRDefault="00E3259F" w:rsidP="00E3259F">
      <w:pPr>
        <w:rPr>
          <w:sz w:val="28"/>
          <w:szCs w:val="28"/>
        </w:rPr>
      </w:pPr>
      <w:r>
        <w:rPr>
          <w:noProof/>
        </w:rPr>
        <w:drawing>
          <wp:inline distT="0" distB="0" distL="0" distR="0">
            <wp:extent cx="5162550" cy="24098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62550" cy="2409825"/>
                    </a:xfrm>
                    <a:prstGeom prst="rect">
                      <a:avLst/>
                    </a:prstGeom>
                    <a:noFill/>
                    <a:ln>
                      <a:noFill/>
                    </a:ln>
                  </pic:spPr>
                </pic:pic>
              </a:graphicData>
            </a:graphic>
          </wp:inline>
        </w:drawing>
      </w:r>
    </w:p>
    <w:p w:rsidR="005242C9" w:rsidRDefault="005242C9" w:rsidP="00E3259F">
      <w:pPr>
        <w:spacing w:line="360" w:lineRule="auto"/>
        <w:jc w:val="center"/>
        <w:rPr>
          <w:sz w:val="28"/>
          <w:szCs w:val="28"/>
          <w:lang w:val="uk-UA"/>
        </w:rPr>
      </w:pPr>
    </w:p>
    <w:p w:rsidR="00E3259F" w:rsidRDefault="00E3259F" w:rsidP="00E3259F">
      <w:pPr>
        <w:spacing w:line="360" w:lineRule="auto"/>
        <w:jc w:val="center"/>
        <w:rPr>
          <w:sz w:val="28"/>
          <w:szCs w:val="28"/>
        </w:rPr>
      </w:pPr>
      <w:r>
        <w:rPr>
          <w:sz w:val="28"/>
          <w:szCs w:val="28"/>
          <w:lang w:val="uk-UA"/>
        </w:rPr>
        <w:t>Рис</w:t>
      </w:r>
      <w:r>
        <w:rPr>
          <w:sz w:val="28"/>
          <w:szCs w:val="28"/>
        </w:rPr>
        <w:t xml:space="preserve">. 1 – Діаграма класифікації. Символи: </w:t>
      </w:r>
      <w:r>
        <w:rPr>
          <w:sz w:val="28"/>
          <w:szCs w:val="28"/>
          <w:lang w:val="uk-UA"/>
        </w:rPr>
        <w:t>н</w:t>
      </w:r>
      <w:r>
        <w:rPr>
          <w:sz w:val="28"/>
          <w:szCs w:val="28"/>
        </w:rPr>
        <w:t xml:space="preserve"> – пацієнти з помірним </w:t>
      </w:r>
      <w:r>
        <w:rPr>
          <w:sz w:val="28"/>
          <w:szCs w:val="28"/>
          <w:lang w:val="uk-UA"/>
        </w:rPr>
        <w:t>ОС</w:t>
      </w:r>
      <w:r>
        <w:rPr>
          <w:sz w:val="28"/>
          <w:szCs w:val="28"/>
        </w:rPr>
        <w:t xml:space="preserve">; </w:t>
      </w:r>
      <w:r>
        <w:rPr>
          <w:sz w:val="28"/>
          <w:szCs w:val="28"/>
          <w:lang w:val="uk-UA"/>
        </w:rPr>
        <w:t>в</w:t>
      </w:r>
      <w:r>
        <w:rPr>
          <w:sz w:val="28"/>
          <w:szCs w:val="28"/>
        </w:rPr>
        <w:t xml:space="preserve"> – пацієнти з </w:t>
      </w:r>
      <w:r>
        <w:rPr>
          <w:sz w:val="28"/>
          <w:szCs w:val="28"/>
          <w:lang w:val="uk-UA"/>
        </w:rPr>
        <w:t>вираженим ОС</w:t>
      </w:r>
      <w:r>
        <w:rPr>
          <w:sz w:val="28"/>
          <w:szCs w:val="28"/>
        </w:rPr>
        <w:t xml:space="preserve"> </w:t>
      </w:r>
    </w:p>
    <w:p w:rsidR="00E3259F" w:rsidRDefault="00E3259F" w:rsidP="00E3259F">
      <w:pPr>
        <w:spacing w:line="360" w:lineRule="auto"/>
        <w:ind w:firstLine="709"/>
        <w:jc w:val="both"/>
        <w:rPr>
          <w:rFonts w:eastAsia="Calibri"/>
          <w:sz w:val="28"/>
          <w:szCs w:val="28"/>
          <w:lang w:eastAsia="en-US"/>
        </w:rPr>
      </w:pPr>
    </w:p>
    <w:p w:rsidR="00E3259F" w:rsidRPr="005242C9" w:rsidRDefault="00E3259F" w:rsidP="005242C9">
      <w:pPr>
        <w:spacing w:line="360" w:lineRule="auto"/>
        <w:ind w:firstLine="709"/>
        <w:jc w:val="both"/>
        <w:rPr>
          <w:sz w:val="28"/>
          <w:szCs w:val="28"/>
          <w:lang w:eastAsia="uk-UA"/>
        </w:rPr>
      </w:pPr>
      <w:r w:rsidRPr="005242C9">
        <w:rPr>
          <w:sz w:val="28"/>
          <w:szCs w:val="28"/>
        </w:rPr>
        <w:t>Класифікаційна таблиця (табл</w:t>
      </w:r>
      <w:r w:rsidRPr="005242C9">
        <w:rPr>
          <w:sz w:val="28"/>
          <w:szCs w:val="28"/>
          <w:lang w:val="uk-UA"/>
        </w:rPr>
        <w:t>иця 4.16</w:t>
      </w:r>
      <w:r w:rsidRPr="005242C9">
        <w:rPr>
          <w:sz w:val="28"/>
          <w:szCs w:val="28"/>
        </w:rPr>
        <w:t>) дозволяє судити про кількість правильних та неправильних прогнозів. З таблиці можна зробити висновок про те, що із загально</w:t>
      </w:r>
      <w:r w:rsidRPr="005242C9">
        <w:rPr>
          <w:sz w:val="28"/>
          <w:szCs w:val="28"/>
          <w:lang w:val="uk-UA"/>
        </w:rPr>
        <w:t>ї кількості</w:t>
      </w:r>
      <w:r w:rsidRPr="005242C9">
        <w:rPr>
          <w:sz w:val="28"/>
          <w:szCs w:val="28"/>
        </w:rPr>
        <w:t xml:space="preserve"> пацієнтів з невираженим ОС, </w:t>
      </w:r>
      <w:r w:rsidRPr="005242C9">
        <w:rPr>
          <w:sz w:val="28"/>
          <w:szCs w:val="28"/>
          <w:lang w:val="uk-UA"/>
        </w:rPr>
        <w:t>що до</w:t>
      </w:r>
      <w:r w:rsidRPr="005242C9">
        <w:rPr>
          <w:sz w:val="28"/>
          <w:szCs w:val="28"/>
        </w:rPr>
        <w:t>рівн</w:t>
      </w:r>
      <w:r w:rsidRPr="005242C9">
        <w:rPr>
          <w:sz w:val="28"/>
          <w:szCs w:val="28"/>
          <w:lang w:val="uk-UA"/>
        </w:rPr>
        <w:t>ює</w:t>
      </w:r>
      <w:r w:rsidRPr="005242C9">
        <w:rPr>
          <w:sz w:val="28"/>
          <w:szCs w:val="28"/>
        </w:rPr>
        <w:t xml:space="preserve"> 19, тестом були визнані 18 та 1 помилково віднесений до групи з вираженим ОС. Із загальної кількості пацієнтів з вираженим ОС, рівно</w:t>
      </w:r>
      <w:r w:rsidRPr="005242C9">
        <w:rPr>
          <w:sz w:val="28"/>
          <w:szCs w:val="28"/>
          <w:lang w:val="uk-UA"/>
        </w:rPr>
        <w:t>ї</w:t>
      </w:r>
      <w:r w:rsidRPr="005242C9">
        <w:rPr>
          <w:sz w:val="28"/>
          <w:szCs w:val="28"/>
        </w:rPr>
        <w:t xml:space="preserve"> 38, тестом були визначені всі вірно. Загалом, правильно були розпізнані 56 випадк</w:t>
      </w:r>
      <w:r w:rsidRPr="005242C9">
        <w:rPr>
          <w:sz w:val="28"/>
          <w:szCs w:val="28"/>
          <w:lang w:val="uk-UA"/>
        </w:rPr>
        <w:t>ів</w:t>
      </w:r>
      <w:r w:rsidRPr="005242C9">
        <w:rPr>
          <w:sz w:val="40"/>
          <w:szCs w:val="40"/>
          <w:lang w:val="uk-UA"/>
        </w:rPr>
        <w:t xml:space="preserve"> </w:t>
      </w:r>
      <w:r w:rsidRPr="005242C9">
        <w:rPr>
          <w:sz w:val="28"/>
          <w:szCs w:val="28"/>
        </w:rPr>
        <w:t>з 57, це становить 98,2%.</w:t>
      </w:r>
    </w:p>
    <w:p w:rsidR="00E3259F" w:rsidRDefault="00E3259F" w:rsidP="00E3259F">
      <w:pPr>
        <w:spacing w:line="360" w:lineRule="auto"/>
        <w:jc w:val="right"/>
        <w:rPr>
          <w:sz w:val="28"/>
          <w:szCs w:val="28"/>
        </w:rPr>
      </w:pPr>
      <w:r>
        <w:rPr>
          <w:sz w:val="28"/>
          <w:szCs w:val="28"/>
        </w:rPr>
        <w:t xml:space="preserve">Таблиця </w:t>
      </w:r>
      <w:r>
        <w:rPr>
          <w:sz w:val="28"/>
          <w:szCs w:val="28"/>
          <w:lang w:val="uk-UA"/>
        </w:rPr>
        <w:t>4.16</w:t>
      </w:r>
    </w:p>
    <w:p w:rsidR="00E3259F" w:rsidRDefault="00E3259F" w:rsidP="00E3259F">
      <w:pPr>
        <w:spacing w:line="360" w:lineRule="auto"/>
        <w:ind w:firstLine="709"/>
        <w:jc w:val="center"/>
        <w:rPr>
          <w:sz w:val="28"/>
          <w:szCs w:val="28"/>
          <w:lang w:val="uk-UA"/>
        </w:rPr>
      </w:pPr>
      <w:r>
        <w:rPr>
          <w:sz w:val="28"/>
          <w:szCs w:val="28"/>
        </w:rPr>
        <w:t xml:space="preserve">Класифікаційні результати моделі бінарної логістичної регресії, створеної для визначення прогресування оксидативного стресу </w:t>
      </w:r>
      <w:r>
        <w:rPr>
          <w:sz w:val="28"/>
          <w:szCs w:val="28"/>
          <w:lang w:val="uk-UA"/>
        </w:rPr>
        <w:t>в</w:t>
      </w:r>
      <w:r>
        <w:rPr>
          <w:sz w:val="28"/>
          <w:szCs w:val="28"/>
        </w:rPr>
        <w:t xml:space="preserve"> пацієнтів з Г</w:t>
      </w:r>
      <w:r>
        <w:rPr>
          <w:sz w:val="28"/>
          <w:szCs w:val="28"/>
          <w:lang w:val="uk-UA"/>
        </w:rPr>
        <w:t>Х</w:t>
      </w:r>
      <w:r>
        <w:rPr>
          <w:sz w:val="28"/>
          <w:szCs w:val="28"/>
        </w:rPr>
        <w:t xml:space="preserve"> та ЦД </w:t>
      </w:r>
      <w:r>
        <w:rPr>
          <w:sz w:val="28"/>
          <w:szCs w:val="28"/>
          <w:lang w:val="uk-UA"/>
        </w:rPr>
        <w:t xml:space="preserve">2 типу </w:t>
      </w:r>
      <w:r>
        <w:rPr>
          <w:sz w:val="28"/>
          <w:szCs w:val="28"/>
        </w:rPr>
        <w:t>в поєднанні з СГ</w:t>
      </w:r>
      <w:r>
        <w:rPr>
          <w:sz w:val="28"/>
          <w:szCs w:val="28"/>
          <w:lang w:val="uk-UA"/>
        </w:rPr>
        <w:t>Т</w:t>
      </w:r>
    </w:p>
    <w:tbl>
      <w:tblPr>
        <w:tblW w:w="9030" w:type="dxa"/>
        <w:tblInd w:w="1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firstRow="1" w:lastRow="0" w:firstColumn="1" w:lastColumn="0" w:noHBand="0" w:noVBand="1"/>
      </w:tblPr>
      <w:tblGrid>
        <w:gridCol w:w="1529"/>
        <w:gridCol w:w="2010"/>
        <w:gridCol w:w="1274"/>
        <w:gridCol w:w="1417"/>
        <w:gridCol w:w="2800"/>
      </w:tblGrid>
      <w:tr w:rsidR="00E3259F" w:rsidTr="00E3259F">
        <w:trPr>
          <w:cantSplit/>
        </w:trPr>
        <w:tc>
          <w:tcPr>
            <w:tcW w:w="3539" w:type="dxa"/>
            <w:gridSpan w:val="2"/>
            <w:vMerge w:val="restart"/>
            <w:tcBorders>
              <w:top w:val="single" w:sz="2" w:space="0" w:color="000000"/>
              <w:left w:val="single" w:sz="2" w:space="0" w:color="000000"/>
              <w:bottom w:val="single" w:sz="2" w:space="0" w:color="000000"/>
              <w:right w:val="single" w:sz="2" w:space="0" w:color="000000"/>
            </w:tcBorders>
            <w:vAlign w:val="center"/>
            <w:hideMark/>
          </w:tcPr>
          <w:p w:rsidR="00E3259F" w:rsidRDefault="00E3259F">
            <w:pPr>
              <w:spacing w:line="360" w:lineRule="auto"/>
              <w:jc w:val="both"/>
              <w:rPr>
                <w:rFonts w:eastAsia="Calibri"/>
                <w:sz w:val="28"/>
                <w:szCs w:val="28"/>
                <w:lang w:val="uk-UA" w:eastAsia="en-US"/>
              </w:rPr>
            </w:pPr>
            <w:r>
              <w:rPr>
                <w:sz w:val="28"/>
                <w:szCs w:val="28"/>
                <w:lang w:eastAsia="en-US"/>
              </w:rPr>
              <w:t>Дійсні групи</w:t>
            </w:r>
          </w:p>
        </w:tc>
        <w:tc>
          <w:tcPr>
            <w:tcW w:w="5491" w:type="dxa"/>
            <w:gridSpan w:val="3"/>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line="360" w:lineRule="auto"/>
              <w:jc w:val="center"/>
              <w:rPr>
                <w:rFonts w:eastAsia="Calibri"/>
                <w:sz w:val="28"/>
                <w:szCs w:val="28"/>
                <w:lang w:val="uk-UA" w:eastAsia="en-US"/>
              </w:rPr>
            </w:pPr>
            <w:r>
              <w:rPr>
                <w:sz w:val="28"/>
                <w:szCs w:val="28"/>
                <w:lang w:eastAsia="en-US"/>
              </w:rPr>
              <w:t>Спрогнозовані групи</w:t>
            </w:r>
          </w:p>
        </w:tc>
      </w:tr>
      <w:tr w:rsidR="00E3259F" w:rsidTr="00E3259F">
        <w:trPr>
          <w:cantSplit/>
        </w:trPr>
        <w:tc>
          <w:tcPr>
            <w:tcW w:w="8240" w:type="dxa"/>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pPr>
              <w:rPr>
                <w:rFonts w:eastAsia="Calibri"/>
                <w:sz w:val="28"/>
                <w:szCs w:val="28"/>
                <w:lang w:val="uk-UA" w:eastAsia="en-US"/>
              </w:rPr>
            </w:pPr>
          </w:p>
        </w:tc>
        <w:tc>
          <w:tcPr>
            <w:tcW w:w="2691" w:type="dxa"/>
            <w:gridSpan w:val="2"/>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line="360" w:lineRule="auto"/>
              <w:jc w:val="center"/>
              <w:rPr>
                <w:rFonts w:eastAsia="Calibri"/>
                <w:sz w:val="28"/>
                <w:szCs w:val="28"/>
                <w:lang w:val="uk-UA" w:eastAsia="en-US"/>
              </w:rPr>
            </w:pPr>
            <w:r>
              <w:rPr>
                <w:sz w:val="28"/>
                <w:szCs w:val="28"/>
                <w:lang w:eastAsia="en-US"/>
              </w:rPr>
              <w:t>ОС</w:t>
            </w:r>
          </w:p>
        </w:tc>
        <w:tc>
          <w:tcPr>
            <w:tcW w:w="2800" w:type="dxa"/>
            <w:vMerge w:val="restar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line="360" w:lineRule="auto"/>
              <w:rPr>
                <w:rFonts w:eastAsia="Calibri"/>
                <w:sz w:val="28"/>
                <w:szCs w:val="28"/>
                <w:lang w:val="uk-UA" w:eastAsia="en-US"/>
              </w:rPr>
            </w:pPr>
            <w:r>
              <w:rPr>
                <w:sz w:val="28"/>
                <w:szCs w:val="28"/>
                <w:lang w:eastAsia="en-US"/>
              </w:rPr>
              <w:t xml:space="preserve">% вірно спрогнозованих  </w:t>
            </w:r>
          </w:p>
        </w:tc>
      </w:tr>
      <w:tr w:rsidR="00E3259F" w:rsidTr="00E3259F">
        <w:trPr>
          <w:cantSplit/>
        </w:trPr>
        <w:tc>
          <w:tcPr>
            <w:tcW w:w="8240" w:type="dxa"/>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pPr>
              <w:rPr>
                <w:rFonts w:eastAsia="Calibri"/>
                <w:sz w:val="28"/>
                <w:szCs w:val="28"/>
                <w:lang w:val="uk-UA" w:eastAsia="en-US"/>
              </w:rPr>
            </w:pPr>
          </w:p>
        </w:tc>
        <w:tc>
          <w:tcPr>
            <w:tcW w:w="1274"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line="360" w:lineRule="auto"/>
              <w:jc w:val="both"/>
              <w:rPr>
                <w:rFonts w:eastAsia="Calibri"/>
                <w:sz w:val="28"/>
                <w:szCs w:val="28"/>
                <w:lang w:val="uk-UA" w:eastAsia="en-US"/>
              </w:rPr>
            </w:pPr>
            <w:r>
              <w:rPr>
                <w:sz w:val="28"/>
                <w:szCs w:val="28"/>
                <w:lang w:eastAsia="en-US"/>
              </w:rPr>
              <w:t>Помірний</w:t>
            </w:r>
          </w:p>
        </w:tc>
        <w:tc>
          <w:tcPr>
            <w:tcW w:w="1417"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line="360" w:lineRule="auto"/>
              <w:jc w:val="both"/>
              <w:rPr>
                <w:rFonts w:eastAsia="Calibri"/>
                <w:sz w:val="28"/>
                <w:szCs w:val="28"/>
                <w:lang w:val="uk-UA" w:eastAsia="en-US"/>
              </w:rPr>
            </w:pPr>
            <w:r>
              <w:rPr>
                <w:sz w:val="28"/>
                <w:szCs w:val="28"/>
                <w:lang w:eastAsia="en-US"/>
              </w:rPr>
              <w:t>Високий</w:t>
            </w:r>
          </w:p>
        </w:tc>
        <w:tc>
          <w:tcPr>
            <w:tcW w:w="2800" w:type="dxa"/>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pPr>
              <w:rPr>
                <w:rFonts w:eastAsia="Calibri"/>
                <w:sz w:val="28"/>
                <w:szCs w:val="28"/>
                <w:lang w:val="uk-UA" w:eastAsia="en-US"/>
              </w:rPr>
            </w:pPr>
          </w:p>
        </w:tc>
      </w:tr>
      <w:tr w:rsidR="00E3259F" w:rsidTr="00E3259F">
        <w:trPr>
          <w:cantSplit/>
        </w:trPr>
        <w:tc>
          <w:tcPr>
            <w:tcW w:w="1529"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pPr>
              <w:spacing w:line="360" w:lineRule="auto"/>
              <w:jc w:val="both"/>
              <w:rPr>
                <w:rFonts w:eastAsia="Calibri"/>
                <w:sz w:val="28"/>
                <w:szCs w:val="28"/>
                <w:lang w:val="uk-UA" w:eastAsia="en-US"/>
              </w:rPr>
            </w:pPr>
            <w:r>
              <w:rPr>
                <w:sz w:val="28"/>
                <w:szCs w:val="28"/>
                <w:lang w:eastAsia="en-US"/>
              </w:rPr>
              <w:t>ОС</w:t>
            </w:r>
          </w:p>
        </w:tc>
        <w:tc>
          <w:tcPr>
            <w:tcW w:w="2010" w:type="dxa"/>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pPr>
              <w:spacing w:line="360" w:lineRule="auto"/>
              <w:jc w:val="both"/>
              <w:rPr>
                <w:rFonts w:eastAsia="Calibri"/>
                <w:sz w:val="28"/>
                <w:szCs w:val="28"/>
                <w:lang w:val="uk-UA" w:eastAsia="en-US"/>
              </w:rPr>
            </w:pPr>
            <w:r>
              <w:rPr>
                <w:sz w:val="28"/>
                <w:szCs w:val="28"/>
                <w:lang w:eastAsia="en-US"/>
              </w:rPr>
              <w:t>не інтенсивний</w:t>
            </w:r>
          </w:p>
        </w:tc>
        <w:tc>
          <w:tcPr>
            <w:tcW w:w="1274"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18</w:t>
            </w:r>
          </w:p>
        </w:tc>
        <w:tc>
          <w:tcPr>
            <w:tcW w:w="1417"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1</w:t>
            </w:r>
          </w:p>
        </w:tc>
        <w:tc>
          <w:tcPr>
            <w:tcW w:w="2800"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94,7</w:t>
            </w:r>
          </w:p>
        </w:tc>
      </w:tr>
      <w:tr w:rsidR="00E3259F" w:rsidTr="00E3259F">
        <w:trPr>
          <w:cantSplit/>
        </w:trPr>
        <w:tc>
          <w:tcPr>
            <w:tcW w:w="6230" w:type="dxa"/>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pPr>
              <w:rPr>
                <w:rFonts w:eastAsia="Calibri"/>
                <w:sz w:val="28"/>
                <w:szCs w:val="28"/>
                <w:lang w:val="uk-UA" w:eastAsia="en-US"/>
              </w:rPr>
            </w:pPr>
          </w:p>
        </w:tc>
        <w:tc>
          <w:tcPr>
            <w:tcW w:w="2010" w:type="dxa"/>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pPr>
              <w:spacing w:line="360" w:lineRule="auto"/>
              <w:jc w:val="both"/>
              <w:rPr>
                <w:rFonts w:eastAsia="Calibri"/>
                <w:sz w:val="28"/>
                <w:szCs w:val="28"/>
                <w:lang w:val="uk-UA" w:eastAsia="en-US"/>
              </w:rPr>
            </w:pPr>
            <w:r>
              <w:rPr>
                <w:sz w:val="28"/>
                <w:szCs w:val="28"/>
                <w:lang w:eastAsia="en-US"/>
              </w:rPr>
              <w:t>виражений</w:t>
            </w:r>
          </w:p>
        </w:tc>
        <w:tc>
          <w:tcPr>
            <w:tcW w:w="1274"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0</w:t>
            </w:r>
          </w:p>
        </w:tc>
        <w:tc>
          <w:tcPr>
            <w:tcW w:w="1417"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38</w:t>
            </w:r>
          </w:p>
        </w:tc>
        <w:tc>
          <w:tcPr>
            <w:tcW w:w="2800"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100,0</w:t>
            </w:r>
          </w:p>
        </w:tc>
      </w:tr>
      <w:tr w:rsidR="00E3259F" w:rsidTr="00E3259F">
        <w:trPr>
          <w:cantSplit/>
        </w:trPr>
        <w:tc>
          <w:tcPr>
            <w:tcW w:w="6230" w:type="dxa"/>
            <w:gridSpan w:val="4"/>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pPr>
              <w:spacing w:line="360" w:lineRule="auto"/>
              <w:rPr>
                <w:rFonts w:eastAsia="Calibri"/>
                <w:sz w:val="28"/>
                <w:szCs w:val="28"/>
                <w:lang w:val="uk-UA" w:eastAsia="en-US"/>
              </w:rPr>
            </w:pPr>
            <w:r>
              <w:rPr>
                <w:sz w:val="28"/>
                <w:szCs w:val="28"/>
                <w:lang w:eastAsia="en-US"/>
              </w:rPr>
              <w:t>Загальний процент</w:t>
            </w:r>
          </w:p>
        </w:tc>
        <w:tc>
          <w:tcPr>
            <w:tcW w:w="2800" w:type="dxa"/>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pPr>
              <w:spacing w:line="360" w:lineRule="auto"/>
              <w:jc w:val="center"/>
              <w:rPr>
                <w:rFonts w:eastAsia="Calibri"/>
                <w:sz w:val="28"/>
                <w:szCs w:val="28"/>
                <w:lang w:val="uk-UA" w:eastAsia="en-US"/>
              </w:rPr>
            </w:pPr>
            <w:r>
              <w:rPr>
                <w:sz w:val="28"/>
                <w:szCs w:val="28"/>
                <w:lang w:eastAsia="en-US"/>
              </w:rPr>
              <w:t>98,2</w:t>
            </w:r>
          </w:p>
        </w:tc>
      </w:tr>
    </w:tbl>
    <w:p w:rsidR="00E3259F" w:rsidRDefault="00E3259F" w:rsidP="00E3259F">
      <w:pPr>
        <w:spacing w:after="120" w:line="360" w:lineRule="auto"/>
        <w:ind w:firstLine="709"/>
        <w:jc w:val="both"/>
        <w:rPr>
          <w:rFonts w:eastAsia="Calibri"/>
          <w:sz w:val="28"/>
          <w:szCs w:val="28"/>
          <w:lang w:val="uk-UA" w:eastAsia="en-US"/>
        </w:rPr>
      </w:pPr>
    </w:p>
    <w:p w:rsidR="00E3259F" w:rsidRDefault="00E3259F" w:rsidP="005242C9">
      <w:pPr>
        <w:spacing w:line="360" w:lineRule="auto"/>
        <w:ind w:firstLine="709"/>
        <w:jc w:val="both"/>
        <w:rPr>
          <w:bCs/>
          <w:kern w:val="2"/>
          <w:sz w:val="28"/>
          <w:szCs w:val="28"/>
          <w:lang w:val="uk-UA"/>
        </w:rPr>
      </w:pPr>
      <w:r>
        <w:rPr>
          <w:sz w:val="28"/>
          <w:szCs w:val="28"/>
          <w:lang w:val="uk-UA"/>
        </w:rPr>
        <w:t>Загальна оцінка згоди між впливом виявлених факторів прогресування ОС у пацієнтів з ГХ та ЦД 2 типу поєднано з СГТ та реально зафіксованим настанням несприятливого результату проводилася з використанням тесту згоди Хосмера-Лемешова (</w:t>
      </w:r>
      <w:r>
        <w:rPr>
          <w:rFonts w:eastAsia="Calibri"/>
          <w:position w:val="-10"/>
          <w:sz w:val="28"/>
          <w:szCs w:val="28"/>
          <w:lang w:val="uk-UA" w:eastAsia="en-US"/>
        </w:rPr>
        <w:object w:dxaOrig="375" w:dyaOrig="330">
          <v:shape id="_x0000_i1043" type="#_x0000_t75" style="width:18.75pt;height:16.5pt" o:ole="">
            <v:imagedata r:id="rId41" o:title=""/>
          </v:shape>
          <o:OLEObject Type="Embed" ProgID="Equation.3" ShapeID="_x0000_i1043" DrawAspect="Content" ObjectID="_1669446827" r:id="rId42"/>
        </w:object>
      </w:r>
      <w:r>
        <w:rPr>
          <w:sz w:val="28"/>
          <w:szCs w:val="28"/>
          <w:lang w:val="uk-UA"/>
        </w:rPr>
        <w:t xml:space="preserve">) (таблиця 4.17). </w:t>
      </w:r>
      <w:r>
        <w:rPr>
          <w:sz w:val="28"/>
          <w:szCs w:val="28"/>
        </w:rPr>
        <w:t xml:space="preserve">Отримане значення = 4,602, при рівні значущості р&gt;0,05 (р= 0,799), свідчить про високу якість підібраної моделі. </w:t>
      </w:r>
    </w:p>
    <w:p w:rsidR="00E3259F" w:rsidRDefault="00E3259F" w:rsidP="00E3259F">
      <w:pPr>
        <w:spacing w:line="360" w:lineRule="auto"/>
        <w:jc w:val="right"/>
        <w:rPr>
          <w:rFonts w:eastAsia="Calibri"/>
          <w:bCs/>
          <w:sz w:val="28"/>
          <w:szCs w:val="28"/>
          <w:lang w:val="uk-UA" w:eastAsia="en-US"/>
        </w:rPr>
      </w:pPr>
      <w:r>
        <w:rPr>
          <w:bCs/>
          <w:kern w:val="2"/>
          <w:sz w:val="28"/>
          <w:szCs w:val="28"/>
        </w:rPr>
        <w:t>Таблиця</w:t>
      </w:r>
      <w:r>
        <w:rPr>
          <w:bCs/>
          <w:sz w:val="28"/>
          <w:szCs w:val="28"/>
        </w:rPr>
        <w:t xml:space="preserve"> 4</w:t>
      </w:r>
      <w:r>
        <w:rPr>
          <w:bCs/>
          <w:sz w:val="28"/>
          <w:szCs w:val="28"/>
          <w:lang w:val="uk-UA"/>
        </w:rPr>
        <w:t>.17</w:t>
      </w:r>
    </w:p>
    <w:p w:rsidR="00E3259F" w:rsidRDefault="00E3259F" w:rsidP="00E3259F">
      <w:pPr>
        <w:spacing w:line="360" w:lineRule="auto"/>
        <w:ind w:firstLine="709"/>
        <w:jc w:val="center"/>
        <w:rPr>
          <w:bCs/>
          <w:sz w:val="28"/>
          <w:szCs w:val="28"/>
          <w:lang w:eastAsia="uk-UA"/>
        </w:rPr>
      </w:pPr>
      <w:r>
        <w:rPr>
          <w:bCs/>
          <w:sz w:val="28"/>
          <w:szCs w:val="28"/>
          <w:lang w:val="uk-UA"/>
        </w:rPr>
        <w:t>Результат тесту згоди</w:t>
      </w:r>
      <w:r>
        <w:rPr>
          <w:bCs/>
          <w:sz w:val="28"/>
          <w:szCs w:val="28"/>
        </w:rPr>
        <w:t xml:space="preserve"> Хосмера-Лемешова</w:t>
      </w:r>
    </w:p>
    <w:tbl>
      <w:tblPr>
        <w:tblW w:w="4090" w:type="pct"/>
        <w:tblInd w:w="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1"/>
        <w:gridCol w:w="4089"/>
      </w:tblGrid>
      <w:tr w:rsidR="00E3259F" w:rsidTr="00E3259F">
        <w:trPr>
          <w:cantSplit/>
          <w:tblHeader/>
        </w:trPr>
        <w:tc>
          <w:tcPr>
            <w:tcW w:w="2331"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E3259F" w:rsidRDefault="00E3259F">
            <w:pPr>
              <w:spacing w:line="360" w:lineRule="auto"/>
              <w:jc w:val="center"/>
              <w:rPr>
                <w:rFonts w:eastAsia="Calibri"/>
                <w:sz w:val="28"/>
                <w:szCs w:val="28"/>
                <w:lang w:val="uk-UA" w:eastAsia="en-US"/>
              </w:rPr>
            </w:pPr>
            <w:r>
              <w:rPr>
                <w:rFonts w:eastAsia="Calibri"/>
                <w:position w:val="-10"/>
                <w:sz w:val="28"/>
                <w:szCs w:val="28"/>
                <w:lang w:val="uk-UA" w:eastAsia="en-US"/>
              </w:rPr>
              <w:object w:dxaOrig="375" w:dyaOrig="330">
                <v:shape id="_x0000_i1044" type="#_x0000_t75" style="width:18.75pt;height:16.5pt" o:ole="">
                  <v:imagedata r:id="rId41" o:title=""/>
                </v:shape>
                <o:OLEObject Type="Embed" ProgID="Equation.3" ShapeID="_x0000_i1044" DrawAspect="Content" ObjectID="_1669446828" r:id="rId43"/>
              </w:object>
            </w:r>
          </w:p>
        </w:tc>
        <w:tc>
          <w:tcPr>
            <w:tcW w:w="2669"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E3259F" w:rsidRDefault="00E3259F">
            <w:pPr>
              <w:spacing w:line="360" w:lineRule="auto"/>
              <w:jc w:val="center"/>
              <w:rPr>
                <w:rFonts w:eastAsia="Calibri"/>
                <w:sz w:val="28"/>
                <w:szCs w:val="28"/>
                <w:lang w:val="uk-UA" w:eastAsia="en-US"/>
              </w:rPr>
            </w:pPr>
            <w:r>
              <w:rPr>
                <w:kern w:val="2"/>
                <w:sz w:val="28"/>
                <w:szCs w:val="28"/>
                <w:lang w:eastAsia="en-US"/>
              </w:rPr>
              <w:t>Значущість (p)</w:t>
            </w:r>
          </w:p>
        </w:tc>
      </w:tr>
      <w:tr w:rsidR="00E3259F" w:rsidTr="00E3259F">
        <w:trPr>
          <w:cantSplit/>
          <w:tblHeader/>
        </w:trPr>
        <w:tc>
          <w:tcPr>
            <w:tcW w:w="2331" w:type="pct"/>
            <w:tcBorders>
              <w:top w:val="single" w:sz="4" w:space="0" w:color="auto"/>
              <w:left w:val="single" w:sz="4" w:space="0" w:color="auto"/>
              <w:bottom w:val="single" w:sz="4" w:space="0" w:color="auto"/>
              <w:right w:val="single" w:sz="4" w:space="0" w:color="auto"/>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4,602</w:t>
            </w:r>
          </w:p>
        </w:tc>
        <w:tc>
          <w:tcPr>
            <w:tcW w:w="2669" w:type="pct"/>
            <w:tcBorders>
              <w:top w:val="single" w:sz="4" w:space="0" w:color="auto"/>
              <w:left w:val="single" w:sz="4" w:space="0" w:color="auto"/>
              <w:bottom w:val="single" w:sz="4" w:space="0" w:color="auto"/>
              <w:right w:val="single" w:sz="4" w:space="0" w:color="auto"/>
            </w:tcBorders>
            <w:shd w:val="clear" w:color="auto" w:fill="FFFFFF"/>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0,799</w:t>
            </w:r>
          </w:p>
        </w:tc>
      </w:tr>
    </w:tbl>
    <w:p w:rsidR="00E3259F" w:rsidRDefault="00E3259F" w:rsidP="00E3259F">
      <w:pPr>
        <w:spacing w:line="360" w:lineRule="auto"/>
        <w:ind w:firstLine="709"/>
        <w:jc w:val="both"/>
        <w:rPr>
          <w:rFonts w:eastAsia="Calibri"/>
          <w:sz w:val="28"/>
          <w:szCs w:val="28"/>
          <w:lang w:val="uk-UA" w:eastAsia="en-US"/>
        </w:rPr>
      </w:pPr>
    </w:p>
    <w:p w:rsidR="00E3259F" w:rsidRDefault="00E3259F" w:rsidP="00E3259F">
      <w:pPr>
        <w:rPr>
          <w:sz w:val="28"/>
          <w:szCs w:val="28"/>
          <w:lang w:eastAsia="uk-UA"/>
        </w:rPr>
      </w:pPr>
    </w:p>
    <w:p w:rsidR="00E3259F" w:rsidRDefault="00E3259F" w:rsidP="005242C9">
      <w:pPr>
        <w:suppressAutoHyphens/>
        <w:overflowPunct w:val="0"/>
        <w:autoSpaceDE w:val="0"/>
        <w:autoSpaceDN w:val="0"/>
        <w:adjustRightInd w:val="0"/>
        <w:spacing w:line="360" w:lineRule="auto"/>
        <w:ind w:firstLine="709"/>
        <w:jc w:val="both"/>
        <w:textAlignment w:val="baseline"/>
        <w:rPr>
          <w:sz w:val="28"/>
          <w:szCs w:val="28"/>
          <w:lang w:eastAsia="uk-UA"/>
        </w:rPr>
      </w:pPr>
      <w:r>
        <w:rPr>
          <w:sz w:val="28"/>
          <w:szCs w:val="28"/>
        </w:rPr>
        <w:t>Для оцінки ефективності моделі використовувався також ROC-аналіз (</w:t>
      </w:r>
      <w:r>
        <w:rPr>
          <w:sz w:val="28"/>
          <w:szCs w:val="28"/>
          <w:lang w:val="uk-UA"/>
        </w:rPr>
        <w:t>рис</w:t>
      </w:r>
      <w:r>
        <w:rPr>
          <w:sz w:val="28"/>
          <w:szCs w:val="28"/>
        </w:rPr>
        <w:t>. </w:t>
      </w:r>
      <w:r>
        <w:rPr>
          <w:sz w:val="28"/>
          <w:szCs w:val="28"/>
          <w:lang w:val="uk-UA"/>
        </w:rPr>
        <w:t>4.</w:t>
      </w:r>
      <w:r>
        <w:rPr>
          <w:sz w:val="28"/>
          <w:szCs w:val="28"/>
        </w:rPr>
        <w:t xml:space="preserve">2, таблиця </w:t>
      </w:r>
      <w:r>
        <w:rPr>
          <w:sz w:val="28"/>
          <w:szCs w:val="28"/>
          <w:lang w:val="uk-UA"/>
        </w:rPr>
        <w:t>4.18</w:t>
      </w:r>
      <w:r>
        <w:rPr>
          <w:sz w:val="28"/>
          <w:szCs w:val="28"/>
        </w:rPr>
        <w:t xml:space="preserve">), який виявив її характеристики, що є показником відмінної якості. </w:t>
      </w:r>
    </w:p>
    <w:p w:rsidR="00E3259F" w:rsidRDefault="00E3259F" w:rsidP="00E3259F">
      <w:pPr>
        <w:widowControl w:val="0"/>
        <w:autoSpaceDE w:val="0"/>
        <w:autoSpaceDN w:val="0"/>
        <w:adjustRightInd w:val="0"/>
        <w:spacing w:line="360" w:lineRule="auto"/>
        <w:jc w:val="center"/>
        <w:rPr>
          <w:rFonts w:eastAsia="Calibri"/>
          <w:sz w:val="28"/>
          <w:szCs w:val="28"/>
          <w:lang w:eastAsia="en-US"/>
        </w:rPr>
      </w:pPr>
      <w:r>
        <w:rPr>
          <w:noProof/>
        </w:rPr>
        <w:drawing>
          <wp:inline distT="0" distB="0" distL="0" distR="0" wp14:anchorId="6693E826" wp14:editId="533DD9A3">
            <wp:extent cx="3333750" cy="33051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333750" cy="3305175"/>
                    </a:xfrm>
                    <a:prstGeom prst="rect">
                      <a:avLst/>
                    </a:prstGeom>
                    <a:noFill/>
                    <a:ln>
                      <a:noFill/>
                    </a:ln>
                  </pic:spPr>
                </pic:pic>
              </a:graphicData>
            </a:graphic>
          </wp:inline>
        </w:drawing>
      </w:r>
    </w:p>
    <w:p w:rsidR="00E3259F" w:rsidRDefault="00E3259F" w:rsidP="00E3259F">
      <w:pPr>
        <w:widowControl w:val="0"/>
        <w:autoSpaceDE w:val="0"/>
        <w:autoSpaceDN w:val="0"/>
        <w:adjustRightInd w:val="0"/>
        <w:spacing w:line="360" w:lineRule="auto"/>
        <w:jc w:val="center"/>
        <w:rPr>
          <w:bCs/>
          <w:color w:val="000000"/>
          <w:sz w:val="28"/>
          <w:szCs w:val="28"/>
        </w:rPr>
      </w:pPr>
      <w:r>
        <w:rPr>
          <w:sz w:val="28"/>
          <w:szCs w:val="28"/>
          <w:lang w:val="uk-UA"/>
        </w:rPr>
        <w:t>Рисунок 4.</w:t>
      </w:r>
      <w:r>
        <w:rPr>
          <w:sz w:val="28"/>
          <w:szCs w:val="28"/>
        </w:rPr>
        <w:t xml:space="preserve">2 – </w:t>
      </w:r>
      <w:r>
        <w:rPr>
          <w:bCs/>
          <w:color w:val="000000"/>
          <w:sz w:val="28"/>
          <w:szCs w:val="28"/>
        </w:rPr>
        <w:t>ROC Крива</w:t>
      </w:r>
    </w:p>
    <w:p w:rsidR="005242C9" w:rsidRDefault="005242C9" w:rsidP="005242C9">
      <w:pPr>
        <w:widowControl w:val="0"/>
        <w:autoSpaceDE w:val="0"/>
        <w:autoSpaceDN w:val="0"/>
        <w:adjustRightInd w:val="0"/>
        <w:spacing w:line="360" w:lineRule="auto"/>
        <w:ind w:firstLine="709"/>
        <w:jc w:val="both"/>
        <w:rPr>
          <w:sz w:val="28"/>
          <w:szCs w:val="28"/>
          <w:lang w:val="uk-UA"/>
        </w:rPr>
      </w:pPr>
      <w:r>
        <w:rPr>
          <w:sz w:val="28"/>
          <w:szCs w:val="28"/>
        </w:rPr>
        <w:t>Значення площі під кривою AUC (Area Under Curve) с</w:t>
      </w:r>
      <w:r>
        <w:rPr>
          <w:sz w:val="28"/>
          <w:szCs w:val="28"/>
          <w:lang w:val="uk-UA"/>
        </w:rPr>
        <w:t>тановило</w:t>
      </w:r>
      <w:r>
        <w:rPr>
          <w:sz w:val="28"/>
          <w:szCs w:val="28"/>
        </w:rPr>
        <w:t xml:space="preserve"> 0,973.</w:t>
      </w:r>
    </w:p>
    <w:p w:rsidR="005242C9" w:rsidRDefault="005242C9" w:rsidP="005242C9">
      <w:pPr>
        <w:widowControl w:val="0"/>
        <w:autoSpaceDE w:val="0"/>
        <w:autoSpaceDN w:val="0"/>
        <w:adjustRightInd w:val="0"/>
        <w:spacing w:line="360" w:lineRule="auto"/>
        <w:ind w:firstLine="709"/>
        <w:jc w:val="right"/>
        <w:rPr>
          <w:sz w:val="28"/>
          <w:szCs w:val="28"/>
          <w:lang w:val="uk-UA"/>
        </w:rPr>
      </w:pPr>
    </w:p>
    <w:p w:rsidR="00E3259F" w:rsidRDefault="00E3259F" w:rsidP="005242C9">
      <w:pPr>
        <w:widowControl w:val="0"/>
        <w:autoSpaceDE w:val="0"/>
        <w:autoSpaceDN w:val="0"/>
        <w:adjustRightInd w:val="0"/>
        <w:spacing w:line="360" w:lineRule="auto"/>
        <w:ind w:firstLine="709"/>
        <w:jc w:val="right"/>
        <w:rPr>
          <w:bCs/>
          <w:kern w:val="2"/>
          <w:sz w:val="28"/>
          <w:szCs w:val="28"/>
        </w:rPr>
      </w:pPr>
      <w:r>
        <w:rPr>
          <w:bCs/>
          <w:kern w:val="2"/>
          <w:sz w:val="28"/>
          <w:szCs w:val="28"/>
        </w:rPr>
        <w:t xml:space="preserve">Таблиця </w:t>
      </w:r>
      <w:r>
        <w:rPr>
          <w:bCs/>
          <w:kern w:val="2"/>
          <w:sz w:val="28"/>
          <w:szCs w:val="28"/>
          <w:lang w:val="uk-UA"/>
        </w:rPr>
        <w:t>4.18</w:t>
      </w:r>
      <w:r>
        <w:rPr>
          <w:bCs/>
          <w:kern w:val="2"/>
          <w:sz w:val="28"/>
          <w:szCs w:val="28"/>
        </w:rPr>
        <w:t xml:space="preserve"> </w:t>
      </w:r>
    </w:p>
    <w:p w:rsidR="00E3259F" w:rsidRDefault="00E3259F" w:rsidP="00E3259F">
      <w:pPr>
        <w:widowControl w:val="0"/>
        <w:autoSpaceDE w:val="0"/>
        <w:autoSpaceDN w:val="0"/>
        <w:adjustRightInd w:val="0"/>
        <w:spacing w:line="360" w:lineRule="auto"/>
        <w:ind w:firstLine="709"/>
        <w:jc w:val="center"/>
        <w:rPr>
          <w:sz w:val="28"/>
          <w:szCs w:val="28"/>
        </w:rPr>
      </w:pPr>
      <w:r>
        <w:rPr>
          <w:bCs/>
          <w:kern w:val="2"/>
          <w:sz w:val="28"/>
          <w:szCs w:val="28"/>
        </w:rPr>
        <w:t xml:space="preserve">Результати </w:t>
      </w:r>
      <w:r>
        <w:rPr>
          <w:sz w:val="28"/>
          <w:szCs w:val="28"/>
        </w:rPr>
        <w:t>ROC-аналізу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265"/>
        <w:gridCol w:w="1685"/>
        <w:gridCol w:w="2248"/>
        <w:gridCol w:w="1968"/>
        <w:gridCol w:w="2248"/>
      </w:tblGrid>
      <w:tr w:rsidR="00E3259F" w:rsidTr="00E3259F">
        <w:trPr>
          <w:cantSplit/>
          <w:tblHeader/>
        </w:trPr>
        <w:tc>
          <w:tcPr>
            <w:tcW w:w="2761" w:type="pct"/>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sz w:val="28"/>
                <w:szCs w:val="28"/>
                <w:lang w:val="uk-UA" w:eastAsia="en-US"/>
              </w:rPr>
            </w:pPr>
            <w:r>
              <w:rPr>
                <w:bCs/>
                <w:sz w:val="28"/>
                <w:szCs w:val="28"/>
                <w:lang w:eastAsia="en-US"/>
              </w:rPr>
              <w:t>Характеристики ROC Кривої</w:t>
            </w:r>
          </w:p>
        </w:tc>
        <w:tc>
          <w:tcPr>
            <w:tcW w:w="2239" w:type="pct"/>
            <w:gridSpan w:val="2"/>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color w:val="000000"/>
                <w:sz w:val="28"/>
                <w:szCs w:val="28"/>
                <w:lang w:eastAsia="en-US"/>
              </w:rPr>
              <w:t>95% Довірчий інтервал</w:t>
            </w:r>
          </w:p>
        </w:tc>
      </w:tr>
      <w:tr w:rsidR="00E3259F" w:rsidTr="00E3259F">
        <w:trPr>
          <w:cantSplit/>
          <w:tblHeader/>
        </w:trPr>
        <w:tc>
          <w:tcPr>
            <w:tcW w:w="6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color w:val="000000"/>
                <w:sz w:val="28"/>
                <w:szCs w:val="28"/>
                <w:lang w:eastAsia="en-US"/>
              </w:rPr>
              <w:t>Площа</w:t>
            </w:r>
          </w:p>
        </w:tc>
        <w:tc>
          <w:tcPr>
            <w:tcW w:w="89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color w:val="000000"/>
                <w:sz w:val="28"/>
                <w:szCs w:val="28"/>
                <w:lang w:eastAsia="en-US"/>
              </w:rPr>
              <w:t>Стандартна похибка</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kern w:val="2"/>
                <w:sz w:val="28"/>
                <w:szCs w:val="28"/>
                <w:lang w:eastAsia="en-US"/>
              </w:rPr>
              <w:t>Значущість (p)</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color w:val="000000"/>
                <w:sz w:val="28"/>
                <w:szCs w:val="28"/>
                <w:lang w:eastAsia="en-US"/>
              </w:rPr>
              <w:t>Нижня межа</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val="uk-UA" w:eastAsia="en-US"/>
              </w:rPr>
            </w:pPr>
            <w:r>
              <w:rPr>
                <w:color w:val="000000"/>
                <w:sz w:val="28"/>
                <w:szCs w:val="28"/>
                <w:lang w:eastAsia="en-US"/>
              </w:rPr>
              <w:t>Верхня межа</w:t>
            </w:r>
          </w:p>
        </w:tc>
      </w:tr>
      <w:tr w:rsidR="00E3259F" w:rsidTr="00E3259F">
        <w:trPr>
          <w:cantSplit/>
          <w:tblHeader/>
        </w:trPr>
        <w:tc>
          <w:tcPr>
            <w:tcW w:w="6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0,973</w:t>
            </w:r>
          </w:p>
        </w:tc>
        <w:tc>
          <w:tcPr>
            <w:tcW w:w="89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0,020</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0,001</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0,934</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after="200" w:line="320" w:lineRule="atLeast"/>
              <w:ind w:left="60" w:right="60"/>
              <w:jc w:val="center"/>
              <w:rPr>
                <w:rFonts w:eastAsia="Calibri"/>
                <w:sz w:val="28"/>
                <w:szCs w:val="28"/>
                <w:lang w:val="uk-UA" w:eastAsia="en-US"/>
              </w:rPr>
            </w:pPr>
            <w:r>
              <w:rPr>
                <w:sz w:val="28"/>
                <w:szCs w:val="28"/>
                <w:lang w:eastAsia="en-US"/>
              </w:rPr>
              <w:t>1,000</w:t>
            </w:r>
          </w:p>
        </w:tc>
      </w:tr>
    </w:tbl>
    <w:p w:rsidR="00E3259F" w:rsidRDefault="00E3259F" w:rsidP="00E3259F">
      <w:pPr>
        <w:suppressAutoHyphens/>
        <w:overflowPunct w:val="0"/>
        <w:autoSpaceDE w:val="0"/>
        <w:autoSpaceDN w:val="0"/>
        <w:adjustRightInd w:val="0"/>
        <w:spacing w:line="360" w:lineRule="auto"/>
        <w:ind w:firstLine="709"/>
        <w:jc w:val="both"/>
        <w:textAlignment w:val="baseline"/>
        <w:rPr>
          <w:sz w:val="28"/>
          <w:szCs w:val="28"/>
          <w:lang w:val="uk-UA"/>
        </w:rPr>
      </w:pPr>
    </w:p>
    <w:p w:rsidR="00E3259F" w:rsidRDefault="00E3259F" w:rsidP="005242C9">
      <w:pPr>
        <w:suppressAutoHyphens/>
        <w:overflowPunct w:val="0"/>
        <w:autoSpaceDE w:val="0"/>
        <w:autoSpaceDN w:val="0"/>
        <w:adjustRightInd w:val="0"/>
        <w:spacing w:line="360" w:lineRule="auto"/>
        <w:ind w:firstLine="709"/>
        <w:jc w:val="both"/>
        <w:textAlignment w:val="baseline"/>
        <w:rPr>
          <w:sz w:val="28"/>
          <w:szCs w:val="28"/>
          <w:lang w:val="uk-UA" w:eastAsia="uk-UA"/>
        </w:rPr>
      </w:pPr>
      <w:r>
        <w:rPr>
          <w:sz w:val="28"/>
          <w:szCs w:val="28"/>
        </w:rPr>
        <w:t>ROC</w:t>
      </w:r>
      <w:r>
        <w:rPr>
          <w:sz w:val="28"/>
          <w:szCs w:val="28"/>
          <w:lang w:val="uk-UA"/>
        </w:rPr>
        <w:t>-аналіз отриманої моделі виявив її характеристики, які є показником відмінної якості досліджуваної моделі.</w:t>
      </w:r>
    </w:p>
    <w:p w:rsidR="00E3259F" w:rsidRDefault="00E3259F" w:rsidP="005242C9">
      <w:pPr>
        <w:spacing w:line="360" w:lineRule="auto"/>
        <w:ind w:firstLine="709"/>
        <w:jc w:val="both"/>
        <w:rPr>
          <w:sz w:val="28"/>
          <w:szCs w:val="28"/>
          <w:lang w:val="uk-UA"/>
        </w:rPr>
      </w:pPr>
      <w:r>
        <w:rPr>
          <w:sz w:val="28"/>
          <w:szCs w:val="28"/>
          <w:lang w:val="uk-UA"/>
        </w:rPr>
        <w:t>Наступ позитивної та негативної події («невиражений ОС» та «виражений ОС») визначався за допомогою порогу відсікання.Критерієм вибору оптимального порогу відсікання (</w:t>
      </w:r>
      <w:r>
        <w:rPr>
          <w:sz w:val="28"/>
          <w:szCs w:val="28"/>
        </w:rPr>
        <w:t>optimal</w:t>
      </w:r>
      <w:r>
        <w:rPr>
          <w:sz w:val="28"/>
          <w:szCs w:val="28"/>
          <w:lang w:val="uk-UA"/>
        </w:rPr>
        <w:t xml:space="preserve"> </w:t>
      </w:r>
      <w:r>
        <w:rPr>
          <w:sz w:val="28"/>
          <w:szCs w:val="28"/>
        </w:rPr>
        <w:t>cut</w:t>
      </w:r>
      <w:r>
        <w:rPr>
          <w:sz w:val="28"/>
          <w:szCs w:val="28"/>
          <w:lang w:val="uk-UA"/>
        </w:rPr>
        <w:t>-</w:t>
      </w:r>
      <w:r>
        <w:rPr>
          <w:sz w:val="28"/>
          <w:szCs w:val="28"/>
        </w:rPr>
        <w:t>off</w:t>
      </w:r>
      <w:r>
        <w:rPr>
          <w:sz w:val="28"/>
          <w:szCs w:val="28"/>
          <w:lang w:val="uk-UA"/>
        </w:rPr>
        <w:t xml:space="preserve"> </w:t>
      </w:r>
      <w:r>
        <w:rPr>
          <w:sz w:val="28"/>
          <w:szCs w:val="28"/>
        </w:rPr>
        <w:t>value</w:t>
      </w:r>
      <w:r>
        <w:rPr>
          <w:sz w:val="28"/>
          <w:szCs w:val="28"/>
          <w:lang w:val="uk-UA"/>
        </w:rPr>
        <w:t>) виступала вимога максимальної сумарної чутливості і специфічності моделі:</w:t>
      </w:r>
    </w:p>
    <w:p w:rsidR="00E3259F" w:rsidRDefault="00E3259F" w:rsidP="005242C9">
      <w:pPr>
        <w:spacing w:line="360" w:lineRule="auto"/>
        <w:ind w:firstLine="709"/>
        <w:jc w:val="center"/>
        <w:rPr>
          <w:sz w:val="28"/>
          <w:szCs w:val="28"/>
          <w:lang w:val="uk-UA"/>
        </w:rPr>
      </w:pPr>
    </w:p>
    <w:p w:rsidR="00E3259F" w:rsidRDefault="00E3259F" w:rsidP="005242C9">
      <w:pPr>
        <w:spacing w:line="360" w:lineRule="auto"/>
        <w:ind w:firstLine="709"/>
        <w:jc w:val="center"/>
        <w:rPr>
          <w:sz w:val="28"/>
          <w:szCs w:val="28"/>
          <w:lang w:val="uk-UA"/>
        </w:rPr>
      </w:pPr>
      <w:r>
        <w:rPr>
          <w:sz w:val="28"/>
          <w:szCs w:val="28"/>
          <w:lang w:val="uk-UA"/>
        </w:rPr>
        <w:t xml:space="preserve">                           </w:t>
      </w:r>
      <w:r>
        <w:rPr>
          <w:sz w:val="28"/>
          <w:szCs w:val="28"/>
          <w:lang w:val="en-US"/>
        </w:rPr>
        <w:t>Cutt_off = max│Se + Sp│.</w:t>
      </w:r>
      <w:r>
        <w:rPr>
          <w:sz w:val="28"/>
          <w:szCs w:val="28"/>
          <w:lang w:val="uk-UA"/>
        </w:rPr>
        <w:t xml:space="preserve">                                           (4.4)</w:t>
      </w:r>
    </w:p>
    <w:p w:rsidR="00E3259F" w:rsidRPr="00E3259F" w:rsidRDefault="00E3259F" w:rsidP="005242C9">
      <w:pPr>
        <w:spacing w:line="360" w:lineRule="auto"/>
        <w:ind w:firstLine="709"/>
        <w:jc w:val="center"/>
        <w:rPr>
          <w:sz w:val="28"/>
          <w:szCs w:val="28"/>
          <w:lang w:val="uk-UA"/>
        </w:rPr>
      </w:pPr>
    </w:p>
    <w:p w:rsidR="00E3259F" w:rsidRDefault="00E3259F" w:rsidP="005242C9">
      <w:pPr>
        <w:spacing w:line="360" w:lineRule="auto"/>
        <w:ind w:firstLine="709"/>
        <w:jc w:val="both"/>
        <w:rPr>
          <w:sz w:val="28"/>
          <w:szCs w:val="28"/>
        </w:rPr>
      </w:pPr>
      <w:r w:rsidRPr="00E3259F">
        <w:rPr>
          <w:sz w:val="28"/>
          <w:szCs w:val="28"/>
          <w:lang w:val="uk-UA"/>
        </w:rPr>
        <w:t xml:space="preserve">Таким чином, згідно з координатами </w:t>
      </w:r>
      <w:r>
        <w:rPr>
          <w:sz w:val="28"/>
          <w:szCs w:val="28"/>
          <w:lang w:val="en-US"/>
        </w:rPr>
        <w:t>ROC</w:t>
      </w:r>
      <w:r w:rsidRPr="00E3259F">
        <w:rPr>
          <w:sz w:val="28"/>
          <w:szCs w:val="28"/>
          <w:lang w:val="uk-UA"/>
        </w:rPr>
        <w:t xml:space="preserve">-кривої точкою відсікання є значення 0,442, якій відповідає чутливість, рівна 0,974 (97,4%), та специфічність - 0,947 (1-0,053) (94,7%). </w:t>
      </w:r>
      <w:r>
        <w:rPr>
          <w:sz w:val="28"/>
          <w:szCs w:val="28"/>
        </w:rPr>
        <w:t>Точкою балансу, в якій чутливість та специфічність приблизно збігаються, є 0,635.</w:t>
      </w:r>
    </w:p>
    <w:p w:rsidR="00E3259F" w:rsidRDefault="00E3259F" w:rsidP="005242C9">
      <w:pPr>
        <w:suppressAutoHyphens/>
        <w:overflowPunct w:val="0"/>
        <w:autoSpaceDE w:val="0"/>
        <w:autoSpaceDN w:val="0"/>
        <w:adjustRightInd w:val="0"/>
        <w:spacing w:line="360" w:lineRule="auto"/>
        <w:ind w:firstLine="709"/>
        <w:jc w:val="both"/>
        <w:textAlignment w:val="baseline"/>
        <w:rPr>
          <w:sz w:val="28"/>
          <w:szCs w:val="28"/>
          <w:lang w:val="uk-UA"/>
        </w:rPr>
      </w:pPr>
      <w:r>
        <w:rPr>
          <w:sz w:val="28"/>
          <w:szCs w:val="28"/>
        </w:rPr>
        <w:t xml:space="preserve">Корисність математичної моделі була перевірена на практиці при визначенні </w:t>
      </w:r>
      <w:r>
        <w:rPr>
          <w:sz w:val="28"/>
          <w:szCs w:val="28"/>
          <w:lang w:val="uk-UA"/>
        </w:rPr>
        <w:t>вираженості ОС</w:t>
      </w:r>
      <w:r>
        <w:rPr>
          <w:sz w:val="28"/>
          <w:szCs w:val="28"/>
        </w:rPr>
        <w:t xml:space="preserve"> у хворих на Г</w:t>
      </w:r>
      <w:r>
        <w:rPr>
          <w:sz w:val="28"/>
          <w:szCs w:val="28"/>
          <w:lang w:val="uk-UA"/>
        </w:rPr>
        <w:t>Х</w:t>
      </w:r>
      <w:r>
        <w:rPr>
          <w:sz w:val="28"/>
          <w:szCs w:val="28"/>
        </w:rPr>
        <w:t>, ЦД</w:t>
      </w:r>
      <w:r>
        <w:rPr>
          <w:sz w:val="28"/>
          <w:szCs w:val="28"/>
          <w:lang w:val="uk-UA"/>
        </w:rPr>
        <w:t xml:space="preserve"> </w:t>
      </w:r>
      <w:r>
        <w:rPr>
          <w:sz w:val="28"/>
          <w:szCs w:val="28"/>
        </w:rPr>
        <w:t>2</w:t>
      </w:r>
      <w:r>
        <w:rPr>
          <w:sz w:val="28"/>
          <w:szCs w:val="28"/>
          <w:lang w:val="uk-UA"/>
        </w:rPr>
        <w:t xml:space="preserve"> типу</w:t>
      </w:r>
      <w:r>
        <w:rPr>
          <w:sz w:val="28"/>
          <w:szCs w:val="28"/>
        </w:rPr>
        <w:t xml:space="preserve"> та СГТ, які знаходилися на амбулаторному спостереженні </w:t>
      </w:r>
      <w:r>
        <w:rPr>
          <w:sz w:val="28"/>
          <w:szCs w:val="28"/>
          <w:lang w:val="uk-UA"/>
        </w:rPr>
        <w:t>в</w:t>
      </w:r>
      <w:r>
        <w:rPr>
          <w:sz w:val="28"/>
          <w:szCs w:val="28"/>
        </w:rPr>
        <w:t xml:space="preserve"> ДУ «Національний Інститут терапії ім. Л.Т. Малої НАМН України».</w:t>
      </w:r>
    </w:p>
    <w:p w:rsidR="00E3259F" w:rsidRPr="00CF693D" w:rsidRDefault="00E3259F" w:rsidP="005242C9">
      <w:pPr>
        <w:spacing w:line="360" w:lineRule="auto"/>
        <w:ind w:firstLine="709"/>
        <w:jc w:val="both"/>
        <w:rPr>
          <w:sz w:val="28"/>
          <w:szCs w:val="28"/>
        </w:rPr>
      </w:pPr>
      <w:r w:rsidRPr="00CF693D">
        <w:rPr>
          <w:sz w:val="28"/>
          <w:szCs w:val="28"/>
        </w:rPr>
        <w:t xml:space="preserve">Було обстежено </w:t>
      </w:r>
      <w:r w:rsidRPr="00CF693D">
        <w:rPr>
          <w:sz w:val="28"/>
          <w:szCs w:val="28"/>
          <w:lang w:val="uk-UA"/>
        </w:rPr>
        <w:t>36</w:t>
      </w:r>
      <w:r w:rsidRPr="00CF693D">
        <w:rPr>
          <w:sz w:val="28"/>
          <w:szCs w:val="28"/>
        </w:rPr>
        <w:t xml:space="preserve"> пацієнтів з Г</w:t>
      </w:r>
      <w:r w:rsidRPr="00CF693D">
        <w:rPr>
          <w:sz w:val="28"/>
          <w:szCs w:val="28"/>
          <w:lang w:val="uk-UA"/>
        </w:rPr>
        <w:t>Х у</w:t>
      </w:r>
      <w:r w:rsidRPr="00CF693D">
        <w:rPr>
          <w:sz w:val="28"/>
          <w:szCs w:val="28"/>
        </w:rPr>
        <w:t xml:space="preserve"> поєднані з ЦД</w:t>
      </w:r>
      <w:r w:rsidRPr="00CF693D">
        <w:rPr>
          <w:sz w:val="28"/>
          <w:szCs w:val="28"/>
          <w:lang w:val="uk-UA"/>
        </w:rPr>
        <w:t xml:space="preserve"> </w:t>
      </w:r>
      <w:r w:rsidRPr="00CF693D">
        <w:rPr>
          <w:sz w:val="28"/>
          <w:szCs w:val="28"/>
        </w:rPr>
        <w:t>2</w:t>
      </w:r>
      <w:r w:rsidRPr="00CF693D">
        <w:rPr>
          <w:sz w:val="28"/>
          <w:szCs w:val="28"/>
          <w:lang w:val="uk-UA"/>
        </w:rPr>
        <w:t xml:space="preserve"> типу</w:t>
      </w:r>
      <w:r w:rsidRPr="00CF693D">
        <w:rPr>
          <w:sz w:val="28"/>
          <w:szCs w:val="28"/>
        </w:rPr>
        <w:t xml:space="preserve"> та СГТ. Кожному з пацієнтів було проведено комплексне клініко-інструментальне дослідження з додатковим визначенням вмісту </w:t>
      </w:r>
      <w:r w:rsidRPr="00CF693D">
        <w:rPr>
          <w:sz w:val="28"/>
          <w:szCs w:val="28"/>
          <w:lang w:val="uk-UA"/>
        </w:rPr>
        <w:t>ХС ЛПВЩ</w:t>
      </w:r>
      <w:r w:rsidRPr="00CF693D">
        <w:rPr>
          <w:sz w:val="28"/>
          <w:szCs w:val="28"/>
        </w:rPr>
        <w:t>,  рівня МДА, SH-груп, 8-OH-dG</w:t>
      </w:r>
      <w:r w:rsidRPr="00CF693D">
        <w:rPr>
          <w:sz w:val="28"/>
          <w:szCs w:val="28"/>
          <w:lang w:val="uk-UA"/>
        </w:rPr>
        <w:t xml:space="preserve"> у</w:t>
      </w:r>
      <w:r w:rsidRPr="00CF693D">
        <w:rPr>
          <w:sz w:val="28"/>
          <w:szCs w:val="28"/>
        </w:rPr>
        <w:t xml:space="preserve"> сироватці крові та визначення ТКІМ каротидних артерій. Усім пацієнтам був поставлений правильний прогноз. </w:t>
      </w:r>
    </w:p>
    <w:p w:rsidR="00E3259F" w:rsidRPr="00CF693D" w:rsidRDefault="00E3259F" w:rsidP="005242C9">
      <w:pPr>
        <w:suppressAutoHyphens/>
        <w:overflowPunct w:val="0"/>
        <w:autoSpaceDE w:val="0"/>
        <w:autoSpaceDN w:val="0"/>
        <w:adjustRightInd w:val="0"/>
        <w:spacing w:line="360" w:lineRule="auto"/>
        <w:ind w:firstLine="709"/>
        <w:jc w:val="both"/>
        <w:textAlignment w:val="baseline"/>
        <w:rPr>
          <w:rFonts w:eastAsia="Calibri"/>
          <w:sz w:val="28"/>
          <w:szCs w:val="28"/>
        </w:rPr>
      </w:pPr>
      <w:r w:rsidRPr="00CF693D">
        <w:rPr>
          <w:sz w:val="28"/>
          <w:szCs w:val="28"/>
        </w:rPr>
        <w:t xml:space="preserve">Для ілюстрації представляємо </w:t>
      </w:r>
      <w:r w:rsidRPr="00CF693D">
        <w:rPr>
          <w:rFonts w:eastAsia="Calibri"/>
          <w:sz w:val="28"/>
          <w:szCs w:val="28"/>
        </w:rPr>
        <w:t>два клінічн</w:t>
      </w:r>
      <w:r w:rsidRPr="00CF693D">
        <w:rPr>
          <w:rFonts w:eastAsia="Calibri"/>
          <w:sz w:val="28"/>
          <w:szCs w:val="28"/>
          <w:lang w:val="uk-UA"/>
        </w:rPr>
        <w:t xml:space="preserve">их </w:t>
      </w:r>
      <w:r w:rsidRPr="00CF693D">
        <w:rPr>
          <w:sz w:val="28"/>
          <w:szCs w:val="28"/>
        </w:rPr>
        <w:t>приклад</w:t>
      </w:r>
      <w:r w:rsidRPr="00CF693D">
        <w:rPr>
          <w:sz w:val="28"/>
          <w:szCs w:val="28"/>
          <w:lang w:val="uk-UA"/>
        </w:rPr>
        <w:t>и</w:t>
      </w:r>
      <w:r w:rsidRPr="00CF693D">
        <w:rPr>
          <w:sz w:val="28"/>
          <w:szCs w:val="28"/>
        </w:rPr>
        <w:t>.</w:t>
      </w:r>
    </w:p>
    <w:p w:rsidR="00E3259F" w:rsidRPr="005242C9" w:rsidRDefault="00E3259F" w:rsidP="005242C9">
      <w:pPr>
        <w:tabs>
          <w:tab w:val="left" w:pos="360"/>
        </w:tabs>
        <w:spacing w:line="360" w:lineRule="auto"/>
        <w:ind w:firstLine="709"/>
        <w:jc w:val="both"/>
        <w:rPr>
          <w:sz w:val="28"/>
          <w:szCs w:val="28"/>
        </w:rPr>
      </w:pPr>
      <w:r w:rsidRPr="00CF693D">
        <w:rPr>
          <w:sz w:val="28"/>
          <w:szCs w:val="28"/>
        </w:rPr>
        <w:t>Приклад 1.</w:t>
      </w:r>
      <w:r w:rsidRPr="00CF693D">
        <w:rPr>
          <w:b/>
          <w:bCs/>
          <w:sz w:val="28"/>
          <w:szCs w:val="28"/>
        </w:rPr>
        <w:t xml:space="preserve"> </w:t>
      </w:r>
      <w:r w:rsidRPr="00CF693D">
        <w:rPr>
          <w:sz w:val="28"/>
          <w:szCs w:val="28"/>
        </w:rPr>
        <w:t>Хвора А., 6</w:t>
      </w:r>
      <w:r w:rsidRPr="00CF693D">
        <w:rPr>
          <w:sz w:val="28"/>
          <w:szCs w:val="28"/>
          <w:lang w:val="uk-UA"/>
        </w:rPr>
        <w:t>7</w:t>
      </w:r>
      <w:r w:rsidRPr="00CF693D">
        <w:rPr>
          <w:sz w:val="28"/>
          <w:szCs w:val="28"/>
        </w:rPr>
        <w:t xml:space="preserve"> років, амбулаторна картка, 2016 р., звернулася зі скаргами</w:t>
      </w:r>
      <w:r w:rsidRPr="00CF693D">
        <w:rPr>
          <w:sz w:val="28"/>
          <w:szCs w:val="28"/>
          <w:lang w:val="uk-UA"/>
        </w:rPr>
        <w:t xml:space="preserve"> на </w:t>
      </w:r>
      <w:r w:rsidRPr="00CF693D">
        <w:rPr>
          <w:sz w:val="28"/>
          <w:szCs w:val="28"/>
        </w:rPr>
        <w:t xml:space="preserve"> слабкість, періодичн</w:t>
      </w:r>
      <w:r w:rsidRPr="00CF693D">
        <w:rPr>
          <w:sz w:val="28"/>
          <w:szCs w:val="28"/>
          <w:lang w:val="uk-UA"/>
        </w:rPr>
        <w:t xml:space="preserve">ий </w:t>
      </w:r>
      <w:r w:rsidRPr="00CF693D">
        <w:rPr>
          <w:sz w:val="28"/>
          <w:szCs w:val="28"/>
        </w:rPr>
        <w:t>головн</w:t>
      </w:r>
      <w:r w:rsidRPr="00CF693D">
        <w:rPr>
          <w:sz w:val="28"/>
          <w:szCs w:val="28"/>
          <w:lang w:val="uk-UA"/>
        </w:rPr>
        <w:t xml:space="preserve">ий </w:t>
      </w:r>
      <w:r w:rsidRPr="00CF693D">
        <w:rPr>
          <w:sz w:val="28"/>
          <w:szCs w:val="28"/>
        </w:rPr>
        <w:t>б</w:t>
      </w:r>
      <w:r w:rsidRPr="00CF693D">
        <w:rPr>
          <w:sz w:val="28"/>
          <w:szCs w:val="28"/>
          <w:lang w:val="uk-UA"/>
        </w:rPr>
        <w:t>іль</w:t>
      </w:r>
      <w:r w:rsidRPr="00CF693D">
        <w:rPr>
          <w:sz w:val="28"/>
          <w:szCs w:val="28"/>
        </w:rPr>
        <w:t xml:space="preserve"> або відчуття важкості в</w:t>
      </w:r>
      <w:r w:rsidRPr="005242C9">
        <w:rPr>
          <w:sz w:val="28"/>
          <w:szCs w:val="28"/>
        </w:rPr>
        <w:t xml:space="preserve"> потилиці,</w:t>
      </w:r>
      <w:r w:rsidRPr="005242C9">
        <w:rPr>
          <w:sz w:val="28"/>
          <w:szCs w:val="28"/>
          <w:lang w:val="uk-UA"/>
        </w:rPr>
        <w:t xml:space="preserve"> шум у голові, іноді запаморочення, задишку при помірному фізичному навантаженні, зниження пам'яті</w:t>
      </w:r>
      <w:r w:rsidRPr="005242C9">
        <w:rPr>
          <w:sz w:val="28"/>
          <w:szCs w:val="28"/>
        </w:rPr>
        <w:t>.</w:t>
      </w:r>
    </w:p>
    <w:p w:rsidR="00E3259F" w:rsidRPr="00CF693D" w:rsidRDefault="00E3259F" w:rsidP="005242C9">
      <w:pPr>
        <w:tabs>
          <w:tab w:val="left" w:pos="360"/>
        </w:tabs>
        <w:spacing w:line="360" w:lineRule="auto"/>
        <w:ind w:firstLine="709"/>
        <w:jc w:val="both"/>
        <w:rPr>
          <w:b/>
          <w:bCs/>
          <w:sz w:val="28"/>
          <w:szCs w:val="28"/>
        </w:rPr>
      </w:pPr>
      <w:r w:rsidRPr="00CF693D">
        <w:rPr>
          <w:sz w:val="28"/>
          <w:szCs w:val="28"/>
        </w:rPr>
        <w:t>Пров</w:t>
      </w:r>
      <w:r w:rsidRPr="00CF693D">
        <w:rPr>
          <w:sz w:val="28"/>
          <w:szCs w:val="28"/>
          <w:lang w:val="uk-UA"/>
        </w:rPr>
        <w:t>едено</w:t>
      </w:r>
      <w:r w:rsidRPr="00CF693D">
        <w:rPr>
          <w:sz w:val="28"/>
          <w:szCs w:val="28"/>
        </w:rPr>
        <w:t xml:space="preserve"> загальноприйняті методи обстеження: анамнез захворювання та анамнез життя, об’єктивне обстеження.</w:t>
      </w:r>
    </w:p>
    <w:p w:rsidR="00E3259F" w:rsidRPr="00CF693D" w:rsidRDefault="00E3259F" w:rsidP="005242C9">
      <w:pPr>
        <w:spacing w:line="360" w:lineRule="auto"/>
        <w:ind w:firstLine="709"/>
        <w:jc w:val="both"/>
        <w:rPr>
          <w:sz w:val="28"/>
          <w:szCs w:val="28"/>
        </w:rPr>
      </w:pPr>
      <w:r w:rsidRPr="00CF693D">
        <w:rPr>
          <w:sz w:val="28"/>
          <w:szCs w:val="28"/>
        </w:rPr>
        <w:t>А</w:t>
      </w:r>
      <w:r w:rsidRPr="00CF693D">
        <w:rPr>
          <w:bCs/>
          <w:sz w:val="28"/>
          <w:szCs w:val="28"/>
        </w:rPr>
        <w:t>намнез захворювання</w:t>
      </w:r>
      <w:r w:rsidRPr="00CF693D">
        <w:rPr>
          <w:b/>
          <w:bCs/>
          <w:sz w:val="28"/>
          <w:szCs w:val="28"/>
        </w:rPr>
        <w:t>:</w:t>
      </w:r>
      <w:r w:rsidRPr="00CF693D">
        <w:rPr>
          <w:sz w:val="28"/>
          <w:szCs w:val="28"/>
        </w:rPr>
        <w:t xml:space="preserve"> </w:t>
      </w:r>
      <w:r w:rsidRPr="00CF693D">
        <w:rPr>
          <w:snapToGrid w:val="0"/>
          <w:sz w:val="28"/>
          <w:szCs w:val="28"/>
        </w:rPr>
        <w:t>вважає себе хворою більш 10 років, коли вперше зафіксовано підвищення артеріального тиску та діагностовано Г</w:t>
      </w:r>
      <w:r w:rsidRPr="00CF693D">
        <w:rPr>
          <w:snapToGrid w:val="0"/>
          <w:sz w:val="28"/>
          <w:szCs w:val="28"/>
          <w:lang w:val="uk-UA"/>
        </w:rPr>
        <w:t>Х</w:t>
      </w:r>
      <w:r w:rsidRPr="00CF693D">
        <w:rPr>
          <w:snapToGrid w:val="0"/>
          <w:sz w:val="28"/>
          <w:szCs w:val="28"/>
        </w:rPr>
        <w:t xml:space="preserve"> ІІ ст., </w:t>
      </w:r>
      <w:r w:rsidRPr="00CF693D">
        <w:rPr>
          <w:snapToGrid w:val="0"/>
          <w:sz w:val="28"/>
          <w:szCs w:val="28"/>
          <w:lang w:val="uk-UA"/>
        </w:rPr>
        <w:t>ЦД</w:t>
      </w:r>
      <w:r w:rsidRPr="00CF693D">
        <w:rPr>
          <w:snapToGrid w:val="0"/>
          <w:sz w:val="28"/>
          <w:szCs w:val="28"/>
        </w:rPr>
        <w:t xml:space="preserve"> 2 типу було діагностовано </w:t>
      </w:r>
      <w:r w:rsidRPr="00CF693D">
        <w:rPr>
          <w:snapToGrid w:val="0"/>
          <w:sz w:val="28"/>
          <w:szCs w:val="28"/>
          <w:lang w:val="uk-UA"/>
        </w:rPr>
        <w:t>4</w:t>
      </w:r>
      <w:r w:rsidRPr="00CF693D">
        <w:rPr>
          <w:snapToGrid w:val="0"/>
          <w:sz w:val="28"/>
          <w:szCs w:val="28"/>
        </w:rPr>
        <w:t xml:space="preserve"> рок</w:t>
      </w:r>
      <w:r w:rsidRPr="00CF693D">
        <w:rPr>
          <w:snapToGrid w:val="0"/>
          <w:sz w:val="28"/>
          <w:szCs w:val="28"/>
          <w:lang w:val="uk-UA"/>
        </w:rPr>
        <w:t>и</w:t>
      </w:r>
      <w:r w:rsidRPr="00CF693D">
        <w:rPr>
          <w:snapToGrid w:val="0"/>
          <w:sz w:val="28"/>
          <w:szCs w:val="28"/>
        </w:rPr>
        <w:t xml:space="preserve"> тому. При плановому обстеженні </w:t>
      </w:r>
      <w:r w:rsidRPr="00CF693D">
        <w:rPr>
          <w:snapToGrid w:val="0"/>
          <w:sz w:val="28"/>
          <w:szCs w:val="28"/>
          <w:lang w:val="uk-UA"/>
        </w:rPr>
        <w:t>1</w:t>
      </w:r>
      <w:r w:rsidRPr="00CF693D">
        <w:rPr>
          <w:snapToGrid w:val="0"/>
          <w:sz w:val="28"/>
          <w:szCs w:val="28"/>
        </w:rPr>
        <w:t xml:space="preserve"> р</w:t>
      </w:r>
      <w:r w:rsidRPr="00CF693D">
        <w:rPr>
          <w:snapToGrid w:val="0"/>
          <w:sz w:val="28"/>
          <w:szCs w:val="28"/>
          <w:lang w:val="uk-UA"/>
        </w:rPr>
        <w:t>ік</w:t>
      </w:r>
      <w:r w:rsidRPr="00CF693D">
        <w:rPr>
          <w:snapToGrid w:val="0"/>
          <w:sz w:val="28"/>
          <w:szCs w:val="28"/>
        </w:rPr>
        <w:t xml:space="preserve"> тому було виявлено ознаки субклінічного гіпотиреозу</w:t>
      </w:r>
      <w:r w:rsidRPr="00CF693D">
        <w:rPr>
          <w:snapToGrid w:val="0"/>
          <w:sz w:val="28"/>
          <w:szCs w:val="28"/>
          <w:lang w:val="uk-UA"/>
        </w:rPr>
        <w:t xml:space="preserve"> (</w:t>
      </w:r>
      <w:r w:rsidRPr="00CF693D">
        <w:rPr>
          <w:snapToGrid w:val="0"/>
          <w:sz w:val="28"/>
          <w:szCs w:val="28"/>
        </w:rPr>
        <w:t>значення ТТГ -4,</w:t>
      </w:r>
      <w:r w:rsidRPr="00CF693D">
        <w:rPr>
          <w:snapToGrid w:val="0"/>
          <w:sz w:val="28"/>
          <w:szCs w:val="28"/>
          <w:lang w:val="uk-UA"/>
        </w:rPr>
        <w:t>8</w:t>
      </w:r>
      <w:r w:rsidRPr="00CF693D">
        <w:rPr>
          <w:snapToGrid w:val="0"/>
          <w:sz w:val="28"/>
          <w:szCs w:val="28"/>
        </w:rPr>
        <w:t xml:space="preserve"> мОд/л, Т4 вільний-1</w:t>
      </w:r>
      <w:r w:rsidRPr="00CF693D">
        <w:rPr>
          <w:snapToGrid w:val="0"/>
          <w:sz w:val="28"/>
          <w:szCs w:val="28"/>
          <w:lang w:val="uk-UA"/>
        </w:rPr>
        <w:t>3</w:t>
      </w:r>
      <w:r w:rsidRPr="00CF693D">
        <w:rPr>
          <w:snapToGrid w:val="0"/>
          <w:sz w:val="28"/>
          <w:szCs w:val="28"/>
        </w:rPr>
        <w:t>,</w:t>
      </w:r>
      <w:r w:rsidRPr="00CF693D">
        <w:rPr>
          <w:snapToGrid w:val="0"/>
          <w:sz w:val="28"/>
          <w:szCs w:val="28"/>
          <w:lang w:val="uk-UA"/>
        </w:rPr>
        <w:t>3</w:t>
      </w:r>
      <w:r w:rsidRPr="00CF693D">
        <w:rPr>
          <w:snapToGrid w:val="0"/>
          <w:sz w:val="28"/>
          <w:szCs w:val="28"/>
        </w:rPr>
        <w:t xml:space="preserve"> пмоль/л</w:t>
      </w:r>
      <w:r w:rsidRPr="00CF693D">
        <w:rPr>
          <w:snapToGrid w:val="0"/>
          <w:sz w:val="28"/>
          <w:szCs w:val="28"/>
          <w:lang w:val="uk-UA"/>
        </w:rPr>
        <w:t>)</w:t>
      </w:r>
      <w:r w:rsidRPr="00CF693D">
        <w:rPr>
          <w:snapToGrid w:val="0"/>
          <w:sz w:val="28"/>
          <w:szCs w:val="28"/>
        </w:rPr>
        <w:t>. При УЗД щито</w:t>
      </w:r>
      <w:r w:rsidRPr="00CF693D">
        <w:rPr>
          <w:snapToGrid w:val="0"/>
          <w:sz w:val="28"/>
          <w:szCs w:val="28"/>
          <w:lang w:val="uk-UA"/>
        </w:rPr>
        <w:t>подібної</w:t>
      </w:r>
      <w:r w:rsidRPr="00CF693D">
        <w:rPr>
          <w:snapToGrid w:val="0"/>
          <w:sz w:val="28"/>
          <w:szCs w:val="28"/>
        </w:rPr>
        <w:t xml:space="preserve"> залози – ознаки аутоімунного тирео</w:t>
      </w:r>
      <w:r w:rsidRPr="00CF693D">
        <w:rPr>
          <w:snapToGrid w:val="0"/>
          <w:sz w:val="28"/>
          <w:szCs w:val="28"/>
          <w:lang w:val="uk-UA"/>
        </w:rPr>
        <w:t>ї</w:t>
      </w:r>
      <w:r w:rsidRPr="00CF693D">
        <w:rPr>
          <w:snapToGrid w:val="0"/>
          <w:sz w:val="28"/>
          <w:szCs w:val="28"/>
        </w:rPr>
        <w:t>д</w:t>
      </w:r>
      <w:r w:rsidRPr="00CF693D">
        <w:rPr>
          <w:snapToGrid w:val="0"/>
          <w:sz w:val="28"/>
          <w:szCs w:val="28"/>
          <w:lang w:val="uk-UA"/>
        </w:rPr>
        <w:t>и</w:t>
      </w:r>
      <w:r w:rsidRPr="00CF693D">
        <w:rPr>
          <w:snapToGrid w:val="0"/>
          <w:sz w:val="28"/>
          <w:szCs w:val="28"/>
        </w:rPr>
        <w:t>ту</w:t>
      </w:r>
      <w:r w:rsidRPr="00CF693D">
        <w:rPr>
          <w:sz w:val="28"/>
          <w:szCs w:val="28"/>
        </w:rPr>
        <w:t xml:space="preserve"> без вузлоутворення</w:t>
      </w:r>
      <w:r w:rsidRPr="00CF693D">
        <w:rPr>
          <w:snapToGrid w:val="0"/>
          <w:sz w:val="28"/>
          <w:szCs w:val="28"/>
        </w:rPr>
        <w:t xml:space="preserve">, органів черевної порожнини – без патологічних змін, при проведенні ехокардіографії – гіпертрофія лівого шлуночка. На </w:t>
      </w:r>
      <w:r w:rsidRPr="00CF693D">
        <w:rPr>
          <w:snapToGrid w:val="0"/>
          <w:sz w:val="28"/>
          <w:szCs w:val="28"/>
          <w:lang w:val="uk-UA"/>
        </w:rPr>
        <w:t>Е</w:t>
      </w:r>
      <w:r w:rsidRPr="00CF693D">
        <w:rPr>
          <w:snapToGrid w:val="0"/>
          <w:sz w:val="28"/>
          <w:szCs w:val="28"/>
        </w:rPr>
        <w:t xml:space="preserve">КГ – синусовий ритм, ознаки гіпертрофії міокарда лівого шлуночка. </w:t>
      </w:r>
      <w:r w:rsidRPr="00CF693D">
        <w:rPr>
          <w:snapToGrid w:val="0"/>
          <w:sz w:val="28"/>
          <w:szCs w:val="28"/>
          <w:lang w:val="uk-UA"/>
        </w:rPr>
        <w:t xml:space="preserve">Була рекомендована антигіпертензивна </w:t>
      </w:r>
      <w:r w:rsidRPr="00CF693D">
        <w:rPr>
          <w:snapToGrid w:val="0"/>
          <w:sz w:val="28"/>
          <w:szCs w:val="28"/>
        </w:rPr>
        <w:t>терапія, яка включа</w:t>
      </w:r>
      <w:r w:rsidRPr="00CF693D">
        <w:rPr>
          <w:snapToGrid w:val="0"/>
          <w:sz w:val="28"/>
          <w:szCs w:val="28"/>
          <w:lang w:val="uk-UA"/>
        </w:rPr>
        <w:t>ла</w:t>
      </w:r>
      <w:r w:rsidRPr="00CF693D">
        <w:rPr>
          <w:snapToGrid w:val="0"/>
          <w:sz w:val="28"/>
          <w:szCs w:val="28"/>
        </w:rPr>
        <w:t xml:space="preserve"> ІАПФ та діуретик, антидіабетична терапія – метформін 1000 мг/добу, дієта, дозовані фізичні навантаження, регулярний контроль функції </w:t>
      </w:r>
      <w:r w:rsidRPr="00CF693D">
        <w:rPr>
          <w:snapToGrid w:val="0"/>
          <w:sz w:val="28"/>
          <w:szCs w:val="28"/>
          <w:lang w:val="uk-UA"/>
        </w:rPr>
        <w:t>ЩЗ</w:t>
      </w:r>
      <w:r w:rsidRPr="00CF693D">
        <w:rPr>
          <w:snapToGrid w:val="0"/>
          <w:sz w:val="28"/>
          <w:szCs w:val="28"/>
        </w:rPr>
        <w:t>. Більш не обстежувалась, рекомендован</w:t>
      </w:r>
      <w:r w:rsidRPr="00CF693D">
        <w:rPr>
          <w:snapToGrid w:val="0"/>
          <w:sz w:val="28"/>
          <w:szCs w:val="28"/>
          <w:lang w:val="uk-UA"/>
        </w:rPr>
        <w:t>і медикаментозні засоби</w:t>
      </w:r>
      <w:r w:rsidRPr="00CF693D">
        <w:rPr>
          <w:snapToGrid w:val="0"/>
          <w:sz w:val="28"/>
          <w:szCs w:val="28"/>
        </w:rPr>
        <w:t xml:space="preserve"> приймала регулярно, дієти практично не дотримувалась. </w:t>
      </w:r>
      <w:r w:rsidRPr="00CF693D">
        <w:rPr>
          <w:snapToGrid w:val="0"/>
          <w:sz w:val="28"/>
          <w:szCs w:val="28"/>
          <w:lang w:val="uk-UA"/>
        </w:rPr>
        <w:t>У</w:t>
      </w:r>
      <w:r w:rsidRPr="00CF693D">
        <w:rPr>
          <w:snapToGrid w:val="0"/>
          <w:sz w:val="28"/>
          <w:szCs w:val="28"/>
        </w:rPr>
        <w:t xml:space="preserve"> сімейному анамнезі – у матері </w:t>
      </w:r>
      <w:r w:rsidRPr="00CF693D">
        <w:rPr>
          <w:snapToGrid w:val="0"/>
          <w:sz w:val="28"/>
          <w:szCs w:val="28"/>
          <w:lang w:val="uk-UA"/>
        </w:rPr>
        <w:t>гіпертонічна хвороба</w:t>
      </w:r>
      <w:r w:rsidRPr="00CF693D">
        <w:rPr>
          <w:sz w:val="28"/>
          <w:szCs w:val="28"/>
        </w:rPr>
        <w:t>.</w:t>
      </w:r>
    </w:p>
    <w:p w:rsidR="00E3259F" w:rsidRPr="00CF693D" w:rsidRDefault="00E3259F" w:rsidP="005242C9">
      <w:pPr>
        <w:spacing w:line="360" w:lineRule="auto"/>
        <w:ind w:firstLine="709"/>
        <w:jc w:val="both"/>
        <w:rPr>
          <w:sz w:val="28"/>
          <w:szCs w:val="28"/>
          <w:lang w:val="uk-UA"/>
        </w:rPr>
      </w:pPr>
      <w:r w:rsidRPr="00CF693D">
        <w:rPr>
          <w:bCs/>
          <w:sz w:val="28"/>
          <w:szCs w:val="28"/>
        </w:rPr>
        <w:t>Об’єктивне обстеження</w:t>
      </w:r>
      <w:r w:rsidRPr="00CF693D">
        <w:rPr>
          <w:b/>
          <w:bCs/>
          <w:sz w:val="28"/>
          <w:szCs w:val="28"/>
        </w:rPr>
        <w:t>:</w:t>
      </w:r>
      <w:r w:rsidRPr="00CF693D">
        <w:rPr>
          <w:sz w:val="28"/>
          <w:szCs w:val="28"/>
        </w:rPr>
        <w:t xml:space="preserve"> загальний стан відносно задовільний. Шкір</w:t>
      </w:r>
      <w:r w:rsidRPr="00CF693D">
        <w:rPr>
          <w:sz w:val="28"/>
          <w:szCs w:val="28"/>
          <w:lang w:val="uk-UA"/>
        </w:rPr>
        <w:t>а</w:t>
      </w:r>
      <w:r w:rsidRPr="00CF693D">
        <w:rPr>
          <w:sz w:val="28"/>
          <w:szCs w:val="28"/>
        </w:rPr>
        <w:t xml:space="preserve"> звичайного кольору, сух</w:t>
      </w:r>
      <w:r w:rsidRPr="00CF693D">
        <w:rPr>
          <w:sz w:val="28"/>
          <w:szCs w:val="28"/>
          <w:lang w:val="uk-UA"/>
        </w:rPr>
        <w:t>а</w:t>
      </w:r>
      <w:r w:rsidRPr="00CF693D">
        <w:rPr>
          <w:sz w:val="28"/>
          <w:szCs w:val="28"/>
        </w:rPr>
        <w:t xml:space="preserve">. Над легенями везикулярне дихання. Межі відносної серцевої тупості </w:t>
      </w:r>
      <w:r w:rsidRPr="00CF693D">
        <w:rPr>
          <w:sz w:val="28"/>
          <w:szCs w:val="28"/>
          <w:lang w:val="uk-UA"/>
        </w:rPr>
        <w:t>не змінені</w:t>
      </w:r>
      <w:r w:rsidRPr="00CF693D">
        <w:rPr>
          <w:sz w:val="28"/>
          <w:szCs w:val="28"/>
        </w:rPr>
        <w:t xml:space="preserve">. Серцева діяльність ритмічна, тони приглушені. ЧСС </w:t>
      </w:r>
      <w:r w:rsidRPr="00CF693D">
        <w:rPr>
          <w:snapToGrid w:val="0"/>
          <w:sz w:val="28"/>
          <w:szCs w:val="28"/>
        </w:rPr>
        <w:t>– 6</w:t>
      </w:r>
      <w:r w:rsidRPr="00CF693D">
        <w:rPr>
          <w:snapToGrid w:val="0"/>
          <w:sz w:val="28"/>
          <w:szCs w:val="28"/>
          <w:lang w:val="uk-UA"/>
        </w:rPr>
        <w:t>6</w:t>
      </w:r>
      <w:r w:rsidRPr="00CF693D">
        <w:rPr>
          <w:sz w:val="28"/>
          <w:szCs w:val="28"/>
        </w:rPr>
        <w:t xml:space="preserve"> уд. за хв. АТ </w:t>
      </w:r>
      <w:r w:rsidRPr="00CF693D">
        <w:rPr>
          <w:snapToGrid w:val="0"/>
          <w:sz w:val="28"/>
          <w:szCs w:val="28"/>
        </w:rPr>
        <w:t xml:space="preserve">– </w:t>
      </w:r>
      <w:r w:rsidRPr="00CF693D">
        <w:rPr>
          <w:sz w:val="28"/>
          <w:szCs w:val="28"/>
        </w:rPr>
        <w:t>1</w:t>
      </w:r>
      <w:r w:rsidRPr="00CF693D">
        <w:rPr>
          <w:sz w:val="28"/>
          <w:szCs w:val="28"/>
          <w:lang w:val="uk-UA"/>
        </w:rPr>
        <w:t>20</w:t>
      </w:r>
      <w:r w:rsidRPr="00CF693D">
        <w:rPr>
          <w:sz w:val="28"/>
          <w:szCs w:val="28"/>
        </w:rPr>
        <w:t>/</w:t>
      </w:r>
      <w:r w:rsidRPr="00CF693D">
        <w:rPr>
          <w:sz w:val="28"/>
          <w:szCs w:val="28"/>
          <w:lang w:val="uk-UA"/>
        </w:rPr>
        <w:t>70</w:t>
      </w:r>
      <w:r w:rsidRPr="00CF693D">
        <w:rPr>
          <w:sz w:val="28"/>
          <w:szCs w:val="28"/>
        </w:rPr>
        <w:t xml:space="preserve"> мм. рт. ст. Периферійні набряки відсутні. </w:t>
      </w:r>
      <w:r w:rsidRPr="00CF693D">
        <w:rPr>
          <w:sz w:val="28"/>
          <w:szCs w:val="28"/>
          <w:lang w:val="uk-UA"/>
        </w:rPr>
        <w:t>Випорожнення</w:t>
      </w:r>
      <w:r w:rsidRPr="00CF693D">
        <w:rPr>
          <w:sz w:val="28"/>
          <w:szCs w:val="28"/>
        </w:rPr>
        <w:t xml:space="preserve"> та діурез без </w:t>
      </w:r>
      <w:r w:rsidRPr="00CF693D">
        <w:rPr>
          <w:sz w:val="28"/>
          <w:szCs w:val="28"/>
          <w:lang w:val="uk-UA"/>
        </w:rPr>
        <w:t>особливостей</w:t>
      </w:r>
      <w:r w:rsidRPr="00CF693D">
        <w:rPr>
          <w:sz w:val="28"/>
          <w:szCs w:val="28"/>
        </w:rPr>
        <w:t>.</w:t>
      </w:r>
      <w:r w:rsidRPr="00CF693D">
        <w:rPr>
          <w:sz w:val="28"/>
          <w:szCs w:val="28"/>
          <w:lang w:val="uk-UA"/>
        </w:rPr>
        <w:t xml:space="preserve"> Маса тіла 87 кг, зріст 169 см;  індекс маси тіла-   30,62 кг/м</w:t>
      </w:r>
      <w:r w:rsidRPr="00CF693D">
        <w:rPr>
          <w:sz w:val="28"/>
          <w:szCs w:val="28"/>
          <w:vertAlign w:val="superscript"/>
          <w:lang w:val="uk-UA"/>
        </w:rPr>
        <w:t>2</w:t>
      </w:r>
      <w:r w:rsidRPr="00CF693D">
        <w:rPr>
          <w:sz w:val="28"/>
          <w:szCs w:val="28"/>
          <w:lang w:val="uk-UA"/>
        </w:rPr>
        <w:t>, що перевищує норму (25 кг/м</w:t>
      </w:r>
      <w:r w:rsidRPr="00CF693D">
        <w:rPr>
          <w:sz w:val="28"/>
          <w:szCs w:val="28"/>
          <w:vertAlign w:val="superscript"/>
          <w:lang w:val="uk-UA"/>
        </w:rPr>
        <w:t>2</w:t>
      </w:r>
      <w:r w:rsidRPr="00CF693D">
        <w:rPr>
          <w:sz w:val="28"/>
          <w:szCs w:val="28"/>
          <w:lang w:val="uk-UA"/>
        </w:rPr>
        <w:t xml:space="preserve">) та свідчить про наявність ожиріння І ступеня. </w:t>
      </w:r>
    </w:p>
    <w:p w:rsidR="00E3259F" w:rsidRPr="00CF693D" w:rsidRDefault="00E3259F" w:rsidP="005242C9">
      <w:pPr>
        <w:spacing w:line="360" w:lineRule="auto"/>
        <w:ind w:firstLine="709"/>
        <w:jc w:val="both"/>
        <w:rPr>
          <w:sz w:val="28"/>
          <w:szCs w:val="28"/>
        </w:rPr>
      </w:pPr>
      <w:r w:rsidRPr="00CF693D">
        <w:rPr>
          <w:sz w:val="28"/>
          <w:szCs w:val="28"/>
        </w:rPr>
        <w:t>При пальпації живіт збільшений у розмірах за рахунок надлишкової жирової тканини, м'який, безболісний. Печінка  не збільшена в розмірах. Хвор</w:t>
      </w:r>
      <w:r w:rsidRPr="00CF693D">
        <w:rPr>
          <w:sz w:val="28"/>
          <w:szCs w:val="28"/>
          <w:lang w:val="uk-UA"/>
        </w:rPr>
        <w:t xml:space="preserve">ій </w:t>
      </w:r>
      <w:r w:rsidRPr="00CF693D">
        <w:rPr>
          <w:sz w:val="28"/>
          <w:szCs w:val="28"/>
        </w:rPr>
        <w:t xml:space="preserve">поряд </w:t>
      </w:r>
      <w:r w:rsidRPr="00CF693D">
        <w:rPr>
          <w:sz w:val="28"/>
          <w:szCs w:val="28"/>
          <w:lang w:val="uk-UA"/>
        </w:rPr>
        <w:t>і</w:t>
      </w:r>
      <w:r w:rsidRPr="00CF693D">
        <w:rPr>
          <w:sz w:val="28"/>
          <w:szCs w:val="28"/>
        </w:rPr>
        <w:t>з загальноприйнятим комплексом досліджень</w:t>
      </w:r>
      <w:r w:rsidRPr="00CF693D">
        <w:rPr>
          <w:sz w:val="28"/>
          <w:szCs w:val="28"/>
          <w:lang w:val="uk-UA"/>
        </w:rPr>
        <w:t>,</w:t>
      </w:r>
      <w:r w:rsidRPr="00CF693D">
        <w:rPr>
          <w:sz w:val="28"/>
          <w:szCs w:val="28"/>
        </w:rPr>
        <w:t xml:space="preserve"> пров</w:t>
      </w:r>
      <w:r w:rsidRPr="00CF693D">
        <w:rPr>
          <w:sz w:val="28"/>
          <w:szCs w:val="28"/>
          <w:lang w:val="uk-UA"/>
        </w:rPr>
        <w:t>едені</w:t>
      </w:r>
      <w:r w:rsidRPr="00CF693D">
        <w:rPr>
          <w:sz w:val="28"/>
          <w:szCs w:val="28"/>
        </w:rPr>
        <w:t xml:space="preserve"> додаткові дослідження (дослідження </w:t>
      </w:r>
      <w:r w:rsidRPr="00CF693D">
        <w:rPr>
          <w:sz w:val="28"/>
          <w:szCs w:val="28"/>
          <w:lang w:val="uk-UA"/>
        </w:rPr>
        <w:t xml:space="preserve">рівнів </w:t>
      </w:r>
      <w:r w:rsidRPr="00CF693D">
        <w:rPr>
          <w:sz w:val="28"/>
          <w:szCs w:val="28"/>
        </w:rPr>
        <w:t>8-</w:t>
      </w:r>
      <w:r w:rsidRPr="00CF693D">
        <w:rPr>
          <w:sz w:val="28"/>
          <w:szCs w:val="28"/>
          <w:lang w:val="en-US"/>
        </w:rPr>
        <w:t>OH</w:t>
      </w:r>
      <w:r w:rsidRPr="00CF693D">
        <w:rPr>
          <w:sz w:val="28"/>
          <w:szCs w:val="28"/>
        </w:rPr>
        <w:t>-</w:t>
      </w:r>
      <w:r w:rsidRPr="00CF693D">
        <w:rPr>
          <w:sz w:val="28"/>
          <w:szCs w:val="28"/>
          <w:lang w:val="en-US"/>
        </w:rPr>
        <w:t>dG</w:t>
      </w:r>
      <w:r w:rsidRPr="00CF693D">
        <w:rPr>
          <w:sz w:val="28"/>
          <w:szCs w:val="28"/>
        </w:rPr>
        <w:t xml:space="preserve">, МДА, </w:t>
      </w:r>
      <w:r w:rsidRPr="00CF693D">
        <w:rPr>
          <w:sz w:val="28"/>
          <w:szCs w:val="28"/>
          <w:lang w:val="en-US"/>
        </w:rPr>
        <w:t>SH</w:t>
      </w:r>
      <w:r w:rsidRPr="00CF693D">
        <w:rPr>
          <w:sz w:val="28"/>
          <w:szCs w:val="28"/>
        </w:rPr>
        <w:t>-груп в сироватці крові, визначення ТКІМ каротидних артерій).</w:t>
      </w:r>
    </w:p>
    <w:p w:rsidR="00E3259F" w:rsidRPr="00CF693D" w:rsidRDefault="00E3259F" w:rsidP="005242C9">
      <w:pPr>
        <w:spacing w:line="360" w:lineRule="auto"/>
        <w:ind w:firstLine="709"/>
        <w:jc w:val="both"/>
        <w:rPr>
          <w:sz w:val="28"/>
          <w:szCs w:val="28"/>
        </w:rPr>
      </w:pPr>
      <w:r w:rsidRPr="00CF693D">
        <w:rPr>
          <w:sz w:val="28"/>
          <w:szCs w:val="28"/>
        </w:rPr>
        <w:t>Результати досліджень:</w:t>
      </w:r>
    </w:p>
    <w:p w:rsidR="00E3259F" w:rsidRPr="005242C9" w:rsidRDefault="00E3259F" w:rsidP="005242C9">
      <w:pPr>
        <w:widowControl w:val="0"/>
        <w:tabs>
          <w:tab w:val="left" w:pos="288"/>
          <w:tab w:val="left" w:pos="720"/>
          <w:tab w:val="left" w:pos="3744"/>
          <w:tab w:val="left" w:pos="4032"/>
          <w:tab w:val="left" w:pos="4176"/>
          <w:tab w:val="left" w:pos="4608"/>
        </w:tabs>
        <w:autoSpaceDE w:val="0"/>
        <w:autoSpaceDN w:val="0"/>
        <w:spacing w:line="360" w:lineRule="auto"/>
        <w:ind w:firstLine="709"/>
        <w:jc w:val="both"/>
        <w:rPr>
          <w:sz w:val="28"/>
          <w:szCs w:val="28"/>
          <w:lang w:val="uk-UA"/>
        </w:rPr>
      </w:pPr>
      <w:r w:rsidRPr="00CF693D">
        <w:rPr>
          <w:snapToGrid w:val="0"/>
          <w:sz w:val="28"/>
          <w:szCs w:val="28"/>
        </w:rPr>
        <w:t xml:space="preserve">У сироватці крові: </w:t>
      </w:r>
      <w:r w:rsidRPr="00CF693D">
        <w:rPr>
          <w:snapToGrid w:val="0"/>
          <w:sz w:val="28"/>
          <w:szCs w:val="28"/>
          <w:lang w:val="uk-UA"/>
        </w:rPr>
        <w:t>ЗХС</w:t>
      </w:r>
      <w:r w:rsidRPr="00CF693D">
        <w:rPr>
          <w:snapToGrid w:val="0"/>
          <w:sz w:val="28"/>
          <w:szCs w:val="28"/>
        </w:rPr>
        <w:t xml:space="preserve"> – </w:t>
      </w:r>
      <w:r w:rsidRPr="00CF693D">
        <w:rPr>
          <w:snapToGrid w:val="0"/>
          <w:sz w:val="28"/>
          <w:szCs w:val="28"/>
          <w:lang w:val="uk-UA"/>
        </w:rPr>
        <w:t>3</w:t>
      </w:r>
      <w:r w:rsidRPr="00CF693D">
        <w:rPr>
          <w:snapToGrid w:val="0"/>
          <w:sz w:val="28"/>
          <w:szCs w:val="28"/>
        </w:rPr>
        <w:t>,</w:t>
      </w:r>
      <w:r w:rsidRPr="00CF693D">
        <w:rPr>
          <w:snapToGrid w:val="0"/>
          <w:sz w:val="28"/>
          <w:szCs w:val="28"/>
          <w:lang w:val="uk-UA"/>
        </w:rPr>
        <w:t>74</w:t>
      </w:r>
      <w:r w:rsidRPr="00CF693D">
        <w:rPr>
          <w:snapToGrid w:val="0"/>
          <w:sz w:val="28"/>
          <w:szCs w:val="28"/>
        </w:rPr>
        <w:t xml:space="preserve"> ммоль/л, </w:t>
      </w:r>
      <w:r w:rsidRPr="00CF693D">
        <w:rPr>
          <w:snapToGrid w:val="0"/>
          <w:sz w:val="28"/>
          <w:szCs w:val="28"/>
          <w:lang w:val="uk-UA"/>
        </w:rPr>
        <w:t>ТГ</w:t>
      </w:r>
      <w:r w:rsidRPr="00CF693D">
        <w:rPr>
          <w:snapToGrid w:val="0"/>
          <w:sz w:val="28"/>
          <w:szCs w:val="28"/>
        </w:rPr>
        <w:t xml:space="preserve"> – </w:t>
      </w:r>
      <w:r w:rsidRPr="00CF693D">
        <w:rPr>
          <w:snapToGrid w:val="0"/>
          <w:sz w:val="28"/>
          <w:szCs w:val="28"/>
          <w:lang w:val="uk-UA"/>
        </w:rPr>
        <w:t>1</w:t>
      </w:r>
      <w:r w:rsidRPr="00CF693D">
        <w:rPr>
          <w:snapToGrid w:val="0"/>
          <w:sz w:val="28"/>
          <w:szCs w:val="28"/>
        </w:rPr>
        <w:t>,</w:t>
      </w:r>
      <w:r w:rsidRPr="00CF693D">
        <w:rPr>
          <w:snapToGrid w:val="0"/>
          <w:sz w:val="28"/>
          <w:szCs w:val="28"/>
          <w:lang w:val="uk-UA"/>
        </w:rPr>
        <w:t>46</w:t>
      </w:r>
      <w:r w:rsidRPr="00CF693D">
        <w:rPr>
          <w:snapToGrid w:val="0"/>
          <w:sz w:val="28"/>
          <w:szCs w:val="28"/>
        </w:rPr>
        <w:t xml:space="preserve"> ммоль/л, ХС ЛПНЩ – </w:t>
      </w:r>
      <w:r w:rsidRPr="00CF693D">
        <w:rPr>
          <w:snapToGrid w:val="0"/>
          <w:sz w:val="28"/>
          <w:szCs w:val="28"/>
          <w:lang w:val="uk-UA"/>
        </w:rPr>
        <w:t>1</w:t>
      </w:r>
      <w:r w:rsidRPr="00CF693D">
        <w:rPr>
          <w:snapToGrid w:val="0"/>
          <w:sz w:val="28"/>
          <w:szCs w:val="28"/>
        </w:rPr>
        <w:t>,9</w:t>
      </w:r>
      <w:r w:rsidRPr="00CF693D">
        <w:rPr>
          <w:snapToGrid w:val="0"/>
          <w:sz w:val="28"/>
          <w:szCs w:val="28"/>
          <w:lang w:val="uk-UA"/>
        </w:rPr>
        <w:t xml:space="preserve">9 </w:t>
      </w:r>
      <w:r w:rsidRPr="00CF693D">
        <w:rPr>
          <w:snapToGrid w:val="0"/>
          <w:sz w:val="28"/>
          <w:szCs w:val="28"/>
        </w:rPr>
        <w:t>ммоль/л</w:t>
      </w:r>
      <w:r w:rsidRPr="00CF693D">
        <w:rPr>
          <w:snapToGrid w:val="0"/>
          <w:sz w:val="28"/>
          <w:szCs w:val="28"/>
          <w:lang w:val="uk-UA"/>
        </w:rPr>
        <w:t xml:space="preserve">, </w:t>
      </w:r>
      <w:r w:rsidRPr="00CF693D">
        <w:rPr>
          <w:snapToGrid w:val="0"/>
          <w:sz w:val="28"/>
          <w:szCs w:val="28"/>
        </w:rPr>
        <w:t xml:space="preserve">ХС ЛПВЩ – </w:t>
      </w:r>
      <w:r w:rsidRPr="00CF693D">
        <w:rPr>
          <w:snapToGrid w:val="0"/>
          <w:sz w:val="28"/>
          <w:szCs w:val="28"/>
          <w:lang w:val="uk-UA"/>
        </w:rPr>
        <w:t>1</w:t>
      </w:r>
      <w:r w:rsidRPr="00CF693D">
        <w:rPr>
          <w:snapToGrid w:val="0"/>
          <w:sz w:val="28"/>
          <w:szCs w:val="28"/>
        </w:rPr>
        <w:t>,</w:t>
      </w:r>
      <w:r w:rsidRPr="00CF693D">
        <w:rPr>
          <w:snapToGrid w:val="0"/>
          <w:sz w:val="28"/>
          <w:szCs w:val="28"/>
          <w:lang w:val="uk-UA"/>
        </w:rPr>
        <w:t>09</w:t>
      </w:r>
      <w:r w:rsidRPr="00CF693D">
        <w:rPr>
          <w:snapToGrid w:val="0"/>
          <w:sz w:val="28"/>
          <w:szCs w:val="28"/>
        </w:rPr>
        <w:t xml:space="preserve"> мммоль/л, глюкоза – </w:t>
      </w:r>
      <w:r w:rsidRPr="00CF693D">
        <w:rPr>
          <w:snapToGrid w:val="0"/>
          <w:sz w:val="28"/>
          <w:szCs w:val="28"/>
          <w:lang w:val="uk-UA"/>
        </w:rPr>
        <w:t>9</w:t>
      </w:r>
      <w:r w:rsidRPr="00CF693D">
        <w:rPr>
          <w:snapToGrid w:val="0"/>
          <w:sz w:val="28"/>
          <w:szCs w:val="28"/>
        </w:rPr>
        <w:t>,</w:t>
      </w:r>
      <w:r w:rsidRPr="00CF693D">
        <w:rPr>
          <w:snapToGrid w:val="0"/>
          <w:sz w:val="28"/>
          <w:szCs w:val="28"/>
          <w:lang w:val="uk-UA"/>
        </w:rPr>
        <w:t>75</w:t>
      </w:r>
      <w:r w:rsidRPr="00CF693D">
        <w:rPr>
          <w:snapToGrid w:val="0"/>
          <w:sz w:val="28"/>
          <w:szCs w:val="28"/>
        </w:rPr>
        <w:t xml:space="preserve"> ммоль/л, , глікований гемоглобін -</w:t>
      </w:r>
      <w:r w:rsidRPr="00CF693D">
        <w:rPr>
          <w:snapToGrid w:val="0"/>
          <w:sz w:val="28"/>
          <w:szCs w:val="28"/>
          <w:lang w:val="uk-UA"/>
        </w:rPr>
        <w:t>8</w:t>
      </w:r>
      <w:r w:rsidRPr="00CF693D">
        <w:rPr>
          <w:snapToGrid w:val="0"/>
          <w:sz w:val="28"/>
          <w:szCs w:val="28"/>
        </w:rPr>
        <w:t>,</w:t>
      </w:r>
      <w:r w:rsidRPr="00CF693D">
        <w:rPr>
          <w:snapToGrid w:val="0"/>
          <w:sz w:val="28"/>
          <w:szCs w:val="28"/>
          <w:lang w:val="uk-UA"/>
        </w:rPr>
        <w:t>75</w:t>
      </w:r>
      <w:r w:rsidRPr="00CF693D">
        <w:rPr>
          <w:snapToGrid w:val="0"/>
          <w:sz w:val="28"/>
          <w:szCs w:val="28"/>
        </w:rPr>
        <w:t>%, інсулін крові –</w:t>
      </w:r>
      <w:r w:rsidRPr="00CF693D">
        <w:rPr>
          <w:snapToGrid w:val="0"/>
          <w:sz w:val="28"/>
          <w:szCs w:val="28"/>
          <w:lang w:val="uk-UA"/>
        </w:rPr>
        <w:t>8</w:t>
      </w:r>
      <w:r w:rsidRPr="00CF693D">
        <w:rPr>
          <w:snapToGrid w:val="0"/>
          <w:sz w:val="28"/>
          <w:szCs w:val="28"/>
        </w:rPr>
        <w:t>,</w:t>
      </w:r>
      <w:r w:rsidRPr="00CF693D">
        <w:rPr>
          <w:snapToGrid w:val="0"/>
          <w:sz w:val="28"/>
          <w:szCs w:val="28"/>
          <w:lang w:val="uk-UA"/>
        </w:rPr>
        <w:t>12</w:t>
      </w:r>
      <w:r w:rsidRPr="00CF693D">
        <w:rPr>
          <w:sz w:val="28"/>
          <w:szCs w:val="28"/>
        </w:rPr>
        <w:t xml:space="preserve"> мкОд/мл</w:t>
      </w:r>
      <w:r w:rsidRPr="00CF693D">
        <w:rPr>
          <w:snapToGrid w:val="0"/>
          <w:sz w:val="28"/>
          <w:szCs w:val="28"/>
        </w:rPr>
        <w:t>, НОМА–</w:t>
      </w:r>
      <w:r w:rsidRPr="00CF693D">
        <w:rPr>
          <w:snapToGrid w:val="0"/>
          <w:sz w:val="28"/>
          <w:szCs w:val="28"/>
          <w:lang w:val="en-US"/>
        </w:rPr>
        <w:t>IR</w:t>
      </w:r>
      <w:r w:rsidRPr="00CF693D">
        <w:rPr>
          <w:snapToGrid w:val="0"/>
          <w:sz w:val="28"/>
          <w:szCs w:val="28"/>
          <w:lang w:val="uk-UA"/>
        </w:rPr>
        <w:t xml:space="preserve"> </w:t>
      </w:r>
      <w:r w:rsidRPr="00CF693D">
        <w:rPr>
          <w:snapToGrid w:val="0"/>
          <w:sz w:val="28"/>
          <w:szCs w:val="28"/>
        </w:rPr>
        <w:t>=</w:t>
      </w:r>
      <w:r w:rsidRPr="00CF693D">
        <w:rPr>
          <w:snapToGrid w:val="0"/>
          <w:sz w:val="28"/>
          <w:szCs w:val="28"/>
          <w:lang w:val="uk-UA"/>
        </w:rPr>
        <w:t xml:space="preserve"> 24</w:t>
      </w:r>
      <w:r w:rsidRPr="00CF693D">
        <w:rPr>
          <w:snapToGrid w:val="0"/>
          <w:sz w:val="28"/>
          <w:szCs w:val="28"/>
        </w:rPr>
        <w:t>,</w:t>
      </w:r>
      <w:r w:rsidRPr="00CF693D">
        <w:rPr>
          <w:snapToGrid w:val="0"/>
          <w:sz w:val="28"/>
          <w:szCs w:val="28"/>
          <w:lang w:val="uk-UA"/>
        </w:rPr>
        <w:t>34</w:t>
      </w:r>
      <w:r w:rsidRPr="00CF693D">
        <w:rPr>
          <w:snapToGrid w:val="0"/>
          <w:sz w:val="28"/>
          <w:szCs w:val="28"/>
        </w:rPr>
        <w:t>, що свідчить про наявність вираженої гіперглікемії</w:t>
      </w:r>
      <w:r w:rsidRPr="00CF693D">
        <w:rPr>
          <w:snapToGrid w:val="0"/>
          <w:sz w:val="28"/>
          <w:szCs w:val="28"/>
          <w:lang w:val="uk-UA"/>
        </w:rPr>
        <w:t xml:space="preserve"> </w:t>
      </w:r>
      <w:r w:rsidRPr="00CF693D">
        <w:rPr>
          <w:snapToGrid w:val="0"/>
          <w:sz w:val="28"/>
          <w:szCs w:val="28"/>
        </w:rPr>
        <w:t>та інсулінорезистентності</w:t>
      </w:r>
      <w:r w:rsidRPr="00CF693D">
        <w:rPr>
          <w:snapToGrid w:val="0"/>
          <w:sz w:val="28"/>
          <w:szCs w:val="28"/>
          <w:lang w:val="uk-UA"/>
        </w:rPr>
        <w:t xml:space="preserve"> при відсутності ознак порушення ліпідного обміну. </w:t>
      </w:r>
      <w:r w:rsidRPr="00CF693D">
        <w:rPr>
          <w:kern w:val="2"/>
          <w:sz w:val="28"/>
          <w:szCs w:val="28"/>
          <w:lang w:val="uk-UA" w:eastAsia="ar-SA"/>
        </w:rPr>
        <w:t xml:space="preserve">Рівень ТТГ становив 5,43 </w:t>
      </w:r>
      <w:r w:rsidRPr="00CF693D">
        <w:rPr>
          <w:snapToGrid w:val="0"/>
          <w:sz w:val="28"/>
          <w:szCs w:val="28"/>
          <w:lang w:val="uk-UA"/>
        </w:rPr>
        <w:t>мкОд/мл</w:t>
      </w:r>
      <w:r w:rsidRPr="00CF693D">
        <w:rPr>
          <w:sz w:val="28"/>
          <w:szCs w:val="28"/>
          <w:lang w:val="uk-UA"/>
        </w:rPr>
        <w:t>, Т4 вільний – 14,82 ммоль/л, що свідчить про наявність субклінічного гіпотиреозу. Вимірювання ТКІМ сонних артерій виявило збільшення ТКІМ до 0,09 мм, гемодинамічно незначиму</w:t>
      </w:r>
      <w:r w:rsidRPr="005242C9">
        <w:rPr>
          <w:sz w:val="28"/>
          <w:szCs w:val="28"/>
          <w:lang w:val="uk-UA"/>
        </w:rPr>
        <w:t xml:space="preserve"> атеросклеротичну бляшку.</w:t>
      </w:r>
    </w:p>
    <w:p w:rsidR="00E3259F" w:rsidRPr="00CF693D" w:rsidRDefault="00E3259F" w:rsidP="005242C9">
      <w:pPr>
        <w:spacing w:line="360" w:lineRule="auto"/>
        <w:ind w:firstLine="709"/>
        <w:jc w:val="both"/>
        <w:rPr>
          <w:sz w:val="28"/>
          <w:szCs w:val="28"/>
          <w:lang w:val="uk-UA"/>
        </w:rPr>
      </w:pPr>
      <w:r w:rsidRPr="00CF693D">
        <w:rPr>
          <w:bCs/>
          <w:sz w:val="28"/>
          <w:szCs w:val="28"/>
          <w:lang w:val="uk-UA"/>
        </w:rPr>
        <w:t xml:space="preserve">Хворій додатково проведено дослідження з визначенням показників оксидантної та антиоксидантної систем: рівень </w:t>
      </w:r>
      <w:r w:rsidRPr="00CF693D">
        <w:rPr>
          <w:sz w:val="28"/>
          <w:szCs w:val="28"/>
          <w:lang w:val="uk-UA"/>
        </w:rPr>
        <w:t>8-</w:t>
      </w:r>
      <w:r w:rsidRPr="00CF693D">
        <w:rPr>
          <w:sz w:val="28"/>
          <w:szCs w:val="28"/>
          <w:lang w:val="en-US"/>
        </w:rPr>
        <w:t>OH</w:t>
      </w:r>
      <w:r w:rsidRPr="00CF693D">
        <w:rPr>
          <w:sz w:val="28"/>
          <w:szCs w:val="28"/>
          <w:lang w:val="uk-UA"/>
        </w:rPr>
        <w:t>-</w:t>
      </w:r>
      <w:r w:rsidRPr="00CF693D">
        <w:rPr>
          <w:sz w:val="28"/>
          <w:szCs w:val="28"/>
          <w:lang w:val="en-US"/>
        </w:rPr>
        <w:t>dG</w:t>
      </w:r>
      <w:r w:rsidRPr="00CF693D">
        <w:rPr>
          <w:sz w:val="28"/>
          <w:szCs w:val="28"/>
          <w:lang w:val="uk-UA"/>
        </w:rPr>
        <w:t xml:space="preserve"> у сироватці крові дорівнює 20,14 нг/л, що </w:t>
      </w:r>
      <w:r w:rsidR="005242C9" w:rsidRPr="00CF693D">
        <w:rPr>
          <w:sz w:val="28"/>
          <w:szCs w:val="28"/>
          <w:lang w:val="uk-UA"/>
        </w:rPr>
        <w:t>значно</w:t>
      </w:r>
      <w:r w:rsidRPr="00CF693D">
        <w:rPr>
          <w:sz w:val="28"/>
          <w:szCs w:val="28"/>
          <w:lang w:val="uk-UA"/>
        </w:rPr>
        <w:t xml:space="preserve"> перевищує контрольні значення та свідчить про виражене окислювальне ушкодження ДНК; рівні МДА - 7,10 мкмоль/л, </w:t>
      </w:r>
      <w:r w:rsidRPr="00CF693D">
        <w:rPr>
          <w:sz w:val="28"/>
          <w:szCs w:val="28"/>
        </w:rPr>
        <w:t>SH</w:t>
      </w:r>
      <w:r w:rsidRPr="00CF693D">
        <w:rPr>
          <w:sz w:val="28"/>
          <w:szCs w:val="28"/>
          <w:lang w:val="uk-UA"/>
        </w:rPr>
        <w:t xml:space="preserve"> –груп – 579,25 мкмоль/л, які значно відрізняються від контролю. Виражене підвищення рівнів МДА, 8-</w:t>
      </w:r>
      <w:r w:rsidRPr="00CF693D">
        <w:rPr>
          <w:sz w:val="28"/>
          <w:szCs w:val="28"/>
          <w:lang w:val="en-US"/>
        </w:rPr>
        <w:t>OH</w:t>
      </w:r>
      <w:r w:rsidRPr="00CF693D">
        <w:rPr>
          <w:sz w:val="28"/>
          <w:szCs w:val="28"/>
          <w:lang w:val="uk-UA"/>
        </w:rPr>
        <w:t>-</w:t>
      </w:r>
      <w:r w:rsidRPr="00CF693D">
        <w:rPr>
          <w:sz w:val="28"/>
          <w:szCs w:val="28"/>
          <w:lang w:val="en-US"/>
        </w:rPr>
        <w:t>dG</w:t>
      </w:r>
      <w:r w:rsidRPr="00CF693D">
        <w:rPr>
          <w:sz w:val="28"/>
          <w:szCs w:val="28"/>
          <w:lang w:val="uk-UA"/>
        </w:rPr>
        <w:t xml:space="preserve"> та зниження рівня </w:t>
      </w:r>
      <w:r w:rsidRPr="00CF693D">
        <w:rPr>
          <w:sz w:val="28"/>
          <w:szCs w:val="28"/>
        </w:rPr>
        <w:t>SH</w:t>
      </w:r>
      <w:r w:rsidRPr="00CF693D">
        <w:rPr>
          <w:sz w:val="28"/>
          <w:szCs w:val="28"/>
          <w:lang w:val="uk-UA"/>
        </w:rPr>
        <w:t xml:space="preserve"> –груп свідчать про наявність вираженого ОС в цієї хворої. </w:t>
      </w:r>
    </w:p>
    <w:p w:rsidR="00E3259F" w:rsidRPr="00CF693D" w:rsidRDefault="00E3259F" w:rsidP="005242C9">
      <w:pPr>
        <w:spacing w:line="360" w:lineRule="auto"/>
        <w:ind w:firstLine="709"/>
        <w:jc w:val="both"/>
        <w:rPr>
          <w:bCs/>
          <w:sz w:val="28"/>
          <w:szCs w:val="28"/>
          <w:lang w:val="uk-UA"/>
        </w:rPr>
      </w:pPr>
      <w:r w:rsidRPr="00CF693D">
        <w:rPr>
          <w:sz w:val="28"/>
          <w:szCs w:val="28"/>
          <w:lang w:val="uk-UA"/>
        </w:rPr>
        <w:t>ГХ, ЦД 2 типу у поєднані з СГТ, незважаючи на терапію, у цієї хворої супроводжується прогресуванням кардіометаболічних порушень, про що свідчить наявність вираженого ОС в сукупності зі збільшенням ТКІМ, що може значно вплинути на перебіг захворювань та прогноз, оскільки підвищує загальний кардіоваскулярний ризик.</w:t>
      </w:r>
    </w:p>
    <w:p w:rsidR="00E3259F" w:rsidRPr="00CF693D" w:rsidRDefault="00E3259F" w:rsidP="005242C9">
      <w:pPr>
        <w:shd w:val="clear" w:color="auto" w:fill="FFFFFF" w:themeFill="background1"/>
        <w:spacing w:line="360" w:lineRule="auto"/>
        <w:ind w:firstLine="709"/>
        <w:jc w:val="both"/>
        <w:rPr>
          <w:kern w:val="2"/>
          <w:sz w:val="28"/>
          <w:szCs w:val="28"/>
          <w:lang w:val="uk-UA"/>
        </w:rPr>
      </w:pPr>
      <w:r w:rsidRPr="00CF693D">
        <w:rPr>
          <w:sz w:val="28"/>
          <w:szCs w:val="28"/>
          <w:lang w:val="uk-UA"/>
        </w:rPr>
        <w:t xml:space="preserve">Таким чином, у хворої визначені </w:t>
      </w:r>
      <w:r w:rsidRPr="00CF693D">
        <w:rPr>
          <w:sz w:val="28"/>
          <w:szCs w:val="28"/>
          <w:lang w:val="uk-UA" w:eastAsia="ar-SA"/>
        </w:rPr>
        <w:t xml:space="preserve">такі значення прогностичних критеріїв: </w:t>
      </w:r>
      <w:r w:rsidRPr="00CF693D">
        <w:rPr>
          <w:i/>
          <w:kern w:val="2"/>
          <w:sz w:val="28"/>
          <w:szCs w:val="28"/>
          <w:lang w:val="en-US"/>
        </w:rPr>
        <w:t>X</w:t>
      </w:r>
      <w:r w:rsidRPr="00CF693D">
        <w:rPr>
          <w:i/>
          <w:kern w:val="2"/>
          <w:sz w:val="28"/>
          <w:szCs w:val="28"/>
          <w:vertAlign w:val="subscript"/>
          <w:lang w:val="uk-UA"/>
        </w:rPr>
        <w:t>1</w:t>
      </w:r>
      <w:r w:rsidRPr="00CF693D">
        <w:rPr>
          <w:kern w:val="2"/>
          <w:sz w:val="28"/>
          <w:szCs w:val="28"/>
          <w:vertAlign w:val="subscript"/>
          <w:lang w:val="uk-UA"/>
        </w:rPr>
        <w:t xml:space="preserve"> </w:t>
      </w:r>
      <w:r w:rsidRPr="00CF693D">
        <w:rPr>
          <w:kern w:val="2"/>
          <w:sz w:val="28"/>
          <w:szCs w:val="28"/>
          <w:lang w:val="uk-UA"/>
        </w:rPr>
        <w:t xml:space="preserve">– рівень </w:t>
      </w:r>
      <w:r w:rsidRPr="00CF693D">
        <w:rPr>
          <w:sz w:val="28"/>
          <w:szCs w:val="28"/>
          <w:lang w:val="uk-UA"/>
        </w:rPr>
        <w:t>8-</w:t>
      </w:r>
      <w:r w:rsidRPr="00CF693D">
        <w:rPr>
          <w:sz w:val="28"/>
          <w:szCs w:val="28"/>
        </w:rPr>
        <w:t>OH</w:t>
      </w:r>
      <w:r w:rsidRPr="00CF693D">
        <w:rPr>
          <w:sz w:val="28"/>
          <w:szCs w:val="28"/>
          <w:lang w:val="uk-UA"/>
        </w:rPr>
        <w:t>-</w:t>
      </w:r>
      <w:r w:rsidRPr="00CF693D">
        <w:rPr>
          <w:sz w:val="28"/>
          <w:szCs w:val="28"/>
        </w:rPr>
        <w:t>dG</w:t>
      </w:r>
      <w:r w:rsidRPr="00CF693D">
        <w:rPr>
          <w:sz w:val="28"/>
          <w:szCs w:val="28"/>
          <w:lang w:val="uk-UA"/>
        </w:rPr>
        <w:t xml:space="preserve"> – 20,14 нг/л; </w:t>
      </w:r>
      <w:r w:rsidRPr="00CF693D">
        <w:rPr>
          <w:i/>
          <w:kern w:val="2"/>
          <w:sz w:val="28"/>
          <w:szCs w:val="28"/>
          <w:lang w:val="en-US"/>
        </w:rPr>
        <w:t>X</w:t>
      </w:r>
      <w:r w:rsidRPr="00CF693D">
        <w:rPr>
          <w:i/>
          <w:kern w:val="2"/>
          <w:sz w:val="28"/>
          <w:szCs w:val="28"/>
          <w:vertAlign w:val="subscript"/>
          <w:lang w:val="uk-UA"/>
        </w:rPr>
        <w:t xml:space="preserve">2 </w:t>
      </w:r>
      <w:r w:rsidRPr="00CF693D">
        <w:rPr>
          <w:kern w:val="2"/>
          <w:sz w:val="28"/>
          <w:szCs w:val="28"/>
          <w:lang w:val="uk-UA"/>
        </w:rPr>
        <w:t xml:space="preserve">– рівень </w:t>
      </w:r>
      <w:r w:rsidRPr="00CF693D">
        <w:rPr>
          <w:sz w:val="28"/>
          <w:szCs w:val="28"/>
          <w:lang w:val="uk-UA"/>
        </w:rPr>
        <w:t xml:space="preserve">МДА – 7,10 мкмоль/л; </w:t>
      </w:r>
      <w:r w:rsidRPr="00CF693D">
        <w:rPr>
          <w:i/>
          <w:spacing w:val="-4"/>
          <w:kern w:val="2"/>
          <w:sz w:val="28"/>
          <w:szCs w:val="28"/>
          <w:lang w:val="en-US"/>
        </w:rPr>
        <w:t>X</w:t>
      </w:r>
      <w:r w:rsidRPr="00CF693D">
        <w:rPr>
          <w:i/>
          <w:spacing w:val="-4"/>
          <w:kern w:val="2"/>
          <w:sz w:val="28"/>
          <w:szCs w:val="28"/>
          <w:vertAlign w:val="subscript"/>
          <w:lang w:val="uk-UA"/>
        </w:rPr>
        <w:t>3</w:t>
      </w:r>
      <w:r w:rsidRPr="00CF693D">
        <w:rPr>
          <w:spacing w:val="-4"/>
          <w:kern w:val="2"/>
          <w:sz w:val="28"/>
          <w:szCs w:val="28"/>
          <w:vertAlign w:val="subscript"/>
          <w:lang w:val="uk-UA"/>
        </w:rPr>
        <w:t xml:space="preserve"> </w:t>
      </w:r>
      <w:r w:rsidRPr="00CF693D">
        <w:rPr>
          <w:spacing w:val="-4"/>
          <w:kern w:val="2"/>
          <w:sz w:val="28"/>
          <w:szCs w:val="28"/>
          <w:lang w:val="uk-UA"/>
        </w:rPr>
        <w:t xml:space="preserve">– </w:t>
      </w:r>
      <w:r w:rsidRPr="00CF693D">
        <w:rPr>
          <w:spacing w:val="-4"/>
          <w:sz w:val="28"/>
          <w:szCs w:val="28"/>
          <w:lang w:val="uk-UA"/>
        </w:rPr>
        <w:t xml:space="preserve">ТКІМ ЗСА </w:t>
      </w:r>
      <w:r w:rsidRPr="00CF693D">
        <w:rPr>
          <w:sz w:val="28"/>
          <w:szCs w:val="28"/>
          <w:lang w:val="uk-UA"/>
        </w:rPr>
        <w:t>–</w:t>
      </w:r>
      <w:r w:rsidRPr="00CF693D">
        <w:rPr>
          <w:spacing w:val="-4"/>
          <w:sz w:val="28"/>
          <w:szCs w:val="28"/>
          <w:lang w:val="uk-UA"/>
        </w:rPr>
        <w:t xml:space="preserve"> 0,09 мм; </w:t>
      </w:r>
      <w:r w:rsidRPr="00CF693D">
        <w:rPr>
          <w:i/>
          <w:kern w:val="2"/>
          <w:sz w:val="28"/>
          <w:szCs w:val="28"/>
          <w:lang w:val="en-US"/>
        </w:rPr>
        <w:t>X</w:t>
      </w:r>
      <w:r w:rsidRPr="00CF693D">
        <w:rPr>
          <w:i/>
          <w:kern w:val="2"/>
          <w:sz w:val="28"/>
          <w:szCs w:val="28"/>
          <w:vertAlign w:val="subscript"/>
          <w:lang w:val="uk-UA"/>
        </w:rPr>
        <w:t>4</w:t>
      </w:r>
      <w:r w:rsidRPr="00CF693D">
        <w:rPr>
          <w:kern w:val="2"/>
          <w:sz w:val="28"/>
          <w:szCs w:val="28"/>
          <w:vertAlign w:val="subscript"/>
          <w:lang w:val="uk-UA"/>
        </w:rPr>
        <w:t xml:space="preserve"> </w:t>
      </w:r>
      <w:r w:rsidRPr="00CF693D">
        <w:rPr>
          <w:kern w:val="2"/>
          <w:sz w:val="28"/>
          <w:szCs w:val="28"/>
          <w:lang w:val="uk-UA"/>
        </w:rPr>
        <w:t xml:space="preserve">– </w:t>
      </w:r>
      <w:r w:rsidRPr="00CF693D">
        <w:rPr>
          <w:sz w:val="28"/>
          <w:szCs w:val="28"/>
        </w:rPr>
        <w:t>SH</w:t>
      </w:r>
      <w:r w:rsidRPr="00CF693D">
        <w:rPr>
          <w:sz w:val="28"/>
          <w:szCs w:val="28"/>
          <w:lang w:val="uk-UA"/>
        </w:rPr>
        <w:t xml:space="preserve">-групи (якісний показник) – 2; </w:t>
      </w:r>
      <w:r w:rsidRPr="00CF693D">
        <w:rPr>
          <w:i/>
          <w:kern w:val="2"/>
          <w:sz w:val="28"/>
          <w:szCs w:val="28"/>
          <w:lang w:val="en-US"/>
        </w:rPr>
        <w:t>X</w:t>
      </w:r>
      <w:r w:rsidRPr="00CF693D">
        <w:rPr>
          <w:i/>
          <w:kern w:val="2"/>
          <w:sz w:val="28"/>
          <w:szCs w:val="28"/>
          <w:vertAlign w:val="subscript"/>
          <w:lang w:val="uk-UA"/>
        </w:rPr>
        <w:t>5</w:t>
      </w:r>
      <w:r w:rsidRPr="00CF693D">
        <w:rPr>
          <w:kern w:val="2"/>
          <w:sz w:val="28"/>
          <w:szCs w:val="28"/>
          <w:vertAlign w:val="subscript"/>
          <w:lang w:val="uk-UA"/>
        </w:rPr>
        <w:t xml:space="preserve"> </w:t>
      </w:r>
      <w:r w:rsidRPr="00CF693D">
        <w:rPr>
          <w:kern w:val="2"/>
          <w:sz w:val="28"/>
          <w:szCs w:val="28"/>
          <w:lang w:val="uk-UA"/>
        </w:rPr>
        <w:t xml:space="preserve">– рівень </w:t>
      </w:r>
      <w:r w:rsidRPr="00CF693D">
        <w:rPr>
          <w:sz w:val="28"/>
          <w:szCs w:val="28"/>
          <w:lang w:val="uk-UA"/>
        </w:rPr>
        <w:t>ХСЛПВЩ  –1,09 ммоль/л.</w:t>
      </w:r>
    </w:p>
    <w:p w:rsidR="00E3259F" w:rsidRPr="00CF693D" w:rsidRDefault="00E3259F" w:rsidP="005242C9">
      <w:pPr>
        <w:spacing w:line="360" w:lineRule="auto"/>
        <w:ind w:firstLine="709"/>
        <w:jc w:val="both"/>
        <w:rPr>
          <w:bCs/>
          <w:position w:val="-24"/>
          <w:sz w:val="28"/>
          <w:szCs w:val="28"/>
          <w:lang w:eastAsia="en-US"/>
        </w:rPr>
      </w:pPr>
      <w:r w:rsidRPr="00CF693D">
        <w:rPr>
          <w:kern w:val="2"/>
          <w:sz w:val="28"/>
          <w:szCs w:val="28"/>
          <w:lang w:eastAsia="ar-SA"/>
        </w:rPr>
        <w:t>Хвор</w:t>
      </w:r>
      <w:r w:rsidRPr="00CF693D">
        <w:rPr>
          <w:kern w:val="2"/>
          <w:sz w:val="28"/>
          <w:szCs w:val="28"/>
          <w:lang w:val="uk-UA" w:eastAsia="ar-SA"/>
        </w:rPr>
        <w:t>ій проведена</w:t>
      </w:r>
      <w:r w:rsidRPr="00CF693D">
        <w:rPr>
          <w:kern w:val="2"/>
          <w:sz w:val="28"/>
          <w:szCs w:val="28"/>
          <w:lang w:eastAsia="ar-SA"/>
        </w:rPr>
        <w:t xml:space="preserve"> індивідуальн</w:t>
      </w:r>
      <w:r w:rsidRPr="00CF693D">
        <w:rPr>
          <w:kern w:val="2"/>
          <w:sz w:val="28"/>
          <w:szCs w:val="28"/>
          <w:lang w:val="uk-UA" w:eastAsia="ar-SA"/>
        </w:rPr>
        <w:t>а</w:t>
      </w:r>
      <w:r w:rsidRPr="00CF693D">
        <w:rPr>
          <w:kern w:val="2"/>
          <w:sz w:val="28"/>
          <w:szCs w:val="28"/>
          <w:lang w:eastAsia="ar-SA"/>
        </w:rPr>
        <w:t xml:space="preserve"> кількісн</w:t>
      </w:r>
      <w:r w:rsidRPr="00CF693D">
        <w:rPr>
          <w:kern w:val="2"/>
          <w:sz w:val="28"/>
          <w:szCs w:val="28"/>
          <w:lang w:val="uk-UA" w:eastAsia="ar-SA"/>
        </w:rPr>
        <w:t>а</w:t>
      </w:r>
      <w:r w:rsidRPr="00CF693D">
        <w:rPr>
          <w:kern w:val="2"/>
          <w:sz w:val="28"/>
          <w:szCs w:val="28"/>
          <w:lang w:eastAsia="ar-SA"/>
        </w:rPr>
        <w:t xml:space="preserve"> оцінк</w:t>
      </w:r>
      <w:r w:rsidRPr="00CF693D">
        <w:rPr>
          <w:kern w:val="2"/>
          <w:sz w:val="28"/>
          <w:szCs w:val="28"/>
          <w:lang w:val="uk-UA" w:eastAsia="ar-SA"/>
        </w:rPr>
        <w:t>а</w:t>
      </w:r>
      <w:r w:rsidRPr="00CF693D">
        <w:rPr>
          <w:kern w:val="2"/>
          <w:sz w:val="28"/>
          <w:szCs w:val="28"/>
          <w:lang w:eastAsia="ar-SA"/>
        </w:rPr>
        <w:t xml:space="preserve"> прогностичних критеріїв та розрахов</w:t>
      </w:r>
      <w:r w:rsidRPr="00CF693D">
        <w:rPr>
          <w:kern w:val="2"/>
          <w:sz w:val="28"/>
          <w:szCs w:val="28"/>
          <w:lang w:val="uk-UA" w:eastAsia="ar-SA"/>
        </w:rPr>
        <w:t>ано</w:t>
      </w:r>
      <w:r w:rsidRPr="00CF693D">
        <w:rPr>
          <w:kern w:val="2"/>
          <w:sz w:val="28"/>
          <w:szCs w:val="28"/>
          <w:lang w:eastAsia="ar-SA"/>
        </w:rPr>
        <w:t xml:space="preserve"> в автоматичному режимі в Exсel прогностичний індекс за розробленою формулою:</w:t>
      </w:r>
      <w:r w:rsidRPr="00CF693D">
        <w:rPr>
          <w:bCs/>
          <w:position w:val="-24"/>
          <w:sz w:val="28"/>
          <w:szCs w:val="28"/>
        </w:rPr>
        <w:t xml:space="preserve"> </w:t>
      </w:r>
    </w:p>
    <w:p w:rsidR="00E3259F" w:rsidRPr="00CF693D" w:rsidRDefault="00E3259F" w:rsidP="005242C9">
      <w:pPr>
        <w:autoSpaceDE w:val="0"/>
        <w:autoSpaceDN w:val="0"/>
        <w:adjustRightInd w:val="0"/>
        <w:spacing w:line="360" w:lineRule="auto"/>
        <w:ind w:firstLine="709"/>
        <w:jc w:val="center"/>
        <w:rPr>
          <w:sz w:val="28"/>
          <w:szCs w:val="28"/>
          <w:lang w:val="uk-UA"/>
        </w:rPr>
      </w:pPr>
      <w:r w:rsidRPr="00CF693D">
        <w:rPr>
          <w:kern w:val="2"/>
          <w:position w:val="-4"/>
          <w:sz w:val="28"/>
          <w:szCs w:val="28"/>
        </w:rPr>
        <w:object w:dxaOrig="240" w:dyaOrig="435">
          <v:shape id="_x0000_i1045" type="#_x0000_t75" style="width:12.75pt;height:21.75pt" o:ole="">
            <v:imagedata r:id="rId17" o:title=""/>
          </v:shape>
          <o:OLEObject Type="Embed" ProgID="Equation.3" ShapeID="_x0000_i1045" DrawAspect="Content" ObjectID="_1669446829" r:id="rId45"/>
        </w:object>
      </w:r>
      <w:r w:rsidRPr="00CF693D">
        <w:rPr>
          <w:kern w:val="2"/>
          <w:sz w:val="28"/>
          <w:szCs w:val="28"/>
        </w:rPr>
        <w:t xml:space="preserve">=[1+ </w:t>
      </w:r>
      <w:r w:rsidRPr="00CF693D">
        <w:rPr>
          <w:kern w:val="2"/>
          <w:sz w:val="28"/>
          <w:szCs w:val="28"/>
          <w:lang w:val="en-US"/>
        </w:rPr>
        <w:t>exp</w:t>
      </w:r>
      <w:r w:rsidRPr="00CF693D">
        <w:rPr>
          <w:kern w:val="2"/>
          <w:sz w:val="28"/>
          <w:szCs w:val="28"/>
        </w:rPr>
        <w:t>(-(0</w:t>
      </w:r>
      <w:r w:rsidRPr="00CF693D">
        <w:rPr>
          <w:sz w:val="28"/>
          <w:szCs w:val="28"/>
        </w:rPr>
        <w:t>,953</w:t>
      </w:r>
      <w:r w:rsidRPr="00CF693D">
        <w:rPr>
          <w:sz w:val="28"/>
          <w:szCs w:val="28"/>
          <w:lang w:val="uk-UA"/>
        </w:rPr>
        <w:t>*</w:t>
      </w:r>
      <w:r w:rsidRPr="00CF693D">
        <w:rPr>
          <w:kern w:val="2"/>
          <w:sz w:val="28"/>
          <w:szCs w:val="28"/>
          <w:lang w:val="uk-UA"/>
        </w:rPr>
        <w:t xml:space="preserve"> </w:t>
      </w:r>
      <w:r w:rsidRPr="00CF693D">
        <w:rPr>
          <w:sz w:val="28"/>
          <w:szCs w:val="28"/>
        </w:rPr>
        <w:t>20,14</w:t>
      </w:r>
      <w:r w:rsidRPr="00CF693D">
        <w:rPr>
          <w:kern w:val="2"/>
          <w:sz w:val="28"/>
          <w:szCs w:val="28"/>
        </w:rPr>
        <w:t>+</w:t>
      </w:r>
      <w:r w:rsidRPr="00CF693D">
        <w:rPr>
          <w:sz w:val="28"/>
          <w:szCs w:val="28"/>
        </w:rPr>
        <w:t>9,895</w:t>
      </w:r>
      <w:r w:rsidRPr="00CF693D">
        <w:rPr>
          <w:kern w:val="2"/>
          <w:sz w:val="28"/>
          <w:szCs w:val="28"/>
        </w:rPr>
        <w:t xml:space="preserve"> </w:t>
      </w:r>
      <w:r w:rsidRPr="00CF693D">
        <w:rPr>
          <w:kern w:val="2"/>
          <w:sz w:val="28"/>
          <w:szCs w:val="28"/>
          <w:lang w:val="uk-UA"/>
        </w:rPr>
        <w:t>*</w:t>
      </w:r>
      <w:r w:rsidRPr="00CF693D">
        <w:rPr>
          <w:sz w:val="28"/>
          <w:szCs w:val="28"/>
        </w:rPr>
        <w:t xml:space="preserve">7,10 </w:t>
      </w:r>
      <w:r w:rsidRPr="00CF693D">
        <w:rPr>
          <w:kern w:val="2"/>
          <w:sz w:val="28"/>
          <w:szCs w:val="28"/>
        </w:rPr>
        <w:t xml:space="preserve">- </w:t>
      </w:r>
      <w:r w:rsidRPr="00CF693D">
        <w:rPr>
          <w:sz w:val="28"/>
          <w:szCs w:val="28"/>
        </w:rPr>
        <w:t>138,922</w:t>
      </w:r>
      <w:r w:rsidRPr="00CF693D">
        <w:rPr>
          <w:sz w:val="28"/>
          <w:szCs w:val="28"/>
          <w:lang w:val="uk-UA"/>
        </w:rPr>
        <w:t>*</w:t>
      </w:r>
      <w:r w:rsidRPr="00CF693D">
        <w:rPr>
          <w:kern w:val="2"/>
          <w:sz w:val="28"/>
          <w:szCs w:val="28"/>
          <w:lang w:val="uk-UA"/>
        </w:rPr>
        <w:t xml:space="preserve"> </w:t>
      </w:r>
      <w:r w:rsidRPr="00CF693D">
        <w:rPr>
          <w:spacing w:val="-4"/>
          <w:sz w:val="28"/>
          <w:szCs w:val="28"/>
        </w:rPr>
        <w:t>0,09</w:t>
      </w:r>
      <w:r w:rsidRPr="00CF693D">
        <w:rPr>
          <w:kern w:val="2"/>
          <w:sz w:val="28"/>
          <w:szCs w:val="28"/>
        </w:rPr>
        <w:t>+</w:t>
      </w:r>
      <w:r w:rsidRPr="00CF693D">
        <w:rPr>
          <w:sz w:val="28"/>
          <w:szCs w:val="28"/>
        </w:rPr>
        <w:t xml:space="preserve">11,200 </w:t>
      </w:r>
      <w:r w:rsidRPr="00CF693D">
        <w:rPr>
          <w:sz w:val="28"/>
          <w:szCs w:val="28"/>
          <w:lang w:val="uk-UA"/>
        </w:rPr>
        <w:t>*</w:t>
      </w:r>
      <w:r w:rsidRPr="00CF693D">
        <w:rPr>
          <w:i/>
          <w:kern w:val="2"/>
          <w:sz w:val="28"/>
          <w:szCs w:val="28"/>
        </w:rPr>
        <w:t>2</w:t>
      </w:r>
      <w:r w:rsidRPr="00CF693D">
        <w:rPr>
          <w:kern w:val="2"/>
          <w:sz w:val="28"/>
          <w:szCs w:val="28"/>
          <w:vertAlign w:val="subscript"/>
        </w:rPr>
        <w:t xml:space="preserve"> </w:t>
      </w:r>
      <w:r w:rsidRPr="00CF693D">
        <w:rPr>
          <w:sz w:val="28"/>
          <w:szCs w:val="28"/>
        </w:rPr>
        <w:t xml:space="preserve">-4,466 </w:t>
      </w:r>
      <w:r w:rsidRPr="00CF693D">
        <w:rPr>
          <w:sz w:val="28"/>
          <w:szCs w:val="28"/>
          <w:lang w:val="uk-UA"/>
        </w:rPr>
        <w:t>*</w:t>
      </w:r>
      <w:r w:rsidRPr="00CF693D">
        <w:rPr>
          <w:kern w:val="2"/>
          <w:sz w:val="28"/>
          <w:szCs w:val="28"/>
        </w:rPr>
        <w:t>1,09</w:t>
      </w:r>
      <w:r w:rsidRPr="00CF693D">
        <w:rPr>
          <w:sz w:val="28"/>
          <w:szCs w:val="28"/>
        </w:rPr>
        <w:t xml:space="preserve"> - 80,843)</w:t>
      </w:r>
      <w:r w:rsidRPr="00CF693D">
        <w:rPr>
          <w:kern w:val="2"/>
          <w:sz w:val="28"/>
          <w:szCs w:val="28"/>
        </w:rPr>
        <w:t>)]</w:t>
      </w:r>
      <w:r w:rsidRPr="00CF693D">
        <w:rPr>
          <w:kern w:val="2"/>
          <w:sz w:val="28"/>
          <w:szCs w:val="28"/>
          <w:vertAlign w:val="superscript"/>
        </w:rPr>
        <w:t>-1</w:t>
      </w:r>
      <w:r w:rsidRPr="00CF693D">
        <w:rPr>
          <w:kern w:val="2"/>
          <w:sz w:val="28"/>
          <w:szCs w:val="28"/>
          <w:lang w:val="uk-UA"/>
        </w:rPr>
        <w:t>,</w:t>
      </w:r>
    </w:p>
    <w:p w:rsidR="00E3259F" w:rsidRPr="00CF693D" w:rsidRDefault="00E3259F" w:rsidP="005242C9">
      <w:pPr>
        <w:autoSpaceDE w:val="0"/>
        <w:autoSpaceDN w:val="0"/>
        <w:adjustRightInd w:val="0"/>
        <w:spacing w:line="360" w:lineRule="auto"/>
        <w:ind w:firstLine="709"/>
        <w:jc w:val="center"/>
        <w:rPr>
          <w:sz w:val="28"/>
          <w:szCs w:val="28"/>
        </w:rPr>
      </w:pPr>
    </w:p>
    <w:p w:rsidR="00E3259F" w:rsidRDefault="00E3259F" w:rsidP="005242C9">
      <w:pPr>
        <w:overflowPunct w:val="0"/>
        <w:autoSpaceDE w:val="0"/>
        <w:spacing w:line="360" w:lineRule="auto"/>
        <w:ind w:firstLine="709"/>
        <w:jc w:val="both"/>
        <w:textAlignment w:val="baseline"/>
        <w:rPr>
          <w:kern w:val="2"/>
          <w:sz w:val="28"/>
          <w:szCs w:val="28"/>
          <w:lang w:eastAsia="ar-SA"/>
        </w:rPr>
      </w:pPr>
      <w:r>
        <w:rPr>
          <w:kern w:val="2"/>
          <w:sz w:val="28"/>
          <w:szCs w:val="28"/>
          <w:lang w:eastAsia="ar-SA"/>
        </w:rPr>
        <w:t xml:space="preserve">Ймовірність </w:t>
      </w:r>
      <w:r>
        <w:rPr>
          <w:sz w:val="28"/>
          <w:szCs w:val="28"/>
        </w:rPr>
        <w:t xml:space="preserve">прогресування оксидативного стресу </w:t>
      </w:r>
      <w:r>
        <w:rPr>
          <w:kern w:val="2"/>
          <w:position w:val="-4"/>
          <w:sz w:val="28"/>
          <w:szCs w:val="28"/>
        </w:rPr>
        <w:object w:dxaOrig="240" w:dyaOrig="420">
          <v:shape id="_x0000_i1046" type="#_x0000_t75" style="width:12.75pt;height:21.75pt" o:ole="">
            <v:imagedata r:id="rId17" o:title=""/>
          </v:shape>
          <o:OLEObject Type="Embed" ProgID="Equation.3" ShapeID="_x0000_i1046" DrawAspect="Content" ObjectID="_1669446830" r:id="rId46"/>
        </w:object>
      </w:r>
      <w:r>
        <w:rPr>
          <w:kern w:val="2"/>
          <w:sz w:val="28"/>
          <w:szCs w:val="28"/>
        </w:rPr>
        <w:t xml:space="preserve"> </w:t>
      </w:r>
      <w:r>
        <w:rPr>
          <w:kern w:val="2"/>
          <w:sz w:val="28"/>
          <w:szCs w:val="28"/>
          <w:lang w:eastAsia="ar-SA"/>
        </w:rPr>
        <w:t>=0,9</w:t>
      </w:r>
      <w:r>
        <w:rPr>
          <w:kern w:val="2"/>
          <w:sz w:val="28"/>
          <w:szCs w:val="28"/>
          <w:lang w:val="uk-UA" w:eastAsia="ar-SA"/>
        </w:rPr>
        <w:t>99</w:t>
      </w:r>
      <w:r>
        <w:rPr>
          <w:kern w:val="2"/>
          <w:sz w:val="28"/>
          <w:szCs w:val="28"/>
          <w:lang w:eastAsia="ar-SA"/>
        </w:rPr>
        <w:t>.</w:t>
      </w:r>
    </w:p>
    <w:p w:rsidR="00E3259F" w:rsidRPr="00CF693D" w:rsidRDefault="00E3259F" w:rsidP="005242C9">
      <w:pPr>
        <w:overflowPunct w:val="0"/>
        <w:autoSpaceDE w:val="0"/>
        <w:spacing w:line="360" w:lineRule="auto"/>
        <w:ind w:firstLine="709"/>
        <w:jc w:val="both"/>
        <w:textAlignment w:val="baseline"/>
        <w:rPr>
          <w:kern w:val="2"/>
          <w:sz w:val="28"/>
          <w:szCs w:val="28"/>
          <w:lang w:eastAsia="ar-SA"/>
        </w:rPr>
      </w:pPr>
      <w:r w:rsidRPr="00CF693D">
        <w:rPr>
          <w:kern w:val="2"/>
          <w:sz w:val="28"/>
          <w:szCs w:val="28"/>
          <w:lang w:eastAsia="ar-SA"/>
        </w:rPr>
        <w:t xml:space="preserve">Висновок: у </w:t>
      </w:r>
      <w:r w:rsidRPr="00CF693D">
        <w:rPr>
          <w:kern w:val="2"/>
          <w:sz w:val="28"/>
          <w:szCs w:val="28"/>
          <w:lang w:val="uk-UA" w:eastAsia="ar-SA"/>
        </w:rPr>
        <w:t>цієї</w:t>
      </w:r>
      <w:r w:rsidRPr="00CF693D">
        <w:rPr>
          <w:kern w:val="2"/>
          <w:sz w:val="28"/>
          <w:szCs w:val="28"/>
          <w:lang w:eastAsia="ar-SA"/>
        </w:rPr>
        <w:t xml:space="preserve"> хворої має місце виражений оксидативний стрес, що  надає негативного поглиблюючого впливу на порушення обміну, які мають місце, (гіперглікемі</w:t>
      </w:r>
      <w:r w:rsidRPr="00CF693D">
        <w:rPr>
          <w:kern w:val="2"/>
          <w:sz w:val="28"/>
          <w:szCs w:val="28"/>
          <w:lang w:val="uk-UA" w:eastAsia="ar-SA"/>
        </w:rPr>
        <w:t>ю</w:t>
      </w:r>
      <w:r w:rsidRPr="00CF693D">
        <w:rPr>
          <w:kern w:val="2"/>
          <w:sz w:val="28"/>
          <w:szCs w:val="28"/>
          <w:lang w:eastAsia="ar-SA"/>
        </w:rPr>
        <w:t xml:space="preserve">, ознаки інсулінорезистентності) та буде сприяти подальшому прогресуванню </w:t>
      </w:r>
      <w:r w:rsidRPr="00CF693D">
        <w:rPr>
          <w:kern w:val="2"/>
          <w:sz w:val="28"/>
          <w:szCs w:val="28"/>
          <w:lang w:val="uk-UA" w:eastAsia="ar-SA"/>
        </w:rPr>
        <w:t>коморбідного перебігу ГХ, ЦД 2 типу та СГТ</w:t>
      </w:r>
      <w:r w:rsidRPr="00CF693D">
        <w:rPr>
          <w:kern w:val="2"/>
          <w:sz w:val="28"/>
          <w:szCs w:val="28"/>
          <w:lang w:eastAsia="ar-SA"/>
        </w:rPr>
        <w:t xml:space="preserve"> та </w:t>
      </w:r>
      <w:r w:rsidRPr="00CF693D">
        <w:rPr>
          <w:kern w:val="2"/>
          <w:sz w:val="28"/>
          <w:szCs w:val="28"/>
          <w:lang w:val="uk-UA" w:eastAsia="ar-SA"/>
        </w:rPr>
        <w:t xml:space="preserve">зростанню </w:t>
      </w:r>
      <w:r w:rsidRPr="00CF693D">
        <w:rPr>
          <w:kern w:val="2"/>
          <w:sz w:val="28"/>
          <w:szCs w:val="28"/>
          <w:lang w:eastAsia="ar-SA"/>
        </w:rPr>
        <w:t xml:space="preserve">загального </w:t>
      </w:r>
      <w:r w:rsidRPr="00CF693D">
        <w:rPr>
          <w:kern w:val="2"/>
          <w:sz w:val="28"/>
          <w:szCs w:val="28"/>
          <w:lang w:val="uk-UA" w:eastAsia="ar-SA"/>
        </w:rPr>
        <w:t>КВР</w:t>
      </w:r>
      <w:r w:rsidRPr="00CF693D">
        <w:rPr>
          <w:kern w:val="2"/>
          <w:sz w:val="28"/>
          <w:szCs w:val="28"/>
          <w:lang w:eastAsia="ar-SA"/>
        </w:rPr>
        <w:t>.</w:t>
      </w:r>
    </w:p>
    <w:p w:rsidR="00E3259F" w:rsidRPr="00CF693D" w:rsidRDefault="00E3259F" w:rsidP="005242C9">
      <w:pPr>
        <w:suppressAutoHyphens/>
        <w:spacing w:line="360" w:lineRule="auto"/>
        <w:ind w:firstLine="709"/>
        <w:jc w:val="both"/>
        <w:rPr>
          <w:rFonts w:eastAsia="Calibri"/>
          <w:sz w:val="28"/>
          <w:szCs w:val="28"/>
          <w:lang w:eastAsia="ar-SA"/>
        </w:rPr>
      </w:pPr>
      <w:r w:rsidRPr="00CF693D">
        <w:rPr>
          <w:sz w:val="28"/>
          <w:szCs w:val="28"/>
          <w:lang w:eastAsia="ar-SA"/>
        </w:rPr>
        <w:t>Рекомендовано: корекція терапії з обов’язковим впливом на окислювально-антиоксидантні процеси з постійним спостереженням та моніторингом вищезгаданих лабораторно-інструментальних показників. Це необхідно для зменшення темпів прогресування Г</w:t>
      </w:r>
      <w:r w:rsidRPr="00CF693D">
        <w:rPr>
          <w:sz w:val="28"/>
          <w:szCs w:val="28"/>
          <w:lang w:val="uk-UA" w:eastAsia="ar-SA"/>
        </w:rPr>
        <w:t>Х</w:t>
      </w:r>
      <w:r w:rsidRPr="00CF693D">
        <w:rPr>
          <w:sz w:val="28"/>
          <w:szCs w:val="28"/>
          <w:lang w:eastAsia="ar-SA"/>
        </w:rPr>
        <w:t xml:space="preserve"> у поєднанні з ЦД</w:t>
      </w:r>
      <w:r w:rsidRPr="00CF693D">
        <w:rPr>
          <w:sz w:val="28"/>
          <w:szCs w:val="28"/>
          <w:lang w:val="uk-UA" w:eastAsia="ar-SA"/>
        </w:rPr>
        <w:t xml:space="preserve"> </w:t>
      </w:r>
      <w:r w:rsidRPr="00CF693D">
        <w:rPr>
          <w:sz w:val="28"/>
          <w:szCs w:val="28"/>
          <w:lang w:eastAsia="ar-SA"/>
        </w:rPr>
        <w:t>2</w:t>
      </w:r>
      <w:r w:rsidRPr="00CF693D">
        <w:rPr>
          <w:sz w:val="28"/>
          <w:szCs w:val="28"/>
          <w:lang w:val="uk-UA" w:eastAsia="ar-SA"/>
        </w:rPr>
        <w:t xml:space="preserve"> типу</w:t>
      </w:r>
      <w:r w:rsidRPr="00CF693D">
        <w:rPr>
          <w:sz w:val="28"/>
          <w:szCs w:val="28"/>
          <w:lang w:eastAsia="ar-SA"/>
        </w:rPr>
        <w:t xml:space="preserve"> та СГТ </w:t>
      </w:r>
      <w:r w:rsidRPr="00CF693D">
        <w:rPr>
          <w:sz w:val="28"/>
          <w:szCs w:val="28"/>
          <w:lang w:val="uk-UA" w:eastAsia="ar-SA"/>
        </w:rPr>
        <w:t>і</w:t>
      </w:r>
      <w:r w:rsidRPr="00CF693D">
        <w:rPr>
          <w:sz w:val="28"/>
          <w:szCs w:val="28"/>
          <w:lang w:eastAsia="ar-SA"/>
        </w:rPr>
        <w:t xml:space="preserve"> для профілактики ускладнень шляхом зниження загального </w:t>
      </w:r>
      <w:r w:rsidRPr="00CF693D">
        <w:rPr>
          <w:sz w:val="28"/>
          <w:szCs w:val="28"/>
          <w:lang w:val="uk-UA" w:eastAsia="ar-SA"/>
        </w:rPr>
        <w:t>КВР</w:t>
      </w:r>
      <w:r w:rsidRPr="00CF693D">
        <w:rPr>
          <w:sz w:val="28"/>
          <w:szCs w:val="28"/>
          <w:lang w:eastAsia="ar-SA"/>
        </w:rPr>
        <w:t xml:space="preserve">, що має не тільки медичний, але </w:t>
      </w:r>
      <w:r w:rsidRPr="00CF693D">
        <w:rPr>
          <w:sz w:val="28"/>
          <w:szCs w:val="28"/>
          <w:lang w:val="uk-UA" w:eastAsia="ar-SA"/>
        </w:rPr>
        <w:t>й</w:t>
      </w:r>
      <w:r w:rsidRPr="00CF693D">
        <w:rPr>
          <w:sz w:val="28"/>
          <w:szCs w:val="28"/>
          <w:lang w:eastAsia="ar-SA"/>
        </w:rPr>
        <w:t xml:space="preserve"> соціально-економічний ефект.</w:t>
      </w:r>
    </w:p>
    <w:p w:rsidR="00E3259F" w:rsidRPr="00CF693D" w:rsidRDefault="00E3259F" w:rsidP="005242C9">
      <w:pPr>
        <w:spacing w:line="360" w:lineRule="auto"/>
        <w:ind w:firstLine="709"/>
        <w:jc w:val="both"/>
        <w:rPr>
          <w:b/>
          <w:sz w:val="28"/>
          <w:szCs w:val="28"/>
          <w:lang w:val="uk-UA" w:eastAsia="en-US"/>
        </w:rPr>
      </w:pPr>
      <w:r w:rsidRPr="00CF693D">
        <w:rPr>
          <w:sz w:val="28"/>
          <w:szCs w:val="28"/>
        </w:rPr>
        <w:t>Приклад 2.</w:t>
      </w:r>
      <w:r w:rsidRPr="00CF693D">
        <w:rPr>
          <w:b/>
          <w:sz w:val="28"/>
          <w:szCs w:val="28"/>
        </w:rPr>
        <w:t xml:space="preserve"> </w:t>
      </w:r>
      <w:r w:rsidRPr="00CF693D">
        <w:rPr>
          <w:sz w:val="28"/>
          <w:szCs w:val="28"/>
        </w:rPr>
        <w:t xml:space="preserve">Хвора </w:t>
      </w:r>
      <w:r w:rsidRPr="00CF693D">
        <w:rPr>
          <w:sz w:val="28"/>
          <w:szCs w:val="28"/>
          <w:lang w:val="uk-UA"/>
        </w:rPr>
        <w:t>Б</w:t>
      </w:r>
      <w:r w:rsidRPr="00CF693D">
        <w:rPr>
          <w:sz w:val="28"/>
          <w:szCs w:val="28"/>
        </w:rPr>
        <w:t xml:space="preserve">., </w:t>
      </w:r>
      <w:r w:rsidRPr="00CF693D">
        <w:rPr>
          <w:sz w:val="28"/>
          <w:szCs w:val="28"/>
          <w:lang w:val="uk-UA"/>
        </w:rPr>
        <w:t>50</w:t>
      </w:r>
      <w:r w:rsidRPr="00CF693D">
        <w:rPr>
          <w:sz w:val="28"/>
          <w:szCs w:val="28"/>
        </w:rPr>
        <w:t xml:space="preserve"> р</w:t>
      </w:r>
      <w:r w:rsidRPr="00CF693D">
        <w:rPr>
          <w:sz w:val="28"/>
          <w:szCs w:val="28"/>
          <w:lang w:val="uk-UA"/>
        </w:rPr>
        <w:t>о</w:t>
      </w:r>
      <w:r w:rsidRPr="00CF693D">
        <w:rPr>
          <w:sz w:val="28"/>
          <w:szCs w:val="28"/>
        </w:rPr>
        <w:t>к</w:t>
      </w:r>
      <w:r w:rsidRPr="00CF693D">
        <w:rPr>
          <w:sz w:val="28"/>
          <w:szCs w:val="28"/>
          <w:lang w:val="uk-UA"/>
        </w:rPr>
        <w:t>ів</w:t>
      </w:r>
      <w:r w:rsidRPr="00CF693D">
        <w:rPr>
          <w:sz w:val="28"/>
          <w:szCs w:val="28"/>
        </w:rPr>
        <w:t>, амбулаторн</w:t>
      </w:r>
      <w:r w:rsidRPr="00CF693D">
        <w:rPr>
          <w:sz w:val="28"/>
          <w:szCs w:val="28"/>
          <w:lang w:val="uk-UA"/>
        </w:rPr>
        <w:t>а</w:t>
      </w:r>
      <w:r w:rsidRPr="00CF693D">
        <w:rPr>
          <w:sz w:val="28"/>
          <w:szCs w:val="28"/>
        </w:rPr>
        <w:t xml:space="preserve"> картк</w:t>
      </w:r>
      <w:r w:rsidRPr="00CF693D">
        <w:rPr>
          <w:sz w:val="28"/>
          <w:szCs w:val="28"/>
          <w:lang w:val="uk-UA"/>
        </w:rPr>
        <w:t>а</w:t>
      </w:r>
      <w:r w:rsidRPr="00CF693D">
        <w:rPr>
          <w:sz w:val="28"/>
          <w:szCs w:val="28"/>
        </w:rPr>
        <w:t xml:space="preserve">, 2016 р., звернулась в поліклініку </w:t>
      </w:r>
      <w:r w:rsidRPr="00CF693D">
        <w:rPr>
          <w:sz w:val="28"/>
          <w:szCs w:val="28"/>
          <w:lang w:val="uk-UA"/>
        </w:rPr>
        <w:t>ДУ «Національний і</w:t>
      </w:r>
      <w:r w:rsidRPr="00CF693D">
        <w:rPr>
          <w:sz w:val="28"/>
          <w:szCs w:val="28"/>
        </w:rPr>
        <w:t xml:space="preserve">нститут терапії </w:t>
      </w:r>
      <w:r w:rsidRPr="00CF693D">
        <w:rPr>
          <w:sz w:val="28"/>
          <w:szCs w:val="28"/>
          <w:lang w:val="uk-UA"/>
        </w:rPr>
        <w:t xml:space="preserve">ім. Л.Малої НАМН України» до кардіолога зі скаргами на помірну слабкість, періодичний головний біль або відчуття важкості в потилиці на тлі підвищення артеріального тиску, а також зміни погоди, запаморочення, погіршення сну та концентрації уваги. </w:t>
      </w:r>
    </w:p>
    <w:p w:rsidR="00E3259F" w:rsidRPr="00CF693D" w:rsidRDefault="00E3259F" w:rsidP="005242C9">
      <w:pPr>
        <w:spacing w:line="360" w:lineRule="auto"/>
        <w:ind w:firstLine="709"/>
        <w:jc w:val="both"/>
        <w:rPr>
          <w:sz w:val="28"/>
          <w:szCs w:val="28"/>
          <w:lang w:eastAsia="uk-UA"/>
        </w:rPr>
      </w:pPr>
      <w:r w:rsidRPr="00CF693D">
        <w:rPr>
          <w:sz w:val="28"/>
          <w:szCs w:val="28"/>
        </w:rPr>
        <w:t>Пров</w:t>
      </w:r>
      <w:r w:rsidRPr="00CF693D">
        <w:rPr>
          <w:sz w:val="28"/>
          <w:szCs w:val="28"/>
          <w:lang w:val="uk-UA"/>
        </w:rPr>
        <w:t>едено</w:t>
      </w:r>
      <w:r w:rsidRPr="00CF693D">
        <w:rPr>
          <w:sz w:val="28"/>
          <w:szCs w:val="28"/>
        </w:rPr>
        <w:t xml:space="preserve"> загальноприйняті методи обстеження: анамнез захворювання та анамнез життя, об’єктивне обстеження.</w:t>
      </w:r>
    </w:p>
    <w:p w:rsidR="00E3259F" w:rsidRPr="00CF693D" w:rsidRDefault="00E3259F" w:rsidP="005242C9">
      <w:pPr>
        <w:tabs>
          <w:tab w:val="left" w:pos="360"/>
        </w:tabs>
        <w:spacing w:line="360" w:lineRule="auto"/>
        <w:ind w:firstLine="709"/>
        <w:jc w:val="both"/>
        <w:rPr>
          <w:b/>
          <w:bCs/>
          <w:sz w:val="28"/>
          <w:szCs w:val="28"/>
        </w:rPr>
      </w:pPr>
      <w:r w:rsidRPr="00CF693D">
        <w:rPr>
          <w:sz w:val="28"/>
          <w:szCs w:val="28"/>
        </w:rPr>
        <w:t>А</w:t>
      </w:r>
      <w:r w:rsidRPr="00CF693D">
        <w:rPr>
          <w:bCs/>
          <w:sz w:val="28"/>
          <w:szCs w:val="28"/>
        </w:rPr>
        <w:t>намнез захворювання</w:t>
      </w:r>
      <w:r w:rsidRPr="00CF693D">
        <w:rPr>
          <w:b/>
          <w:bCs/>
          <w:sz w:val="28"/>
          <w:szCs w:val="28"/>
        </w:rPr>
        <w:t>:</w:t>
      </w:r>
      <w:r w:rsidRPr="00CF693D">
        <w:rPr>
          <w:sz w:val="28"/>
          <w:szCs w:val="28"/>
        </w:rPr>
        <w:t xml:space="preserve"> </w:t>
      </w:r>
      <w:r w:rsidRPr="00CF693D">
        <w:rPr>
          <w:snapToGrid w:val="0"/>
          <w:sz w:val="28"/>
          <w:szCs w:val="28"/>
        </w:rPr>
        <w:t xml:space="preserve">вважає себе хворою  протягом </w:t>
      </w:r>
      <w:r w:rsidRPr="00CF693D">
        <w:rPr>
          <w:snapToGrid w:val="0"/>
          <w:sz w:val="28"/>
          <w:szCs w:val="28"/>
          <w:lang w:val="uk-UA"/>
        </w:rPr>
        <w:t>5</w:t>
      </w:r>
      <w:r w:rsidRPr="00CF693D">
        <w:rPr>
          <w:snapToGrid w:val="0"/>
          <w:sz w:val="28"/>
          <w:szCs w:val="28"/>
        </w:rPr>
        <w:t xml:space="preserve"> років, коли вперше б</w:t>
      </w:r>
      <w:r w:rsidRPr="00CF693D">
        <w:rPr>
          <w:snapToGrid w:val="0"/>
          <w:sz w:val="28"/>
          <w:szCs w:val="28"/>
          <w:lang w:val="uk-UA"/>
        </w:rPr>
        <w:t>уло</w:t>
      </w:r>
      <w:r w:rsidRPr="00CF693D">
        <w:rPr>
          <w:snapToGrid w:val="0"/>
          <w:sz w:val="28"/>
          <w:szCs w:val="28"/>
        </w:rPr>
        <w:t xml:space="preserve"> діагностовано Г</w:t>
      </w:r>
      <w:r w:rsidRPr="00CF693D">
        <w:rPr>
          <w:snapToGrid w:val="0"/>
          <w:sz w:val="28"/>
          <w:szCs w:val="28"/>
          <w:lang w:val="uk-UA"/>
        </w:rPr>
        <w:t>Х</w:t>
      </w:r>
      <w:r w:rsidRPr="00CF693D">
        <w:rPr>
          <w:snapToGrid w:val="0"/>
          <w:sz w:val="28"/>
          <w:szCs w:val="28"/>
        </w:rPr>
        <w:t xml:space="preserve"> ІІ ступеня, </w:t>
      </w:r>
      <w:r w:rsidRPr="00CF693D">
        <w:rPr>
          <w:snapToGrid w:val="0"/>
          <w:sz w:val="28"/>
          <w:szCs w:val="28"/>
          <w:lang w:val="uk-UA"/>
        </w:rPr>
        <w:t>ЦД</w:t>
      </w:r>
      <w:r w:rsidRPr="00CF693D">
        <w:rPr>
          <w:snapToGrid w:val="0"/>
          <w:sz w:val="28"/>
          <w:szCs w:val="28"/>
        </w:rPr>
        <w:t xml:space="preserve"> 2 типу був виявлений </w:t>
      </w:r>
      <w:r w:rsidRPr="00CF693D">
        <w:rPr>
          <w:snapToGrid w:val="0"/>
          <w:sz w:val="28"/>
          <w:szCs w:val="28"/>
          <w:lang w:val="uk-UA"/>
        </w:rPr>
        <w:t>1,5</w:t>
      </w:r>
      <w:r w:rsidRPr="00CF693D">
        <w:rPr>
          <w:snapToGrid w:val="0"/>
          <w:sz w:val="28"/>
          <w:szCs w:val="28"/>
        </w:rPr>
        <w:t xml:space="preserve"> роки </w:t>
      </w:r>
      <w:r w:rsidRPr="00CF693D">
        <w:rPr>
          <w:snapToGrid w:val="0"/>
          <w:sz w:val="28"/>
          <w:szCs w:val="28"/>
          <w:lang w:val="uk-UA"/>
        </w:rPr>
        <w:t>поспіль</w:t>
      </w:r>
      <w:r w:rsidRPr="00CF693D">
        <w:rPr>
          <w:snapToGrid w:val="0"/>
          <w:sz w:val="28"/>
          <w:szCs w:val="28"/>
        </w:rPr>
        <w:t>. П</w:t>
      </w:r>
      <w:r w:rsidRPr="00CF693D">
        <w:rPr>
          <w:snapToGrid w:val="0"/>
          <w:sz w:val="28"/>
          <w:szCs w:val="28"/>
          <w:lang w:val="uk-UA"/>
        </w:rPr>
        <w:t xml:space="preserve">ід час </w:t>
      </w:r>
      <w:r w:rsidRPr="00CF693D">
        <w:rPr>
          <w:snapToGrid w:val="0"/>
          <w:sz w:val="28"/>
          <w:szCs w:val="28"/>
        </w:rPr>
        <w:t>планово</w:t>
      </w:r>
      <w:r w:rsidRPr="00CF693D">
        <w:rPr>
          <w:snapToGrid w:val="0"/>
          <w:sz w:val="28"/>
          <w:szCs w:val="28"/>
          <w:lang w:val="uk-UA"/>
        </w:rPr>
        <w:t>го</w:t>
      </w:r>
      <w:r w:rsidRPr="00CF693D">
        <w:rPr>
          <w:snapToGrid w:val="0"/>
          <w:sz w:val="28"/>
          <w:szCs w:val="28"/>
        </w:rPr>
        <w:t xml:space="preserve"> обстеженні було виявлено значення ТТГ</w:t>
      </w:r>
      <w:r w:rsidRPr="00CF693D">
        <w:rPr>
          <w:snapToGrid w:val="0"/>
          <w:sz w:val="28"/>
          <w:szCs w:val="28"/>
          <w:lang w:val="uk-UA"/>
        </w:rPr>
        <w:t>=4,2</w:t>
      </w:r>
      <w:r w:rsidRPr="00CF693D">
        <w:rPr>
          <w:snapToGrid w:val="0"/>
          <w:sz w:val="28"/>
          <w:szCs w:val="28"/>
        </w:rPr>
        <w:t xml:space="preserve"> м</w:t>
      </w:r>
      <w:r w:rsidRPr="00CF693D">
        <w:rPr>
          <w:snapToGrid w:val="0"/>
          <w:sz w:val="28"/>
          <w:szCs w:val="28"/>
          <w:lang w:val="uk-UA"/>
        </w:rPr>
        <w:t>к</w:t>
      </w:r>
      <w:r w:rsidRPr="00CF693D">
        <w:rPr>
          <w:snapToGrid w:val="0"/>
          <w:sz w:val="28"/>
          <w:szCs w:val="28"/>
        </w:rPr>
        <w:t>Од/</w:t>
      </w:r>
      <w:r w:rsidRPr="00CF693D">
        <w:rPr>
          <w:snapToGrid w:val="0"/>
          <w:sz w:val="28"/>
          <w:szCs w:val="28"/>
          <w:lang w:val="uk-UA"/>
        </w:rPr>
        <w:t>м</w:t>
      </w:r>
      <w:r w:rsidRPr="00CF693D">
        <w:rPr>
          <w:snapToGrid w:val="0"/>
          <w:sz w:val="28"/>
          <w:szCs w:val="28"/>
        </w:rPr>
        <w:t>л</w:t>
      </w:r>
      <w:r w:rsidRPr="00CF693D">
        <w:rPr>
          <w:snapToGrid w:val="0"/>
          <w:sz w:val="28"/>
          <w:szCs w:val="28"/>
          <w:u w:val="single"/>
        </w:rPr>
        <w:t>.</w:t>
      </w:r>
      <w:r w:rsidRPr="00CF693D">
        <w:rPr>
          <w:snapToGrid w:val="0"/>
          <w:sz w:val="28"/>
          <w:szCs w:val="28"/>
        </w:rPr>
        <w:t xml:space="preserve"> При УЗД щито</w:t>
      </w:r>
      <w:r w:rsidRPr="00CF693D">
        <w:rPr>
          <w:snapToGrid w:val="0"/>
          <w:sz w:val="28"/>
          <w:szCs w:val="28"/>
          <w:lang w:val="uk-UA"/>
        </w:rPr>
        <w:t>подібної</w:t>
      </w:r>
      <w:r w:rsidRPr="00CF693D">
        <w:rPr>
          <w:snapToGrid w:val="0"/>
          <w:sz w:val="28"/>
          <w:szCs w:val="28"/>
        </w:rPr>
        <w:t xml:space="preserve"> залози – без патологічних змін, ехокардіографія – ознаки гіпертрофії міокарда лівого шлуночка, органів </w:t>
      </w:r>
      <w:r w:rsidRPr="00CF693D">
        <w:rPr>
          <w:snapToGrid w:val="0"/>
          <w:sz w:val="28"/>
          <w:szCs w:val="28"/>
          <w:lang w:val="uk-UA"/>
        </w:rPr>
        <w:t xml:space="preserve"> </w:t>
      </w:r>
      <w:r w:rsidRPr="00CF693D">
        <w:rPr>
          <w:snapToGrid w:val="0"/>
          <w:sz w:val="28"/>
          <w:szCs w:val="28"/>
        </w:rPr>
        <w:t xml:space="preserve">черевної порожнини – без патологічних змін. Рекомендовано </w:t>
      </w:r>
      <w:r w:rsidRPr="00CF693D">
        <w:rPr>
          <w:snapToGrid w:val="0"/>
          <w:sz w:val="28"/>
          <w:szCs w:val="28"/>
          <w:lang w:val="uk-UA"/>
        </w:rPr>
        <w:t xml:space="preserve">ІАПФ, діуретики, метформін 850 мг/добу, </w:t>
      </w:r>
      <w:r w:rsidRPr="00CF693D">
        <w:rPr>
          <w:snapToGrid w:val="0"/>
          <w:sz w:val="28"/>
          <w:szCs w:val="28"/>
        </w:rPr>
        <w:t>дієта, дозовані фізичні навантаження. В сімейному анамнезі – без особливостей</w:t>
      </w:r>
      <w:r w:rsidRPr="00CF693D">
        <w:rPr>
          <w:sz w:val="28"/>
          <w:szCs w:val="28"/>
        </w:rPr>
        <w:t>.</w:t>
      </w:r>
      <w:r w:rsidRPr="00CF693D">
        <w:rPr>
          <w:snapToGrid w:val="0"/>
          <w:sz w:val="28"/>
          <w:szCs w:val="28"/>
        </w:rPr>
        <w:t xml:space="preserve"> </w:t>
      </w:r>
      <w:r w:rsidRPr="00CF693D">
        <w:rPr>
          <w:snapToGrid w:val="0"/>
          <w:sz w:val="28"/>
          <w:szCs w:val="28"/>
          <w:lang w:val="uk-UA"/>
        </w:rPr>
        <w:t>У подальшому</w:t>
      </w:r>
      <w:r w:rsidRPr="00CF693D">
        <w:rPr>
          <w:snapToGrid w:val="0"/>
          <w:sz w:val="28"/>
          <w:szCs w:val="28"/>
        </w:rPr>
        <w:t xml:space="preserve"> не обстежувалась, </w:t>
      </w:r>
      <w:r w:rsidRPr="00CF693D">
        <w:rPr>
          <w:snapToGrid w:val="0"/>
          <w:sz w:val="28"/>
          <w:szCs w:val="28"/>
          <w:lang w:val="uk-UA"/>
        </w:rPr>
        <w:t>постійно приймала призначене лікува</w:t>
      </w:r>
      <w:r w:rsidRPr="00CF693D">
        <w:rPr>
          <w:snapToGrid w:val="0"/>
          <w:sz w:val="28"/>
          <w:szCs w:val="28"/>
        </w:rPr>
        <w:t xml:space="preserve">ння, дієтичних рекомендацій намагалася дотримуватися. </w:t>
      </w:r>
    </w:p>
    <w:p w:rsidR="00E3259F" w:rsidRPr="00CF693D" w:rsidRDefault="00E3259F" w:rsidP="005242C9">
      <w:pPr>
        <w:spacing w:line="360" w:lineRule="auto"/>
        <w:ind w:firstLine="709"/>
        <w:jc w:val="both"/>
        <w:rPr>
          <w:sz w:val="28"/>
          <w:szCs w:val="28"/>
          <w:lang w:val="uk-UA"/>
        </w:rPr>
      </w:pPr>
      <w:r w:rsidRPr="00CF693D">
        <w:rPr>
          <w:bCs/>
          <w:sz w:val="28"/>
          <w:szCs w:val="28"/>
        </w:rPr>
        <w:t>Об’єктивне обстеження</w:t>
      </w:r>
      <w:r w:rsidRPr="00CF693D">
        <w:rPr>
          <w:b/>
          <w:bCs/>
          <w:sz w:val="28"/>
          <w:szCs w:val="28"/>
        </w:rPr>
        <w:t>:</w:t>
      </w:r>
      <w:r w:rsidRPr="00CF693D">
        <w:rPr>
          <w:sz w:val="28"/>
          <w:szCs w:val="28"/>
        </w:rPr>
        <w:t xml:space="preserve"> загальний стан </w:t>
      </w:r>
      <w:r w:rsidRPr="00CF693D">
        <w:rPr>
          <w:rStyle w:val="shorttext"/>
          <w:rFonts w:eastAsiaTheme="majorEastAsia"/>
          <w:sz w:val="28"/>
          <w:szCs w:val="28"/>
        </w:rPr>
        <w:t>відносно задовільний</w:t>
      </w:r>
      <w:r w:rsidRPr="00CF693D">
        <w:rPr>
          <w:sz w:val="28"/>
          <w:szCs w:val="28"/>
        </w:rPr>
        <w:t>. Шкір</w:t>
      </w:r>
      <w:r w:rsidRPr="00CF693D">
        <w:rPr>
          <w:sz w:val="28"/>
          <w:szCs w:val="28"/>
          <w:lang w:val="uk-UA"/>
        </w:rPr>
        <w:t xml:space="preserve">а </w:t>
      </w:r>
      <w:r w:rsidRPr="00CF693D">
        <w:rPr>
          <w:sz w:val="28"/>
          <w:szCs w:val="28"/>
        </w:rPr>
        <w:t>звичайного кольору, сух</w:t>
      </w:r>
      <w:r w:rsidRPr="00CF693D">
        <w:rPr>
          <w:sz w:val="28"/>
          <w:szCs w:val="28"/>
          <w:lang w:val="uk-UA"/>
        </w:rPr>
        <w:t>а</w:t>
      </w:r>
      <w:r w:rsidRPr="00CF693D">
        <w:rPr>
          <w:sz w:val="28"/>
          <w:szCs w:val="28"/>
        </w:rPr>
        <w:t xml:space="preserve">. Над легенями везикулярне дихання. Серцева діяльність ритмічна, ЧСС 68 уд. за хв. АТ 145/85 мм. рт. ст. При пальпації живіт не збільшений у розмірах, м'який, безболісний. Печінка  не збільшена в розмірах. Периферійні набряки відсутні. </w:t>
      </w:r>
      <w:r w:rsidRPr="00CF693D">
        <w:rPr>
          <w:sz w:val="28"/>
          <w:szCs w:val="28"/>
          <w:lang w:val="uk-UA"/>
        </w:rPr>
        <w:t>Випорожнення</w:t>
      </w:r>
      <w:r w:rsidRPr="00CF693D">
        <w:rPr>
          <w:sz w:val="28"/>
          <w:szCs w:val="28"/>
        </w:rPr>
        <w:t xml:space="preserve"> та діурез без відмінностей.</w:t>
      </w:r>
      <w:r w:rsidRPr="00CF693D">
        <w:rPr>
          <w:sz w:val="28"/>
          <w:szCs w:val="28"/>
          <w:lang w:val="uk-UA"/>
        </w:rPr>
        <w:t xml:space="preserve"> Маса тіла 66 кг, зріст 158 см,  ІМТ 26,4 кг/м</w:t>
      </w:r>
      <w:r w:rsidRPr="00CF693D">
        <w:rPr>
          <w:sz w:val="28"/>
          <w:szCs w:val="28"/>
          <w:vertAlign w:val="superscript"/>
          <w:lang w:val="uk-UA"/>
        </w:rPr>
        <w:t>2</w:t>
      </w:r>
      <w:r w:rsidRPr="00CF693D">
        <w:rPr>
          <w:sz w:val="28"/>
          <w:szCs w:val="28"/>
          <w:lang w:val="uk-UA"/>
        </w:rPr>
        <w:t xml:space="preserve">, що свідчить про наявність надлишкової маси тіла. </w:t>
      </w:r>
    </w:p>
    <w:p w:rsidR="00E3259F" w:rsidRPr="00CF693D" w:rsidRDefault="00E3259F" w:rsidP="005242C9">
      <w:pPr>
        <w:suppressAutoHyphens/>
        <w:overflowPunct w:val="0"/>
        <w:autoSpaceDE w:val="0"/>
        <w:autoSpaceDN w:val="0"/>
        <w:adjustRightInd w:val="0"/>
        <w:spacing w:line="360" w:lineRule="auto"/>
        <w:ind w:firstLine="709"/>
        <w:jc w:val="both"/>
        <w:textAlignment w:val="baseline"/>
        <w:rPr>
          <w:sz w:val="28"/>
          <w:szCs w:val="28"/>
        </w:rPr>
      </w:pPr>
      <w:r w:rsidRPr="00CF693D">
        <w:rPr>
          <w:sz w:val="28"/>
          <w:szCs w:val="28"/>
        </w:rPr>
        <w:t>Хвор</w:t>
      </w:r>
      <w:r w:rsidRPr="00CF693D">
        <w:rPr>
          <w:sz w:val="28"/>
          <w:szCs w:val="28"/>
          <w:lang w:val="uk-UA"/>
        </w:rPr>
        <w:t>ій</w:t>
      </w:r>
      <w:r w:rsidRPr="00CF693D">
        <w:rPr>
          <w:sz w:val="28"/>
          <w:szCs w:val="28"/>
        </w:rPr>
        <w:t xml:space="preserve">, поряд </w:t>
      </w:r>
      <w:r w:rsidRPr="00CF693D">
        <w:rPr>
          <w:sz w:val="28"/>
          <w:szCs w:val="28"/>
          <w:lang w:val="uk-UA"/>
        </w:rPr>
        <w:t>і</w:t>
      </w:r>
      <w:r w:rsidRPr="00CF693D">
        <w:rPr>
          <w:sz w:val="28"/>
          <w:szCs w:val="28"/>
        </w:rPr>
        <w:t xml:space="preserve">з загальноприйнятим комплексом досліджень, </w:t>
      </w:r>
      <w:r w:rsidRPr="00CF693D">
        <w:rPr>
          <w:sz w:val="28"/>
          <w:szCs w:val="28"/>
          <w:lang w:val="uk-UA"/>
        </w:rPr>
        <w:t xml:space="preserve">було </w:t>
      </w:r>
      <w:r w:rsidRPr="00CF693D">
        <w:rPr>
          <w:sz w:val="28"/>
          <w:szCs w:val="28"/>
        </w:rPr>
        <w:t>пров</w:t>
      </w:r>
      <w:r w:rsidRPr="00CF693D">
        <w:rPr>
          <w:sz w:val="28"/>
          <w:szCs w:val="28"/>
          <w:lang w:val="uk-UA"/>
        </w:rPr>
        <w:t>едено</w:t>
      </w:r>
      <w:r w:rsidRPr="00CF693D">
        <w:rPr>
          <w:sz w:val="28"/>
          <w:szCs w:val="28"/>
        </w:rPr>
        <w:t xml:space="preserve"> дослідження метаболічних показників та маркерів </w:t>
      </w:r>
      <w:r w:rsidRPr="00CF693D">
        <w:rPr>
          <w:sz w:val="28"/>
          <w:szCs w:val="28"/>
          <w:lang w:val="uk-UA"/>
        </w:rPr>
        <w:t>ОС</w:t>
      </w:r>
      <w:r w:rsidRPr="00CF693D">
        <w:rPr>
          <w:sz w:val="28"/>
          <w:szCs w:val="28"/>
        </w:rPr>
        <w:t xml:space="preserve">, визначення ТКІМ сонних артерій. </w:t>
      </w:r>
    </w:p>
    <w:p w:rsidR="00E3259F" w:rsidRPr="00CF693D" w:rsidRDefault="00E3259F" w:rsidP="005242C9">
      <w:pPr>
        <w:spacing w:line="360" w:lineRule="auto"/>
        <w:ind w:firstLine="709"/>
        <w:jc w:val="both"/>
        <w:rPr>
          <w:sz w:val="28"/>
          <w:szCs w:val="28"/>
        </w:rPr>
      </w:pPr>
      <w:r w:rsidRPr="00CF693D">
        <w:rPr>
          <w:sz w:val="28"/>
          <w:szCs w:val="28"/>
        </w:rPr>
        <w:t>Результати інструментальних досліджень:</w:t>
      </w:r>
      <w:r w:rsidRPr="00CF693D">
        <w:rPr>
          <w:sz w:val="28"/>
          <w:szCs w:val="28"/>
          <w:lang w:val="uk-UA"/>
        </w:rPr>
        <w:t xml:space="preserve"> </w:t>
      </w:r>
      <w:r w:rsidRPr="00CF693D">
        <w:rPr>
          <w:sz w:val="28"/>
          <w:szCs w:val="28"/>
        </w:rPr>
        <w:t>УЗД сонних артерій – ТКІМ</w:t>
      </w:r>
      <w:r w:rsidRPr="00CF693D">
        <w:rPr>
          <w:sz w:val="28"/>
          <w:szCs w:val="28"/>
          <w:lang w:val="uk-UA"/>
        </w:rPr>
        <w:t xml:space="preserve">- </w:t>
      </w:r>
      <w:r w:rsidRPr="00CF693D">
        <w:rPr>
          <w:sz w:val="28"/>
          <w:szCs w:val="28"/>
        </w:rPr>
        <w:t>0,</w:t>
      </w:r>
      <w:r w:rsidRPr="00CF693D">
        <w:rPr>
          <w:sz w:val="28"/>
          <w:szCs w:val="28"/>
          <w:lang w:val="uk-UA"/>
        </w:rPr>
        <w:t>05</w:t>
      </w:r>
      <w:r w:rsidRPr="00CF693D">
        <w:rPr>
          <w:sz w:val="28"/>
          <w:szCs w:val="28"/>
        </w:rPr>
        <w:t xml:space="preserve"> мм, без наявності атеросклеротичних бляшок.</w:t>
      </w:r>
    </w:p>
    <w:p w:rsidR="00E3259F" w:rsidRPr="00CF693D" w:rsidRDefault="00E3259F" w:rsidP="005242C9">
      <w:pPr>
        <w:spacing w:line="360" w:lineRule="auto"/>
        <w:ind w:firstLine="709"/>
        <w:jc w:val="both"/>
        <w:rPr>
          <w:sz w:val="28"/>
          <w:szCs w:val="28"/>
        </w:rPr>
      </w:pPr>
      <w:r w:rsidRPr="00CF693D">
        <w:rPr>
          <w:snapToGrid w:val="0"/>
          <w:sz w:val="28"/>
          <w:szCs w:val="28"/>
        </w:rPr>
        <w:t>При УЗД щитовидної залози</w:t>
      </w:r>
      <w:r w:rsidRPr="00CF693D">
        <w:rPr>
          <w:snapToGrid w:val="0"/>
          <w:sz w:val="28"/>
          <w:szCs w:val="28"/>
          <w:lang w:val="uk-UA"/>
        </w:rPr>
        <w:t xml:space="preserve"> – ознаки аутоімунного тиреоїдиту без вузлоутворення</w:t>
      </w:r>
      <w:r w:rsidRPr="00CF693D">
        <w:rPr>
          <w:snapToGrid w:val="0"/>
          <w:sz w:val="28"/>
          <w:szCs w:val="28"/>
        </w:rPr>
        <w:t xml:space="preserve">, органів черевної порожнини – без патологічних змін, при проведенні ехокардіографії – гіпертрофія лівого шлуночка. На </w:t>
      </w:r>
      <w:r w:rsidRPr="00CF693D">
        <w:rPr>
          <w:snapToGrid w:val="0"/>
          <w:sz w:val="28"/>
          <w:szCs w:val="28"/>
          <w:lang w:val="uk-UA"/>
        </w:rPr>
        <w:t>Е</w:t>
      </w:r>
      <w:r w:rsidRPr="00CF693D">
        <w:rPr>
          <w:snapToGrid w:val="0"/>
          <w:sz w:val="28"/>
          <w:szCs w:val="28"/>
        </w:rPr>
        <w:t xml:space="preserve">КГ – синусовий ритм, ознаки гіпертрофії міокарда лівого шлуночка. </w:t>
      </w:r>
    </w:p>
    <w:p w:rsidR="00E3259F" w:rsidRPr="00CF693D" w:rsidRDefault="00E3259F" w:rsidP="005242C9">
      <w:pPr>
        <w:pStyle w:val="a4"/>
        <w:spacing w:line="360" w:lineRule="auto"/>
        <w:ind w:left="0" w:firstLine="709"/>
        <w:jc w:val="both"/>
        <w:rPr>
          <w:sz w:val="28"/>
          <w:szCs w:val="28"/>
          <w:lang w:val="uk-UA"/>
        </w:rPr>
      </w:pPr>
      <w:r w:rsidRPr="00CF693D">
        <w:rPr>
          <w:sz w:val="28"/>
          <w:szCs w:val="28"/>
          <w:lang w:val="uk-UA"/>
        </w:rPr>
        <w:t>Результати лабораторних досліджень:</w:t>
      </w:r>
    </w:p>
    <w:p w:rsidR="00E3259F" w:rsidRPr="00CF693D" w:rsidRDefault="00E3259F" w:rsidP="005242C9">
      <w:pPr>
        <w:spacing w:line="360" w:lineRule="auto"/>
        <w:ind w:firstLine="709"/>
        <w:jc w:val="both"/>
        <w:rPr>
          <w:sz w:val="28"/>
          <w:szCs w:val="28"/>
          <w:lang w:val="uk-UA"/>
        </w:rPr>
      </w:pPr>
      <w:r w:rsidRPr="00CF693D">
        <w:rPr>
          <w:snapToGrid w:val="0"/>
          <w:sz w:val="28"/>
          <w:szCs w:val="28"/>
          <w:lang w:val="uk-UA"/>
        </w:rPr>
        <w:t xml:space="preserve">У сироватці крові: ЗХС – 6,78 ммоль/л, тригліцериди – 1,58 ммоль/л, ХС ЛПВЩ -1,73 ммоль/л ХС ЛПНЩ – 4,34 мкмоль/л, що свідчить про наявність вираженої дисліпідемії. Рівень </w:t>
      </w:r>
      <w:r w:rsidRPr="00CF693D">
        <w:rPr>
          <w:kern w:val="2"/>
          <w:sz w:val="28"/>
          <w:szCs w:val="28"/>
          <w:lang w:val="uk-UA"/>
        </w:rPr>
        <w:t>ТТГ</w:t>
      </w:r>
      <w:r w:rsidRPr="00CF693D">
        <w:rPr>
          <w:sz w:val="28"/>
          <w:szCs w:val="28"/>
          <w:lang w:val="uk-UA"/>
        </w:rPr>
        <w:t xml:space="preserve"> становив 5,04 мкОд/мл, Т4 вільний – 15,6 ммоль/л, що свідчить про наявність субклінічного гіпотиреозу. Рівень</w:t>
      </w:r>
      <w:r w:rsidRPr="00CF693D">
        <w:rPr>
          <w:b/>
          <w:sz w:val="28"/>
          <w:szCs w:val="28"/>
          <w:lang w:val="uk-UA"/>
        </w:rPr>
        <w:t xml:space="preserve"> </w:t>
      </w:r>
      <w:r w:rsidRPr="00CF693D">
        <w:rPr>
          <w:sz w:val="28"/>
          <w:szCs w:val="28"/>
          <w:lang w:val="uk-UA"/>
        </w:rPr>
        <w:t>інсуліну – 29,54 мкОд/мл, глюкози крові – 5,04ммоль/л, глікований гемоглобін -6,03% ,</w:t>
      </w:r>
      <w:r w:rsidRPr="00CF693D">
        <w:rPr>
          <w:snapToGrid w:val="0"/>
          <w:sz w:val="28"/>
          <w:szCs w:val="28"/>
          <w:lang w:val="uk-UA"/>
        </w:rPr>
        <w:t xml:space="preserve"> НОМА –</w:t>
      </w:r>
      <w:r w:rsidRPr="00CF693D">
        <w:rPr>
          <w:snapToGrid w:val="0"/>
          <w:sz w:val="28"/>
          <w:szCs w:val="28"/>
          <w:lang w:val="en-US"/>
        </w:rPr>
        <w:t>IR</w:t>
      </w:r>
      <w:r w:rsidRPr="00CF693D">
        <w:rPr>
          <w:snapToGrid w:val="0"/>
          <w:sz w:val="28"/>
          <w:szCs w:val="28"/>
          <w:lang w:val="uk-UA"/>
        </w:rPr>
        <w:t xml:space="preserve"> – 6,62, що свідчить про наявність ознак інсулінорезистентності на тлі компенсації вуглеводного обміну </w:t>
      </w:r>
      <w:r w:rsidRPr="00CF693D">
        <w:rPr>
          <w:sz w:val="28"/>
          <w:szCs w:val="28"/>
          <w:lang w:val="uk-UA"/>
        </w:rPr>
        <w:t>.</w:t>
      </w:r>
    </w:p>
    <w:p w:rsidR="00E3259F" w:rsidRPr="00CF693D" w:rsidRDefault="00E3259F" w:rsidP="005242C9">
      <w:pPr>
        <w:spacing w:line="360" w:lineRule="auto"/>
        <w:ind w:firstLine="709"/>
        <w:jc w:val="both"/>
        <w:rPr>
          <w:sz w:val="28"/>
          <w:szCs w:val="28"/>
          <w:lang w:val="uk-UA"/>
        </w:rPr>
      </w:pPr>
      <w:r w:rsidRPr="00CF693D">
        <w:rPr>
          <w:bCs/>
          <w:sz w:val="28"/>
          <w:szCs w:val="28"/>
          <w:lang w:val="uk-UA"/>
        </w:rPr>
        <w:t xml:space="preserve">Хворій додатково  було проведено дослідження з визначенням показників оксидантної та антиоксидантної систем: рівень </w:t>
      </w:r>
      <w:r w:rsidRPr="00CF693D">
        <w:rPr>
          <w:sz w:val="28"/>
          <w:szCs w:val="28"/>
          <w:lang w:val="uk-UA"/>
        </w:rPr>
        <w:t>8-</w:t>
      </w:r>
      <w:r w:rsidRPr="00CF693D">
        <w:rPr>
          <w:sz w:val="28"/>
          <w:szCs w:val="28"/>
          <w:lang w:val="en-US"/>
        </w:rPr>
        <w:t>OH</w:t>
      </w:r>
      <w:r w:rsidRPr="00CF693D">
        <w:rPr>
          <w:sz w:val="28"/>
          <w:szCs w:val="28"/>
          <w:lang w:val="uk-UA"/>
        </w:rPr>
        <w:t>-</w:t>
      </w:r>
      <w:r w:rsidRPr="00CF693D">
        <w:rPr>
          <w:sz w:val="28"/>
          <w:szCs w:val="28"/>
          <w:lang w:val="en-US"/>
        </w:rPr>
        <w:t>dG</w:t>
      </w:r>
      <w:r w:rsidRPr="00CF693D">
        <w:rPr>
          <w:sz w:val="28"/>
          <w:szCs w:val="28"/>
          <w:lang w:val="uk-UA"/>
        </w:rPr>
        <w:t xml:space="preserve"> в сироватці крові дорівнює 9,63 нг/л, рівні МДА -5,62 мкмоль/л, </w:t>
      </w:r>
      <w:r w:rsidRPr="00CF693D">
        <w:rPr>
          <w:sz w:val="28"/>
          <w:szCs w:val="28"/>
        </w:rPr>
        <w:t>SH</w:t>
      </w:r>
      <w:r w:rsidRPr="00CF693D">
        <w:rPr>
          <w:sz w:val="28"/>
          <w:szCs w:val="28"/>
          <w:lang w:val="uk-UA"/>
        </w:rPr>
        <w:t xml:space="preserve"> –груп – 496,75 мкмоль/л, що незначно відрізняються від контрольних значень та свідчить про наявність ОС, але помірно вираженого.</w:t>
      </w:r>
    </w:p>
    <w:p w:rsidR="00E3259F" w:rsidRPr="00CF693D" w:rsidRDefault="00E3259F" w:rsidP="005242C9">
      <w:pPr>
        <w:spacing w:line="360" w:lineRule="auto"/>
        <w:ind w:firstLine="709"/>
        <w:jc w:val="both"/>
        <w:rPr>
          <w:kern w:val="2"/>
          <w:sz w:val="28"/>
          <w:szCs w:val="28"/>
          <w:lang w:val="uk-UA" w:eastAsia="ar-SA"/>
        </w:rPr>
      </w:pPr>
      <w:r w:rsidRPr="00CF693D">
        <w:rPr>
          <w:sz w:val="28"/>
          <w:szCs w:val="28"/>
          <w:lang w:val="uk-UA"/>
        </w:rPr>
        <w:t xml:space="preserve">Таким чином, у хворої визначені </w:t>
      </w:r>
      <w:r w:rsidRPr="00CF693D">
        <w:rPr>
          <w:sz w:val="28"/>
          <w:szCs w:val="28"/>
          <w:lang w:val="uk-UA" w:eastAsia="ar-SA"/>
        </w:rPr>
        <w:t xml:space="preserve">наступні значення прогностичних критеріїв: </w:t>
      </w:r>
      <w:r w:rsidRPr="00CF693D">
        <w:rPr>
          <w:i/>
          <w:kern w:val="2"/>
          <w:sz w:val="28"/>
          <w:szCs w:val="28"/>
          <w:lang w:val="en-US"/>
        </w:rPr>
        <w:t>X</w:t>
      </w:r>
      <w:r w:rsidRPr="00CF693D">
        <w:rPr>
          <w:i/>
          <w:kern w:val="2"/>
          <w:sz w:val="28"/>
          <w:szCs w:val="28"/>
          <w:vertAlign w:val="subscript"/>
          <w:lang w:val="uk-UA"/>
        </w:rPr>
        <w:t>1</w:t>
      </w:r>
      <w:r w:rsidRPr="00CF693D">
        <w:rPr>
          <w:kern w:val="2"/>
          <w:sz w:val="28"/>
          <w:szCs w:val="28"/>
          <w:vertAlign w:val="subscript"/>
          <w:lang w:val="uk-UA"/>
        </w:rPr>
        <w:t xml:space="preserve"> </w:t>
      </w:r>
      <w:r w:rsidRPr="00CF693D">
        <w:rPr>
          <w:kern w:val="2"/>
          <w:sz w:val="28"/>
          <w:szCs w:val="28"/>
          <w:lang w:val="uk-UA"/>
        </w:rPr>
        <w:t xml:space="preserve">– рівень </w:t>
      </w:r>
      <w:r w:rsidRPr="00CF693D">
        <w:rPr>
          <w:sz w:val="28"/>
          <w:szCs w:val="28"/>
          <w:lang w:val="uk-UA"/>
        </w:rPr>
        <w:t>8-</w:t>
      </w:r>
      <w:r w:rsidRPr="00CF693D">
        <w:rPr>
          <w:sz w:val="28"/>
          <w:szCs w:val="28"/>
        </w:rPr>
        <w:t>OH</w:t>
      </w:r>
      <w:r w:rsidRPr="00CF693D">
        <w:rPr>
          <w:sz w:val="28"/>
          <w:szCs w:val="28"/>
          <w:lang w:val="uk-UA"/>
        </w:rPr>
        <w:t>-</w:t>
      </w:r>
      <w:r w:rsidRPr="00CF693D">
        <w:rPr>
          <w:sz w:val="28"/>
          <w:szCs w:val="28"/>
        </w:rPr>
        <w:t>dG</w:t>
      </w:r>
      <w:r w:rsidRPr="00CF693D">
        <w:rPr>
          <w:sz w:val="28"/>
          <w:szCs w:val="28"/>
          <w:lang w:val="uk-UA"/>
        </w:rPr>
        <w:t xml:space="preserve"> – 9,63 нг/л, </w:t>
      </w:r>
      <w:r w:rsidRPr="00CF693D">
        <w:rPr>
          <w:i/>
          <w:kern w:val="2"/>
          <w:sz w:val="28"/>
          <w:szCs w:val="28"/>
          <w:lang w:val="en-US"/>
        </w:rPr>
        <w:t>X</w:t>
      </w:r>
      <w:r w:rsidRPr="00CF693D">
        <w:rPr>
          <w:i/>
          <w:kern w:val="2"/>
          <w:sz w:val="28"/>
          <w:szCs w:val="28"/>
          <w:vertAlign w:val="subscript"/>
          <w:lang w:val="uk-UA"/>
        </w:rPr>
        <w:t xml:space="preserve">2 </w:t>
      </w:r>
      <w:r w:rsidRPr="00CF693D">
        <w:rPr>
          <w:kern w:val="2"/>
          <w:sz w:val="28"/>
          <w:szCs w:val="28"/>
          <w:lang w:val="uk-UA"/>
        </w:rPr>
        <w:t xml:space="preserve">– рівень </w:t>
      </w:r>
      <w:r w:rsidRPr="00CF693D">
        <w:rPr>
          <w:sz w:val="28"/>
          <w:szCs w:val="28"/>
          <w:lang w:val="uk-UA"/>
        </w:rPr>
        <w:t xml:space="preserve">МДА – 5,62 мкмоль/л, </w:t>
      </w:r>
      <w:r w:rsidRPr="00CF693D">
        <w:rPr>
          <w:i/>
          <w:spacing w:val="-4"/>
          <w:kern w:val="2"/>
          <w:sz w:val="28"/>
          <w:szCs w:val="28"/>
          <w:lang w:val="en-US"/>
        </w:rPr>
        <w:t>X</w:t>
      </w:r>
      <w:r w:rsidRPr="00CF693D">
        <w:rPr>
          <w:i/>
          <w:spacing w:val="-4"/>
          <w:kern w:val="2"/>
          <w:sz w:val="28"/>
          <w:szCs w:val="28"/>
          <w:vertAlign w:val="subscript"/>
          <w:lang w:val="uk-UA"/>
        </w:rPr>
        <w:t>3</w:t>
      </w:r>
      <w:r w:rsidRPr="00CF693D">
        <w:rPr>
          <w:spacing w:val="-4"/>
          <w:kern w:val="2"/>
          <w:sz w:val="28"/>
          <w:szCs w:val="28"/>
          <w:vertAlign w:val="subscript"/>
          <w:lang w:val="uk-UA"/>
        </w:rPr>
        <w:t xml:space="preserve"> </w:t>
      </w:r>
      <w:r w:rsidRPr="00CF693D">
        <w:rPr>
          <w:spacing w:val="-4"/>
          <w:kern w:val="2"/>
          <w:sz w:val="28"/>
          <w:szCs w:val="28"/>
          <w:lang w:val="uk-UA"/>
        </w:rPr>
        <w:t xml:space="preserve">– </w:t>
      </w:r>
      <w:r w:rsidRPr="00CF693D">
        <w:rPr>
          <w:spacing w:val="-4"/>
          <w:sz w:val="28"/>
          <w:szCs w:val="28"/>
          <w:lang w:val="uk-UA"/>
        </w:rPr>
        <w:t xml:space="preserve">ТКІМ ЗСА </w:t>
      </w:r>
      <w:r w:rsidRPr="00CF693D">
        <w:rPr>
          <w:sz w:val="28"/>
          <w:szCs w:val="28"/>
          <w:lang w:val="uk-UA"/>
        </w:rPr>
        <w:t>–</w:t>
      </w:r>
      <w:r w:rsidRPr="00CF693D">
        <w:rPr>
          <w:spacing w:val="-4"/>
          <w:sz w:val="28"/>
          <w:szCs w:val="28"/>
          <w:lang w:val="uk-UA"/>
        </w:rPr>
        <w:t xml:space="preserve"> 0,05 мм; </w:t>
      </w:r>
      <w:r w:rsidRPr="00CF693D">
        <w:rPr>
          <w:i/>
          <w:kern w:val="2"/>
          <w:sz w:val="28"/>
          <w:szCs w:val="28"/>
          <w:lang w:val="en-US"/>
        </w:rPr>
        <w:t>X</w:t>
      </w:r>
      <w:r w:rsidRPr="00CF693D">
        <w:rPr>
          <w:i/>
          <w:kern w:val="2"/>
          <w:sz w:val="28"/>
          <w:szCs w:val="28"/>
          <w:vertAlign w:val="subscript"/>
          <w:lang w:val="uk-UA"/>
        </w:rPr>
        <w:t>4</w:t>
      </w:r>
      <w:r w:rsidRPr="00CF693D">
        <w:rPr>
          <w:kern w:val="2"/>
          <w:sz w:val="28"/>
          <w:szCs w:val="28"/>
          <w:vertAlign w:val="subscript"/>
          <w:lang w:val="uk-UA"/>
        </w:rPr>
        <w:t xml:space="preserve"> </w:t>
      </w:r>
      <w:r w:rsidRPr="00CF693D">
        <w:rPr>
          <w:kern w:val="2"/>
          <w:sz w:val="28"/>
          <w:szCs w:val="28"/>
          <w:lang w:val="uk-UA"/>
        </w:rPr>
        <w:t xml:space="preserve">– рівень </w:t>
      </w:r>
      <w:r w:rsidRPr="00CF693D">
        <w:rPr>
          <w:sz w:val="28"/>
          <w:szCs w:val="28"/>
        </w:rPr>
        <w:t>SH</w:t>
      </w:r>
      <w:r w:rsidRPr="00CF693D">
        <w:rPr>
          <w:sz w:val="28"/>
          <w:szCs w:val="28"/>
          <w:lang w:val="uk-UA"/>
        </w:rPr>
        <w:t xml:space="preserve">-груп (якісний показник) – 2; </w:t>
      </w:r>
      <w:r w:rsidRPr="00CF693D">
        <w:rPr>
          <w:i/>
          <w:kern w:val="2"/>
          <w:sz w:val="28"/>
          <w:szCs w:val="28"/>
          <w:lang w:val="en-US"/>
        </w:rPr>
        <w:t>X</w:t>
      </w:r>
      <w:r w:rsidRPr="00CF693D">
        <w:rPr>
          <w:i/>
          <w:kern w:val="2"/>
          <w:sz w:val="28"/>
          <w:szCs w:val="28"/>
          <w:vertAlign w:val="subscript"/>
          <w:lang w:val="uk-UA"/>
        </w:rPr>
        <w:t>5</w:t>
      </w:r>
      <w:r w:rsidRPr="00CF693D">
        <w:rPr>
          <w:kern w:val="2"/>
          <w:sz w:val="28"/>
          <w:szCs w:val="28"/>
          <w:vertAlign w:val="subscript"/>
          <w:lang w:val="uk-UA"/>
        </w:rPr>
        <w:t xml:space="preserve"> </w:t>
      </w:r>
      <w:r w:rsidRPr="00CF693D">
        <w:rPr>
          <w:kern w:val="2"/>
          <w:sz w:val="28"/>
          <w:szCs w:val="28"/>
          <w:lang w:val="uk-UA"/>
        </w:rPr>
        <w:t xml:space="preserve">– </w:t>
      </w:r>
      <w:r w:rsidRPr="00CF693D">
        <w:rPr>
          <w:sz w:val="28"/>
          <w:szCs w:val="28"/>
          <w:lang w:val="uk-UA"/>
        </w:rPr>
        <w:t>ХСЛПВЩ –1,73 ммоль/л.</w:t>
      </w:r>
    </w:p>
    <w:p w:rsidR="00E3259F" w:rsidRPr="00CF693D" w:rsidRDefault="00E3259F" w:rsidP="005242C9">
      <w:pPr>
        <w:spacing w:line="360" w:lineRule="auto"/>
        <w:ind w:firstLine="709"/>
        <w:jc w:val="both"/>
        <w:rPr>
          <w:bCs/>
          <w:position w:val="-24"/>
          <w:sz w:val="28"/>
          <w:szCs w:val="28"/>
          <w:lang w:eastAsia="en-US"/>
        </w:rPr>
      </w:pPr>
      <w:r w:rsidRPr="00CF693D">
        <w:rPr>
          <w:kern w:val="2"/>
          <w:sz w:val="28"/>
          <w:szCs w:val="28"/>
          <w:lang w:eastAsia="ar-SA"/>
        </w:rPr>
        <w:t>Хвор</w:t>
      </w:r>
      <w:r w:rsidRPr="00CF693D">
        <w:rPr>
          <w:kern w:val="2"/>
          <w:sz w:val="28"/>
          <w:szCs w:val="28"/>
          <w:lang w:val="uk-UA" w:eastAsia="ar-SA"/>
        </w:rPr>
        <w:t>ій було</w:t>
      </w:r>
      <w:r w:rsidRPr="00CF693D">
        <w:rPr>
          <w:kern w:val="2"/>
          <w:sz w:val="28"/>
          <w:szCs w:val="28"/>
          <w:lang w:eastAsia="ar-SA"/>
        </w:rPr>
        <w:t xml:space="preserve"> здійсн</w:t>
      </w:r>
      <w:r w:rsidRPr="00CF693D">
        <w:rPr>
          <w:kern w:val="2"/>
          <w:sz w:val="28"/>
          <w:szCs w:val="28"/>
          <w:lang w:val="uk-UA" w:eastAsia="ar-SA"/>
        </w:rPr>
        <w:t>ено</w:t>
      </w:r>
      <w:r w:rsidRPr="00CF693D">
        <w:rPr>
          <w:kern w:val="2"/>
          <w:sz w:val="28"/>
          <w:szCs w:val="28"/>
          <w:lang w:eastAsia="ar-SA"/>
        </w:rPr>
        <w:t xml:space="preserve"> індивідуальну кількісну оцінку прогностичних критеріїв та розрахов</w:t>
      </w:r>
      <w:r w:rsidRPr="00CF693D">
        <w:rPr>
          <w:kern w:val="2"/>
          <w:sz w:val="28"/>
          <w:szCs w:val="28"/>
          <w:lang w:val="uk-UA" w:eastAsia="ar-SA"/>
        </w:rPr>
        <w:t>ано</w:t>
      </w:r>
      <w:r w:rsidRPr="00CF693D">
        <w:rPr>
          <w:kern w:val="2"/>
          <w:sz w:val="28"/>
          <w:szCs w:val="28"/>
          <w:lang w:eastAsia="ar-SA"/>
        </w:rPr>
        <w:t xml:space="preserve"> в автоматичному режимі в Exсel прогностичний індекс за розробленою формулою:</w:t>
      </w:r>
      <w:r w:rsidRPr="00CF693D">
        <w:rPr>
          <w:bCs/>
          <w:position w:val="-24"/>
          <w:sz w:val="28"/>
          <w:szCs w:val="28"/>
        </w:rPr>
        <w:t xml:space="preserve"> </w:t>
      </w:r>
    </w:p>
    <w:p w:rsidR="00E3259F" w:rsidRPr="00CF693D" w:rsidRDefault="00E3259F" w:rsidP="005242C9">
      <w:pPr>
        <w:autoSpaceDE w:val="0"/>
        <w:autoSpaceDN w:val="0"/>
        <w:adjustRightInd w:val="0"/>
        <w:spacing w:line="360" w:lineRule="auto"/>
        <w:ind w:firstLine="709"/>
        <w:jc w:val="center"/>
        <w:rPr>
          <w:sz w:val="28"/>
          <w:szCs w:val="28"/>
        </w:rPr>
      </w:pPr>
      <w:r w:rsidRPr="00CF693D">
        <w:rPr>
          <w:kern w:val="2"/>
          <w:position w:val="-4"/>
          <w:sz w:val="28"/>
          <w:szCs w:val="28"/>
        </w:rPr>
        <w:object w:dxaOrig="240" w:dyaOrig="435">
          <v:shape id="_x0000_i1047" type="#_x0000_t75" style="width:12.75pt;height:21.75pt" o:ole="">
            <v:imagedata r:id="rId17" o:title=""/>
          </v:shape>
          <o:OLEObject Type="Embed" ProgID="Equation.3" ShapeID="_x0000_i1047" DrawAspect="Content" ObjectID="_1669446831" r:id="rId47"/>
        </w:object>
      </w:r>
      <w:r w:rsidRPr="00CF693D">
        <w:rPr>
          <w:kern w:val="2"/>
          <w:sz w:val="28"/>
          <w:szCs w:val="28"/>
        </w:rPr>
        <w:t xml:space="preserve">=[1+ </w:t>
      </w:r>
      <w:r w:rsidRPr="00CF693D">
        <w:rPr>
          <w:kern w:val="2"/>
          <w:sz w:val="28"/>
          <w:szCs w:val="28"/>
          <w:lang w:val="en-US"/>
        </w:rPr>
        <w:t>exp</w:t>
      </w:r>
      <w:r w:rsidRPr="00CF693D">
        <w:rPr>
          <w:kern w:val="2"/>
          <w:sz w:val="28"/>
          <w:szCs w:val="28"/>
        </w:rPr>
        <w:t>(-(0</w:t>
      </w:r>
      <w:r w:rsidRPr="00CF693D">
        <w:rPr>
          <w:sz w:val="28"/>
          <w:szCs w:val="28"/>
        </w:rPr>
        <w:t>,953</w:t>
      </w:r>
      <w:r w:rsidRPr="00CF693D">
        <w:rPr>
          <w:sz w:val="28"/>
          <w:szCs w:val="28"/>
          <w:lang w:val="uk-UA"/>
        </w:rPr>
        <w:t>*</w:t>
      </w:r>
      <w:r w:rsidRPr="00CF693D">
        <w:rPr>
          <w:sz w:val="28"/>
          <w:szCs w:val="28"/>
        </w:rPr>
        <w:t>9,63</w:t>
      </w:r>
      <w:r w:rsidRPr="00CF693D">
        <w:rPr>
          <w:kern w:val="2"/>
          <w:sz w:val="28"/>
          <w:szCs w:val="28"/>
        </w:rPr>
        <w:t>+</w:t>
      </w:r>
      <w:r w:rsidRPr="00CF693D">
        <w:rPr>
          <w:sz w:val="28"/>
          <w:szCs w:val="28"/>
        </w:rPr>
        <w:t>9,895</w:t>
      </w:r>
      <w:r w:rsidRPr="00CF693D">
        <w:rPr>
          <w:sz w:val="28"/>
          <w:szCs w:val="28"/>
          <w:lang w:val="uk-UA"/>
        </w:rPr>
        <w:t>*</w:t>
      </w:r>
      <w:r w:rsidRPr="00CF693D">
        <w:rPr>
          <w:sz w:val="28"/>
          <w:szCs w:val="28"/>
        </w:rPr>
        <w:t xml:space="preserve">5,62 </w:t>
      </w:r>
      <w:r w:rsidRPr="00CF693D">
        <w:rPr>
          <w:kern w:val="2"/>
          <w:sz w:val="28"/>
          <w:szCs w:val="28"/>
        </w:rPr>
        <w:t xml:space="preserve">- </w:t>
      </w:r>
      <w:r w:rsidRPr="00CF693D">
        <w:rPr>
          <w:sz w:val="28"/>
          <w:szCs w:val="28"/>
        </w:rPr>
        <w:t>138,922</w:t>
      </w:r>
      <w:r w:rsidRPr="00CF693D">
        <w:rPr>
          <w:sz w:val="28"/>
          <w:szCs w:val="28"/>
          <w:lang w:val="uk-UA"/>
        </w:rPr>
        <w:t>*</w:t>
      </w:r>
      <w:r w:rsidRPr="00CF693D">
        <w:rPr>
          <w:kern w:val="2"/>
          <w:sz w:val="28"/>
          <w:szCs w:val="28"/>
          <w:lang w:val="uk-UA"/>
        </w:rPr>
        <w:t xml:space="preserve"> </w:t>
      </w:r>
      <w:r w:rsidRPr="00CF693D">
        <w:rPr>
          <w:spacing w:val="-4"/>
          <w:sz w:val="28"/>
          <w:szCs w:val="28"/>
        </w:rPr>
        <w:t>0,05</w:t>
      </w:r>
      <w:r w:rsidRPr="00CF693D">
        <w:rPr>
          <w:kern w:val="2"/>
          <w:sz w:val="28"/>
          <w:szCs w:val="28"/>
        </w:rPr>
        <w:t>+</w:t>
      </w:r>
      <w:r w:rsidRPr="00CF693D">
        <w:rPr>
          <w:sz w:val="28"/>
          <w:szCs w:val="28"/>
        </w:rPr>
        <w:t>11,200</w:t>
      </w:r>
      <w:r w:rsidRPr="00CF693D">
        <w:rPr>
          <w:sz w:val="28"/>
          <w:szCs w:val="28"/>
          <w:lang w:val="uk-UA"/>
        </w:rPr>
        <w:t xml:space="preserve">* </w:t>
      </w:r>
      <w:r w:rsidRPr="00CF693D">
        <w:rPr>
          <w:i/>
          <w:kern w:val="2"/>
          <w:sz w:val="28"/>
          <w:szCs w:val="28"/>
        </w:rPr>
        <w:t>2</w:t>
      </w:r>
      <w:r w:rsidRPr="00CF693D">
        <w:rPr>
          <w:kern w:val="2"/>
          <w:sz w:val="28"/>
          <w:szCs w:val="28"/>
          <w:vertAlign w:val="subscript"/>
        </w:rPr>
        <w:t xml:space="preserve"> </w:t>
      </w:r>
      <w:r w:rsidRPr="00CF693D">
        <w:rPr>
          <w:sz w:val="28"/>
          <w:szCs w:val="28"/>
        </w:rPr>
        <w:t xml:space="preserve">-4,466 </w:t>
      </w:r>
      <w:r w:rsidRPr="00CF693D">
        <w:rPr>
          <w:sz w:val="28"/>
          <w:szCs w:val="28"/>
          <w:lang w:val="uk-UA"/>
        </w:rPr>
        <w:t>*</w:t>
      </w:r>
      <w:r w:rsidRPr="00CF693D">
        <w:rPr>
          <w:kern w:val="2"/>
          <w:sz w:val="28"/>
          <w:szCs w:val="28"/>
        </w:rPr>
        <w:t>1,73</w:t>
      </w:r>
      <w:r w:rsidRPr="00CF693D">
        <w:rPr>
          <w:sz w:val="28"/>
          <w:szCs w:val="28"/>
        </w:rPr>
        <w:t xml:space="preserve"> - 80,843)</w:t>
      </w:r>
      <w:r w:rsidRPr="00CF693D">
        <w:rPr>
          <w:kern w:val="2"/>
          <w:sz w:val="28"/>
          <w:szCs w:val="28"/>
        </w:rPr>
        <w:t>)]</w:t>
      </w:r>
      <w:r w:rsidRPr="00CF693D">
        <w:rPr>
          <w:kern w:val="2"/>
          <w:sz w:val="28"/>
          <w:szCs w:val="28"/>
          <w:vertAlign w:val="superscript"/>
        </w:rPr>
        <w:t>-1</w:t>
      </w:r>
    </w:p>
    <w:p w:rsidR="00E3259F" w:rsidRPr="00CF693D" w:rsidRDefault="00E3259F" w:rsidP="005242C9">
      <w:pPr>
        <w:spacing w:line="360" w:lineRule="auto"/>
        <w:ind w:firstLine="709"/>
        <w:jc w:val="both"/>
        <w:rPr>
          <w:sz w:val="28"/>
          <w:szCs w:val="28"/>
          <w:lang w:val="uk-UA"/>
        </w:rPr>
      </w:pPr>
      <w:r w:rsidRPr="00CF693D">
        <w:rPr>
          <w:sz w:val="28"/>
          <w:szCs w:val="28"/>
          <w:lang w:val="uk-UA"/>
        </w:rPr>
        <w:t xml:space="preserve">Ймовірність </w:t>
      </w:r>
      <w:r w:rsidRPr="00CF693D">
        <w:rPr>
          <w:sz w:val="28"/>
          <w:szCs w:val="28"/>
        </w:rPr>
        <w:t xml:space="preserve">прогресування оксидативного стресу </w:t>
      </w:r>
      <w:r w:rsidRPr="00CF693D">
        <w:rPr>
          <w:sz w:val="28"/>
          <w:szCs w:val="28"/>
          <w:lang w:val="uk-UA"/>
        </w:rPr>
        <w:t xml:space="preserve">у даного пацієнта </w:t>
      </w:r>
      <w:r w:rsidR="005242C9" w:rsidRPr="00CF693D">
        <w:rPr>
          <w:sz w:val="28"/>
          <w:szCs w:val="28"/>
          <w:lang w:val="uk-UA"/>
        </w:rPr>
        <w:t xml:space="preserve">           </w:t>
      </w:r>
      <w:r w:rsidRPr="00CF693D">
        <w:rPr>
          <w:sz w:val="28"/>
          <w:szCs w:val="28"/>
        </w:rPr>
        <w:object w:dxaOrig="240" w:dyaOrig="405">
          <v:shape id="_x0000_i1048" type="#_x0000_t75" style="width:12.75pt;height:20.25pt" o:ole="">
            <v:imagedata r:id="rId48" o:title=""/>
          </v:shape>
          <o:OLEObject Type="Embed" ProgID="Equation.3" ShapeID="_x0000_i1048" DrawAspect="Content" ObjectID="_1669446832" r:id="rId49"/>
        </w:object>
      </w:r>
      <w:r w:rsidRPr="00CF693D">
        <w:rPr>
          <w:sz w:val="28"/>
          <w:szCs w:val="28"/>
          <w:lang w:val="uk-UA"/>
        </w:rPr>
        <w:t xml:space="preserve"> = 0,0002.</w:t>
      </w:r>
    </w:p>
    <w:p w:rsidR="00E3259F" w:rsidRPr="00CF693D" w:rsidRDefault="00E3259F" w:rsidP="005242C9">
      <w:pPr>
        <w:spacing w:line="360" w:lineRule="auto"/>
        <w:ind w:firstLine="709"/>
        <w:jc w:val="both"/>
        <w:rPr>
          <w:rFonts w:eastAsia="Calibri"/>
          <w:bCs/>
          <w:sz w:val="28"/>
          <w:szCs w:val="28"/>
          <w:lang w:val="uk-UA" w:eastAsia="en-US"/>
        </w:rPr>
      </w:pPr>
      <w:r w:rsidRPr="00CF693D">
        <w:rPr>
          <w:bCs/>
          <w:sz w:val="28"/>
          <w:szCs w:val="28"/>
          <w:lang w:val="uk-UA"/>
        </w:rPr>
        <w:t>Результати:</w:t>
      </w:r>
      <w:r w:rsidRPr="00CF693D">
        <w:rPr>
          <w:b/>
          <w:bCs/>
          <w:sz w:val="28"/>
          <w:szCs w:val="28"/>
          <w:lang w:val="uk-UA"/>
        </w:rPr>
        <w:t xml:space="preserve"> </w:t>
      </w:r>
      <w:r w:rsidRPr="00CF693D">
        <w:rPr>
          <w:bCs/>
          <w:sz w:val="28"/>
          <w:szCs w:val="28"/>
          <w:lang w:val="uk-UA"/>
        </w:rPr>
        <w:t>незважаючи на наявність ознаків дисліпідемії та інсулінорезистентності</w:t>
      </w:r>
      <w:r w:rsidRPr="00CF693D">
        <w:rPr>
          <w:b/>
          <w:bCs/>
          <w:sz w:val="28"/>
          <w:szCs w:val="28"/>
          <w:lang w:val="uk-UA"/>
        </w:rPr>
        <w:t xml:space="preserve">, </w:t>
      </w:r>
      <w:r w:rsidRPr="00CF693D">
        <w:rPr>
          <w:bCs/>
          <w:sz w:val="28"/>
          <w:szCs w:val="28"/>
          <w:lang w:val="uk-UA"/>
        </w:rPr>
        <w:t>пацієнтка має невиражений оксидативний стрес, який проявляється незначним дисбалансом оксидантної та антиоксидантної систем й окилювальним ушкодженням ДНК, що в сукупності з нормальними значеннями ХС ЛПВЩ та ТКІМ віддзеркалює мінімальний додатковий негативний вплив на перебіг ГХ з ЦД 2 типу у поєднанні зі СГТ та прогресування захворювань, незначно підвищуючи загальний КВР.</w:t>
      </w:r>
    </w:p>
    <w:p w:rsidR="00E3259F" w:rsidRPr="00CF693D" w:rsidRDefault="00E3259F" w:rsidP="005242C9">
      <w:pPr>
        <w:pStyle w:val="a4"/>
        <w:spacing w:line="360" w:lineRule="auto"/>
        <w:ind w:left="0" w:firstLine="709"/>
        <w:jc w:val="both"/>
        <w:rPr>
          <w:sz w:val="28"/>
          <w:szCs w:val="28"/>
          <w:lang w:val="uk-UA"/>
        </w:rPr>
      </w:pPr>
      <w:r w:rsidRPr="00CF693D">
        <w:rPr>
          <w:sz w:val="28"/>
          <w:szCs w:val="28"/>
          <w:lang w:val="uk-UA" w:eastAsia="uk-UA"/>
        </w:rPr>
        <w:t>Таким чином, запропонований метод дозволяє комплексно оцінювати вираженість ОС в пацієнтів з ГХ та ЦД 2 типу в поєднанні з СГТ</w:t>
      </w:r>
      <w:r w:rsidRPr="00CF693D">
        <w:rPr>
          <w:bCs/>
          <w:sz w:val="28"/>
          <w:szCs w:val="28"/>
          <w:lang w:val="uk-UA" w:eastAsia="uk-UA"/>
        </w:rPr>
        <w:t xml:space="preserve"> на основі лабораторно-інструментальних показників, що дозволить у клінічній практиці покращити своєчасне </w:t>
      </w:r>
      <w:r w:rsidRPr="00CF693D">
        <w:rPr>
          <w:rFonts w:eastAsia="Calibri"/>
          <w:sz w:val="28"/>
          <w:szCs w:val="28"/>
          <w:lang w:val="uk-UA" w:eastAsia="uk-UA"/>
        </w:rPr>
        <w:t xml:space="preserve">виявлення факторів, що впливають на прогресування коморбідної патології та </w:t>
      </w:r>
      <w:r w:rsidRPr="00CF693D">
        <w:rPr>
          <w:sz w:val="28"/>
          <w:szCs w:val="28"/>
          <w:lang w:val="uk-UA" w:eastAsia="uk-UA"/>
        </w:rPr>
        <w:t xml:space="preserve">призначення адекватних лікувально-профілактичних заходів. </w:t>
      </w:r>
    </w:p>
    <w:p w:rsidR="00E3259F" w:rsidRPr="005242C9" w:rsidRDefault="00E3259F" w:rsidP="005242C9">
      <w:pPr>
        <w:spacing w:line="360" w:lineRule="auto"/>
        <w:ind w:firstLine="709"/>
        <w:jc w:val="both"/>
        <w:rPr>
          <w:sz w:val="28"/>
          <w:szCs w:val="28"/>
          <w:lang w:val="uk-UA"/>
        </w:rPr>
      </w:pPr>
    </w:p>
    <w:p w:rsidR="00E3259F" w:rsidRPr="005242C9" w:rsidRDefault="00E3259F" w:rsidP="005242C9">
      <w:pPr>
        <w:spacing w:line="360" w:lineRule="auto"/>
        <w:ind w:firstLine="709"/>
        <w:rPr>
          <w:lang w:val="uk-UA"/>
        </w:rPr>
      </w:pPr>
    </w:p>
    <w:p w:rsidR="00E3259F" w:rsidRPr="005242C9" w:rsidRDefault="00E3259F" w:rsidP="005242C9">
      <w:pPr>
        <w:spacing w:line="360" w:lineRule="auto"/>
        <w:ind w:firstLine="709"/>
        <w:rPr>
          <w:sz w:val="22"/>
          <w:szCs w:val="22"/>
          <w:lang w:val="uk-UA"/>
        </w:rPr>
      </w:pPr>
    </w:p>
    <w:p w:rsidR="00E3259F" w:rsidRPr="005242C9" w:rsidRDefault="00E3259F" w:rsidP="005242C9">
      <w:pPr>
        <w:spacing w:line="360" w:lineRule="auto"/>
        <w:ind w:firstLine="709"/>
        <w:jc w:val="both"/>
        <w:rPr>
          <w:rFonts w:eastAsia="Calibri"/>
          <w:sz w:val="28"/>
          <w:szCs w:val="28"/>
          <w:lang w:eastAsia="en-US"/>
        </w:rPr>
      </w:pPr>
      <w:r w:rsidRPr="005242C9">
        <w:rPr>
          <w:lang w:val="uk-UA"/>
        </w:rPr>
        <w:t xml:space="preserve"> </w:t>
      </w:r>
      <w:r w:rsidRPr="005242C9">
        <w:rPr>
          <w:rFonts w:eastAsia="Calibri"/>
          <w:sz w:val="28"/>
          <w:szCs w:val="28"/>
        </w:rPr>
        <w:t xml:space="preserve">Результати власних досліджень розділу </w:t>
      </w:r>
      <w:r w:rsidRPr="005242C9">
        <w:rPr>
          <w:rFonts w:eastAsia="Calibri"/>
          <w:sz w:val="28"/>
          <w:szCs w:val="28"/>
          <w:lang w:val="uk-UA"/>
        </w:rPr>
        <w:t>4</w:t>
      </w:r>
      <w:r w:rsidRPr="005242C9">
        <w:rPr>
          <w:rFonts w:eastAsia="Calibri"/>
          <w:sz w:val="28"/>
          <w:szCs w:val="28"/>
        </w:rPr>
        <w:t xml:space="preserve"> представлено патентом [</w:t>
      </w:r>
      <w:r w:rsidRPr="005242C9">
        <w:rPr>
          <w:rFonts w:eastAsia="Calibri"/>
          <w:sz w:val="28"/>
          <w:szCs w:val="28"/>
          <w:lang w:val="uk-UA"/>
        </w:rPr>
        <w:t>6</w:t>
      </w:r>
      <w:r w:rsidRPr="005242C9">
        <w:rPr>
          <w:rFonts w:eastAsia="Calibri"/>
          <w:sz w:val="28"/>
          <w:szCs w:val="28"/>
        </w:rPr>
        <w:t xml:space="preserve">], </w:t>
      </w:r>
      <w:r w:rsidRPr="005242C9">
        <w:rPr>
          <w:rFonts w:eastAsia="Calibri"/>
          <w:sz w:val="28"/>
          <w:szCs w:val="28"/>
          <w:lang w:val="uk-UA"/>
        </w:rPr>
        <w:t xml:space="preserve">викладені в статтях [70,75,78,291,293], </w:t>
      </w:r>
      <w:r w:rsidRPr="005242C9">
        <w:rPr>
          <w:rFonts w:eastAsia="Calibri"/>
          <w:sz w:val="28"/>
          <w:szCs w:val="28"/>
        </w:rPr>
        <w:t>апробовані на наукових форумах [</w:t>
      </w:r>
      <w:r w:rsidRPr="005242C9">
        <w:rPr>
          <w:rFonts w:eastAsia="Calibri"/>
          <w:sz w:val="28"/>
          <w:szCs w:val="28"/>
          <w:lang w:val="uk-UA"/>
        </w:rPr>
        <w:t>7</w:t>
      </w:r>
      <w:r w:rsidRPr="005242C9">
        <w:rPr>
          <w:rFonts w:eastAsia="Calibri"/>
          <w:sz w:val="28"/>
          <w:szCs w:val="28"/>
        </w:rPr>
        <w:t>,</w:t>
      </w:r>
      <w:r w:rsidRPr="005242C9">
        <w:rPr>
          <w:rFonts w:eastAsia="Calibri"/>
          <w:sz w:val="28"/>
          <w:szCs w:val="28"/>
          <w:lang w:val="uk-UA"/>
        </w:rPr>
        <w:t>12,83</w:t>
      </w:r>
      <w:r w:rsidRPr="005242C9">
        <w:rPr>
          <w:rFonts w:eastAsia="Calibri"/>
          <w:sz w:val="28"/>
          <w:szCs w:val="28"/>
        </w:rPr>
        <w:t>].</w:t>
      </w:r>
    </w:p>
    <w:p w:rsidR="00E3259F" w:rsidRPr="005242C9" w:rsidRDefault="00E3259F" w:rsidP="005242C9">
      <w:pPr>
        <w:spacing w:line="360" w:lineRule="auto"/>
        <w:ind w:firstLine="709"/>
      </w:pPr>
    </w:p>
    <w:p w:rsidR="00E3259F" w:rsidRPr="005242C9" w:rsidRDefault="00E3259F" w:rsidP="005242C9">
      <w:pPr>
        <w:spacing w:line="360" w:lineRule="auto"/>
        <w:ind w:firstLine="709"/>
        <w:jc w:val="both"/>
        <w:rPr>
          <w:lang w:val="uk-UA"/>
        </w:rPr>
      </w:pPr>
    </w:p>
    <w:p w:rsidR="00E3259F" w:rsidRPr="005242C9" w:rsidRDefault="00E3259F" w:rsidP="005242C9">
      <w:pPr>
        <w:pStyle w:val="xfmc5"/>
        <w:spacing w:before="0" w:beforeAutospacing="0" w:after="0" w:afterAutospacing="0" w:line="360" w:lineRule="auto"/>
        <w:ind w:firstLine="709"/>
        <w:jc w:val="both"/>
        <w:rPr>
          <w:sz w:val="28"/>
          <w:szCs w:val="28"/>
        </w:rPr>
      </w:pPr>
    </w:p>
    <w:p w:rsidR="00E3259F" w:rsidRDefault="00E3259F" w:rsidP="00E3259F">
      <w:pPr>
        <w:rPr>
          <w:color w:val="000000"/>
          <w:sz w:val="28"/>
          <w:szCs w:val="28"/>
          <w:shd w:val="clear" w:color="auto" w:fill="FFFFFF"/>
          <w:lang w:val="uk-UA"/>
        </w:rPr>
      </w:pPr>
    </w:p>
    <w:p w:rsidR="00E3259F" w:rsidRDefault="00E3259F" w:rsidP="00E3259F">
      <w:pPr>
        <w:pStyle w:val="a4"/>
        <w:shd w:val="clear" w:color="auto" w:fill="FFFFFF"/>
        <w:spacing w:line="360" w:lineRule="auto"/>
        <w:jc w:val="both"/>
        <w:rPr>
          <w:rFonts w:ascii="Calibri" w:hAnsi="Calibri"/>
          <w:b/>
          <w:color w:val="000000"/>
          <w:sz w:val="28"/>
          <w:szCs w:val="28"/>
          <w:shd w:val="clear" w:color="auto" w:fill="FFFFFF"/>
          <w:lang w:val="uk-UA" w:eastAsia="uk-UA"/>
        </w:rPr>
      </w:pPr>
    </w:p>
    <w:p w:rsidR="00E3259F" w:rsidRDefault="00E3259F" w:rsidP="00E3259F">
      <w:pPr>
        <w:pStyle w:val="a4"/>
        <w:shd w:val="clear" w:color="auto" w:fill="FFFFFF"/>
        <w:spacing w:line="360" w:lineRule="auto"/>
        <w:jc w:val="both"/>
        <w:rPr>
          <w:rFonts w:ascii="Calibri" w:hAnsi="Calibri"/>
          <w:sz w:val="28"/>
          <w:szCs w:val="28"/>
          <w:lang w:val="uk-UA" w:eastAsia="uk-UA"/>
        </w:rPr>
      </w:pPr>
      <w:r>
        <w:rPr>
          <w:rFonts w:ascii="Calibri" w:hAnsi="Calibri"/>
          <w:b/>
          <w:color w:val="000000"/>
          <w:sz w:val="28"/>
          <w:szCs w:val="28"/>
          <w:shd w:val="clear" w:color="auto" w:fill="FFFFFF"/>
          <w:lang w:val="uk-UA" w:eastAsia="uk-UA"/>
        </w:rPr>
        <w:tab/>
      </w:r>
    </w:p>
    <w:p w:rsidR="00E3259F" w:rsidRDefault="00E3259F" w:rsidP="00E3259F">
      <w:pPr>
        <w:pStyle w:val="a4"/>
        <w:shd w:val="clear" w:color="auto" w:fill="FFFFFF"/>
        <w:spacing w:line="360" w:lineRule="auto"/>
        <w:jc w:val="both"/>
        <w:rPr>
          <w:rFonts w:ascii="Calibri" w:hAnsi="Calibri"/>
          <w:color w:val="000000"/>
          <w:sz w:val="28"/>
          <w:szCs w:val="28"/>
          <w:shd w:val="clear" w:color="auto" w:fill="FFFFFF"/>
          <w:lang w:val="uk-UA" w:eastAsia="uk-UA"/>
        </w:rPr>
      </w:pPr>
    </w:p>
    <w:p w:rsidR="0064003E" w:rsidRDefault="0064003E" w:rsidP="00E3259F">
      <w:pPr>
        <w:jc w:val="center"/>
        <w:rPr>
          <w:sz w:val="28"/>
          <w:szCs w:val="28"/>
          <w:lang w:val="uk-UA"/>
        </w:rPr>
      </w:pPr>
    </w:p>
    <w:p w:rsidR="0064003E" w:rsidRDefault="0064003E" w:rsidP="00E3259F">
      <w:pPr>
        <w:jc w:val="center"/>
        <w:rPr>
          <w:sz w:val="28"/>
          <w:szCs w:val="28"/>
          <w:lang w:val="uk-UA"/>
        </w:rPr>
      </w:pPr>
    </w:p>
    <w:p w:rsidR="0064003E" w:rsidRDefault="0064003E" w:rsidP="00E3259F">
      <w:pPr>
        <w:jc w:val="center"/>
        <w:rPr>
          <w:sz w:val="28"/>
          <w:szCs w:val="28"/>
          <w:lang w:val="uk-UA"/>
        </w:rPr>
      </w:pPr>
    </w:p>
    <w:p w:rsidR="00E3259F" w:rsidRDefault="00E3259F" w:rsidP="00E3259F">
      <w:pPr>
        <w:jc w:val="center"/>
        <w:rPr>
          <w:sz w:val="28"/>
          <w:szCs w:val="28"/>
          <w:lang w:val="uk-UA"/>
        </w:rPr>
      </w:pPr>
      <w:r>
        <w:rPr>
          <w:sz w:val="28"/>
          <w:szCs w:val="28"/>
          <w:lang w:val="uk-UA"/>
        </w:rPr>
        <w:t>РОЗДІЛ 5</w:t>
      </w:r>
    </w:p>
    <w:p w:rsidR="00E3259F" w:rsidRDefault="00E3259F" w:rsidP="00E3259F">
      <w:pPr>
        <w:rPr>
          <w:sz w:val="28"/>
          <w:szCs w:val="28"/>
          <w:lang w:val="uk-UA"/>
        </w:rPr>
      </w:pPr>
    </w:p>
    <w:p w:rsidR="00E3259F" w:rsidRDefault="00E3259F" w:rsidP="00E3259F">
      <w:pPr>
        <w:spacing w:line="360" w:lineRule="auto"/>
        <w:jc w:val="both"/>
        <w:rPr>
          <w:sz w:val="28"/>
          <w:szCs w:val="28"/>
          <w:lang w:val="uk-UA" w:eastAsia="en-US"/>
        </w:rPr>
      </w:pPr>
      <w:r>
        <w:rPr>
          <w:sz w:val="28"/>
          <w:szCs w:val="28"/>
          <w:lang w:val="uk-UA" w:eastAsia="en-US"/>
        </w:rPr>
        <w:t>ОЦІНКА СТАНУ СУДИННОГО ЕНДОТЕЛІЮ У ХВОРИХ НА ГІПЕРТОНІЧНУ ХВОРОБУ В ПОЄДНАННІ З ЦУКРОВИМ ДІАБЕТОМ 2 ТИПУ БЕЗ ПОРУШЕННЯ ФУНКЦІЇ ЩИТОПОДІБНОЇ ЗАЛОЗИ ТА  З СУБКЛІНІЧНИМ ГІПОТИРЕОЗОМ</w:t>
      </w:r>
    </w:p>
    <w:p w:rsidR="00E3259F" w:rsidRDefault="00E3259F" w:rsidP="00E3259F">
      <w:pPr>
        <w:rPr>
          <w:lang w:val="uk-UA"/>
        </w:rPr>
      </w:pPr>
    </w:p>
    <w:p w:rsidR="00E3259F" w:rsidRDefault="00E3259F" w:rsidP="00E3259F">
      <w:pPr>
        <w:spacing w:line="360" w:lineRule="auto"/>
        <w:rPr>
          <w:sz w:val="28"/>
          <w:szCs w:val="28"/>
          <w:lang w:val="uk-UA"/>
        </w:rPr>
      </w:pPr>
      <w:r>
        <w:rPr>
          <w:sz w:val="28"/>
          <w:szCs w:val="28"/>
          <w:lang w:val="uk-UA"/>
        </w:rPr>
        <w:t xml:space="preserve">5.1. Діагностичне значення васкулоендотеліального фактора росту </w:t>
      </w:r>
      <w:r w:rsidR="00CF693D">
        <w:rPr>
          <w:sz w:val="28"/>
          <w:szCs w:val="28"/>
          <w:lang w:val="uk-UA" w:eastAsia="en-US"/>
        </w:rPr>
        <w:t>та циркулюючих десквамованих ендотеліальних клітин</w:t>
      </w:r>
      <w:r w:rsidR="00CF693D">
        <w:rPr>
          <w:sz w:val="28"/>
          <w:szCs w:val="28"/>
          <w:lang w:val="uk-UA"/>
        </w:rPr>
        <w:t xml:space="preserve"> </w:t>
      </w:r>
      <w:r>
        <w:rPr>
          <w:sz w:val="28"/>
          <w:szCs w:val="28"/>
          <w:lang w:val="uk-UA"/>
        </w:rPr>
        <w:t>у хворих на гіпертонічну хворобу в поєднанні з цукровим діабетом 2 типу без порушення функції щитоподібної залози та з субклінічним гіпотиреозом</w:t>
      </w:r>
    </w:p>
    <w:p w:rsidR="00E3259F" w:rsidRDefault="00E3259F" w:rsidP="00E3259F">
      <w:pPr>
        <w:rPr>
          <w:sz w:val="28"/>
          <w:szCs w:val="28"/>
          <w:lang w:val="uk-UA"/>
        </w:rPr>
      </w:pPr>
    </w:p>
    <w:p w:rsidR="00E3259F" w:rsidRPr="00CF693D" w:rsidRDefault="00E3259F" w:rsidP="00CF693D">
      <w:pPr>
        <w:pStyle w:val="13"/>
        <w:shd w:val="clear" w:color="auto" w:fill="FFFFFF"/>
        <w:spacing w:before="0" w:beforeAutospacing="0" w:after="0" w:afterAutospacing="0" w:line="360" w:lineRule="auto"/>
        <w:ind w:firstLine="709"/>
        <w:jc w:val="both"/>
        <w:rPr>
          <w:sz w:val="28"/>
          <w:szCs w:val="28"/>
          <w:lang w:val="uk-UA"/>
        </w:rPr>
      </w:pPr>
      <w:r w:rsidRPr="00CF693D">
        <w:rPr>
          <w:sz w:val="28"/>
          <w:szCs w:val="28"/>
          <w:lang w:val="uk-UA"/>
        </w:rPr>
        <w:t>Протягом двох останніх десятиліть активно розвивається концепція ендотеліальної дисфункції як одного з основних механізмів реалізації всіх факторів серцево-судинного ризику і як раннього маркера розвитку та прогресування атеросклеротичних змін судинної стінки, ремоделюванняі судин, ангіогенезі, зокрема в осіб з ГХ [57,62].  Доведено, що ЕД асоціюється з великою кількістю різних факторів та патологічних станів як вік, постменопауза, гіперхолестеринемія, гіпертригліцеридемія, ЦД, куріння, АГ. Важливо, що ризик розвитку ЕД підвищується як в залежності від збільшення загальної кількості факторів ризику, так і від їх комбінації [</w:t>
      </w:r>
      <w:bookmarkStart w:id="19" w:name="_Hlk43665696"/>
      <w:r w:rsidRPr="00CF693D">
        <w:rPr>
          <w:sz w:val="28"/>
          <w:szCs w:val="28"/>
          <w:lang w:val="uk-UA"/>
        </w:rPr>
        <w:t>203,3</w:t>
      </w:r>
      <w:bookmarkEnd w:id="19"/>
      <w:r w:rsidRPr="00CF693D">
        <w:rPr>
          <w:sz w:val="28"/>
          <w:szCs w:val="28"/>
          <w:lang w:val="uk-UA"/>
        </w:rPr>
        <w:t>75].  Коморбідність ГХ, ЦД 2 типу та СГТ має негативний взаємний вплив і значно погіршує перебіг цих захворювань, що також може бути пов'язано з ЕД.</w:t>
      </w:r>
    </w:p>
    <w:p w:rsidR="00E3259F" w:rsidRPr="00CF693D" w:rsidRDefault="00E3259F" w:rsidP="00CF693D">
      <w:pPr>
        <w:spacing w:line="360" w:lineRule="auto"/>
        <w:ind w:firstLine="709"/>
        <w:jc w:val="both"/>
        <w:rPr>
          <w:sz w:val="28"/>
          <w:szCs w:val="28"/>
        </w:rPr>
      </w:pPr>
      <w:r w:rsidRPr="00CF693D">
        <w:rPr>
          <w:sz w:val="28"/>
          <w:szCs w:val="28"/>
          <w:lang w:val="uk-UA"/>
        </w:rPr>
        <w:t>До цього часу проведено достатню кількість досліджень, які підтверджують вплив ВЕФР на проникність судинної стінки, в результаті яких можна сказати, що ВЕФР є не тільки провідним фактором ангіогенезу, але й критерієм прогнозу судинних катастроф в організмі людини [62,105]. Крім того, існує думка, що ВЕФР здатний впливати на стан ліпідного обміну - зниження токсичності ЛПНЩ щодо до ендотелію [1</w:t>
      </w:r>
      <w:r w:rsidRPr="00CF693D">
        <w:rPr>
          <w:sz w:val="28"/>
          <w:szCs w:val="28"/>
        </w:rPr>
        <w:t>69</w:t>
      </w:r>
      <w:r w:rsidRPr="00CF693D">
        <w:rPr>
          <w:sz w:val="28"/>
          <w:szCs w:val="28"/>
          <w:lang w:val="uk-UA"/>
        </w:rPr>
        <w:t xml:space="preserve">]. </w:t>
      </w:r>
      <w:r w:rsidRPr="00CF693D">
        <w:rPr>
          <w:sz w:val="28"/>
          <w:szCs w:val="28"/>
        </w:rPr>
        <w:t xml:space="preserve">У </w:t>
      </w:r>
      <w:r w:rsidRPr="00CF693D">
        <w:rPr>
          <w:sz w:val="28"/>
          <w:szCs w:val="28"/>
          <w:lang w:val="uk-UA"/>
        </w:rPr>
        <w:t xml:space="preserve">низці </w:t>
      </w:r>
      <w:r w:rsidRPr="00CF693D">
        <w:rPr>
          <w:sz w:val="28"/>
          <w:szCs w:val="28"/>
        </w:rPr>
        <w:t>робіт наводяться дані, які можуть вказувати на зв'язок рівнів ВЕФР з показниками ліпідного обміну та факторами запалення</w:t>
      </w:r>
      <w:r w:rsidRPr="00CF693D">
        <w:rPr>
          <w:sz w:val="28"/>
          <w:szCs w:val="28"/>
          <w:lang w:val="uk-UA"/>
        </w:rPr>
        <w:t xml:space="preserve"> </w:t>
      </w:r>
      <w:r w:rsidRPr="00CF693D">
        <w:rPr>
          <w:sz w:val="28"/>
          <w:szCs w:val="28"/>
        </w:rPr>
        <w:t>[</w:t>
      </w:r>
      <w:r w:rsidRPr="00CF693D">
        <w:rPr>
          <w:sz w:val="28"/>
          <w:szCs w:val="28"/>
          <w:lang w:val="uk-UA"/>
        </w:rPr>
        <w:t>31,</w:t>
      </w:r>
      <w:r w:rsidRPr="00CF693D">
        <w:rPr>
          <w:sz w:val="28"/>
          <w:szCs w:val="28"/>
        </w:rPr>
        <w:t xml:space="preserve">40,169]. Однак </w:t>
      </w:r>
      <w:r w:rsidRPr="00CF693D">
        <w:rPr>
          <w:sz w:val="28"/>
          <w:szCs w:val="28"/>
          <w:lang w:val="uk-UA"/>
        </w:rPr>
        <w:t>на цей</w:t>
      </w:r>
      <w:r w:rsidRPr="00CF693D">
        <w:rPr>
          <w:sz w:val="28"/>
          <w:szCs w:val="28"/>
        </w:rPr>
        <w:t xml:space="preserve"> час не існує єдиної думки про роль ВЕФР в атерогенезе. Також в літературі є поодинокі дані про зміну рівня ВЕФР </w:t>
      </w:r>
      <w:r w:rsidRPr="00CF693D">
        <w:rPr>
          <w:sz w:val="28"/>
          <w:szCs w:val="28"/>
          <w:lang w:val="uk-UA"/>
        </w:rPr>
        <w:t>у</w:t>
      </w:r>
      <w:r w:rsidRPr="00CF693D">
        <w:rPr>
          <w:sz w:val="28"/>
          <w:szCs w:val="28"/>
        </w:rPr>
        <w:t xml:space="preserve"> крові хворих АГ</w:t>
      </w:r>
      <w:r w:rsidRPr="00CF693D">
        <w:rPr>
          <w:sz w:val="28"/>
          <w:szCs w:val="28"/>
          <w:lang w:val="uk-UA"/>
        </w:rPr>
        <w:t xml:space="preserve"> </w:t>
      </w:r>
      <w:r w:rsidRPr="00CF693D">
        <w:rPr>
          <w:sz w:val="28"/>
          <w:szCs w:val="28"/>
        </w:rPr>
        <w:t>[</w:t>
      </w:r>
      <w:r w:rsidRPr="00CF693D">
        <w:rPr>
          <w:sz w:val="28"/>
          <w:szCs w:val="28"/>
          <w:lang w:val="uk-UA"/>
        </w:rPr>
        <w:t>62,260</w:t>
      </w:r>
      <w:r w:rsidRPr="00CF693D">
        <w:rPr>
          <w:sz w:val="28"/>
          <w:szCs w:val="28"/>
        </w:rPr>
        <w:t>].</w:t>
      </w:r>
    </w:p>
    <w:p w:rsidR="00E3259F" w:rsidRPr="00CF693D" w:rsidRDefault="00E3259F" w:rsidP="00CF693D">
      <w:pPr>
        <w:shd w:val="clear" w:color="auto" w:fill="FFFFFF"/>
        <w:spacing w:line="360" w:lineRule="auto"/>
        <w:ind w:firstLine="709"/>
        <w:jc w:val="both"/>
        <w:rPr>
          <w:sz w:val="28"/>
          <w:szCs w:val="28"/>
          <w:lang w:val="uk-UA"/>
        </w:rPr>
      </w:pPr>
      <w:r w:rsidRPr="00CF693D">
        <w:rPr>
          <w:sz w:val="28"/>
          <w:szCs w:val="28"/>
          <w:lang w:val="uk-UA"/>
        </w:rPr>
        <w:t>Визначення ЦДЕК на даний час вважається одним з найбільш простих, досить інформативних і доступних методів дослідження морфологічного стану ендотелію [</w:t>
      </w:r>
      <w:r w:rsidRPr="00CF693D">
        <w:rPr>
          <w:sz w:val="28"/>
          <w:szCs w:val="28"/>
        </w:rPr>
        <w:t>261,411</w:t>
      </w:r>
      <w:r w:rsidRPr="00CF693D">
        <w:rPr>
          <w:sz w:val="28"/>
          <w:szCs w:val="28"/>
          <w:lang w:val="uk-UA"/>
        </w:rPr>
        <w:t>].  Крім того, показано збільшення цих клітин при різних патологічних станах, що містять широкий спектр серцево-судинних захворювань, ЦД [</w:t>
      </w:r>
      <w:bookmarkStart w:id="20" w:name="_Hlk43666284"/>
      <w:r w:rsidRPr="00CF693D">
        <w:rPr>
          <w:sz w:val="28"/>
          <w:szCs w:val="28"/>
        </w:rPr>
        <w:t>221,261,</w:t>
      </w:r>
      <w:bookmarkEnd w:id="20"/>
      <w:r w:rsidRPr="00CF693D">
        <w:rPr>
          <w:sz w:val="28"/>
          <w:szCs w:val="28"/>
        </w:rPr>
        <w:t>411</w:t>
      </w:r>
      <w:r w:rsidRPr="00CF693D">
        <w:rPr>
          <w:sz w:val="28"/>
          <w:szCs w:val="28"/>
          <w:lang w:val="uk-UA"/>
        </w:rPr>
        <w:t>]. В більш ранніх роботах було показано, що у хворих з гострим інфарктом міокарду високий рівень ЦДЕК в першу добу був незалежним предиктором смерті та ССУ у віддаленому періоді, що дозволяє використовувати цей маркер для стратифікації КВР [261].</w:t>
      </w:r>
    </w:p>
    <w:p w:rsidR="00E3259F" w:rsidRPr="00CF693D" w:rsidRDefault="00E3259F" w:rsidP="00CF693D">
      <w:pPr>
        <w:shd w:val="clear" w:color="auto" w:fill="FFFFFF"/>
        <w:spacing w:line="360" w:lineRule="auto"/>
        <w:ind w:firstLine="709"/>
        <w:jc w:val="both"/>
        <w:rPr>
          <w:sz w:val="28"/>
          <w:szCs w:val="28"/>
          <w:lang w:val="uk-UA"/>
        </w:rPr>
      </w:pPr>
      <w:r w:rsidRPr="00CF693D">
        <w:rPr>
          <w:sz w:val="28"/>
          <w:szCs w:val="28"/>
          <w:shd w:val="clear" w:color="auto" w:fill="FFFFFF"/>
          <w:lang w:val="uk-UA"/>
        </w:rPr>
        <w:t>Відомо, що одним з методів неінвазивного визначення структурно-функціонального стану ендотелію судин  є  визначення товщини комплексу інтима-медіа загальної сонної артерії (ТКІМ ЗСА), потовщення якого пов`язано</w:t>
      </w:r>
      <w:r w:rsidRPr="00CF693D">
        <w:rPr>
          <w:b/>
          <w:sz w:val="28"/>
          <w:szCs w:val="28"/>
          <w:shd w:val="clear" w:color="auto" w:fill="FFFFFF"/>
          <w:lang w:val="uk-UA"/>
        </w:rPr>
        <w:t xml:space="preserve"> з</w:t>
      </w:r>
      <w:r w:rsidRPr="00CF693D">
        <w:rPr>
          <w:sz w:val="28"/>
          <w:szCs w:val="28"/>
          <w:shd w:val="clear" w:color="auto" w:fill="FFFFFF"/>
          <w:lang w:val="uk-UA"/>
        </w:rPr>
        <w:t xml:space="preserve"> ризиком розвитку коронарних і цереброваскулярних ускладнень, за даними багатьох досліджень [213]. </w:t>
      </w:r>
      <w:r w:rsidRPr="00CF693D">
        <w:rPr>
          <w:sz w:val="28"/>
          <w:szCs w:val="28"/>
          <w:lang w:val="uk-UA"/>
        </w:rPr>
        <w:t>З іншого боку, існують науково-клінічні дослідження, в яких при багатьох захворюваннях, в тому числі ЦД 2 типу, СГТ, потовщення ТКІМ ЗСА розцінено як маркер розвитку атеросклерозу [</w:t>
      </w:r>
      <w:bookmarkStart w:id="21" w:name="_Hlk43666481"/>
      <w:r w:rsidRPr="00CF693D">
        <w:rPr>
          <w:sz w:val="28"/>
          <w:szCs w:val="28"/>
          <w:lang w:val="uk-UA"/>
        </w:rPr>
        <w:t>344,3</w:t>
      </w:r>
      <w:bookmarkEnd w:id="21"/>
      <w:r w:rsidRPr="00CF693D">
        <w:rPr>
          <w:sz w:val="28"/>
          <w:szCs w:val="28"/>
          <w:lang w:val="uk-UA"/>
        </w:rPr>
        <w:t xml:space="preserve">92]. </w:t>
      </w:r>
      <w:r w:rsidRPr="00CF693D">
        <w:rPr>
          <w:sz w:val="28"/>
          <w:szCs w:val="28"/>
        </w:rPr>
        <w:t xml:space="preserve">Питання взаємозв'язку ТКІМ з подальшими </w:t>
      </w:r>
      <w:r w:rsidRPr="00CF693D">
        <w:rPr>
          <w:sz w:val="28"/>
          <w:szCs w:val="28"/>
          <w:lang w:val="uk-UA"/>
        </w:rPr>
        <w:t>ССУ</w:t>
      </w:r>
      <w:r w:rsidRPr="00CF693D">
        <w:rPr>
          <w:sz w:val="28"/>
          <w:szCs w:val="28"/>
        </w:rPr>
        <w:t xml:space="preserve"> при різних патологічних станах продовжує вивчатися.</w:t>
      </w:r>
    </w:p>
    <w:p w:rsidR="00E3259F" w:rsidRPr="00CF693D" w:rsidRDefault="00E3259F" w:rsidP="00CF693D">
      <w:pPr>
        <w:shd w:val="clear" w:color="auto" w:fill="FFFFFF"/>
        <w:spacing w:line="360" w:lineRule="auto"/>
        <w:ind w:firstLine="709"/>
        <w:jc w:val="both"/>
        <w:rPr>
          <w:sz w:val="28"/>
          <w:szCs w:val="28"/>
          <w:lang w:val="uk-UA"/>
        </w:rPr>
      </w:pPr>
      <w:r w:rsidRPr="00CF693D">
        <w:rPr>
          <w:sz w:val="28"/>
          <w:szCs w:val="28"/>
          <w:shd w:val="clear" w:color="auto" w:fill="FFFFFF"/>
          <w:lang w:val="uk-UA"/>
        </w:rPr>
        <w:t>До цього часу дані щодо впливу тиреоїдної дисфункції, яка виникає при СГТ, на стан ендотелію та формування ЕД сильно різняться й залишаються не до кінця зрозумілими. Існують дані про ушкодження ендотелію судин під дією імунних комплексів на тлі хронічного аутоімунного тиреоїдиту, що може посилювати прояви ЕД [</w:t>
      </w:r>
      <w:r w:rsidRPr="00CF693D">
        <w:rPr>
          <w:sz w:val="28"/>
          <w:szCs w:val="28"/>
          <w:lang w:val="uk-UA"/>
        </w:rPr>
        <w:t>62</w:t>
      </w:r>
      <w:r w:rsidRPr="00CF693D">
        <w:rPr>
          <w:sz w:val="28"/>
          <w:szCs w:val="28"/>
          <w:shd w:val="clear" w:color="auto" w:fill="FFFFFF"/>
          <w:lang w:val="uk-UA"/>
        </w:rPr>
        <w:t>]. Також існують роботи, в яких продемонстровано порушення секреції ендотелій-залежних факторів дилятації при гіпотиреозі [31,</w:t>
      </w:r>
      <w:r w:rsidRPr="00CF693D">
        <w:rPr>
          <w:sz w:val="28"/>
          <w:szCs w:val="28"/>
          <w:shd w:val="clear" w:color="auto" w:fill="FFFFFF"/>
        </w:rPr>
        <w:t>153</w:t>
      </w:r>
      <w:r w:rsidRPr="00CF693D">
        <w:rPr>
          <w:sz w:val="28"/>
          <w:szCs w:val="28"/>
          <w:lang w:val="uk-UA"/>
        </w:rPr>
        <w:t>]. В низці робіт описано потовщення ТКІМ у осіб з СГТ порівняно зі здоровими учасниками дослідження [</w:t>
      </w:r>
      <w:r w:rsidRPr="00CF693D">
        <w:rPr>
          <w:sz w:val="28"/>
          <w:szCs w:val="28"/>
        </w:rPr>
        <w:t>214</w:t>
      </w:r>
      <w:r w:rsidRPr="00CF693D">
        <w:rPr>
          <w:sz w:val="28"/>
          <w:szCs w:val="28"/>
          <w:lang w:val="uk-UA"/>
        </w:rPr>
        <w:t>]. Оскільки припускається, що СГТ може сприяти розвитку або прогресуванню дисліпідемії, атеросклерозу, АГ, абдомінального ожиріння, та ССУ, цікавим є питання про вплив СГТ на рівні ВЕФР, як маркера ЕД.</w:t>
      </w:r>
      <w:r w:rsidRPr="00CF693D">
        <w:rPr>
          <w:sz w:val="28"/>
          <w:szCs w:val="28"/>
        </w:rPr>
        <w:t> </w:t>
      </w:r>
    </w:p>
    <w:p w:rsidR="00E3259F" w:rsidRPr="00CF693D" w:rsidRDefault="00E3259F" w:rsidP="00CF693D">
      <w:pPr>
        <w:shd w:val="clear" w:color="auto" w:fill="FFFFFF"/>
        <w:spacing w:line="360" w:lineRule="auto"/>
        <w:ind w:firstLine="709"/>
        <w:jc w:val="both"/>
        <w:rPr>
          <w:sz w:val="28"/>
          <w:szCs w:val="28"/>
          <w:lang w:val="uk-UA"/>
        </w:rPr>
      </w:pPr>
      <w:r w:rsidRPr="00CF693D">
        <w:rPr>
          <w:sz w:val="28"/>
          <w:szCs w:val="28"/>
          <w:lang w:val="uk-UA"/>
        </w:rPr>
        <w:t>Немає ніяких сумнівів, що механізми розвитку ЕД при коморбідній патології складні та вивчені недостатньо [57]. Вивчення коморбідних станів, для кожного з яких характерна наявність у патогенезі ЕД і чинників, які її поглиблюють, що може проявитися в посиленні експресії судинного ендотеліального фактора росту, відіграє важливу роль у розумінні спільності патогенетичних процесів і розробці більш ефективних профілактичних та лікувальних заходів.</w:t>
      </w:r>
    </w:p>
    <w:p w:rsidR="00E3259F" w:rsidRPr="00CF693D" w:rsidRDefault="00E3259F" w:rsidP="00CF693D">
      <w:pPr>
        <w:spacing w:line="360" w:lineRule="auto"/>
        <w:ind w:firstLine="709"/>
        <w:jc w:val="both"/>
        <w:rPr>
          <w:sz w:val="28"/>
          <w:szCs w:val="28"/>
          <w:lang w:val="uk-UA"/>
        </w:rPr>
      </w:pPr>
      <w:r w:rsidRPr="00CF693D">
        <w:rPr>
          <w:sz w:val="28"/>
          <w:szCs w:val="28"/>
          <w:lang w:val="uk-UA"/>
        </w:rPr>
        <w:t>При аналізі рівня ВЕФР у пацієнтів з ізольованою ГХ цей показник був достовірно вище, ніж у групі контролю (374,19±20,92 пг/мл та 121,84±11,66 пг /мл відповідно, р=0,001). Ці дані співпадають з результатами досліджень [62],  у яких було виявлено достовірне підвищення сироваткового рівня ВЕФР у хворих на ГХ порівняно з практично здоровими особами, при цьому у даної категорії хворих відзначалося збільшення рівня цього чинника з віком.</w:t>
      </w:r>
    </w:p>
    <w:p w:rsidR="00E3259F" w:rsidRDefault="00E3259F" w:rsidP="00E3259F">
      <w:pPr>
        <w:spacing w:line="480" w:lineRule="auto"/>
        <w:ind w:firstLine="709"/>
        <w:jc w:val="right"/>
        <w:rPr>
          <w:sz w:val="28"/>
          <w:szCs w:val="28"/>
        </w:rPr>
      </w:pPr>
      <w:r>
        <w:rPr>
          <w:sz w:val="28"/>
          <w:szCs w:val="28"/>
          <w:lang w:val="uk-UA"/>
        </w:rPr>
        <w:t xml:space="preserve">Таблиця 5.1 </w:t>
      </w:r>
    </w:p>
    <w:p w:rsidR="00E3259F" w:rsidRDefault="00E3259F" w:rsidP="00E3259F">
      <w:pPr>
        <w:spacing w:line="480" w:lineRule="auto"/>
        <w:ind w:firstLine="709"/>
        <w:jc w:val="center"/>
        <w:rPr>
          <w:sz w:val="28"/>
          <w:szCs w:val="28"/>
        </w:rPr>
      </w:pPr>
      <w:r>
        <w:rPr>
          <w:sz w:val="28"/>
          <w:szCs w:val="28"/>
          <w:lang w:val="uk-UA"/>
        </w:rPr>
        <w:t>Порівняльний аналіз показників ЕД у досліджуваних групах,</w:t>
      </w:r>
      <w:r>
        <w:rPr>
          <w:sz w:val="28"/>
          <w:szCs w:val="28"/>
        </w:rPr>
        <w:t xml:space="preserve"> (</w:t>
      </w:r>
      <w:r>
        <w:rPr>
          <w:sz w:val="28"/>
          <w:szCs w:val="28"/>
          <w:lang w:val="en-US"/>
        </w:rPr>
        <w:t>M</w:t>
      </w:r>
      <w:r>
        <w:rPr>
          <w:sz w:val="28"/>
          <w:szCs w:val="28"/>
        </w:rPr>
        <w:t xml:space="preserve"> ± </w:t>
      </w:r>
      <w:r>
        <w:rPr>
          <w:sz w:val="28"/>
          <w:szCs w:val="28"/>
          <w:lang w:val="en-US"/>
        </w:rPr>
        <w:t>m</w:t>
      </w:r>
      <w:r>
        <w:rPr>
          <w:sz w:val="28"/>
          <w:szCs w:val="28"/>
        </w:rPr>
        <w:t>)</w:t>
      </w:r>
    </w:p>
    <w:tbl>
      <w:tblPr>
        <w:tblW w:w="5000" w:type="pct"/>
        <w:tblLook w:val="00A0" w:firstRow="1" w:lastRow="0" w:firstColumn="1" w:lastColumn="0" w:noHBand="0" w:noVBand="0"/>
      </w:tblPr>
      <w:tblGrid>
        <w:gridCol w:w="1241"/>
        <w:gridCol w:w="1560"/>
        <w:gridCol w:w="1702"/>
        <w:gridCol w:w="1843"/>
        <w:gridCol w:w="1700"/>
        <w:gridCol w:w="1524"/>
      </w:tblGrid>
      <w:tr w:rsidR="00E3259F" w:rsidRPr="00CF693D" w:rsidTr="00E3259F">
        <w:tc>
          <w:tcPr>
            <w:tcW w:w="648" w:type="pct"/>
            <w:tcBorders>
              <w:top w:val="single" w:sz="4" w:space="0" w:color="auto"/>
              <w:left w:val="single" w:sz="4" w:space="0" w:color="auto"/>
              <w:bottom w:val="single" w:sz="4" w:space="0" w:color="auto"/>
              <w:right w:val="single" w:sz="4" w:space="0" w:color="auto"/>
            </w:tcBorders>
            <w:hideMark/>
          </w:tcPr>
          <w:p w:rsidR="00E3259F" w:rsidRPr="00CF693D" w:rsidRDefault="00E3259F">
            <w:pPr>
              <w:pStyle w:val="1"/>
              <w:spacing w:before="0" w:beforeAutospacing="0" w:after="0" w:afterAutospacing="0" w:line="276" w:lineRule="auto"/>
              <w:jc w:val="both"/>
              <w:rPr>
                <w:b w:val="0"/>
                <w:sz w:val="24"/>
                <w:szCs w:val="24"/>
                <w:lang w:val="uk-UA" w:eastAsia="en-US"/>
              </w:rPr>
            </w:pPr>
            <w:r w:rsidRPr="00CF693D">
              <w:rPr>
                <w:b w:val="0"/>
                <w:sz w:val="24"/>
                <w:szCs w:val="24"/>
                <w:lang w:val="uk-UA" w:eastAsia="en-US"/>
              </w:rPr>
              <w:t>Показник</w:t>
            </w:r>
          </w:p>
        </w:tc>
        <w:tc>
          <w:tcPr>
            <w:tcW w:w="815"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center"/>
              <w:rPr>
                <w:lang w:eastAsia="en-US"/>
              </w:rPr>
            </w:pPr>
            <w:r w:rsidRPr="00CF693D">
              <w:rPr>
                <w:lang w:val="uk-UA" w:eastAsia="en-US"/>
              </w:rPr>
              <w:t>Група контролю</w:t>
            </w:r>
          </w:p>
          <w:p w:rsidR="00E3259F" w:rsidRPr="00CF693D" w:rsidRDefault="00E3259F">
            <w:pPr>
              <w:spacing w:line="276" w:lineRule="auto"/>
              <w:jc w:val="center"/>
              <w:rPr>
                <w:lang w:eastAsia="en-US"/>
              </w:rPr>
            </w:pPr>
            <w:r w:rsidRPr="00CF693D">
              <w:rPr>
                <w:lang w:eastAsia="en-US"/>
              </w:rPr>
              <w:t>( n=</w:t>
            </w:r>
            <w:r w:rsidRPr="00CF693D">
              <w:rPr>
                <w:lang w:val="uk-UA" w:eastAsia="en-US"/>
              </w:rPr>
              <w:t>3</w:t>
            </w:r>
            <w:r w:rsidRPr="00CF693D">
              <w:rPr>
                <w:lang w:eastAsia="en-US"/>
              </w:rPr>
              <w:t>0)</w:t>
            </w:r>
          </w:p>
        </w:tc>
        <w:tc>
          <w:tcPr>
            <w:tcW w:w="889" w:type="pct"/>
            <w:tcBorders>
              <w:top w:val="single" w:sz="4" w:space="0" w:color="auto"/>
              <w:left w:val="single" w:sz="4" w:space="0" w:color="auto"/>
              <w:bottom w:val="single" w:sz="4" w:space="0" w:color="auto"/>
              <w:right w:val="single" w:sz="4" w:space="0" w:color="auto"/>
            </w:tcBorders>
            <w:hideMark/>
          </w:tcPr>
          <w:p w:rsidR="00E3259F" w:rsidRPr="00CF693D" w:rsidRDefault="00E3259F">
            <w:pPr>
              <w:pStyle w:val="1"/>
              <w:spacing w:before="0" w:beforeAutospacing="0" w:after="0" w:afterAutospacing="0" w:line="276" w:lineRule="auto"/>
              <w:jc w:val="center"/>
              <w:rPr>
                <w:b w:val="0"/>
                <w:sz w:val="24"/>
                <w:szCs w:val="24"/>
                <w:lang w:val="uk-UA" w:eastAsia="en-US"/>
              </w:rPr>
            </w:pPr>
            <w:r w:rsidRPr="00CF693D">
              <w:rPr>
                <w:b w:val="0"/>
                <w:sz w:val="24"/>
                <w:szCs w:val="24"/>
                <w:lang w:val="uk-UA" w:eastAsia="en-US"/>
              </w:rPr>
              <w:t xml:space="preserve">Група </w:t>
            </w:r>
            <w:r w:rsidRPr="00CF693D">
              <w:rPr>
                <w:b w:val="0"/>
                <w:sz w:val="24"/>
                <w:szCs w:val="24"/>
                <w:lang w:eastAsia="en-US"/>
              </w:rPr>
              <w:t>1</w:t>
            </w:r>
          </w:p>
          <w:p w:rsidR="00E3259F" w:rsidRPr="00CF693D" w:rsidRDefault="00E3259F">
            <w:pPr>
              <w:pStyle w:val="1"/>
              <w:spacing w:before="0" w:beforeAutospacing="0" w:after="0" w:afterAutospacing="0" w:line="276" w:lineRule="auto"/>
              <w:jc w:val="center"/>
              <w:rPr>
                <w:b w:val="0"/>
                <w:sz w:val="24"/>
                <w:szCs w:val="24"/>
                <w:lang w:eastAsia="en-US"/>
              </w:rPr>
            </w:pPr>
            <w:r w:rsidRPr="00CF693D">
              <w:rPr>
                <w:b w:val="0"/>
                <w:sz w:val="24"/>
                <w:szCs w:val="24"/>
                <w:lang w:eastAsia="en-US"/>
              </w:rPr>
              <w:t>(</w:t>
            </w:r>
            <w:r w:rsidRPr="00CF693D">
              <w:rPr>
                <w:b w:val="0"/>
                <w:sz w:val="24"/>
                <w:szCs w:val="24"/>
                <w:lang w:val="en-US" w:eastAsia="en-US"/>
              </w:rPr>
              <w:t>n</w:t>
            </w:r>
            <w:r w:rsidRPr="00CF693D">
              <w:rPr>
                <w:b w:val="0"/>
                <w:sz w:val="24"/>
                <w:szCs w:val="24"/>
                <w:lang w:eastAsia="en-US"/>
              </w:rPr>
              <w:t>=</w:t>
            </w:r>
            <w:r w:rsidRPr="00CF693D">
              <w:rPr>
                <w:b w:val="0"/>
                <w:sz w:val="24"/>
                <w:szCs w:val="24"/>
                <w:lang w:val="uk-UA" w:eastAsia="en-US"/>
              </w:rPr>
              <w:t>106</w:t>
            </w:r>
            <w:r w:rsidRPr="00CF693D">
              <w:rPr>
                <w:b w:val="0"/>
                <w:sz w:val="24"/>
                <w:szCs w:val="24"/>
                <w:lang w:eastAsia="en-US"/>
              </w:rPr>
              <w:t>)</w:t>
            </w:r>
          </w:p>
        </w:tc>
        <w:tc>
          <w:tcPr>
            <w:tcW w:w="963" w:type="pct"/>
            <w:tcBorders>
              <w:top w:val="single" w:sz="4" w:space="0" w:color="auto"/>
              <w:left w:val="single" w:sz="4" w:space="0" w:color="auto"/>
              <w:bottom w:val="single" w:sz="4" w:space="0" w:color="auto"/>
              <w:right w:val="single" w:sz="4" w:space="0" w:color="auto"/>
            </w:tcBorders>
            <w:hideMark/>
          </w:tcPr>
          <w:p w:rsidR="00E3259F" w:rsidRPr="00CF693D" w:rsidRDefault="00E3259F">
            <w:pPr>
              <w:pStyle w:val="1"/>
              <w:spacing w:before="0" w:beforeAutospacing="0" w:after="0" w:afterAutospacing="0" w:line="276" w:lineRule="auto"/>
              <w:jc w:val="center"/>
              <w:rPr>
                <w:b w:val="0"/>
                <w:sz w:val="24"/>
                <w:szCs w:val="24"/>
                <w:lang w:val="uk-UA" w:eastAsia="en-US"/>
              </w:rPr>
            </w:pPr>
            <w:r w:rsidRPr="00CF693D">
              <w:rPr>
                <w:b w:val="0"/>
                <w:sz w:val="24"/>
                <w:szCs w:val="24"/>
                <w:lang w:val="uk-UA" w:eastAsia="en-US"/>
              </w:rPr>
              <w:t>Група 2</w:t>
            </w:r>
          </w:p>
          <w:p w:rsidR="00E3259F" w:rsidRPr="00CF693D" w:rsidRDefault="00E3259F">
            <w:pPr>
              <w:pStyle w:val="1"/>
              <w:spacing w:before="0" w:beforeAutospacing="0" w:after="0" w:afterAutospacing="0" w:line="276" w:lineRule="auto"/>
              <w:jc w:val="center"/>
              <w:rPr>
                <w:b w:val="0"/>
                <w:sz w:val="24"/>
                <w:szCs w:val="24"/>
                <w:lang w:val="en-US" w:eastAsia="en-US"/>
              </w:rPr>
            </w:pPr>
            <w:r w:rsidRPr="00CF693D">
              <w:rPr>
                <w:b w:val="0"/>
                <w:sz w:val="24"/>
                <w:szCs w:val="24"/>
                <w:lang w:val="en-US" w:eastAsia="en-US"/>
              </w:rPr>
              <w:t>(n=</w:t>
            </w:r>
            <w:r w:rsidRPr="00CF693D">
              <w:rPr>
                <w:b w:val="0"/>
                <w:sz w:val="24"/>
                <w:szCs w:val="24"/>
                <w:lang w:val="uk-UA" w:eastAsia="en-US"/>
              </w:rPr>
              <w:t>156</w:t>
            </w:r>
            <w:r w:rsidRPr="00CF693D">
              <w:rPr>
                <w:b w:val="0"/>
                <w:sz w:val="24"/>
                <w:szCs w:val="24"/>
                <w:lang w:val="en-US" w:eastAsia="en-US"/>
              </w:rPr>
              <w:t>)</w:t>
            </w:r>
          </w:p>
        </w:tc>
        <w:tc>
          <w:tcPr>
            <w:tcW w:w="888" w:type="pct"/>
            <w:tcBorders>
              <w:top w:val="single" w:sz="4" w:space="0" w:color="auto"/>
              <w:left w:val="single" w:sz="4" w:space="0" w:color="auto"/>
              <w:bottom w:val="single" w:sz="4" w:space="0" w:color="auto"/>
              <w:right w:val="single" w:sz="4" w:space="0" w:color="auto"/>
            </w:tcBorders>
          </w:tcPr>
          <w:p w:rsidR="00E3259F" w:rsidRPr="00CF693D" w:rsidRDefault="00E3259F">
            <w:pPr>
              <w:pStyle w:val="1"/>
              <w:spacing w:before="0" w:beforeAutospacing="0" w:after="0" w:afterAutospacing="0" w:line="276" w:lineRule="auto"/>
              <w:jc w:val="center"/>
              <w:rPr>
                <w:b w:val="0"/>
                <w:sz w:val="24"/>
                <w:szCs w:val="24"/>
                <w:lang w:val="uk-UA" w:eastAsia="en-US"/>
              </w:rPr>
            </w:pPr>
            <w:r w:rsidRPr="00CF693D">
              <w:rPr>
                <w:b w:val="0"/>
                <w:sz w:val="24"/>
                <w:szCs w:val="24"/>
                <w:lang w:val="uk-UA" w:eastAsia="en-US"/>
              </w:rPr>
              <w:t>Група 3</w:t>
            </w:r>
          </w:p>
          <w:p w:rsidR="00E3259F" w:rsidRPr="00CF693D" w:rsidRDefault="00E3259F">
            <w:pPr>
              <w:pStyle w:val="1"/>
              <w:spacing w:before="0" w:beforeAutospacing="0" w:after="0" w:afterAutospacing="0" w:line="276" w:lineRule="auto"/>
              <w:jc w:val="center"/>
              <w:rPr>
                <w:b w:val="0"/>
                <w:sz w:val="24"/>
                <w:szCs w:val="24"/>
                <w:lang w:val="uk-UA" w:eastAsia="en-US"/>
              </w:rPr>
            </w:pPr>
          </w:p>
          <w:p w:rsidR="00E3259F" w:rsidRPr="00CF693D" w:rsidRDefault="00E3259F">
            <w:pPr>
              <w:pStyle w:val="1"/>
              <w:spacing w:before="0" w:beforeAutospacing="0" w:after="0" w:afterAutospacing="0" w:line="276" w:lineRule="auto"/>
              <w:jc w:val="center"/>
              <w:rPr>
                <w:b w:val="0"/>
                <w:sz w:val="24"/>
                <w:szCs w:val="24"/>
                <w:lang w:eastAsia="en-US"/>
              </w:rPr>
            </w:pPr>
            <w:r w:rsidRPr="00CF693D">
              <w:rPr>
                <w:b w:val="0"/>
                <w:sz w:val="24"/>
                <w:szCs w:val="24"/>
                <w:lang w:val="uk-UA" w:eastAsia="en-US"/>
              </w:rPr>
              <w:t>(</w:t>
            </w:r>
            <w:r w:rsidRPr="00CF693D">
              <w:rPr>
                <w:b w:val="0"/>
                <w:sz w:val="24"/>
                <w:szCs w:val="24"/>
                <w:lang w:val="en-US" w:eastAsia="en-US"/>
              </w:rPr>
              <w:t>n</w:t>
            </w:r>
            <w:r w:rsidRPr="00CF693D">
              <w:rPr>
                <w:b w:val="0"/>
                <w:sz w:val="24"/>
                <w:szCs w:val="24"/>
                <w:lang w:eastAsia="en-US"/>
              </w:rPr>
              <w:t>=</w:t>
            </w:r>
            <w:r w:rsidRPr="00CF693D">
              <w:rPr>
                <w:b w:val="0"/>
                <w:sz w:val="24"/>
                <w:szCs w:val="24"/>
                <w:lang w:val="uk-UA" w:eastAsia="en-US"/>
              </w:rPr>
              <w:t>93</w:t>
            </w:r>
            <w:r w:rsidRPr="00CF693D">
              <w:rPr>
                <w:b w:val="0"/>
                <w:sz w:val="24"/>
                <w:szCs w:val="24"/>
                <w:lang w:eastAsia="en-US"/>
              </w:rPr>
              <w:t>)</w:t>
            </w:r>
          </w:p>
        </w:tc>
        <w:tc>
          <w:tcPr>
            <w:tcW w:w="796" w:type="pct"/>
            <w:tcBorders>
              <w:top w:val="single" w:sz="4" w:space="0" w:color="auto"/>
              <w:left w:val="single" w:sz="4" w:space="0" w:color="auto"/>
              <w:bottom w:val="single" w:sz="4" w:space="0" w:color="auto"/>
              <w:right w:val="single" w:sz="4" w:space="0" w:color="auto"/>
            </w:tcBorders>
            <w:hideMark/>
          </w:tcPr>
          <w:p w:rsidR="00E3259F" w:rsidRPr="00CF693D" w:rsidRDefault="00E3259F">
            <w:pPr>
              <w:pStyle w:val="1"/>
              <w:spacing w:before="0" w:beforeAutospacing="0" w:after="0" w:afterAutospacing="0" w:line="276" w:lineRule="auto"/>
              <w:jc w:val="center"/>
              <w:rPr>
                <w:b w:val="0"/>
                <w:sz w:val="24"/>
                <w:szCs w:val="24"/>
                <w:lang w:val="uk-UA" w:eastAsia="en-US"/>
              </w:rPr>
            </w:pPr>
            <w:r w:rsidRPr="00CF693D">
              <w:rPr>
                <w:b w:val="0"/>
                <w:sz w:val="24"/>
                <w:szCs w:val="24"/>
                <w:lang w:val="uk-UA" w:eastAsia="en-US"/>
              </w:rPr>
              <w:t>Значимість, р</w:t>
            </w:r>
          </w:p>
        </w:tc>
      </w:tr>
      <w:tr w:rsidR="00E3259F" w:rsidRPr="00CF693D" w:rsidTr="00E3259F">
        <w:trPr>
          <w:trHeight w:val="441"/>
        </w:trPr>
        <w:tc>
          <w:tcPr>
            <w:tcW w:w="648"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en-US" w:eastAsia="en-US"/>
              </w:rPr>
            </w:pPr>
            <w:r w:rsidRPr="00CF693D">
              <w:rPr>
                <w:lang w:val="uk-UA" w:eastAsia="en-US"/>
              </w:rPr>
              <w:t>ВЕФР</w:t>
            </w:r>
            <w:r w:rsidRPr="00CF693D">
              <w:rPr>
                <w:rStyle w:val="xfm65112403"/>
                <w:lang w:val="uk-UA" w:eastAsia="en-US"/>
              </w:rPr>
              <w:t>, пг</w:t>
            </w:r>
            <w:r w:rsidRPr="00CF693D">
              <w:rPr>
                <w:lang w:eastAsia="en-US"/>
              </w:rPr>
              <w:t>/</w:t>
            </w:r>
            <w:r w:rsidRPr="00CF693D">
              <w:rPr>
                <w:lang w:val="uk-UA" w:eastAsia="en-US"/>
              </w:rPr>
              <w:t>мл</w:t>
            </w:r>
          </w:p>
        </w:tc>
        <w:tc>
          <w:tcPr>
            <w:tcW w:w="815"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uk-UA" w:eastAsia="en-US"/>
              </w:rPr>
            </w:pPr>
            <w:r w:rsidRPr="00CF693D">
              <w:rPr>
                <w:lang w:eastAsia="en-US"/>
              </w:rPr>
              <w:t>121,84</w:t>
            </w:r>
            <w:r w:rsidRPr="00CF693D">
              <w:rPr>
                <w:bCs/>
                <w:lang w:eastAsia="en-US"/>
              </w:rPr>
              <w:t>±</w:t>
            </w:r>
            <w:r w:rsidRPr="00CF693D">
              <w:rPr>
                <w:lang w:eastAsia="en-US"/>
              </w:rPr>
              <w:t>11,66</w:t>
            </w:r>
          </w:p>
        </w:tc>
        <w:tc>
          <w:tcPr>
            <w:tcW w:w="889" w:type="pct"/>
            <w:tcBorders>
              <w:top w:val="single" w:sz="4" w:space="0" w:color="auto"/>
              <w:left w:val="single" w:sz="4" w:space="0" w:color="auto"/>
              <w:bottom w:val="single" w:sz="4" w:space="0" w:color="auto"/>
              <w:right w:val="single" w:sz="4" w:space="0" w:color="auto"/>
            </w:tcBorders>
          </w:tcPr>
          <w:p w:rsidR="00E3259F" w:rsidRPr="00CF693D" w:rsidRDefault="00E3259F">
            <w:pPr>
              <w:spacing w:line="276" w:lineRule="auto"/>
              <w:jc w:val="both"/>
              <w:rPr>
                <w:vertAlign w:val="superscript"/>
                <w:lang w:val="en-US" w:eastAsia="en-US"/>
              </w:rPr>
            </w:pPr>
            <w:r w:rsidRPr="00CF693D">
              <w:rPr>
                <w:lang w:eastAsia="en-US"/>
              </w:rPr>
              <w:t>374,1</w:t>
            </w:r>
            <w:r w:rsidRPr="00CF693D">
              <w:rPr>
                <w:lang w:val="uk-UA" w:eastAsia="en-US"/>
              </w:rPr>
              <w:t>9</w:t>
            </w:r>
            <w:r w:rsidRPr="00CF693D">
              <w:rPr>
                <w:lang w:eastAsia="en-US"/>
              </w:rPr>
              <w:t>±20,9</w:t>
            </w:r>
            <w:r w:rsidRPr="00CF693D">
              <w:rPr>
                <w:lang w:val="uk-UA" w:eastAsia="en-US"/>
              </w:rPr>
              <w:t>2*</w:t>
            </w:r>
          </w:p>
          <w:p w:rsidR="00E3259F" w:rsidRPr="00CF693D" w:rsidRDefault="00E3259F">
            <w:pPr>
              <w:spacing w:line="276" w:lineRule="auto"/>
              <w:jc w:val="both"/>
              <w:rPr>
                <w:lang w:val="en-US" w:eastAsia="en-US"/>
              </w:rPr>
            </w:pPr>
          </w:p>
        </w:tc>
        <w:tc>
          <w:tcPr>
            <w:tcW w:w="963"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en-US" w:eastAsia="en-US"/>
              </w:rPr>
            </w:pPr>
            <w:r w:rsidRPr="00CF693D">
              <w:rPr>
                <w:lang w:eastAsia="en-US"/>
              </w:rPr>
              <w:t>326,03±14,2</w:t>
            </w:r>
            <w:r w:rsidRPr="00CF693D">
              <w:rPr>
                <w:lang w:val="uk-UA" w:eastAsia="en-US"/>
              </w:rPr>
              <w:t>2*</w:t>
            </w:r>
          </w:p>
        </w:tc>
        <w:tc>
          <w:tcPr>
            <w:tcW w:w="888"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uk-UA" w:eastAsia="en-US"/>
              </w:rPr>
            </w:pPr>
            <w:r w:rsidRPr="00CF693D">
              <w:rPr>
                <w:lang w:eastAsia="en-US"/>
              </w:rPr>
              <w:t>482,77±21,3</w:t>
            </w:r>
            <w:r w:rsidRPr="00CF693D">
              <w:rPr>
                <w:lang w:val="uk-UA" w:eastAsia="en-US"/>
              </w:rPr>
              <w:t>4*</w:t>
            </w:r>
          </w:p>
        </w:tc>
        <w:tc>
          <w:tcPr>
            <w:tcW w:w="796"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1-2</w:t>
            </w:r>
            <w:r w:rsidRPr="00CF693D">
              <w:rPr>
                <w:lang w:val="uk-UA" w:eastAsia="en-US"/>
              </w:rPr>
              <w:t>=0</w:t>
            </w:r>
            <w:r w:rsidRPr="00CF693D">
              <w:rPr>
                <w:lang w:eastAsia="en-US"/>
              </w:rPr>
              <w:t>,049</w:t>
            </w:r>
          </w:p>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1-3</w:t>
            </w:r>
            <w:r w:rsidRPr="00CF693D">
              <w:rPr>
                <w:lang w:val="uk-UA" w:eastAsia="en-US"/>
              </w:rPr>
              <w:t>&lt;0</w:t>
            </w:r>
            <w:r w:rsidRPr="00CF693D">
              <w:rPr>
                <w:lang w:eastAsia="en-US"/>
              </w:rPr>
              <w:t>,00</w:t>
            </w:r>
            <w:r w:rsidRPr="00CF693D">
              <w:rPr>
                <w:lang w:val="uk-UA" w:eastAsia="en-US"/>
              </w:rPr>
              <w:t>1</w:t>
            </w:r>
          </w:p>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2-3</w:t>
            </w:r>
            <w:r w:rsidRPr="00CF693D">
              <w:rPr>
                <w:lang w:val="uk-UA" w:eastAsia="en-US"/>
              </w:rPr>
              <w:t>&lt;0</w:t>
            </w:r>
            <w:r w:rsidRPr="00CF693D">
              <w:rPr>
                <w:lang w:eastAsia="en-US"/>
              </w:rPr>
              <w:t>,00</w:t>
            </w:r>
            <w:r w:rsidRPr="00CF693D">
              <w:rPr>
                <w:lang w:val="uk-UA" w:eastAsia="en-US"/>
              </w:rPr>
              <w:t>1</w:t>
            </w:r>
          </w:p>
        </w:tc>
      </w:tr>
      <w:tr w:rsidR="00E3259F" w:rsidRPr="00CF693D" w:rsidTr="00E3259F">
        <w:trPr>
          <w:trHeight w:val="441"/>
        </w:trPr>
        <w:tc>
          <w:tcPr>
            <w:tcW w:w="648"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rStyle w:val="xfm65112403"/>
                <w:lang w:val="uk-UA"/>
              </w:rPr>
            </w:pPr>
            <w:r w:rsidRPr="00CF693D">
              <w:rPr>
                <w:rStyle w:val="xfm65112403"/>
                <w:lang w:val="uk-UA" w:eastAsia="en-US"/>
              </w:rPr>
              <w:t>ЦДЕК,</w:t>
            </w:r>
            <w:r w:rsidRPr="00CF693D">
              <w:rPr>
                <w:rFonts w:eastAsia="TimesNewRomanPSMT"/>
                <w:lang w:val="en-US" w:eastAsia="en-US"/>
              </w:rPr>
              <w:t xml:space="preserve"> кл</w:t>
            </w:r>
            <w:r w:rsidRPr="00CF693D">
              <w:rPr>
                <w:rFonts w:eastAsia="TimesNewRomanPSMT"/>
                <w:lang w:eastAsia="en-US"/>
              </w:rPr>
              <w:t xml:space="preserve">./100 </w:t>
            </w:r>
            <w:r w:rsidRPr="00CF693D">
              <w:rPr>
                <w:rFonts w:eastAsia="TimesNewRomanPSMT"/>
                <w:lang w:val="en-US" w:eastAsia="en-US"/>
              </w:rPr>
              <w:t>мкл</w:t>
            </w:r>
          </w:p>
        </w:tc>
        <w:tc>
          <w:tcPr>
            <w:tcW w:w="815"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bCs/>
                <w:lang w:eastAsia="en-US"/>
              </w:rPr>
            </w:pPr>
            <w:r w:rsidRPr="00CF693D">
              <w:rPr>
                <w:lang w:eastAsia="en-US"/>
              </w:rPr>
              <w:t>4,00±</w:t>
            </w:r>
            <w:r w:rsidRPr="00CF693D">
              <w:rPr>
                <w:lang w:val="uk-UA" w:eastAsia="en-US"/>
              </w:rPr>
              <w:t>0</w:t>
            </w:r>
            <w:r w:rsidRPr="00CF693D">
              <w:rPr>
                <w:lang w:eastAsia="en-US"/>
              </w:rPr>
              <w:t>,3</w:t>
            </w:r>
            <w:r w:rsidRPr="00CF693D">
              <w:rPr>
                <w:lang w:val="uk-UA" w:eastAsia="en-US"/>
              </w:rPr>
              <w:t>1</w:t>
            </w:r>
          </w:p>
        </w:tc>
        <w:tc>
          <w:tcPr>
            <w:tcW w:w="889" w:type="pct"/>
            <w:tcBorders>
              <w:top w:val="single" w:sz="4" w:space="0" w:color="auto"/>
              <w:left w:val="single" w:sz="4" w:space="0" w:color="auto"/>
              <w:bottom w:val="single" w:sz="4" w:space="0" w:color="auto"/>
              <w:right w:val="single" w:sz="4" w:space="0" w:color="auto"/>
            </w:tcBorders>
          </w:tcPr>
          <w:p w:rsidR="00E3259F" w:rsidRPr="00CF693D" w:rsidRDefault="00E3259F">
            <w:pPr>
              <w:spacing w:line="276" w:lineRule="auto"/>
              <w:jc w:val="both"/>
              <w:rPr>
                <w:lang w:val="uk-UA" w:eastAsia="en-US"/>
              </w:rPr>
            </w:pPr>
            <w:r w:rsidRPr="00CF693D">
              <w:rPr>
                <w:lang w:eastAsia="en-US"/>
              </w:rPr>
              <w:t>12,15±</w:t>
            </w:r>
            <w:r w:rsidRPr="00CF693D">
              <w:rPr>
                <w:lang w:val="uk-UA" w:eastAsia="en-US"/>
              </w:rPr>
              <w:t>0</w:t>
            </w:r>
            <w:r w:rsidRPr="00CF693D">
              <w:rPr>
                <w:lang w:eastAsia="en-US"/>
              </w:rPr>
              <w:t>,3</w:t>
            </w:r>
            <w:r w:rsidRPr="00CF693D">
              <w:rPr>
                <w:lang w:val="uk-UA" w:eastAsia="en-US"/>
              </w:rPr>
              <w:t>6*</w:t>
            </w:r>
          </w:p>
          <w:p w:rsidR="00E3259F" w:rsidRPr="00CF693D" w:rsidRDefault="00E3259F">
            <w:pPr>
              <w:spacing w:line="276" w:lineRule="auto"/>
              <w:jc w:val="both"/>
              <w:rPr>
                <w:lang w:val="uk-UA" w:eastAsia="en-US"/>
              </w:rPr>
            </w:pPr>
          </w:p>
        </w:tc>
        <w:tc>
          <w:tcPr>
            <w:tcW w:w="963"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eastAsia="en-US"/>
              </w:rPr>
            </w:pPr>
            <w:r w:rsidRPr="00CF693D">
              <w:rPr>
                <w:lang w:eastAsia="en-US"/>
              </w:rPr>
              <w:t>12,13±</w:t>
            </w:r>
            <w:r w:rsidRPr="00CF693D">
              <w:rPr>
                <w:lang w:val="uk-UA" w:eastAsia="en-US"/>
              </w:rPr>
              <w:t>0</w:t>
            </w:r>
            <w:r w:rsidRPr="00CF693D">
              <w:rPr>
                <w:lang w:eastAsia="en-US"/>
              </w:rPr>
              <w:t>,3</w:t>
            </w:r>
            <w:r w:rsidRPr="00CF693D">
              <w:rPr>
                <w:lang w:val="uk-UA" w:eastAsia="en-US"/>
              </w:rPr>
              <w:t>8*</w:t>
            </w:r>
          </w:p>
        </w:tc>
        <w:tc>
          <w:tcPr>
            <w:tcW w:w="888" w:type="pct"/>
            <w:tcBorders>
              <w:top w:val="single" w:sz="4" w:space="0" w:color="auto"/>
              <w:left w:val="single" w:sz="4" w:space="0" w:color="auto"/>
              <w:bottom w:val="single" w:sz="4" w:space="0" w:color="auto"/>
              <w:right w:val="single" w:sz="4" w:space="0" w:color="auto"/>
            </w:tcBorders>
          </w:tcPr>
          <w:p w:rsidR="00E3259F" w:rsidRPr="00CF693D" w:rsidRDefault="00E3259F">
            <w:pPr>
              <w:spacing w:line="276" w:lineRule="auto"/>
              <w:jc w:val="both"/>
              <w:rPr>
                <w:lang w:val="uk-UA" w:eastAsia="en-US"/>
              </w:rPr>
            </w:pPr>
            <w:r w:rsidRPr="00CF693D">
              <w:rPr>
                <w:lang w:eastAsia="en-US"/>
              </w:rPr>
              <w:t>10,29±</w:t>
            </w:r>
            <w:r w:rsidRPr="00CF693D">
              <w:rPr>
                <w:lang w:val="uk-UA" w:eastAsia="en-US"/>
              </w:rPr>
              <w:t>0</w:t>
            </w:r>
            <w:r w:rsidRPr="00CF693D">
              <w:rPr>
                <w:lang w:eastAsia="en-US"/>
              </w:rPr>
              <w:t>,3</w:t>
            </w:r>
            <w:r w:rsidRPr="00CF693D">
              <w:rPr>
                <w:lang w:val="uk-UA" w:eastAsia="en-US"/>
              </w:rPr>
              <w:t>4*</w:t>
            </w:r>
          </w:p>
          <w:p w:rsidR="00E3259F" w:rsidRPr="00CF693D" w:rsidRDefault="00E3259F">
            <w:pPr>
              <w:spacing w:line="276" w:lineRule="auto"/>
              <w:jc w:val="both"/>
              <w:rPr>
                <w:lang w:val="uk-UA" w:eastAsia="en-US"/>
              </w:rPr>
            </w:pPr>
          </w:p>
        </w:tc>
        <w:tc>
          <w:tcPr>
            <w:tcW w:w="796"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1-2</w:t>
            </w:r>
            <w:r w:rsidRPr="00CF693D">
              <w:rPr>
                <w:lang w:val="uk-UA" w:eastAsia="en-US"/>
              </w:rPr>
              <w:t>&gt;0,05</w:t>
            </w:r>
          </w:p>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1-3</w:t>
            </w:r>
            <w:r w:rsidRPr="00CF693D">
              <w:rPr>
                <w:lang w:val="uk-UA" w:eastAsia="en-US"/>
              </w:rPr>
              <w:t>&lt;0</w:t>
            </w:r>
            <w:r w:rsidRPr="00CF693D">
              <w:rPr>
                <w:lang w:eastAsia="en-US"/>
              </w:rPr>
              <w:t>,00</w:t>
            </w:r>
            <w:r w:rsidRPr="00CF693D">
              <w:rPr>
                <w:lang w:val="uk-UA" w:eastAsia="en-US"/>
              </w:rPr>
              <w:t>1</w:t>
            </w:r>
          </w:p>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2-3</w:t>
            </w:r>
            <w:r w:rsidRPr="00CF693D">
              <w:rPr>
                <w:lang w:val="uk-UA" w:eastAsia="en-US"/>
              </w:rPr>
              <w:t>&lt;0</w:t>
            </w:r>
            <w:r w:rsidRPr="00CF693D">
              <w:rPr>
                <w:lang w:eastAsia="en-US"/>
              </w:rPr>
              <w:t>,00</w:t>
            </w:r>
            <w:r w:rsidRPr="00CF693D">
              <w:rPr>
                <w:lang w:val="uk-UA" w:eastAsia="en-US"/>
              </w:rPr>
              <w:t>1</w:t>
            </w:r>
          </w:p>
        </w:tc>
      </w:tr>
      <w:tr w:rsidR="00E3259F" w:rsidRPr="00CF693D" w:rsidTr="00E3259F">
        <w:trPr>
          <w:trHeight w:val="441"/>
        </w:trPr>
        <w:tc>
          <w:tcPr>
            <w:tcW w:w="648"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rStyle w:val="xfm65112403"/>
                <w:lang w:val="uk-UA"/>
              </w:rPr>
            </w:pPr>
            <w:r w:rsidRPr="00CF693D">
              <w:rPr>
                <w:rStyle w:val="xfm65112403"/>
                <w:lang w:val="uk-UA" w:eastAsia="en-US"/>
              </w:rPr>
              <w:t>ТКІМ ЗСА, мм</w:t>
            </w:r>
          </w:p>
        </w:tc>
        <w:tc>
          <w:tcPr>
            <w:tcW w:w="815"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eastAsia="en-US"/>
              </w:rPr>
            </w:pPr>
            <w:r w:rsidRPr="00CF693D">
              <w:rPr>
                <w:lang w:val="uk-UA" w:eastAsia="en-US"/>
              </w:rPr>
              <w:t>0</w:t>
            </w:r>
            <w:r w:rsidRPr="00CF693D">
              <w:rPr>
                <w:lang w:eastAsia="en-US"/>
              </w:rPr>
              <w:t>,</w:t>
            </w:r>
            <w:r w:rsidRPr="00CF693D">
              <w:rPr>
                <w:lang w:val="uk-UA" w:eastAsia="en-US"/>
              </w:rPr>
              <w:t>0</w:t>
            </w:r>
            <w:r w:rsidRPr="00CF693D">
              <w:rPr>
                <w:lang w:eastAsia="en-US"/>
              </w:rPr>
              <w:t>79±</w:t>
            </w:r>
            <w:r w:rsidRPr="00CF693D">
              <w:rPr>
                <w:lang w:val="uk-UA" w:eastAsia="en-US"/>
              </w:rPr>
              <w:t>0</w:t>
            </w:r>
            <w:r w:rsidRPr="00CF693D">
              <w:rPr>
                <w:lang w:eastAsia="en-US"/>
              </w:rPr>
              <w:t>,01</w:t>
            </w:r>
            <w:r w:rsidRPr="00CF693D">
              <w:rPr>
                <w:lang w:val="uk-UA" w:eastAsia="en-US"/>
              </w:rPr>
              <w:t>2</w:t>
            </w:r>
          </w:p>
        </w:tc>
        <w:tc>
          <w:tcPr>
            <w:tcW w:w="889"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eastAsia="en-US"/>
              </w:rPr>
            </w:pPr>
            <w:r w:rsidRPr="00CF693D">
              <w:rPr>
                <w:lang w:val="uk-UA" w:eastAsia="en-US"/>
              </w:rPr>
              <w:t>0</w:t>
            </w:r>
            <w:r w:rsidRPr="00CF693D">
              <w:rPr>
                <w:lang w:eastAsia="en-US"/>
              </w:rPr>
              <w:t>,076±</w:t>
            </w:r>
            <w:r w:rsidRPr="00CF693D">
              <w:rPr>
                <w:lang w:val="uk-UA" w:eastAsia="en-US"/>
              </w:rPr>
              <w:t>0</w:t>
            </w:r>
            <w:r w:rsidRPr="00CF693D">
              <w:rPr>
                <w:lang w:eastAsia="en-US"/>
              </w:rPr>
              <w:t>,002</w:t>
            </w:r>
          </w:p>
        </w:tc>
        <w:tc>
          <w:tcPr>
            <w:tcW w:w="963"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eastAsia="en-US"/>
              </w:rPr>
            </w:pPr>
            <w:r w:rsidRPr="00CF693D">
              <w:rPr>
                <w:lang w:val="uk-UA" w:eastAsia="en-US"/>
              </w:rPr>
              <w:t>0</w:t>
            </w:r>
            <w:r w:rsidRPr="00CF693D">
              <w:rPr>
                <w:lang w:eastAsia="en-US"/>
              </w:rPr>
              <w:t>,0</w:t>
            </w:r>
            <w:r w:rsidRPr="00CF693D">
              <w:rPr>
                <w:lang w:val="uk-UA" w:eastAsia="en-US"/>
              </w:rPr>
              <w:t>8</w:t>
            </w:r>
            <w:r w:rsidRPr="00CF693D">
              <w:rPr>
                <w:lang w:eastAsia="en-US"/>
              </w:rPr>
              <w:t>±</w:t>
            </w:r>
            <w:r w:rsidRPr="00CF693D">
              <w:rPr>
                <w:lang w:val="uk-UA" w:eastAsia="en-US"/>
              </w:rPr>
              <w:t>0</w:t>
            </w:r>
            <w:r w:rsidRPr="00CF693D">
              <w:rPr>
                <w:lang w:eastAsia="en-US"/>
              </w:rPr>
              <w:t>,001</w:t>
            </w:r>
          </w:p>
        </w:tc>
        <w:tc>
          <w:tcPr>
            <w:tcW w:w="888"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eastAsia="en-US"/>
              </w:rPr>
            </w:pPr>
            <w:r w:rsidRPr="00CF693D">
              <w:rPr>
                <w:lang w:val="uk-UA" w:eastAsia="en-US"/>
              </w:rPr>
              <w:t>0</w:t>
            </w:r>
            <w:r w:rsidRPr="00CF693D">
              <w:rPr>
                <w:lang w:eastAsia="en-US"/>
              </w:rPr>
              <w:t>,08±</w:t>
            </w:r>
            <w:r w:rsidRPr="00CF693D">
              <w:rPr>
                <w:lang w:val="uk-UA" w:eastAsia="en-US"/>
              </w:rPr>
              <w:t>0</w:t>
            </w:r>
            <w:r w:rsidRPr="00CF693D">
              <w:rPr>
                <w:lang w:eastAsia="en-US"/>
              </w:rPr>
              <w:t>,00</w:t>
            </w:r>
            <w:r w:rsidRPr="00CF693D">
              <w:rPr>
                <w:lang w:val="uk-UA" w:eastAsia="en-US"/>
              </w:rPr>
              <w:t>2</w:t>
            </w:r>
          </w:p>
        </w:tc>
        <w:tc>
          <w:tcPr>
            <w:tcW w:w="796" w:type="pct"/>
            <w:tcBorders>
              <w:top w:val="single" w:sz="4" w:space="0" w:color="auto"/>
              <w:left w:val="single" w:sz="4" w:space="0" w:color="auto"/>
              <w:bottom w:val="single" w:sz="4" w:space="0" w:color="auto"/>
              <w:right w:val="single" w:sz="4" w:space="0" w:color="auto"/>
            </w:tcBorders>
            <w:hideMark/>
          </w:tcPr>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1-2</w:t>
            </w:r>
            <w:r w:rsidRPr="00CF693D">
              <w:rPr>
                <w:lang w:val="uk-UA" w:eastAsia="en-US"/>
              </w:rPr>
              <w:t xml:space="preserve"> &gt;0,05</w:t>
            </w:r>
          </w:p>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1-3</w:t>
            </w:r>
            <w:r w:rsidRPr="00CF693D">
              <w:rPr>
                <w:lang w:val="uk-UA" w:eastAsia="en-US"/>
              </w:rPr>
              <w:t xml:space="preserve"> &gt;0,05</w:t>
            </w:r>
          </w:p>
          <w:p w:rsidR="00E3259F" w:rsidRPr="00CF693D" w:rsidRDefault="00E3259F">
            <w:pPr>
              <w:spacing w:line="276" w:lineRule="auto"/>
              <w:jc w:val="both"/>
              <w:rPr>
                <w:lang w:val="uk-UA" w:eastAsia="en-US"/>
              </w:rPr>
            </w:pPr>
            <w:r w:rsidRPr="00CF693D">
              <w:rPr>
                <w:lang w:val="uk-UA" w:eastAsia="en-US"/>
              </w:rPr>
              <w:t>р</w:t>
            </w:r>
            <w:r w:rsidRPr="00CF693D">
              <w:rPr>
                <w:vertAlign w:val="subscript"/>
                <w:lang w:val="uk-UA" w:eastAsia="en-US"/>
              </w:rPr>
              <w:t>2-3</w:t>
            </w:r>
            <w:r w:rsidRPr="00CF693D">
              <w:rPr>
                <w:lang w:val="uk-UA" w:eastAsia="en-US"/>
              </w:rPr>
              <w:t xml:space="preserve"> &gt;0,05</w:t>
            </w:r>
          </w:p>
        </w:tc>
      </w:tr>
    </w:tbl>
    <w:p w:rsidR="00E3259F" w:rsidRPr="00CF693D" w:rsidRDefault="00E3259F" w:rsidP="00CF693D">
      <w:pPr>
        <w:spacing w:line="360" w:lineRule="auto"/>
        <w:ind w:firstLine="709"/>
        <w:jc w:val="both"/>
        <w:rPr>
          <w:rFonts w:asciiTheme="minorHAnsi" w:hAnsiTheme="minorHAnsi" w:cstheme="minorBidi"/>
          <w:sz w:val="28"/>
          <w:szCs w:val="28"/>
          <w:lang w:val="uk-UA" w:eastAsia="en-US"/>
        </w:rPr>
      </w:pPr>
      <w:r w:rsidRPr="00CF693D">
        <w:rPr>
          <w:sz w:val="28"/>
          <w:szCs w:val="28"/>
          <w:lang w:val="uk-UA"/>
        </w:rPr>
        <w:t>Примітка: * - р&lt;0,001</w:t>
      </w:r>
      <w:r w:rsidRPr="00CF693D">
        <w:rPr>
          <w:sz w:val="28"/>
          <w:szCs w:val="28"/>
        </w:rPr>
        <w:t xml:space="preserve"> – </w:t>
      </w:r>
      <w:r w:rsidRPr="00CF693D">
        <w:rPr>
          <w:sz w:val="28"/>
          <w:szCs w:val="28"/>
          <w:lang w:val="uk-UA"/>
        </w:rPr>
        <w:t>рівень значущості відмінностей у порівнянні з контрольною групою, р</w:t>
      </w:r>
      <w:r w:rsidRPr="00CF693D">
        <w:rPr>
          <w:sz w:val="28"/>
          <w:szCs w:val="28"/>
          <w:vertAlign w:val="subscript"/>
          <w:lang w:val="uk-UA"/>
        </w:rPr>
        <w:t>1-2 -</w:t>
      </w:r>
      <w:r w:rsidRPr="00CF693D">
        <w:rPr>
          <w:sz w:val="28"/>
          <w:szCs w:val="28"/>
          <w:lang w:val="uk-UA"/>
        </w:rPr>
        <w:t xml:space="preserve">  рівень значущості відмінностей при порівнянні  групи 1 та 2, р</w:t>
      </w:r>
      <w:r w:rsidRPr="00CF693D">
        <w:rPr>
          <w:sz w:val="28"/>
          <w:szCs w:val="28"/>
          <w:vertAlign w:val="subscript"/>
          <w:lang w:val="uk-UA"/>
        </w:rPr>
        <w:t xml:space="preserve">1-3 - </w:t>
      </w:r>
      <w:r w:rsidRPr="00CF693D">
        <w:rPr>
          <w:sz w:val="28"/>
          <w:szCs w:val="28"/>
          <w:lang w:val="uk-UA"/>
        </w:rPr>
        <w:t>рівень значущості відмінностей при порівнянні  групи 1 та 3, р</w:t>
      </w:r>
      <w:r w:rsidRPr="00CF693D">
        <w:rPr>
          <w:sz w:val="28"/>
          <w:szCs w:val="28"/>
          <w:vertAlign w:val="subscript"/>
          <w:lang w:val="uk-UA"/>
        </w:rPr>
        <w:t>2-3</w:t>
      </w:r>
      <w:r w:rsidRPr="00CF693D">
        <w:rPr>
          <w:sz w:val="28"/>
          <w:szCs w:val="28"/>
          <w:lang w:val="uk-UA"/>
        </w:rPr>
        <w:t xml:space="preserve"> - рівень значущості відмінностей при порівнянні  групи групи 2 та 3</w:t>
      </w:r>
    </w:p>
    <w:p w:rsidR="00E3259F" w:rsidRPr="00CF693D" w:rsidRDefault="00E3259F" w:rsidP="00CF693D">
      <w:pPr>
        <w:spacing w:line="360" w:lineRule="auto"/>
        <w:ind w:firstLine="709"/>
        <w:jc w:val="both"/>
        <w:rPr>
          <w:sz w:val="28"/>
          <w:szCs w:val="28"/>
          <w:lang w:val="uk-UA"/>
        </w:rPr>
      </w:pPr>
    </w:p>
    <w:p w:rsidR="00E3259F" w:rsidRPr="00CF693D" w:rsidRDefault="00E3259F" w:rsidP="00CF693D">
      <w:pPr>
        <w:spacing w:line="360" w:lineRule="auto"/>
        <w:ind w:firstLine="709"/>
        <w:jc w:val="both"/>
        <w:rPr>
          <w:sz w:val="28"/>
          <w:szCs w:val="28"/>
          <w:lang w:val="uk-UA"/>
        </w:rPr>
      </w:pPr>
      <w:r w:rsidRPr="00CF693D">
        <w:rPr>
          <w:sz w:val="28"/>
          <w:szCs w:val="28"/>
          <w:lang w:val="uk-UA"/>
        </w:rPr>
        <w:t>У пацієнтів з поєднаним перебігом ГХ та ЦД 2 типу спостерігався достовірно нижчий рівень ВЕФР порівняно з пацієнтами з ізольованою ГХ (</w:t>
      </w:r>
      <w:r w:rsidRPr="00CF693D">
        <w:rPr>
          <w:sz w:val="28"/>
          <w:szCs w:val="28"/>
        </w:rPr>
        <w:t>374,1</w:t>
      </w:r>
      <w:r w:rsidRPr="00CF693D">
        <w:rPr>
          <w:sz w:val="28"/>
          <w:szCs w:val="28"/>
          <w:lang w:val="uk-UA"/>
        </w:rPr>
        <w:t>9</w:t>
      </w:r>
      <w:r w:rsidRPr="00CF693D">
        <w:rPr>
          <w:sz w:val="28"/>
          <w:szCs w:val="28"/>
          <w:lang w:eastAsia="en-US"/>
        </w:rPr>
        <w:t>±</w:t>
      </w:r>
      <w:r w:rsidRPr="00CF693D">
        <w:rPr>
          <w:sz w:val="28"/>
          <w:szCs w:val="28"/>
        </w:rPr>
        <w:t>20,9</w:t>
      </w:r>
      <w:r w:rsidRPr="00CF693D">
        <w:rPr>
          <w:sz w:val="28"/>
          <w:szCs w:val="28"/>
          <w:lang w:val="uk-UA"/>
        </w:rPr>
        <w:t>2  пг/мл та 326,03 ± 14,22 пг/мл відповідно, р=0,049), але вище, ніж у контрольній групі (р=0,001). Отримання більш низьких показників ВЕФР при комбінації ГХ з ЦД 2 типу порівняно з ізольованою ГХ може бути пояснено ефектом метформіну, прийом якого було умовою залучення пацієнтів до цього дослідження. У цей час є численні дані, зокрема отримані в рандомізованих дослідженнях, щодо сприятливого впливу метформіну на функцію ендотелію [</w:t>
      </w:r>
      <w:r w:rsidRPr="00CF693D">
        <w:rPr>
          <w:sz w:val="28"/>
          <w:szCs w:val="28"/>
          <w:shd w:val="clear" w:color="auto" w:fill="FFFFFF"/>
        </w:rPr>
        <w:t>192,226</w:t>
      </w:r>
      <w:r w:rsidRPr="00CF693D">
        <w:rPr>
          <w:sz w:val="28"/>
          <w:szCs w:val="28"/>
          <w:lang w:val="uk-UA"/>
        </w:rPr>
        <w:t>]. Так в роботі Wu S et al (2014) було продемонстровано, що застосування метформіну протягом 12 місяців призводило до істотного поліпшення функції ендотелію [</w:t>
      </w:r>
      <w:r w:rsidRPr="00CF693D">
        <w:rPr>
          <w:sz w:val="28"/>
          <w:szCs w:val="28"/>
        </w:rPr>
        <w:t>401</w:t>
      </w:r>
      <w:r w:rsidRPr="00CF693D">
        <w:rPr>
          <w:sz w:val="28"/>
          <w:szCs w:val="28"/>
          <w:lang w:val="uk-UA"/>
        </w:rPr>
        <w:t>].</w:t>
      </w:r>
      <w:r w:rsidRPr="00CF693D">
        <w:rPr>
          <w:lang w:val="uk-UA"/>
        </w:rPr>
        <w:t xml:space="preserve"> </w:t>
      </w:r>
      <w:r w:rsidRPr="00CF693D">
        <w:rPr>
          <w:sz w:val="28"/>
          <w:szCs w:val="28"/>
          <w:lang w:val="uk-UA"/>
        </w:rPr>
        <w:t>Також зменшенням ступеня ЕД авторами частково пояснюється зниження захворюваності та ускладнень з боку серцево-судинної системи в пацієнтів з ЦД 2 типу [</w:t>
      </w:r>
      <w:r w:rsidRPr="00CF693D">
        <w:rPr>
          <w:bCs/>
          <w:sz w:val="28"/>
          <w:szCs w:val="28"/>
        </w:rPr>
        <w:t>192</w:t>
      </w:r>
      <w:r w:rsidRPr="00CF693D">
        <w:rPr>
          <w:sz w:val="28"/>
          <w:szCs w:val="28"/>
          <w:lang w:val="uk-UA"/>
        </w:rPr>
        <w:t>].</w:t>
      </w:r>
    </w:p>
    <w:p w:rsidR="00E3259F" w:rsidRPr="00CF693D" w:rsidRDefault="00E3259F" w:rsidP="00CF693D">
      <w:pPr>
        <w:pStyle w:val="1"/>
        <w:spacing w:before="0" w:beforeAutospacing="0" w:after="0" w:afterAutospacing="0" w:line="360" w:lineRule="auto"/>
        <w:ind w:firstLine="709"/>
        <w:jc w:val="both"/>
        <w:rPr>
          <w:b w:val="0"/>
          <w:sz w:val="28"/>
          <w:szCs w:val="28"/>
          <w:lang w:val="uk-UA"/>
        </w:rPr>
      </w:pPr>
      <w:r w:rsidRPr="00CF693D">
        <w:rPr>
          <w:b w:val="0"/>
          <w:sz w:val="28"/>
          <w:szCs w:val="28"/>
          <w:lang w:val="uk-UA"/>
        </w:rPr>
        <w:t>У пацієнтів при поєднаному перебігу ГХ, ЦД 2 типу та СГТ рівень ВЕФР  був достовірно вище, ніж в інших групах в ці</w:t>
      </w:r>
      <w:r w:rsidRPr="00CF693D">
        <w:rPr>
          <w:b w:val="0"/>
          <w:sz w:val="28"/>
          <w:szCs w:val="28"/>
          <w:lang w:val="uk-UA"/>
        </w:rPr>
        <w:tab/>
        <w:t>й роботі (482,77± 21,34 пг/мл, р&lt;0,001 для всіх груп порівняння). Відомо, що тиреоїдна система активно взаємодіє з іншими нейрогуморальними системами, залученими в серцево-судинне регулювання [</w:t>
      </w:r>
      <w:r w:rsidRPr="00CF693D">
        <w:rPr>
          <w:b w:val="0"/>
          <w:sz w:val="28"/>
          <w:szCs w:val="28"/>
          <w:shd w:val="clear" w:color="auto" w:fill="FFFFFF"/>
        </w:rPr>
        <w:t>16</w:t>
      </w:r>
      <w:r w:rsidRPr="00CF693D">
        <w:rPr>
          <w:b w:val="0"/>
          <w:sz w:val="28"/>
          <w:szCs w:val="28"/>
          <w:lang w:val="uk-UA"/>
        </w:rPr>
        <w:t>].</w:t>
      </w:r>
    </w:p>
    <w:p w:rsidR="00E3259F" w:rsidRPr="00CF693D" w:rsidRDefault="00E3259F" w:rsidP="00CF693D">
      <w:pPr>
        <w:pStyle w:val="1"/>
        <w:shd w:val="clear" w:color="auto" w:fill="FFFFFF"/>
        <w:spacing w:before="0" w:beforeAutospacing="0" w:after="0" w:afterAutospacing="0" w:line="360" w:lineRule="auto"/>
        <w:ind w:firstLine="709"/>
        <w:jc w:val="both"/>
        <w:textAlignment w:val="top"/>
        <w:rPr>
          <w:b w:val="0"/>
          <w:sz w:val="28"/>
          <w:szCs w:val="28"/>
          <w:lang w:val="uk-UA"/>
        </w:rPr>
      </w:pPr>
      <w:r w:rsidRPr="00CF693D">
        <w:rPr>
          <w:b w:val="0"/>
          <w:sz w:val="28"/>
          <w:szCs w:val="28"/>
          <w:lang w:val="uk-UA"/>
        </w:rPr>
        <w:t xml:space="preserve">У хворих усіх досліджуваних груп були відзначені істотні зміни судинного ендотелію на клітинному рівні, що виражалося в значному зростанні десквамованої фракції циркулюючих ендотеліальних клітин (р&lt;0,001 в порівнянні з контролем). Наявність ЦД в групі 2 практично не супроводжувалась змінами кількості ЦДЕК (р&gt;0,05) при порівнянні з групою ізольованої ГХ, що також свідчить на користь позитивного впливу метформіну на ЕД. </w:t>
      </w:r>
    </w:p>
    <w:p w:rsidR="00E3259F" w:rsidRPr="00CF693D" w:rsidRDefault="00E3259F" w:rsidP="00CF693D">
      <w:pPr>
        <w:spacing w:line="360" w:lineRule="auto"/>
        <w:ind w:firstLine="709"/>
        <w:jc w:val="both"/>
        <w:rPr>
          <w:sz w:val="28"/>
          <w:szCs w:val="28"/>
          <w:lang w:val="uk-UA"/>
        </w:rPr>
      </w:pPr>
      <w:r w:rsidRPr="00CF693D">
        <w:rPr>
          <w:sz w:val="28"/>
          <w:szCs w:val="28"/>
          <w:lang w:val="uk-UA"/>
        </w:rPr>
        <w:t xml:space="preserve">У </w:t>
      </w:r>
      <w:r w:rsidRPr="00CF693D">
        <w:rPr>
          <w:rStyle w:val="longtext10"/>
          <w:sz w:val="28"/>
          <w:szCs w:val="28"/>
          <w:lang w:val="uk-UA"/>
        </w:rPr>
        <w:t>групі</w:t>
      </w:r>
      <w:r w:rsidRPr="00CF693D">
        <w:rPr>
          <w:sz w:val="28"/>
          <w:szCs w:val="28"/>
          <w:lang w:val="uk-UA"/>
        </w:rPr>
        <w:t xml:space="preserve"> поєднаного перебігу ГХ, ЦД 2 типу та СГТ спостерігався найнижчий показник ЦДЕК , що достовірно відрізнявся від показників інших досліджуваних груп пацієнтів (р&lt;0,001 при порівнянні з групами 1 та 2). Дослідження кількості ЦДЕК дозволило виділяти два ступеня ушкодження стінок судин: помірно виражену (кількість ДЦЕК до 10 кл./100 мкл) та виражену (більше 10 кл./100 мкл). Серед досліджуваної вибірки у 3,85±1,54% пацієнтів групи 2 та у 4,3±2,10% пацієнтів групі 3 кількість ЦДЕК знаходилася в межах контрольних значень. В групі ізольованої ГХ пацієнтів з кількістю ЦДЕК в межах нормальних значень не спостерігалось. Більш того, серед пацієнтів групи 3 майже в 2 рази рідше, ніж в  групі 1 та у групі 2 зустрічалися пацієнти з вираженим морфологічним ушкодженням ендотелію (рівень ДЦЕК більше 10 кл. /100 мкл): 38,71±5,05% - у  групі 3, 67,92 ±4,53%  - у 1 групі та 70,51 ±3,65% пацієнтів у групі 2 (р </w:t>
      </w:r>
      <w:r w:rsidRPr="00CF693D">
        <w:rPr>
          <w:sz w:val="28"/>
          <w:szCs w:val="28"/>
          <w:vertAlign w:val="subscript"/>
          <w:lang w:val="uk-UA"/>
        </w:rPr>
        <w:t>1-2</w:t>
      </w:r>
      <w:r w:rsidRPr="00CF693D">
        <w:rPr>
          <w:sz w:val="28"/>
          <w:szCs w:val="28"/>
          <w:lang w:val="uk-UA"/>
        </w:rPr>
        <w:t>&gt;0,05, р</w:t>
      </w:r>
      <w:r w:rsidRPr="00CF693D">
        <w:rPr>
          <w:sz w:val="28"/>
          <w:szCs w:val="28"/>
          <w:vertAlign w:val="subscript"/>
          <w:lang w:val="uk-UA"/>
        </w:rPr>
        <w:t>1-3</w:t>
      </w:r>
      <w:r w:rsidRPr="00CF693D">
        <w:rPr>
          <w:sz w:val="28"/>
          <w:szCs w:val="28"/>
          <w:lang w:val="uk-UA"/>
        </w:rPr>
        <w:t>&lt;0,001, р</w:t>
      </w:r>
      <w:r w:rsidRPr="00CF693D">
        <w:rPr>
          <w:sz w:val="28"/>
          <w:szCs w:val="28"/>
          <w:vertAlign w:val="subscript"/>
          <w:lang w:val="uk-UA"/>
        </w:rPr>
        <w:t>2-3</w:t>
      </w:r>
      <w:r w:rsidRPr="00CF693D">
        <w:rPr>
          <w:sz w:val="28"/>
          <w:szCs w:val="28"/>
          <w:lang w:val="uk-UA"/>
        </w:rPr>
        <w:t>&lt;0,001 відповідно). Ці результати узгоджуються з даними робіт, в яких показано, що ЕД при СГТ не супроводжується морфологічним пошкодженням ендотелію [</w:t>
      </w:r>
      <w:r w:rsidRPr="00CF693D">
        <w:rPr>
          <w:sz w:val="28"/>
          <w:szCs w:val="28"/>
        </w:rPr>
        <w:t>100]</w:t>
      </w:r>
      <w:r w:rsidRPr="00CF693D">
        <w:rPr>
          <w:sz w:val="28"/>
          <w:szCs w:val="28"/>
          <w:lang w:val="uk-UA"/>
        </w:rPr>
        <w:t xml:space="preserve">.  Не було виявлено достовірних відмінностей ТКІМ ЗСА між всіма групами в дослідженні. </w:t>
      </w:r>
    </w:p>
    <w:p w:rsidR="00E3259F" w:rsidRPr="00CF693D" w:rsidRDefault="00E3259F" w:rsidP="00CF693D">
      <w:pPr>
        <w:spacing w:line="360" w:lineRule="auto"/>
        <w:ind w:firstLine="709"/>
        <w:jc w:val="both"/>
        <w:rPr>
          <w:sz w:val="28"/>
          <w:szCs w:val="28"/>
          <w:lang w:val="uk-UA"/>
        </w:rPr>
      </w:pPr>
      <w:r w:rsidRPr="00CF693D">
        <w:rPr>
          <w:sz w:val="28"/>
          <w:szCs w:val="28"/>
          <w:lang w:val="uk-UA"/>
        </w:rPr>
        <w:t>З метою виявлення зв`язків маркерів ЕД, ТКІМ ЗСА та показників ліпідного, вуглеводного та тиреоїдного обмінів, що досліджуються, індексу ІР, та антропометричними показниками в групах з коморбідною патологією був проведений кореляційний аналіз, який виявив наявність кореляційних зв`язків між показниками ЕД  та показниками  вуглеводного та ліпідного обміну у групі 2 та 3 (Таблиця 5.2). Отримані кореляційні зв'язки вказують на взаємообтяжуючій вплив ЕД, дисліпідемії, гіперглікемії та інсулінорезистентності на перебіг коморбідності ГХ та ЦД 2 типу і ГХ, ЦД 2 типу та СГТ.</w:t>
      </w:r>
    </w:p>
    <w:p w:rsidR="00CF693D" w:rsidRDefault="00CF693D" w:rsidP="00CF693D">
      <w:pPr>
        <w:spacing w:line="360" w:lineRule="auto"/>
        <w:jc w:val="both"/>
        <w:rPr>
          <w:sz w:val="28"/>
          <w:szCs w:val="28"/>
          <w:lang w:val="uk-UA"/>
        </w:rPr>
      </w:pPr>
      <w:r>
        <w:rPr>
          <w:sz w:val="28"/>
          <w:szCs w:val="28"/>
          <w:lang w:val="uk-UA"/>
        </w:rPr>
        <w:t>Наявність кореляційних зв`язків між показниками тиреоїдного обміну та показниками, які характеризують ЕД у групі 2, та кореляційного зв`язку  ВЕФР та ТТГ у групі 3 (</w:t>
      </w:r>
      <w:r>
        <w:rPr>
          <w:sz w:val="28"/>
          <w:szCs w:val="28"/>
          <w:lang w:val="en-US"/>
        </w:rPr>
        <w:t>r</w:t>
      </w:r>
      <w:r>
        <w:rPr>
          <w:sz w:val="28"/>
          <w:szCs w:val="28"/>
          <w:lang w:val="uk-UA"/>
        </w:rPr>
        <w:t>=</w:t>
      </w:r>
      <w:r>
        <w:rPr>
          <w:color w:val="000000"/>
          <w:sz w:val="28"/>
          <w:szCs w:val="28"/>
          <w:lang w:val="uk-UA"/>
        </w:rPr>
        <w:t>0,434, р=0,001</w:t>
      </w:r>
      <w:r>
        <w:rPr>
          <w:sz w:val="28"/>
          <w:szCs w:val="28"/>
          <w:lang w:val="uk-UA"/>
        </w:rPr>
        <w:t>) свідчить про значний вплив</w:t>
      </w:r>
    </w:p>
    <w:p w:rsidR="00CF693D" w:rsidRDefault="00CF693D" w:rsidP="00E3259F">
      <w:pPr>
        <w:jc w:val="right"/>
        <w:rPr>
          <w:sz w:val="28"/>
          <w:szCs w:val="28"/>
          <w:lang w:val="uk-UA"/>
        </w:rPr>
      </w:pPr>
    </w:p>
    <w:p w:rsidR="00E3259F" w:rsidRDefault="00E3259F" w:rsidP="00E3259F">
      <w:pPr>
        <w:jc w:val="right"/>
        <w:rPr>
          <w:sz w:val="28"/>
          <w:szCs w:val="28"/>
          <w:lang w:val="uk-UA"/>
        </w:rPr>
      </w:pPr>
      <w:r>
        <w:rPr>
          <w:sz w:val="28"/>
          <w:szCs w:val="28"/>
          <w:lang w:val="uk-UA"/>
        </w:rPr>
        <w:t>Таблиця 5.2</w:t>
      </w:r>
    </w:p>
    <w:p w:rsidR="00E3259F" w:rsidRDefault="00E3259F" w:rsidP="00E3259F">
      <w:pPr>
        <w:spacing w:line="360" w:lineRule="auto"/>
        <w:jc w:val="center"/>
        <w:rPr>
          <w:b/>
          <w:lang w:val="uk-UA"/>
        </w:rPr>
      </w:pPr>
      <w:r>
        <w:rPr>
          <w:sz w:val="28"/>
          <w:szCs w:val="28"/>
          <w:lang w:val="uk-UA"/>
        </w:rPr>
        <w:t>Результати кореляційного аналізу маркерів ЕД та антропометричнх і метаболічних показників</w:t>
      </w:r>
    </w:p>
    <w:tbl>
      <w:tblPr>
        <w:tblW w:w="0" w:type="auto"/>
        <w:tblLook w:val="04A0" w:firstRow="1" w:lastRow="0" w:firstColumn="1" w:lastColumn="0" w:noHBand="0" w:noVBand="1"/>
      </w:tblPr>
      <w:tblGrid>
        <w:gridCol w:w="3510"/>
        <w:gridCol w:w="3261"/>
        <w:gridCol w:w="2799"/>
      </w:tblGrid>
      <w:tr w:rsidR="00CF693D" w:rsidRPr="00CF693D" w:rsidTr="00E3259F">
        <w:tc>
          <w:tcPr>
            <w:tcW w:w="3510" w:type="dxa"/>
            <w:tcBorders>
              <w:top w:val="single" w:sz="4" w:space="0" w:color="auto"/>
              <w:left w:val="single" w:sz="4" w:space="0" w:color="auto"/>
              <w:bottom w:val="single" w:sz="4" w:space="0" w:color="auto"/>
              <w:right w:val="single" w:sz="4" w:space="0" w:color="auto"/>
            </w:tcBorders>
            <w:hideMark/>
          </w:tcPr>
          <w:p w:rsidR="00E3259F" w:rsidRPr="00CF693D" w:rsidRDefault="00E3259F" w:rsidP="00CF693D">
            <w:pPr>
              <w:spacing w:line="360" w:lineRule="auto"/>
              <w:jc w:val="both"/>
              <w:rPr>
                <w:sz w:val="28"/>
                <w:szCs w:val="28"/>
                <w:lang w:val="uk-UA" w:eastAsia="en-US"/>
              </w:rPr>
            </w:pPr>
            <w:r w:rsidRPr="00CF693D">
              <w:rPr>
                <w:sz w:val="28"/>
                <w:szCs w:val="28"/>
                <w:lang w:val="uk-UA" w:eastAsia="en-US"/>
              </w:rPr>
              <w:t>Показники</w:t>
            </w:r>
          </w:p>
        </w:tc>
        <w:tc>
          <w:tcPr>
            <w:tcW w:w="3261" w:type="dxa"/>
            <w:tcBorders>
              <w:top w:val="single" w:sz="4" w:space="0" w:color="auto"/>
              <w:left w:val="single" w:sz="4" w:space="0" w:color="auto"/>
              <w:bottom w:val="single" w:sz="4" w:space="0" w:color="auto"/>
              <w:right w:val="single" w:sz="4" w:space="0" w:color="auto"/>
            </w:tcBorders>
            <w:hideMark/>
          </w:tcPr>
          <w:p w:rsidR="00E3259F" w:rsidRPr="00CF693D" w:rsidRDefault="00E3259F" w:rsidP="00CF693D">
            <w:pPr>
              <w:spacing w:line="360" w:lineRule="auto"/>
              <w:jc w:val="both"/>
              <w:rPr>
                <w:sz w:val="28"/>
                <w:szCs w:val="28"/>
                <w:lang w:val="en-US" w:eastAsia="en-US"/>
              </w:rPr>
            </w:pPr>
            <w:r w:rsidRPr="00CF693D">
              <w:rPr>
                <w:sz w:val="28"/>
                <w:szCs w:val="28"/>
                <w:lang w:val="uk-UA" w:eastAsia="en-US"/>
              </w:rPr>
              <w:t>Коефіцієнт к</w:t>
            </w:r>
            <w:r w:rsidRPr="00CF693D">
              <w:rPr>
                <w:sz w:val="28"/>
                <w:szCs w:val="28"/>
                <w:lang w:eastAsia="en-US"/>
              </w:rPr>
              <w:t>ореляц</w:t>
            </w:r>
            <w:r w:rsidRPr="00CF693D">
              <w:rPr>
                <w:sz w:val="28"/>
                <w:szCs w:val="28"/>
                <w:lang w:val="uk-UA" w:eastAsia="en-US"/>
              </w:rPr>
              <w:t>ії</w:t>
            </w:r>
            <w:r w:rsidRPr="00CF693D">
              <w:rPr>
                <w:sz w:val="28"/>
                <w:szCs w:val="28"/>
                <w:lang w:eastAsia="en-US"/>
              </w:rPr>
              <w:t xml:space="preserve"> П</w:t>
            </w:r>
            <w:r w:rsidRPr="00CF693D">
              <w:rPr>
                <w:sz w:val="28"/>
                <w:szCs w:val="28"/>
                <w:lang w:val="uk-UA" w:eastAsia="en-US"/>
              </w:rPr>
              <w:t>і</w:t>
            </w:r>
            <w:r w:rsidRPr="00CF693D">
              <w:rPr>
                <w:sz w:val="28"/>
                <w:szCs w:val="28"/>
                <w:lang w:eastAsia="en-US"/>
              </w:rPr>
              <w:t>рсона</w:t>
            </w:r>
            <w:r w:rsidRPr="00CF693D">
              <w:rPr>
                <w:sz w:val="28"/>
                <w:szCs w:val="28"/>
                <w:lang w:val="uk-UA" w:eastAsia="en-US"/>
              </w:rPr>
              <w:t>,</w:t>
            </w:r>
            <w:r w:rsidRPr="00CF693D">
              <w:rPr>
                <w:sz w:val="28"/>
                <w:szCs w:val="28"/>
                <w:lang w:val="en-US" w:eastAsia="en-US"/>
              </w:rPr>
              <w:t xml:space="preserve"> r</w:t>
            </w:r>
          </w:p>
        </w:tc>
        <w:tc>
          <w:tcPr>
            <w:tcW w:w="2799" w:type="dxa"/>
            <w:tcBorders>
              <w:top w:val="single" w:sz="4" w:space="0" w:color="auto"/>
              <w:left w:val="single" w:sz="4" w:space="0" w:color="auto"/>
              <w:bottom w:val="single" w:sz="4" w:space="0" w:color="auto"/>
              <w:right w:val="single" w:sz="4" w:space="0" w:color="auto"/>
            </w:tcBorders>
            <w:hideMark/>
          </w:tcPr>
          <w:p w:rsidR="00E3259F" w:rsidRPr="00CF693D" w:rsidRDefault="00E3259F" w:rsidP="00CF693D">
            <w:pPr>
              <w:spacing w:line="360" w:lineRule="auto"/>
              <w:jc w:val="both"/>
              <w:rPr>
                <w:sz w:val="28"/>
                <w:szCs w:val="28"/>
                <w:lang w:eastAsia="en-US"/>
              </w:rPr>
            </w:pPr>
            <w:r w:rsidRPr="00CF693D">
              <w:rPr>
                <w:sz w:val="28"/>
                <w:szCs w:val="28"/>
                <w:lang w:val="uk-UA" w:eastAsia="en-US"/>
              </w:rPr>
              <w:t>Рівень з</w:t>
            </w:r>
            <w:r w:rsidRPr="00CF693D">
              <w:rPr>
                <w:sz w:val="28"/>
                <w:szCs w:val="28"/>
                <w:lang w:eastAsia="en-US"/>
              </w:rPr>
              <w:t>нач</w:t>
            </w:r>
            <w:r w:rsidRPr="00CF693D">
              <w:rPr>
                <w:sz w:val="28"/>
                <w:szCs w:val="28"/>
                <w:lang w:val="uk-UA" w:eastAsia="en-US"/>
              </w:rPr>
              <w:t>ущості, р</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center"/>
              <w:rPr>
                <w:color w:val="000000"/>
                <w:sz w:val="28"/>
                <w:szCs w:val="28"/>
                <w:lang w:val="uk-UA" w:eastAsia="en-US"/>
              </w:rPr>
            </w:pPr>
            <w:r>
              <w:rPr>
                <w:color w:val="000000"/>
                <w:sz w:val="28"/>
                <w:szCs w:val="28"/>
                <w:lang w:val="uk-UA" w:eastAsia="en-US"/>
              </w:rPr>
              <w:t>2 група</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both"/>
              <w:rPr>
                <w:sz w:val="28"/>
                <w:szCs w:val="28"/>
                <w:lang w:val="uk-UA" w:eastAsia="en-US"/>
              </w:rPr>
            </w:pPr>
            <w:r>
              <w:rPr>
                <w:sz w:val="28"/>
                <w:szCs w:val="28"/>
                <w:lang w:val="uk-UA" w:eastAsia="en-US"/>
              </w:rPr>
              <w:t>ЦДЕК-</w:t>
            </w:r>
            <w:r>
              <w:rPr>
                <w:color w:val="000000"/>
                <w:sz w:val="28"/>
                <w:szCs w:val="28"/>
                <w:lang w:eastAsia="en-US"/>
              </w:rPr>
              <w:t>HbA1</w:t>
            </w:r>
            <w:r>
              <w:rPr>
                <w:color w:val="000000"/>
                <w:sz w:val="28"/>
                <w:szCs w:val="28"/>
                <w:lang w:val="uk-UA" w:eastAsia="en-US"/>
              </w:rPr>
              <w:t>с</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,171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,033</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both"/>
              <w:rPr>
                <w:sz w:val="28"/>
                <w:szCs w:val="28"/>
                <w:lang w:val="uk-UA" w:eastAsia="en-US"/>
              </w:rPr>
            </w:pPr>
            <w:r>
              <w:rPr>
                <w:sz w:val="28"/>
                <w:szCs w:val="28"/>
                <w:lang w:val="uk-UA" w:eastAsia="en-US"/>
              </w:rPr>
              <w:t>ЦДЕК-</w:t>
            </w:r>
            <w:r>
              <w:rPr>
                <w:color w:val="000000"/>
                <w:sz w:val="28"/>
                <w:szCs w:val="28"/>
                <w:lang w:eastAsia="en-US"/>
              </w:rPr>
              <w:t>ТГ</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both"/>
              <w:rPr>
                <w:b/>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,200</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rsidP="00CF693D">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,012</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ЦДЕК-</w:t>
            </w:r>
            <w:r>
              <w:rPr>
                <w:color w:val="000000"/>
                <w:sz w:val="28"/>
                <w:szCs w:val="28"/>
                <w:lang w:eastAsia="en-US"/>
              </w:rPr>
              <w:t>Х</w:t>
            </w:r>
            <w:r>
              <w:rPr>
                <w:color w:val="000000"/>
                <w:sz w:val="28"/>
                <w:szCs w:val="28"/>
                <w:lang w:val="uk-UA" w:eastAsia="en-US"/>
              </w:rPr>
              <w:t xml:space="preserve">С </w:t>
            </w:r>
            <w:r>
              <w:rPr>
                <w:color w:val="000000"/>
                <w:sz w:val="28"/>
                <w:szCs w:val="28"/>
                <w:lang w:eastAsia="en-US"/>
              </w:rPr>
              <w:t>ЛП</w:t>
            </w:r>
            <w:r>
              <w:rPr>
                <w:color w:val="000000"/>
                <w:sz w:val="28"/>
                <w:szCs w:val="28"/>
                <w:lang w:val="uk-UA" w:eastAsia="en-US"/>
              </w:rPr>
              <w:t>Д</w:t>
            </w:r>
            <w:r>
              <w:rPr>
                <w:color w:val="000000"/>
                <w:sz w:val="28"/>
                <w:szCs w:val="28"/>
                <w:lang w:eastAsia="en-US"/>
              </w:rPr>
              <w:t>Н</w:t>
            </w:r>
            <w:r>
              <w:rPr>
                <w:color w:val="000000"/>
                <w:sz w:val="28"/>
                <w:szCs w:val="28"/>
                <w:lang w:val="uk-UA" w:eastAsia="en-US"/>
              </w:rPr>
              <w:t>Щ</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,271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,001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ЦДЕК-</w:t>
            </w:r>
            <w:r>
              <w:rPr>
                <w:color w:val="000000"/>
                <w:sz w:val="28"/>
                <w:szCs w:val="28"/>
                <w:lang w:eastAsia="en-US"/>
              </w:rPr>
              <w:t>Т4</w:t>
            </w:r>
            <w:r>
              <w:rPr>
                <w:color w:val="000000"/>
                <w:sz w:val="28"/>
                <w:szCs w:val="28"/>
                <w:lang w:val="uk-UA" w:eastAsia="en-US"/>
              </w:rPr>
              <w:t>віл</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,168</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,036</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ЦДЕК-</w:t>
            </w:r>
            <w:r>
              <w:rPr>
                <w:color w:val="000000"/>
                <w:sz w:val="28"/>
                <w:szCs w:val="28"/>
                <w:lang w:eastAsia="en-US"/>
              </w:rPr>
              <w:t>Т3</w:t>
            </w:r>
            <w:r>
              <w:rPr>
                <w:color w:val="000000"/>
                <w:sz w:val="28"/>
                <w:szCs w:val="28"/>
                <w:lang w:val="uk-UA" w:eastAsia="en-US"/>
              </w:rPr>
              <w:t>віл</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,162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,043</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ЦДЕК-ТКІМ</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,292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ВЕФР-</w:t>
            </w:r>
            <w:r>
              <w:rPr>
                <w:color w:val="000000"/>
                <w:sz w:val="28"/>
                <w:szCs w:val="28"/>
                <w:lang w:eastAsia="en-US"/>
              </w:rPr>
              <w:t>НОМА</w:t>
            </w:r>
            <w:r>
              <w:rPr>
                <w:color w:val="000000"/>
                <w:sz w:val="28"/>
                <w:szCs w:val="28"/>
                <w:lang w:val="uk-UA" w:eastAsia="en-US"/>
              </w:rPr>
              <w:t>-</w:t>
            </w:r>
            <w:r>
              <w:rPr>
                <w:color w:val="000000"/>
                <w:sz w:val="28"/>
                <w:szCs w:val="28"/>
                <w:lang w:val="en-US" w:eastAsia="en-US"/>
              </w:rPr>
              <w:t>IR</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,224</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,005</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ВЕФР-і</w:t>
            </w:r>
            <w:r>
              <w:rPr>
                <w:color w:val="000000"/>
                <w:sz w:val="28"/>
                <w:szCs w:val="28"/>
                <w:lang w:eastAsia="en-US"/>
              </w:rPr>
              <w:t>нсул</w:t>
            </w:r>
            <w:r>
              <w:rPr>
                <w:color w:val="000000"/>
                <w:sz w:val="28"/>
                <w:szCs w:val="28"/>
                <w:lang w:val="uk-UA" w:eastAsia="en-US"/>
              </w:rPr>
              <w:t>і</w:t>
            </w:r>
            <w:r>
              <w:rPr>
                <w:color w:val="000000"/>
                <w:sz w:val="28"/>
                <w:szCs w:val="28"/>
                <w:lang w:eastAsia="en-US"/>
              </w:rPr>
              <w:t>н</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,291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ВЕФР-</w:t>
            </w:r>
            <w:r>
              <w:rPr>
                <w:color w:val="000000"/>
                <w:sz w:val="28"/>
                <w:szCs w:val="28"/>
                <w:lang w:eastAsia="en-US"/>
              </w:rPr>
              <w:t>Т3</w:t>
            </w:r>
            <w:r>
              <w:rPr>
                <w:color w:val="000000"/>
                <w:sz w:val="28"/>
                <w:szCs w:val="28"/>
                <w:lang w:val="uk-UA" w:eastAsia="en-US"/>
              </w:rPr>
              <w:t>віл</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,301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ВЕФР-</w:t>
            </w:r>
            <w:r>
              <w:rPr>
                <w:color w:val="000000"/>
                <w:sz w:val="28"/>
                <w:szCs w:val="28"/>
                <w:lang w:eastAsia="en-US"/>
              </w:rPr>
              <w:t>Т4</w:t>
            </w:r>
            <w:r>
              <w:rPr>
                <w:color w:val="000000"/>
                <w:sz w:val="28"/>
                <w:szCs w:val="28"/>
                <w:lang w:val="uk-UA" w:eastAsia="en-US"/>
              </w:rPr>
              <w:t>віл</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,164</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,040</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ВЕФР-</w:t>
            </w:r>
            <w:r>
              <w:rPr>
                <w:color w:val="000000"/>
                <w:sz w:val="28"/>
                <w:szCs w:val="28"/>
                <w:lang w:eastAsia="en-US"/>
              </w:rPr>
              <w:t>ТТГ</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,299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ТКІМ ЗСА-МТ</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,213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,008</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ТКІМ ЗСА-</w:t>
            </w:r>
            <w:r>
              <w:rPr>
                <w:color w:val="000000"/>
                <w:sz w:val="28"/>
                <w:szCs w:val="28"/>
                <w:lang w:eastAsia="en-US"/>
              </w:rPr>
              <w:t>HbA1</w:t>
            </w:r>
            <w:r>
              <w:rPr>
                <w:color w:val="000000"/>
                <w:sz w:val="28"/>
                <w:szCs w:val="28"/>
                <w:lang w:val="uk-UA" w:eastAsia="en-US"/>
              </w:rPr>
              <w:t>с</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,333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center"/>
              <w:rPr>
                <w:sz w:val="28"/>
                <w:szCs w:val="28"/>
                <w:lang w:val="uk-UA" w:eastAsia="en-US"/>
              </w:rPr>
            </w:pPr>
            <w:r>
              <w:rPr>
                <w:sz w:val="28"/>
                <w:szCs w:val="28"/>
                <w:lang w:val="uk-UA" w:eastAsia="en-US"/>
              </w:rPr>
              <w:t>3 група</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ВЕФР-</w:t>
            </w:r>
            <w:r>
              <w:rPr>
                <w:color w:val="000000"/>
                <w:sz w:val="28"/>
                <w:szCs w:val="28"/>
                <w:lang w:eastAsia="en-US"/>
              </w:rPr>
              <w:t>ТТГ</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,434</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,00</w:t>
            </w:r>
            <w:r>
              <w:rPr>
                <w:color w:val="000000"/>
                <w:sz w:val="28"/>
                <w:szCs w:val="28"/>
                <w:lang w:val="uk-UA" w:eastAsia="en-US"/>
              </w:rPr>
              <w:t>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ТКІМ ЗСА-</w:t>
            </w:r>
            <w:r>
              <w:rPr>
                <w:color w:val="000000"/>
                <w:sz w:val="28"/>
                <w:szCs w:val="28"/>
                <w:lang w:eastAsia="en-US"/>
              </w:rPr>
              <w:t>Х</w:t>
            </w:r>
            <w:r>
              <w:rPr>
                <w:color w:val="000000"/>
                <w:sz w:val="28"/>
                <w:szCs w:val="28"/>
                <w:lang w:val="uk-UA" w:eastAsia="en-US"/>
              </w:rPr>
              <w:t xml:space="preserve">С </w:t>
            </w:r>
            <w:r>
              <w:rPr>
                <w:color w:val="000000"/>
                <w:sz w:val="28"/>
                <w:szCs w:val="28"/>
                <w:lang w:eastAsia="en-US"/>
              </w:rPr>
              <w:t>ЛП</w:t>
            </w:r>
            <w:r>
              <w:rPr>
                <w:color w:val="000000"/>
                <w:sz w:val="28"/>
                <w:szCs w:val="28"/>
                <w:lang w:val="uk-UA" w:eastAsia="en-US"/>
              </w:rPr>
              <w:t>ДНЩ</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,212</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,042</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sz w:val="28"/>
                <w:szCs w:val="28"/>
                <w:lang w:val="uk-UA" w:eastAsia="en-US"/>
              </w:rPr>
              <w:t>ТКІМ ЗСА-</w:t>
            </w:r>
            <w:r>
              <w:rPr>
                <w:color w:val="000000"/>
                <w:sz w:val="28"/>
                <w:szCs w:val="28"/>
                <w:lang w:eastAsia="en-US"/>
              </w:rPr>
              <w:t>Х</w:t>
            </w:r>
            <w:r>
              <w:rPr>
                <w:color w:val="000000"/>
                <w:sz w:val="28"/>
                <w:szCs w:val="28"/>
                <w:lang w:val="uk-UA" w:eastAsia="en-US"/>
              </w:rPr>
              <w:t xml:space="preserve">С </w:t>
            </w:r>
            <w:r>
              <w:rPr>
                <w:color w:val="000000"/>
                <w:sz w:val="28"/>
                <w:szCs w:val="28"/>
                <w:lang w:eastAsia="en-US"/>
              </w:rPr>
              <w:t>ЛПН</w:t>
            </w:r>
            <w:r>
              <w:rPr>
                <w:color w:val="000000"/>
                <w:sz w:val="28"/>
                <w:szCs w:val="28"/>
                <w:lang w:val="uk-UA" w:eastAsia="en-US"/>
              </w:rPr>
              <w:t>Щ</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eastAsia="en-US"/>
              </w:rPr>
              <w:t>-</w:t>
            </w:r>
            <w:r>
              <w:rPr>
                <w:color w:val="000000"/>
                <w:sz w:val="28"/>
                <w:szCs w:val="28"/>
                <w:lang w:val="uk-UA" w:eastAsia="en-US"/>
              </w:rPr>
              <w:t>0</w:t>
            </w:r>
            <w:r>
              <w:rPr>
                <w:color w:val="000000"/>
                <w:sz w:val="28"/>
                <w:szCs w:val="28"/>
                <w:lang w:eastAsia="en-US"/>
              </w:rPr>
              <w:t>,263</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en-US"/>
              </w:rPr>
            </w:pPr>
            <w:r>
              <w:rPr>
                <w:color w:val="000000"/>
                <w:sz w:val="28"/>
                <w:szCs w:val="28"/>
                <w:lang w:val="uk-UA" w:eastAsia="en-US"/>
              </w:rPr>
              <w:t>0</w:t>
            </w:r>
            <w:r>
              <w:rPr>
                <w:color w:val="000000"/>
                <w:sz w:val="28"/>
                <w:szCs w:val="28"/>
                <w:lang w:eastAsia="en-US"/>
              </w:rPr>
              <w:t>,011</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ТКІМ ЗСА-</w:t>
            </w:r>
            <w:r>
              <w:rPr>
                <w:color w:val="000000"/>
                <w:sz w:val="28"/>
                <w:szCs w:val="28"/>
                <w:lang w:eastAsia="en-US"/>
              </w:rPr>
              <w:t>Глюкоза</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,219</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,035</w:t>
            </w:r>
          </w:p>
        </w:tc>
      </w:tr>
      <w:tr w:rsidR="00E3259F" w:rsidTr="00E3259F">
        <w:tc>
          <w:tcPr>
            <w:tcW w:w="351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ТКІМ ЗСА-</w:t>
            </w:r>
            <w:r>
              <w:rPr>
                <w:color w:val="000000"/>
                <w:sz w:val="28"/>
                <w:szCs w:val="28"/>
                <w:lang w:eastAsia="en-US"/>
              </w:rPr>
              <w:t>HbA1</w:t>
            </w:r>
            <w:r>
              <w:rPr>
                <w:color w:val="000000"/>
                <w:sz w:val="28"/>
                <w:szCs w:val="28"/>
                <w:lang w:val="uk-UA" w:eastAsia="en-US"/>
              </w:rPr>
              <w:t>с</w:t>
            </w:r>
          </w:p>
        </w:tc>
        <w:tc>
          <w:tcPr>
            <w:tcW w:w="326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,211</w:t>
            </w:r>
          </w:p>
        </w:tc>
        <w:tc>
          <w:tcPr>
            <w:tcW w:w="279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sz w:val="28"/>
                <w:szCs w:val="28"/>
                <w:lang w:eastAsia="en-US"/>
              </w:rPr>
            </w:pPr>
            <w:r>
              <w:rPr>
                <w:color w:val="000000"/>
                <w:sz w:val="28"/>
                <w:szCs w:val="28"/>
                <w:lang w:val="uk-UA" w:eastAsia="en-US"/>
              </w:rPr>
              <w:t>0</w:t>
            </w:r>
            <w:r>
              <w:rPr>
                <w:color w:val="000000"/>
                <w:sz w:val="28"/>
                <w:szCs w:val="28"/>
                <w:lang w:eastAsia="en-US"/>
              </w:rPr>
              <w:t>,043</w:t>
            </w:r>
          </w:p>
        </w:tc>
      </w:tr>
    </w:tbl>
    <w:p w:rsidR="00E3259F" w:rsidRDefault="00E3259F" w:rsidP="00E3259F">
      <w:pPr>
        <w:pStyle w:val="amaintext"/>
        <w:spacing w:before="0" w:beforeAutospacing="0" w:after="0" w:afterAutospacing="0" w:line="360" w:lineRule="auto"/>
        <w:jc w:val="both"/>
        <w:rPr>
          <w:lang w:val="uk-UA"/>
        </w:rPr>
      </w:pPr>
    </w:p>
    <w:p w:rsidR="00E3259F" w:rsidRPr="00C239D8" w:rsidRDefault="00E3259F" w:rsidP="00CF693D">
      <w:pPr>
        <w:pStyle w:val="amaintext"/>
        <w:spacing w:before="0" w:beforeAutospacing="0" w:after="0" w:afterAutospacing="0" w:line="360" w:lineRule="auto"/>
        <w:ind w:firstLine="709"/>
        <w:jc w:val="both"/>
        <w:rPr>
          <w:sz w:val="28"/>
          <w:szCs w:val="28"/>
          <w:lang w:val="uk-UA"/>
        </w:rPr>
      </w:pPr>
      <w:r w:rsidRPr="00C239D8">
        <w:rPr>
          <w:sz w:val="28"/>
          <w:szCs w:val="28"/>
          <w:lang w:val="uk-UA"/>
        </w:rPr>
        <w:t>тиреоїдних гормонів на функціональний стан ендотелію навіть у межах нормальних значень ТТГ і погіршується за мірою зростання рівня ТТГ [1].</w:t>
      </w:r>
    </w:p>
    <w:p w:rsidR="00E3259F" w:rsidRPr="00C239D8" w:rsidRDefault="00E3259F" w:rsidP="00CF693D">
      <w:pPr>
        <w:pStyle w:val="amaintext"/>
        <w:spacing w:before="0" w:beforeAutospacing="0" w:after="0" w:afterAutospacing="0" w:line="360" w:lineRule="auto"/>
        <w:ind w:firstLine="709"/>
        <w:jc w:val="both"/>
        <w:rPr>
          <w:sz w:val="28"/>
          <w:szCs w:val="28"/>
          <w:lang w:val="uk-UA"/>
        </w:rPr>
      </w:pPr>
      <w:r w:rsidRPr="00C239D8">
        <w:rPr>
          <w:sz w:val="28"/>
          <w:szCs w:val="28"/>
          <w:lang w:val="uk-UA"/>
        </w:rPr>
        <w:t xml:space="preserve">Результати однофакторного дисперсійного аналізу показали значний вплив ВЕФР на рівні ТТГ у пацієнтів як  групи 2 (р=0,001), так і 3 групи (р&lt;0,001). З метою виявлення впливу ВЕФР на метаболічні показники проведений дисперсійний аналіз продемонстрував  значний вплив ВЕФР на рівні ЗХС (р=0,020), ХС ЛПНЩ (р=0,002), ХС ЛПВЩ (р=0,001), глюкози натще (р=0,001), </w:t>
      </w:r>
      <w:r w:rsidRPr="00C239D8">
        <w:rPr>
          <w:sz w:val="28"/>
          <w:szCs w:val="28"/>
        </w:rPr>
        <w:t>HbA</w:t>
      </w:r>
      <w:r w:rsidRPr="00C239D8">
        <w:rPr>
          <w:sz w:val="28"/>
          <w:szCs w:val="28"/>
          <w:lang w:val="uk-UA"/>
        </w:rPr>
        <w:t>1с (р=0,005) та НОМА-</w:t>
      </w:r>
      <w:r w:rsidRPr="00C239D8">
        <w:rPr>
          <w:sz w:val="28"/>
          <w:szCs w:val="28"/>
          <w:lang w:val="en-US"/>
        </w:rPr>
        <w:t>IR</w:t>
      </w:r>
      <w:r w:rsidRPr="00C239D8">
        <w:rPr>
          <w:sz w:val="28"/>
          <w:szCs w:val="28"/>
          <w:lang w:val="uk-UA"/>
        </w:rPr>
        <w:t xml:space="preserve"> (р=0,015) у  групі 2пацієнтів. Був виявлений достовірний вплив ВЕФР на ТКІМ ЗСА у групі 2 (р=0,008).</w:t>
      </w:r>
    </w:p>
    <w:p w:rsidR="00E3259F" w:rsidRPr="00C239D8" w:rsidRDefault="00E3259F" w:rsidP="00CF693D">
      <w:pPr>
        <w:spacing w:line="360" w:lineRule="auto"/>
        <w:ind w:firstLine="709"/>
        <w:jc w:val="both"/>
        <w:rPr>
          <w:sz w:val="28"/>
          <w:szCs w:val="28"/>
          <w:lang w:val="uk-UA"/>
        </w:rPr>
      </w:pPr>
      <w:r w:rsidRPr="00C239D8">
        <w:rPr>
          <w:sz w:val="28"/>
          <w:szCs w:val="28"/>
          <w:lang w:val="uk-UA"/>
        </w:rPr>
        <w:t>Відсутність кореляційних зв`язків ЦДЕК з показниками ліпідного, вуглеводного та тиреоїдного обміну у пацієнтів 3 групи можна розцінювати як свідчення відсутності значного впливу дисфункції ЩЗ, зокрема на субклінічному рівні, на морфологічний стан ендотелію судину цієї когорти хворих.</w:t>
      </w:r>
    </w:p>
    <w:p w:rsidR="00C239D8" w:rsidRDefault="00E3259F" w:rsidP="00C239D8">
      <w:pPr>
        <w:spacing w:line="360" w:lineRule="auto"/>
        <w:ind w:firstLine="709"/>
        <w:jc w:val="both"/>
        <w:rPr>
          <w:sz w:val="28"/>
          <w:szCs w:val="28"/>
          <w:lang w:val="uk-UA"/>
        </w:rPr>
      </w:pPr>
      <w:r w:rsidRPr="00C239D8">
        <w:rPr>
          <w:sz w:val="28"/>
          <w:szCs w:val="28"/>
          <w:lang w:val="uk-UA"/>
        </w:rPr>
        <w:t>Ураховуючи погіршення більшості досліджуваних метаболічних показників із збільшенням ТТГ, всі пацієнти 3-ї групи були розподілені на 3 підгрупи з метою уточнення впливу рівнів ТТГ на рівні ВЕФР:  3а група (n=53) - рівні ТТГ 4,1-6,0 мкМО/мл; група 3б (n=24) - рівні ТТГ 6,1-8,0 мкМО/мл і група 3в (n=16) - рівні ТТГ 8,1-10 мкМО/мл. Незважаючи на те, що такий розподіл пацієнтів клінічно недоцільний, рівні ВЕФР відрізнялися (рисунок 5.1).</w:t>
      </w:r>
      <w:r w:rsidR="00C239D8" w:rsidRPr="00C239D8">
        <w:rPr>
          <w:sz w:val="28"/>
          <w:szCs w:val="28"/>
          <w:lang w:val="uk-UA"/>
        </w:rPr>
        <w:t xml:space="preserve"> </w:t>
      </w:r>
      <w:r w:rsidR="00C239D8">
        <w:rPr>
          <w:sz w:val="28"/>
          <w:szCs w:val="28"/>
          <w:lang w:val="uk-UA"/>
        </w:rPr>
        <w:t>У підгрупах групи 3 плазмовий рівень ВЕФР був найнижчим у підгрупі 3a (375,91±19,81 пг /мл), та достовірно відрізнявся від підгруп 3б та 3в (p=0,005 для підгруп 3б та 3в), між якими достовірних відмінностей не було виявлено (3б - 416,31±17,64 пг/мл, 3в - 414,68 ± 19,24 пг / мл відповідно,</w:t>
      </w:r>
    </w:p>
    <w:p w:rsidR="00C239D8" w:rsidRDefault="00C239D8" w:rsidP="00C239D8">
      <w:pPr>
        <w:spacing w:line="360" w:lineRule="auto"/>
        <w:jc w:val="both"/>
        <w:rPr>
          <w:sz w:val="28"/>
          <w:szCs w:val="28"/>
          <w:lang w:val="uk-UA"/>
        </w:rPr>
      </w:pPr>
      <w:r>
        <w:rPr>
          <w:sz w:val="28"/>
          <w:szCs w:val="28"/>
          <w:lang w:val="uk-UA"/>
        </w:rPr>
        <w:t xml:space="preserve"> p&gt; 0,05). </w:t>
      </w:r>
    </w:p>
    <w:p w:rsidR="00C239D8" w:rsidRDefault="00C239D8" w:rsidP="00C239D8">
      <w:pPr>
        <w:spacing w:line="360" w:lineRule="auto"/>
        <w:ind w:firstLine="709"/>
        <w:jc w:val="both"/>
        <w:rPr>
          <w:sz w:val="28"/>
          <w:szCs w:val="28"/>
          <w:lang w:val="uk-UA"/>
        </w:rPr>
      </w:pPr>
      <w:r>
        <w:rPr>
          <w:sz w:val="28"/>
          <w:szCs w:val="28"/>
          <w:lang w:val="uk-UA"/>
        </w:rPr>
        <w:t xml:space="preserve">Було проаналізовано рівні ВЕФР у пацієнтів  групи 3, враховуючи рівні ТТГ  4,1-7,0 </w:t>
      </w:r>
      <w:r>
        <w:rPr>
          <w:color w:val="000000"/>
          <w:sz w:val="28"/>
          <w:szCs w:val="28"/>
          <w:shd w:val="clear" w:color="auto" w:fill="FFFFFF"/>
          <w:lang w:val="uk-UA"/>
        </w:rPr>
        <w:t xml:space="preserve">мкМОд/мл </w:t>
      </w:r>
      <w:r>
        <w:rPr>
          <w:sz w:val="28"/>
          <w:szCs w:val="28"/>
          <w:lang w:val="uk-UA"/>
        </w:rPr>
        <w:t xml:space="preserve">та рівні ТТГ 7,1-10,0 </w:t>
      </w:r>
      <w:r>
        <w:rPr>
          <w:color w:val="000000"/>
          <w:sz w:val="28"/>
          <w:szCs w:val="28"/>
          <w:shd w:val="clear" w:color="auto" w:fill="FFFFFF"/>
          <w:lang w:val="uk-UA"/>
        </w:rPr>
        <w:t>мкМОд/мл</w:t>
      </w:r>
      <w:r>
        <w:rPr>
          <w:sz w:val="28"/>
          <w:szCs w:val="28"/>
          <w:lang w:val="uk-UA"/>
        </w:rPr>
        <w:t xml:space="preserve">. Отримані такі результати: у пацієнтів із рівнями ТТГв межах 4,1- 7,0 </w:t>
      </w:r>
      <w:r>
        <w:rPr>
          <w:color w:val="000000"/>
          <w:sz w:val="28"/>
          <w:szCs w:val="28"/>
          <w:shd w:val="clear" w:color="auto" w:fill="FFFFFF"/>
          <w:lang w:val="uk-UA"/>
        </w:rPr>
        <w:t>мкМОд/мл (</w:t>
      </w:r>
      <w:r>
        <w:rPr>
          <w:sz w:val="28"/>
          <w:szCs w:val="28"/>
          <w:lang w:val="uk-UA"/>
        </w:rPr>
        <w:t xml:space="preserve">середнє значення - 5,64±1,07 </w:t>
      </w:r>
      <w:r>
        <w:rPr>
          <w:color w:val="000000"/>
          <w:sz w:val="28"/>
          <w:szCs w:val="28"/>
          <w:shd w:val="clear" w:color="auto" w:fill="FFFFFF"/>
          <w:lang w:val="uk-UA"/>
        </w:rPr>
        <w:t>мкМОд/мл</w:t>
      </w:r>
      <w:r>
        <w:rPr>
          <w:sz w:val="28"/>
          <w:szCs w:val="28"/>
          <w:lang w:val="uk-UA"/>
        </w:rPr>
        <w:t xml:space="preserve">) рівень ВЕФР становив 444,39±23,14 пг/мл, що було достовірно нижче, ніж у пацієнтів, що мали рівніі ТТГ між 7,1 та 10,0 </w:t>
      </w:r>
      <w:r>
        <w:rPr>
          <w:color w:val="000000"/>
          <w:sz w:val="28"/>
          <w:szCs w:val="28"/>
          <w:shd w:val="clear" w:color="auto" w:fill="FFFFFF"/>
          <w:lang w:val="uk-UA"/>
        </w:rPr>
        <w:t>мкМОд/мл</w:t>
      </w:r>
      <w:r>
        <w:rPr>
          <w:sz w:val="28"/>
          <w:szCs w:val="28"/>
          <w:lang w:val="uk-UA"/>
        </w:rPr>
        <w:t xml:space="preserve"> (середнє значення - 8,87±1,11 </w:t>
      </w:r>
      <w:r>
        <w:rPr>
          <w:color w:val="000000"/>
          <w:sz w:val="28"/>
          <w:szCs w:val="28"/>
          <w:shd w:val="clear" w:color="auto" w:fill="FFFFFF"/>
          <w:lang w:val="uk-UA"/>
        </w:rPr>
        <w:t>мкМОд/мл</w:t>
      </w:r>
      <w:r>
        <w:rPr>
          <w:sz w:val="28"/>
          <w:szCs w:val="28"/>
          <w:lang w:val="uk-UA"/>
        </w:rPr>
        <w:t>) – 614,36±40,44 пг/мл (р=0,001 відповідно).</w:t>
      </w:r>
      <w:r>
        <w:rPr>
          <w:b/>
          <w:sz w:val="28"/>
          <w:szCs w:val="28"/>
          <w:lang w:val="uk-UA"/>
        </w:rPr>
        <w:t xml:space="preserve"> </w:t>
      </w:r>
      <w:r>
        <w:rPr>
          <w:sz w:val="28"/>
          <w:szCs w:val="28"/>
          <w:lang w:val="uk-UA"/>
        </w:rPr>
        <w:t xml:space="preserve">Ці дані збігаються з думкою низки авторів, які вважають рівні ТТГ 6-7 </w:t>
      </w:r>
      <w:r>
        <w:rPr>
          <w:color w:val="000000"/>
          <w:sz w:val="28"/>
          <w:szCs w:val="28"/>
          <w:shd w:val="clear" w:color="auto" w:fill="FFFFFF"/>
          <w:lang w:val="uk-UA"/>
        </w:rPr>
        <w:t>мкМОд/мл</w:t>
      </w:r>
      <w:r>
        <w:rPr>
          <w:sz w:val="28"/>
          <w:szCs w:val="28"/>
          <w:lang w:val="uk-UA"/>
        </w:rPr>
        <w:t xml:space="preserve"> як поріг з точки зору серцево-судинного ризику</w:t>
      </w:r>
      <w:r>
        <w:rPr>
          <w:b/>
          <w:sz w:val="28"/>
          <w:szCs w:val="28"/>
          <w:lang w:val="uk-UA"/>
        </w:rPr>
        <w:t xml:space="preserve"> </w:t>
      </w:r>
      <w:r w:rsidRPr="0064003E">
        <w:rPr>
          <w:sz w:val="28"/>
          <w:szCs w:val="28"/>
          <w:lang w:val="uk-UA"/>
        </w:rPr>
        <w:t>[</w:t>
      </w:r>
      <w:r w:rsidRPr="0064003E">
        <w:rPr>
          <w:bCs/>
          <w:sz w:val="28"/>
          <w:szCs w:val="28"/>
          <w:lang w:val="uk-UA"/>
        </w:rPr>
        <w:t>279</w:t>
      </w:r>
      <w:r w:rsidRPr="0064003E">
        <w:rPr>
          <w:sz w:val="28"/>
          <w:szCs w:val="28"/>
          <w:lang w:val="uk-UA"/>
        </w:rPr>
        <w:t>].</w:t>
      </w:r>
    </w:p>
    <w:p w:rsidR="00E3259F" w:rsidRDefault="00E3259F" w:rsidP="00E3259F">
      <w:pPr>
        <w:spacing w:line="480" w:lineRule="auto"/>
        <w:ind w:firstLine="709"/>
        <w:jc w:val="both"/>
        <w:rPr>
          <w:b/>
          <w:lang w:val="uk-UA"/>
        </w:rPr>
      </w:pPr>
      <w:r>
        <w:rPr>
          <w:noProof/>
        </w:rPr>
        <w:drawing>
          <wp:inline distT="0" distB="0" distL="0" distR="0" wp14:anchorId="4E349B33" wp14:editId="5332DDA0">
            <wp:extent cx="4829175" cy="3314700"/>
            <wp:effectExtent l="0" t="0" r="9525" b="19050"/>
            <wp:docPr id="120" name="Диаграмма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E3259F" w:rsidRPr="00C239D8" w:rsidRDefault="00E3259F" w:rsidP="00E3259F">
      <w:pPr>
        <w:spacing w:line="360" w:lineRule="auto"/>
        <w:ind w:firstLine="709"/>
        <w:jc w:val="both"/>
        <w:rPr>
          <w:sz w:val="28"/>
          <w:szCs w:val="28"/>
          <w:lang w:val="uk-UA"/>
        </w:rPr>
      </w:pPr>
      <w:r w:rsidRPr="00C239D8">
        <w:rPr>
          <w:sz w:val="28"/>
          <w:szCs w:val="28"/>
          <w:lang w:val="uk-UA"/>
        </w:rPr>
        <w:t xml:space="preserve">Рис. 5.1.  Рівні ВЕФР в залежності від рівнів ТТГ (* -p &lt;0,05 значущість </w:t>
      </w:r>
      <w:r w:rsidR="00C239D8" w:rsidRPr="00C239D8">
        <w:rPr>
          <w:sz w:val="28"/>
          <w:szCs w:val="28"/>
          <w:lang w:val="uk-UA"/>
        </w:rPr>
        <w:t xml:space="preserve">відмінностей </w:t>
      </w:r>
      <w:r w:rsidRPr="00C239D8">
        <w:rPr>
          <w:sz w:val="28"/>
          <w:szCs w:val="28"/>
          <w:lang w:val="uk-UA"/>
        </w:rPr>
        <w:t xml:space="preserve">при порівнянні з групою контролю; 1- p&lt;0,05 значущість </w:t>
      </w:r>
      <w:r w:rsidR="00C239D8" w:rsidRPr="00C239D8">
        <w:rPr>
          <w:sz w:val="28"/>
          <w:szCs w:val="28"/>
          <w:lang w:val="uk-UA"/>
        </w:rPr>
        <w:t xml:space="preserve">відмінностей </w:t>
      </w:r>
      <w:r w:rsidRPr="00C239D8">
        <w:rPr>
          <w:sz w:val="28"/>
          <w:szCs w:val="28"/>
          <w:lang w:val="uk-UA"/>
        </w:rPr>
        <w:t xml:space="preserve">при порівнянні порівняння з групою 2; 2 - p&lt;0,05 значущість </w:t>
      </w:r>
      <w:r w:rsidR="00C239D8" w:rsidRPr="00C239D8">
        <w:rPr>
          <w:sz w:val="28"/>
          <w:szCs w:val="28"/>
          <w:lang w:val="uk-UA"/>
        </w:rPr>
        <w:t xml:space="preserve">відмінностей </w:t>
      </w:r>
      <w:r w:rsidRPr="00C239D8">
        <w:rPr>
          <w:sz w:val="28"/>
          <w:szCs w:val="28"/>
          <w:lang w:val="uk-UA"/>
        </w:rPr>
        <w:t xml:space="preserve">при порівнянні з підгрупою 3а. </w:t>
      </w:r>
    </w:p>
    <w:p w:rsidR="00E3259F" w:rsidRDefault="00E3259F" w:rsidP="00E3259F">
      <w:pPr>
        <w:spacing w:line="360" w:lineRule="auto"/>
        <w:ind w:firstLine="709"/>
        <w:jc w:val="both"/>
        <w:rPr>
          <w:sz w:val="28"/>
          <w:szCs w:val="28"/>
          <w:lang w:val="uk-UA"/>
        </w:rPr>
      </w:pPr>
    </w:p>
    <w:p w:rsidR="00E3259F" w:rsidRPr="00C239D8" w:rsidRDefault="00E3259F" w:rsidP="00C239D8">
      <w:pPr>
        <w:spacing w:line="360" w:lineRule="auto"/>
        <w:ind w:firstLine="709"/>
        <w:jc w:val="both"/>
        <w:rPr>
          <w:sz w:val="28"/>
          <w:szCs w:val="28"/>
          <w:lang w:val="uk-UA"/>
        </w:rPr>
      </w:pPr>
      <w:r w:rsidRPr="00C239D8">
        <w:rPr>
          <w:sz w:val="28"/>
          <w:szCs w:val="28"/>
          <w:lang w:val="uk-UA"/>
        </w:rPr>
        <w:t>Результати дослідження рівнів ВЕФР при різному ступені підвищення ТТГ підтверджують припущення про підвищення ЕД при гіпотиреозі вже на субклінічному рівні, незважаючи на наявність факторів, що сприяють його поліпшенню (у цьому випадку прийом метформіну). Пригнічення функціонального стану ендотелію виникає навіть при незначному підвищенні рівня ТТГ:  рівень  ВЕФР у 3а підгрупі був вищим, ніж у пацієнтів із комбінованим перебігом ГХ і ЦД 2 типу без порушення функції ЩЗ (375,91±19,81 пг/мл проти 326,03±14,22 пг/мл відповідно, p=0,005).</w:t>
      </w:r>
    </w:p>
    <w:p w:rsidR="00E3259F" w:rsidRPr="00C239D8" w:rsidRDefault="00E3259F" w:rsidP="00C239D8">
      <w:pPr>
        <w:spacing w:line="360" w:lineRule="auto"/>
        <w:ind w:firstLine="709"/>
        <w:jc w:val="both"/>
        <w:rPr>
          <w:sz w:val="28"/>
          <w:szCs w:val="28"/>
          <w:lang w:val="uk-UA"/>
        </w:rPr>
      </w:pPr>
      <w:r w:rsidRPr="00C239D8">
        <w:rPr>
          <w:sz w:val="28"/>
          <w:szCs w:val="28"/>
          <w:lang w:val="uk-UA"/>
        </w:rPr>
        <w:t xml:space="preserve">Таким чином, серед досліджуваних хворих на ГХ з різними супутніми захворюваннями, ЕД виявилася найбільш вираженою у пацієнтів із комбінованим перебігом ГХ, ЦД 2 типу та СГТ. Одночасний перебіг ГХ та ЦД 2 типу супроводжувався наявністю ЕД, що проявлялось підвищеними рівнями ВЕФР порівняно з контрольною групою, але значно меншою мірою, ніж з ізольованою ГХ, що можна пояснити додатковими ендотелій-протекторними ефектами метформіну. Дисфункція ЩЗ, що супроводжується навіть незначним підвищенням ТТГ, призводить до набагато більш значної ЕД, ніж при коморбідних станах без порушення функції ЩЗ, що проявляється в значному збільшенні ВЕФР. </w:t>
      </w:r>
    </w:p>
    <w:p w:rsidR="00E3259F" w:rsidRPr="00C239D8" w:rsidRDefault="00E3259F" w:rsidP="00C239D8">
      <w:pPr>
        <w:spacing w:line="360" w:lineRule="auto"/>
        <w:ind w:firstLine="709"/>
        <w:jc w:val="both"/>
        <w:rPr>
          <w:sz w:val="28"/>
          <w:szCs w:val="28"/>
          <w:lang w:val="uk-UA"/>
        </w:rPr>
      </w:pPr>
      <w:r w:rsidRPr="00C239D8">
        <w:rPr>
          <w:sz w:val="28"/>
          <w:szCs w:val="28"/>
          <w:lang w:val="uk-UA"/>
        </w:rPr>
        <w:t>Беручи до уваги, що ЕД розглядається в якості фактора ризику розвитку атеросклерозу та його ускладнень, отримані в роботі більш значущі прояви ЕД розвиток СГТ на тлі ГХ у поєднанні з ЦД 2 типу можна розглядати як предиктор посилення й прогресування судинних розладів у коморбідних пацієнтів.</w:t>
      </w:r>
    </w:p>
    <w:p w:rsidR="00E3259F" w:rsidRPr="00C239D8" w:rsidRDefault="00E3259F" w:rsidP="00C239D8">
      <w:pPr>
        <w:pStyle w:val="1"/>
        <w:shd w:val="clear" w:color="auto" w:fill="FFFFFF"/>
        <w:spacing w:before="0" w:beforeAutospacing="0" w:after="0" w:afterAutospacing="0" w:line="360" w:lineRule="auto"/>
        <w:ind w:firstLine="709"/>
        <w:jc w:val="both"/>
        <w:rPr>
          <w:b w:val="0"/>
          <w:sz w:val="28"/>
          <w:szCs w:val="28"/>
          <w:lang w:val="uk-UA"/>
        </w:rPr>
      </w:pPr>
      <w:r w:rsidRPr="00C239D8">
        <w:rPr>
          <w:b w:val="0"/>
          <w:sz w:val="28"/>
          <w:szCs w:val="28"/>
          <w:lang w:val="uk-UA"/>
        </w:rPr>
        <w:t>Останнім часом велика увага приділяється дослідженню гендерних відмінностей патогенетичних та патологічних процесів при різних захворюваннях. Проте існують поодинокі роботи, присвячені гендерним відмінностям плазмових рівнів ВЕФР при різних патологічних станах. Так, в експерименті на щурах було продемонстровано, що в самок рівні сироваткового рівня ВЕФР при індукованому запальному процесі були вищі, ніж у самців [306</w:t>
      </w:r>
      <w:r w:rsidRPr="00C239D8">
        <w:rPr>
          <w:b w:val="0"/>
          <w:sz w:val="28"/>
          <w:szCs w:val="28"/>
        </w:rPr>
        <w:t>]</w:t>
      </w:r>
      <w:r w:rsidRPr="00C239D8">
        <w:rPr>
          <w:b w:val="0"/>
          <w:sz w:val="28"/>
          <w:szCs w:val="28"/>
          <w:lang w:val="uk-UA"/>
        </w:rPr>
        <w:t>. Також, у пацієнтів з хронічним обструктивним захворюванням легень (ХОЗЛ) були виявлені статеві відмінності рівнів ВЕФР в плазмі крові [</w:t>
      </w:r>
      <w:r w:rsidRPr="00C239D8">
        <w:rPr>
          <w:b w:val="0"/>
          <w:sz w:val="28"/>
          <w:szCs w:val="28"/>
          <w:shd w:val="clear" w:color="auto" w:fill="FFFFFF"/>
          <w:lang w:val="uk-UA"/>
        </w:rPr>
        <w:t xml:space="preserve">194]. У пошукових базах бракує робіт, присвячених гендерним відмінностям рівня ВЕФР при ГХ та при коморбідному перебігу з ендокринними захворюваннями. </w:t>
      </w:r>
    </w:p>
    <w:p w:rsidR="00E3259F" w:rsidRDefault="00E3259F" w:rsidP="00C239D8">
      <w:pPr>
        <w:spacing w:line="360" w:lineRule="auto"/>
        <w:ind w:firstLine="709"/>
        <w:jc w:val="both"/>
        <w:rPr>
          <w:sz w:val="28"/>
          <w:szCs w:val="28"/>
          <w:lang w:val="uk-UA"/>
        </w:rPr>
      </w:pPr>
      <w:r>
        <w:rPr>
          <w:sz w:val="28"/>
          <w:szCs w:val="28"/>
          <w:lang w:val="uk-UA"/>
        </w:rPr>
        <w:t>Аналіз гендерних відмінностей показників ЕД в групах  з коморбідною патологією виявив таке (таблиця 5.3): у групі 2  та групі 3 рівні ВЕФР та ЦДЕК між чоловіками та жінками практично не відрізнялись (</w:t>
      </w:r>
      <w:r>
        <w:rPr>
          <w:sz w:val="28"/>
          <w:szCs w:val="28"/>
          <w:lang w:val="uk-UA" w:eastAsia="en-US"/>
        </w:rPr>
        <w:t>р</w:t>
      </w:r>
      <w:r>
        <w:rPr>
          <w:color w:val="000000"/>
          <w:sz w:val="28"/>
          <w:szCs w:val="28"/>
          <w:lang w:val="uk-UA"/>
        </w:rPr>
        <w:t xml:space="preserve">&gt;0,05 у групі 2 та групі 3). </w:t>
      </w:r>
      <w:r>
        <w:rPr>
          <w:sz w:val="28"/>
          <w:szCs w:val="28"/>
          <w:lang w:val="uk-UA"/>
        </w:rPr>
        <w:t xml:space="preserve">Величина ТКІМ у чоловіків була вище, ніж у жінок незалежно від функціонального стану ЩЗ, проте достовірні відмінності спостерігались лише при порівняні в групі 2 (р=0,005). При порівнянні рівнів ВЕФР, ЦДЕК та ТКІМ ЗСА між особами однієї статі залежно від діагнозу були виявлені суттєві відмінності: так було виявлено, що  рівні ВЕФР вірогідно були вище як у жінок (р=0,001), так і у чоловіків (р=0,008) групі 3  порівняно з особами </w:t>
      </w:r>
      <w:r w:rsidRPr="0064003E">
        <w:rPr>
          <w:sz w:val="28"/>
          <w:szCs w:val="28"/>
          <w:lang w:val="uk-UA"/>
        </w:rPr>
        <w:t>відповідної статі групи 2, кількість ЦДЕК була вище у пацієнтів обох статей групи 2, досягаючи достовірних відмінностей тільки при міжгруповому порівнянні жінок (</w:t>
      </w:r>
      <w:r>
        <w:rPr>
          <w:sz w:val="28"/>
          <w:szCs w:val="28"/>
          <w:lang w:val="uk-UA"/>
        </w:rPr>
        <w:t>р=0,007). Дослідження ТКІМ ЗСА не виявило достовірних відмінностей при порівнянні жінок та чоловіків між групами (р</w:t>
      </w:r>
      <w:r>
        <w:rPr>
          <w:color w:val="000000"/>
          <w:sz w:val="28"/>
          <w:szCs w:val="28"/>
          <w:lang w:val="uk-UA"/>
        </w:rPr>
        <w:t>&gt;0,05)</w:t>
      </w:r>
      <w:r>
        <w:rPr>
          <w:sz w:val="28"/>
          <w:szCs w:val="28"/>
          <w:lang w:val="uk-UA"/>
        </w:rPr>
        <w:t xml:space="preserve">. Отримані дані свідчать про відсутність суттєвого гендерного впливу на рівні ВЕФР, кількість ЦДЕК та ТКІМ ЗСА при коморбідному перебігу ГХ та ЦД 2 типу, проте наявність СГТ приводила до погіршення маркерів ЕД як у жінок, так і в чоловіків. </w:t>
      </w:r>
    </w:p>
    <w:p w:rsidR="00E3259F" w:rsidRDefault="00E3259F" w:rsidP="00E3259F">
      <w:pPr>
        <w:jc w:val="right"/>
        <w:rPr>
          <w:sz w:val="28"/>
          <w:szCs w:val="28"/>
          <w:lang w:val="uk-UA"/>
        </w:rPr>
      </w:pPr>
      <w:r>
        <w:rPr>
          <w:sz w:val="28"/>
          <w:szCs w:val="28"/>
          <w:lang w:val="uk-UA"/>
        </w:rPr>
        <w:t>Таблиця 5.3</w:t>
      </w:r>
    </w:p>
    <w:p w:rsidR="00E3259F" w:rsidRDefault="00E3259F" w:rsidP="00E3259F">
      <w:pPr>
        <w:spacing w:line="360" w:lineRule="auto"/>
        <w:ind w:firstLine="709"/>
        <w:jc w:val="center"/>
        <w:rPr>
          <w:rFonts w:eastAsia="Calibri"/>
          <w:sz w:val="28"/>
          <w:szCs w:val="28"/>
          <w:lang w:val="uk-UA" w:eastAsia="en-US"/>
        </w:rPr>
      </w:pPr>
      <w:r>
        <w:rPr>
          <w:bCs/>
          <w:iCs/>
          <w:kern w:val="36"/>
          <w:sz w:val="28"/>
          <w:szCs w:val="28"/>
          <w:lang w:val="uk-UA"/>
        </w:rPr>
        <w:t xml:space="preserve">Гендерні відмінності показників дисфункції ендотелію у хворих з коморбідною патологією залежно від функції ЩЗ,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r>
        <w:rPr>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410"/>
        <w:gridCol w:w="2551"/>
        <w:gridCol w:w="2517"/>
      </w:tblGrid>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uk-UA" w:eastAsia="en-US"/>
              </w:rPr>
            </w:pPr>
            <w:r>
              <w:rPr>
                <w:bCs/>
                <w:iCs/>
                <w:kern w:val="36"/>
                <w:sz w:val="28"/>
                <w:szCs w:val="28"/>
                <w:lang w:val="uk-UA" w:eastAsia="en-US"/>
              </w:rPr>
              <w:t>Показник</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val="en-US" w:eastAsia="en-US"/>
              </w:rPr>
            </w:pPr>
            <w:r>
              <w:rPr>
                <w:sz w:val="28"/>
                <w:szCs w:val="28"/>
                <w:lang w:val="uk-UA" w:eastAsia="en-US"/>
              </w:rPr>
              <w:t>ВЕФР</w:t>
            </w:r>
            <w:r>
              <w:rPr>
                <w:rStyle w:val="xfm65112403"/>
                <w:sz w:val="28"/>
                <w:szCs w:val="28"/>
                <w:lang w:val="uk-UA" w:eastAsia="en-US"/>
              </w:rPr>
              <w:t>, пг</w:t>
            </w:r>
            <w:r>
              <w:rPr>
                <w:sz w:val="28"/>
                <w:szCs w:val="28"/>
                <w:lang w:eastAsia="en-US"/>
              </w:rPr>
              <w:t>/</w:t>
            </w:r>
            <w:r>
              <w:rPr>
                <w:sz w:val="28"/>
                <w:szCs w:val="28"/>
                <w:lang w:val="uk-UA" w:eastAsia="en-US"/>
              </w:rPr>
              <w:t>мл</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b/>
                <w:sz w:val="28"/>
                <w:szCs w:val="28"/>
                <w:lang w:val="uk-UA" w:eastAsia="en-US"/>
              </w:rPr>
            </w:pPr>
            <w:r>
              <w:rPr>
                <w:rStyle w:val="xfm65112403"/>
                <w:sz w:val="28"/>
                <w:szCs w:val="28"/>
                <w:lang w:val="uk-UA" w:eastAsia="en-US"/>
              </w:rPr>
              <w:t>ЦДЕК,</w:t>
            </w:r>
            <w:r>
              <w:rPr>
                <w:rFonts w:eastAsia="TimesNewRomanPSMT"/>
                <w:sz w:val="28"/>
                <w:szCs w:val="28"/>
                <w:lang w:val="en-US" w:eastAsia="en-US"/>
              </w:rPr>
              <w:t xml:space="preserve"> кл</w:t>
            </w:r>
            <w:r>
              <w:rPr>
                <w:rFonts w:eastAsia="TimesNewRomanPSMT"/>
                <w:sz w:val="28"/>
                <w:szCs w:val="28"/>
                <w:lang w:eastAsia="en-US"/>
              </w:rPr>
              <w:t xml:space="preserve">./100 </w:t>
            </w:r>
            <w:r>
              <w:rPr>
                <w:rFonts w:eastAsia="TimesNewRomanPSMT"/>
                <w:sz w:val="28"/>
                <w:szCs w:val="28"/>
                <w:lang w:val="en-US" w:eastAsia="en-US"/>
              </w:rPr>
              <w:t>мкл</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b/>
                <w:sz w:val="28"/>
                <w:szCs w:val="28"/>
                <w:lang w:val="uk-UA" w:eastAsia="en-US"/>
              </w:rPr>
            </w:pPr>
            <w:r>
              <w:rPr>
                <w:rStyle w:val="xfm65112403"/>
                <w:sz w:val="28"/>
                <w:szCs w:val="28"/>
                <w:lang w:val="uk-UA" w:eastAsia="en-US"/>
              </w:rPr>
              <w:t>ТКІМ ЗСА, мм</w:t>
            </w:r>
          </w:p>
        </w:tc>
      </w:tr>
      <w:tr w:rsidR="00E3259F" w:rsidTr="00E3259F">
        <w:tc>
          <w:tcPr>
            <w:tcW w:w="9571" w:type="dxa"/>
            <w:gridSpan w:val="4"/>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uk-UA" w:eastAsia="en-US"/>
              </w:rPr>
            </w:pPr>
            <w:r>
              <w:rPr>
                <w:bCs/>
                <w:iCs/>
                <w:kern w:val="36"/>
                <w:sz w:val="28"/>
                <w:szCs w:val="28"/>
                <w:lang w:val="uk-UA" w:eastAsia="en-US"/>
              </w:rPr>
              <w:t>Жінки</w:t>
            </w:r>
          </w:p>
        </w:tc>
      </w:tr>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en-US" w:eastAsia="en-US"/>
              </w:rPr>
            </w:pPr>
            <w:r>
              <w:rPr>
                <w:bCs/>
                <w:iCs/>
                <w:kern w:val="36"/>
                <w:sz w:val="28"/>
                <w:szCs w:val="28"/>
                <w:lang w:val="uk-UA" w:eastAsia="en-US"/>
              </w:rPr>
              <w:t>Група 2 (</w:t>
            </w:r>
            <w:r>
              <w:rPr>
                <w:bCs/>
                <w:iCs/>
                <w:kern w:val="36"/>
                <w:sz w:val="28"/>
                <w:szCs w:val="28"/>
                <w:lang w:val="en-US" w:eastAsia="en-US"/>
              </w:rPr>
              <w:t>n=75)</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val="en-US" w:eastAsia="en-US"/>
              </w:rPr>
            </w:pPr>
            <w:r>
              <w:rPr>
                <w:sz w:val="28"/>
                <w:szCs w:val="28"/>
                <w:lang w:eastAsia="en-US"/>
              </w:rPr>
              <w:t>335,85±19,</w:t>
            </w:r>
            <w:r>
              <w:rPr>
                <w:sz w:val="28"/>
                <w:szCs w:val="28"/>
                <w:lang w:val="uk-UA" w:eastAsia="en-US"/>
              </w:rPr>
              <w:t>70</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val="en-US" w:eastAsia="en-US"/>
              </w:rPr>
            </w:pPr>
            <w:r>
              <w:rPr>
                <w:sz w:val="28"/>
                <w:szCs w:val="28"/>
                <w:lang w:eastAsia="en-US"/>
              </w:rPr>
              <w:t>12,01±</w:t>
            </w:r>
            <w:r>
              <w:rPr>
                <w:sz w:val="28"/>
                <w:szCs w:val="28"/>
                <w:lang w:val="uk-UA" w:eastAsia="en-US"/>
              </w:rPr>
              <w:t>0</w:t>
            </w:r>
            <w:r>
              <w:rPr>
                <w:sz w:val="28"/>
                <w:szCs w:val="28"/>
                <w:lang w:eastAsia="en-US"/>
              </w:rPr>
              <w:t>,51</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val="en-US" w:eastAsia="en-US"/>
              </w:rPr>
            </w:pPr>
            <w:r>
              <w:rPr>
                <w:sz w:val="28"/>
                <w:szCs w:val="28"/>
                <w:lang w:val="uk-UA" w:eastAsia="en-US"/>
              </w:rPr>
              <w:t>0</w:t>
            </w:r>
            <w:r>
              <w:rPr>
                <w:sz w:val="28"/>
                <w:szCs w:val="28"/>
                <w:lang w:eastAsia="en-US"/>
              </w:rPr>
              <w:t>,07</w:t>
            </w:r>
            <w:r>
              <w:rPr>
                <w:sz w:val="28"/>
                <w:szCs w:val="28"/>
                <w:lang w:val="uk-UA" w:eastAsia="en-US"/>
              </w:rPr>
              <w:t>4</w:t>
            </w:r>
            <w:r>
              <w:rPr>
                <w:sz w:val="28"/>
                <w:szCs w:val="28"/>
                <w:lang w:eastAsia="en-US"/>
              </w:rPr>
              <w:t>±</w:t>
            </w:r>
            <w:r>
              <w:rPr>
                <w:sz w:val="28"/>
                <w:szCs w:val="28"/>
                <w:lang w:val="uk-UA" w:eastAsia="en-US"/>
              </w:rPr>
              <w:t>0</w:t>
            </w:r>
            <w:r>
              <w:rPr>
                <w:sz w:val="28"/>
                <w:szCs w:val="28"/>
                <w:lang w:eastAsia="en-US"/>
              </w:rPr>
              <w:t>,00</w:t>
            </w:r>
            <w:r>
              <w:rPr>
                <w:sz w:val="28"/>
                <w:szCs w:val="28"/>
                <w:lang w:val="uk-UA" w:eastAsia="en-US"/>
              </w:rPr>
              <w:t>2</w:t>
            </w:r>
          </w:p>
        </w:tc>
      </w:tr>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en-US" w:eastAsia="en-US"/>
              </w:rPr>
            </w:pPr>
            <w:r>
              <w:rPr>
                <w:bCs/>
                <w:iCs/>
                <w:kern w:val="36"/>
                <w:sz w:val="28"/>
                <w:szCs w:val="28"/>
                <w:lang w:val="uk-UA" w:eastAsia="en-US"/>
              </w:rPr>
              <w:t xml:space="preserve">Група 3 </w:t>
            </w:r>
            <w:r>
              <w:rPr>
                <w:bCs/>
                <w:iCs/>
                <w:kern w:val="36"/>
                <w:sz w:val="28"/>
                <w:szCs w:val="28"/>
                <w:lang w:val="en-US" w:eastAsia="en-US"/>
              </w:rPr>
              <w:t>(n=81)</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eastAsia="en-US"/>
              </w:rPr>
            </w:pPr>
            <w:r>
              <w:rPr>
                <w:sz w:val="28"/>
                <w:szCs w:val="28"/>
                <w:lang w:eastAsia="en-US"/>
              </w:rPr>
              <w:t>484,35±23,38</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eastAsia="en-US"/>
              </w:rPr>
            </w:pPr>
            <w:r>
              <w:rPr>
                <w:sz w:val="28"/>
                <w:szCs w:val="28"/>
                <w:lang w:eastAsia="en-US"/>
              </w:rPr>
              <w:t>10,33±</w:t>
            </w:r>
            <w:r>
              <w:rPr>
                <w:sz w:val="28"/>
                <w:szCs w:val="28"/>
                <w:lang w:val="uk-UA" w:eastAsia="en-US"/>
              </w:rPr>
              <w:t>0</w:t>
            </w:r>
            <w:r>
              <w:rPr>
                <w:sz w:val="28"/>
                <w:szCs w:val="28"/>
                <w:lang w:eastAsia="en-US"/>
              </w:rPr>
              <w:t>,35</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val="en-US" w:eastAsia="en-US"/>
              </w:rPr>
            </w:pPr>
            <w:r>
              <w:rPr>
                <w:sz w:val="28"/>
                <w:szCs w:val="28"/>
                <w:lang w:val="uk-UA" w:eastAsia="en-US"/>
              </w:rPr>
              <w:t>0</w:t>
            </w:r>
            <w:r>
              <w:rPr>
                <w:sz w:val="28"/>
                <w:szCs w:val="28"/>
                <w:lang w:eastAsia="en-US"/>
              </w:rPr>
              <w:t>,08</w:t>
            </w:r>
            <w:r>
              <w:rPr>
                <w:sz w:val="28"/>
                <w:szCs w:val="28"/>
                <w:lang w:val="uk-UA" w:eastAsia="en-US"/>
              </w:rPr>
              <w:t>2</w:t>
            </w:r>
            <w:r>
              <w:rPr>
                <w:sz w:val="28"/>
                <w:szCs w:val="28"/>
                <w:lang w:eastAsia="en-US"/>
              </w:rPr>
              <w:t>±</w:t>
            </w:r>
            <w:r>
              <w:rPr>
                <w:sz w:val="28"/>
                <w:szCs w:val="28"/>
                <w:lang w:val="uk-UA" w:eastAsia="en-US"/>
              </w:rPr>
              <w:t>0</w:t>
            </w:r>
            <w:r>
              <w:rPr>
                <w:sz w:val="28"/>
                <w:szCs w:val="28"/>
                <w:lang w:eastAsia="en-US"/>
              </w:rPr>
              <w:t>,00</w:t>
            </w:r>
            <w:r>
              <w:rPr>
                <w:sz w:val="28"/>
                <w:szCs w:val="28"/>
                <w:lang w:val="uk-UA" w:eastAsia="en-US"/>
              </w:rPr>
              <w:t>2</w:t>
            </w:r>
          </w:p>
        </w:tc>
      </w:tr>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uk-UA" w:eastAsia="en-US"/>
              </w:rPr>
            </w:pPr>
            <w:r>
              <w:rPr>
                <w:bCs/>
                <w:iCs/>
                <w:kern w:val="36"/>
                <w:sz w:val="28"/>
                <w:szCs w:val="28"/>
                <w:lang w:val="uk-UA" w:eastAsia="en-US"/>
              </w:rPr>
              <w:t>Значимість, р</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val="uk-UA" w:eastAsia="en-US"/>
              </w:rPr>
            </w:pPr>
            <w:r>
              <w:rPr>
                <w:sz w:val="28"/>
                <w:szCs w:val="28"/>
                <w:lang w:val="uk-UA" w:eastAsia="en-US"/>
              </w:rPr>
              <w:t>0</w:t>
            </w:r>
            <w:r>
              <w:rPr>
                <w:sz w:val="28"/>
                <w:szCs w:val="28"/>
                <w:lang w:eastAsia="en-US"/>
              </w:rPr>
              <w:t>,0</w:t>
            </w:r>
            <w:r>
              <w:rPr>
                <w:sz w:val="28"/>
                <w:szCs w:val="28"/>
                <w:lang w:val="uk-UA" w:eastAsia="en-US"/>
              </w:rPr>
              <w:t>01</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val="uk-UA" w:eastAsia="en-US"/>
              </w:rPr>
            </w:pPr>
            <w:r>
              <w:rPr>
                <w:sz w:val="28"/>
                <w:szCs w:val="28"/>
                <w:lang w:val="uk-UA" w:eastAsia="en-US"/>
              </w:rPr>
              <w:t>0</w:t>
            </w:r>
            <w:r>
              <w:rPr>
                <w:sz w:val="28"/>
                <w:szCs w:val="28"/>
                <w:lang w:eastAsia="en-US"/>
              </w:rPr>
              <w:t>,0</w:t>
            </w:r>
            <w:r>
              <w:rPr>
                <w:sz w:val="28"/>
                <w:szCs w:val="28"/>
                <w:lang w:val="uk-UA" w:eastAsia="en-US"/>
              </w:rPr>
              <w:t>07</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val="uk-UA" w:eastAsia="en-US"/>
              </w:rPr>
            </w:pPr>
            <w:r>
              <w:rPr>
                <w:color w:val="000000"/>
                <w:sz w:val="28"/>
                <w:szCs w:val="28"/>
                <w:lang w:val="uk-UA" w:eastAsia="en-US"/>
              </w:rPr>
              <w:t>&gt;0,05</w:t>
            </w:r>
          </w:p>
        </w:tc>
      </w:tr>
      <w:tr w:rsidR="00E3259F" w:rsidTr="00E3259F">
        <w:tc>
          <w:tcPr>
            <w:tcW w:w="9571" w:type="dxa"/>
            <w:gridSpan w:val="4"/>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uk-UA" w:eastAsia="en-US"/>
              </w:rPr>
            </w:pPr>
            <w:r>
              <w:rPr>
                <w:bCs/>
                <w:iCs/>
                <w:kern w:val="36"/>
                <w:sz w:val="28"/>
                <w:szCs w:val="28"/>
                <w:lang w:val="uk-UA" w:eastAsia="en-US"/>
              </w:rPr>
              <w:t>Чоловіки</w:t>
            </w:r>
          </w:p>
        </w:tc>
      </w:tr>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en-US" w:eastAsia="en-US"/>
              </w:rPr>
            </w:pPr>
            <w:r>
              <w:rPr>
                <w:bCs/>
                <w:iCs/>
                <w:kern w:val="36"/>
                <w:sz w:val="28"/>
                <w:szCs w:val="28"/>
                <w:lang w:val="uk-UA" w:eastAsia="en-US"/>
              </w:rPr>
              <w:t>Група 2 (</w:t>
            </w:r>
            <w:r>
              <w:rPr>
                <w:bCs/>
                <w:iCs/>
                <w:kern w:val="36"/>
                <w:sz w:val="28"/>
                <w:szCs w:val="28"/>
                <w:lang w:val="en-US" w:eastAsia="en-US"/>
              </w:rPr>
              <w:t>n=81)</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eastAsia="en-US"/>
              </w:rPr>
            </w:pPr>
            <w:r>
              <w:rPr>
                <w:sz w:val="28"/>
                <w:szCs w:val="28"/>
                <w:lang w:eastAsia="en-US"/>
              </w:rPr>
              <w:t>316,9</w:t>
            </w:r>
            <w:r>
              <w:rPr>
                <w:sz w:val="28"/>
                <w:szCs w:val="28"/>
                <w:lang w:val="uk-UA" w:eastAsia="en-US"/>
              </w:rPr>
              <w:t>4</w:t>
            </w:r>
            <w:r>
              <w:rPr>
                <w:sz w:val="28"/>
                <w:szCs w:val="28"/>
                <w:lang w:eastAsia="en-US"/>
              </w:rPr>
              <w:t>±20,4</w:t>
            </w:r>
            <w:r>
              <w:rPr>
                <w:sz w:val="28"/>
                <w:szCs w:val="28"/>
                <w:lang w:val="uk-UA" w:eastAsia="en-US"/>
              </w:rPr>
              <w:t>9</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eastAsia="en-US"/>
              </w:rPr>
            </w:pPr>
            <w:r>
              <w:rPr>
                <w:sz w:val="28"/>
                <w:szCs w:val="28"/>
                <w:lang w:eastAsia="en-US"/>
              </w:rPr>
              <w:t>12,23±</w:t>
            </w:r>
            <w:r>
              <w:rPr>
                <w:sz w:val="28"/>
                <w:szCs w:val="28"/>
                <w:lang w:val="uk-UA" w:eastAsia="en-US"/>
              </w:rPr>
              <w:t>0</w:t>
            </w:r>
            <w:r>
              <w:rPr>
                <w:sz w:val="28"/>
                <w:szCs w:val="28"/>
                <w:lang w:eastAsia="en-US"/>
              </w:rPr>
              <w:t>,5</w:t>
            </w:r>
            <w:r>
              <w:rPr>
                <w:sz w:val="28"/>
                <w:szCs w:val="28"/>
                <w:lang w:val="uk-UA" w:eastAsia="en-US"/>
              </w:rPr>
              <w:t>5</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val="en-US" w:eastAsia="en-US"/>
              </w:rPr>
            </w:pPr>
            <w:r>
              <w:rPr>
                <w:sz w:val="28"/>
                <w:szCs w:val="28"/>
                <w:lang w:val="uk-UA" w:eastAsia="en-US"/>
              </w:rPr>
              <w:t>0</w:t>
            </w:r>
            <w:r>
              <w:rPr>
                <w:sz w:val="28"/>
                <w:szCs w:val="28"/>
                <w:lang w:eastAsia="en-US"/>
              </w:rPr>
              <w:t>,0</w:t>
            </w:r>
            <w:r>
              <w:rPr>
                <w:sz w:val="28"/>
                <w:szCs w:val="28"/>
                <w:lang w:val="uk-UA" w:eastAsia="en-US"/>
              </w:rPr>
              <w:t>79</w:t>
            </w:r>
            <w:r>
              <w:rPr>
                <w:sz w:val="28"/>
                <w:szCs w:val="28"/>
                <w:lang w:eastAsia="en-US"/>
              </w:rPr>
              <w:t>±</w:t>
            </w:r>
            <w:r>
              <w:rPr>
                <w:sz w:val="28"/>
                <w:szCs w:val="28"/>
                <w:lang w:val="uk-UA" w:eastAsia="en-US"/>
              </w:rPr>
              <w:t>0</w:t>
            </w:r>
            <w:r>
              <w:rPr>
                <w:sz w:val="28"/>
                <w:szCs w:val="28"/>
                <w:lang w:eastAsia="en-US"/>
              </w:rPr>
              <w:t>,00</w:t>
            </w:r>
            <w:r>
              <w:rPr>
                <w:sz w:val="28"/>
                <w:szCs w:val="28"/>
                <w:lang w:val="uk-UA" w:eastAsia="en-US"/>
              </w:rPr>
              <w:t>2</w:t>
            </w:r>
          </w:p>
        </w:tc>
      </w:tr>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en-US" w:eastAsia="en-US"/>
              </w:rPr>
            </w:pPr>
            <w:r>
              <w:rPr>
                <w:bCs/>
                <w:iCs/>
                <w:kern w:val="36"/>
                <w:sz w:val="28"/>
                <w:szCs w:val="28"/>
                <w:lang w:val="uk-UA" w:eastAsia="en-US"/>
              </w:rPr>
              <w:t xml:space="preserve">Група 3 </w:t>
            </w:r>
            <w:r>
              <w:rPr>
                <w:bCs/>
                <w:iCs/>
                <w:kern w:val="36"/>
                <w:sz w:val="28"/>
                <w:szCs w:val="28"/>
                <w:lang w:val="en-US" w:eastAsia="en-US"/>
              </w:rPr>
              <w:t>(n=12)</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eastAsia="en-US"/>
              </w:rPr>
            </w:pPr>
            <w:r>
              <w:rPr>
                <w:sz w:val="28"/>
                <w:szCs w:val="28"/>
                <w:lang w:eastAsia="en-US"/>
              </w:rPr>
              <w:t>472,11±51,49</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eastAsia="en-US"/>
              </w:rPr>
            </w:pPr>
            <w:r>
              <w:rPr>
                <w:sz w:val="28"/>
                <w:szCs w:val="28"/>
                <w:lang w:eastAsia="en-US"/>
              </w:rPr>
              <w:t>10,00±1,16</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rFonts w:eastAsia="Calibri"/>
                <w:sz w:val="28"/>
                <w:szCs w:val="28"/>
                <w:lang w:eastAsia="en-US"/>
              </w:rPr>
            </w:pPr>
            <w:r>
              <w:rPr>
                <w:sz w:val="28"/>
                <w:szCs w:val="28"/>
                <w:lang w:val="uk-UA" w:eastAsia="en-US"/>
              </w:rPr>
              <w:t>0</w:t>
            </w:r>
            <w:r>
              <w:rPr>
                <w:sz w:val="28"/>
                <w:szCs w:val="28"/>
                <w:lang w:eastAsia="en-US"/>
              </w:rPr>
              <w:t>,08</w:t>
            </w:r>
            <w:r>
              <w:rPr>
                <w:sz w:val="28"/>
                <w:szCs w:val="28"/>
                <w:lang w:val="uk-UA" w:eastAsia="en-US"/>
              </w:rPr>
              <w:t>6</w:t>
            </w:r>
            <w:r>
              <w:rPr>
                <w:sz w:val="28"/>
                <w:szCs w:val="28"/>
                <w:lang w:eastAsia="en-US"/>
              </w:rPr>
              <w:t>±</w:t>
            </w:r>
            <w:r>
              <w:rPr>
                <w:sz w:val="28"/>
                <w:szCs w:val="28"/>
                <w:lang w:val="uk-UA" w:eastAsia="en-US"/>
              </w:rPr>
              <w:t>0</w:t>
            </w:r>
            <w:r>
              <w:rPr>
                <w:sz w:val="28"/>
                <w:szCs w:val="28"/>
                <w:lang w:eastAsia="en-US"/>
              </w:rPr>
              <w:t>,006</w:t>
            </w:r>
          </w:p>
        </w:tc>
      </w:tr>
      <w:tr w:rsidR="00E3259F" w:rsidTr="00E3259F">
        <w:tc>
          <w:tcPr>
            <w:tcW w:w="2093"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bCs/>
                <w:iCs/>
                <w:kern w:val="36"/>
                <w:sz w:val="28"/>
                <w:szCs w:val="28"/>
                <w:lang w:val="uk-UA" w:eastAsia="en-US"/>
              </w:rPr>
            </w:pPr>
            <w:r>
              <w:rPr>
                <w:bCs/>
                <w:iCs/>
                <w:kern w:val="36"/>
                <w:sz w:val="28"/>
                <w:szCs w:val="28"/>
                <w:lang w:val="uk-UA" w:eastAsia="en-US"/>
              </w:rPr>
              <w:t>Значимість, р</w:t>
            </w:r>
          </w:p>
        </w:tc>
        <w:tc>
          <w:tcPr>
            <w:tcW w:w="2410"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val="en-US" w:eastAsia="en-US"/>
              </w:rPr>
            </w:pPr>
            <w:r>
              <w:rPr>
                <w:sz w:val="28"/>
                <w:szCs w:val="28"/>
                <w:lang w:val="uk-UA" w:eastAsia="en-US"/>
              </w:rPr>
              <w:t>0</w:t>
            </w:r>
            <w:r>
              <w:rPr>
                <w:sz w:val="28"/>
                <w:szCs w:val="28"/>
                <w:lang w:eastAsia="en-US"/>
              </w:rPr>
              <w:t>,</w:t>
            </w:r>
            <w:r>
              <w:rPr>
                <w:sz w:val="28"/>
                <w:szCs w:val="28"/>
                <w:lang w:val="uk-UA" w:eastAsia="en-US"/>
              </w:rPr>
              <w:t>008</w:t>
            </w:r>
          </w:p>
        </w:tc>
        <w:tc>
          <w:tcPr>
            <w:tcW w:w="2551"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eastAsia="en-US"/>
              </w:rPr>
            </w:pPr>
            <w:r>
              <w:rPr>
                <w:color w:val="000000"/>
                <w:sz w:val="28"/>
                <w:szCs w:val="28"/>
                <w:lang w:val="uk-UA" w:eastAsia="en-US"/>
              </w:rPr>
              <w:t>&gt;0,05</w:t>
            </w:r>
          </w:p>
        </w:tc>
        <w:tc>
          <w:tcPr>
            <w:tcW w:w="2517" w:type="dxa"/>
            <w:tcBorders>
              <w:top w:val="single" w:sz="4" w:space="0" w:color="auto"/>
              <w:left w:val="single" w:sz="4" w:space="0" w:color="auto"/>
              <w:bottom w:val="single" w:sz="4" w:space="0" w:color="auto"/>
              <w:right w:val="single" w:sz="4" w:space="0" w:color="auto"/>
            </w:tcBorders>
            <w:hideMark/>
          </w:tcPr>
          <w:p w:rsidR="00E3259F" w:rsidRDefault="00E3259F" w:rsidP="00C239D8">
            <w:pPr>
              <w:spacing w:line="360" w:lineRule="auto"/>
              <w:rPr>
                <w:sz w:val="28"/>
                <w:szCs w:val="28"/>
                <w:lang w:eastAsia="en-US"/>
              </w:rPr>
            </w:pPr>
            <w:r>
              <w:rPr>
                <w:color w:val="000000"/>
                <w:sz w:val="28"/>
                <w:szCs w:val="28"/>
                <w:lang w:val="uk-UA" w:eastAsia="en-US"/>
              </w:rPr>
              <w:t>&gt;0,05</w:t>
            </w:r>
          </w:p>
        </w:tc>
      </w:tr>
    </w:tbl>
    <w:p w:rsidR="00E3259F" w:rsidRDefault="00E3259F" w:rsidP="00E3259F">
      <w:pPr>
        <w:spacing w:line="360" w:lineRule="auto"/>
        <w:ind w:firstLine="709"/>
        <w:jc w:val="both"/>
        <w:rPr>
          <w:bCs/>
          <w:iCs/>
          <w:kern w:val="36"/>
          <w:sz w:val="28"/>
          <w:szCs w:val="28"/>
          <w:lang w:val="uk-UA"/>
        </w:rPr>
      </w:pPr>
    </w:p>
    <w:p w:rsidR="00E3259F" w:rsidRPr="00C239D8" w:rsidRDefault="00E3259F" w:rsidP="00E3259F">
      <w:pPr>
        <w:shd w:val="clear" w:color="auto" w:fill="FFFFFF"/>
        <w:spacing w:line="360" w:lineRule="auto"/>
        <w:ind w:firstLine="709"/>
        <w:jc w:val="both"/>
        <w:rPr>
          <w:sz w:val="28"/>
          <w:szCs w:val="28"/>
          <w:lang w:val="uk-UA"/>
        </w:rPr>
      </w:pPr>
      <w:r w:rsidRPr="00C239D8">
        <w:rPr>
          <w:sz w:val="28"/>
          <w:szCs w:val="28"/>
          <w:lang w:val="uk-UA"/>
        </w:rPr>
        <w:t xml:space="preserve">Відомо, що старіння є одним з факторів КВР. Одним з центральних механізмів, що сприяють старінню судин та розвитку серцево-судинних подій вважається ЕД передусім за рахунок вікового ослаблення дилятуючих реакцій ендотелію, що сприяє прогресуванню ЕД [381]. </w:t>
      </w:r>
    </w:p>
    <w:p w:rsidR="00E3259F" w:rsidRPr="00C239D8" w:rsidRDefault="00E3259F" w:rsidP="00E3259F">
      <w:pPr>
        <w:shd w:val="clear" w:color="auto" w:fill="FFFFFF"/>
        <w:spacing w:line="360" w:lineRule="auto"/>
        <w:ind w:firstLine="709"/>
        <w:jc w:val="both"/>
        <w:rPr>
          <w:rFonts w:cstheme="minorBidi"/>
          <w:sz w:val="28"/>
          <w:szCs w:val="28"/>
          <w:lang w:val="uk-UA" w:eastAsia="en-US"/>
        </w:rPr>
      </w:pPr>
      <w:r w:rsidRPr="00C239D8">
        <w:rPr>
          <w:rFonts w:cstheme="minorBidi"/>
          <w:sz w:val="28"/>
          <w:szCs w:val="28"/>
          <w:lang w:val="uk-UA" w:eastAsia="en-US"/>
        </w:rPr>
        <w:t>Незважаючи на відсутність достовірних відмінностей між віковими підгрупами (крім кількості ЦДЕК в групі 2 (р=0,007) та ТКІМ у групі 3 (р=0,002), відповідно), незалежно від функціонального стану ЩЗ, у групах з коморбідною патологією чітко простежувалась тенденція до поглиблення ЕД з віком (Таблиця 5.4).</w:t>
      </w:r>
    </w:p>
    <w:p w:rsidR="00E3259F" w:rsidRDefault="00E3259F" w:rsidP="00E3259F">
      <w:pPr>
        <w:jc w:val="right"/>
        <w:rPr>
          <w:color w:val="000000"/>
          <w:sz w:val="28"/>
          <w:szCs w:val="28"/>
          <w:lang w:val="uk-UA"/>
        </w:rPr>
      </w:pPr>
      <w:r>
        <w:rPr>
          <w:color w:val="000000"/>
          <w:sz w:val="28"/>
          <w:szCs w:val="28"/>
          <w:lang w:val="uk-UA"/>
        </w:rPr>
        <w:t>Таблиця 5.4</w:t>
      </w:r>
    </w:p>
    <w:p w:rsidR="00E3259F" w:rsidRDefault="00E3259F" w:rsidP="00E3259F">
      <w:pPr>
        <w:jc w:val="center"/>
        <w:rPr>
          <w:rFonts w:eastAsiaTheme="minorHAnsi"/>
          <w:sz w:val="28"/>
          <w:szCs w:val="28"/>
          <w:lang w:val="uk-UA" w:eastAsia="en-US"/>
        </w:rPr>
      </w:pPr>
      <w:r>
        <w:rPr>
          <w:color w:val="000000"/>
          <w:sz w:val="28"/>
          <w:szCs w:val="28"/>
          <w:lang w:val="uk-UA"/>
        </w:rPr>
        <w:t xml:space="preserve">Порівняльний аналіз показників ЕД залежно від вікової групи </w:t>
      </w:r>
      <w:r>
        <w:rPr>
          <w:sz w:val="28"/>
          <w:szCs w:val="28"/>
          <w:lang w:val="uk-UA"/>
        </w:rPr>
        <w:t>(</w:t>
      </w:r>
      <w:r>
        <w:rPr>
          <w:sz w:val="28"/>
          <w:szCs w:val="28"/>
          <w:lang w:val="en-US"/>
        </w:rPr>
        <w:t>M</w:t>
      </w:r>
      <w:r>
        <w:rPr>
          <w:sz w:val="28"/>
          <w:szCs w:val="28"/>
        </w:rPr>
        <w:t>±</w:t>
      </w:r>
      <w:r>
        <w:rPr>
          <w:sz w:val="28"/>
          <w:szCs w:val="28"/>
          <w:lang w:val="en-US"/>
        </w:rPr>
        <w:t>m</w:t>
      </w:r>
      <w:r>
        <w:rPr>
          <w:sz w:val="28"/>
          <w:szCs w:val="28"/>
        </w:rPr>
        <w:t>)</w:t>
      </w:r>
    </w:p>
    <w:p w:rsidR="00E3259F" w:rsidRDefault="00E3259F" w:rsidP="00E3259F">
      <w:pPr>
        <w:jc w:val="center"/>
        <w:rPr>
          <w:rFonts w:ascii="Arial" w:hAnsi="Arial" w:cs="Arial"/>
          <w:color w:val="000000"/>
          <w:sz w:val="18"/>
          <w:szCs w:val="18"/>
          <w:lang w:val="uk-UA"/>
        </w:rPr>
      </w:pPr>
    </w:p>
    <w:tbl>
      <w:tblPr>
        <w:tblW w:w="0" w:type="auto"/>
        <w:tblLook w:val="04A0" w:firstRow="1" w:lastRow="0" w:firstColumn="1" w:lastColumn="0" w:noHBand="0" w:noVBand="1"/>
      </w:tblPr>
      <w:tblGrid>
        <w:gridCol w:w="1099"/>
        <w:gridCol w:w="1411"/>
        <w:gridCol w:w="1412"/>
        <w:gridCol w:w="1412"/>
        <w:gridCol w:w="1412"/>
        <w:gridCol w:w="1412"/>
        <w:gridCol w:w="1412"/>
      </w:tblGrid>
      <w:tr w:rsidR="00E3259F" w:rsidRPr="00C239D8" w:rsidTr="00E3259F">
        <w:tc>
          <w:tcPr>
            <w:tcW w:w="1099"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Показник</w:t>
            </w:r>
          </w:p>
        </w:tc>
        <w:tc>
          <w:tcPr>
            <w:tcW w:w="2823" w:type="dxa"/>
            <w:gridSpan w:val="2"/>
            <w:tcBorders>
              <w:top w:val="single" w:sz="4" w:space="0" w:color="auto"/>
              <w:left w:val="single" w:sz="4" w:space="0" w:color="auto"/>
              <w:bottom w:val="single" w:sz="4" w:space="0" w:color="auto"/>
              <w:right w:val="single" w:sz="4" w:space="0" w:color="auto"/>
            </w:tcBorders>
            <w:hideMark/>
          </w:tcPr>
          <w:p w:rsidR="00E3259F" w:rsidRPr="00C239D8" w:rsidRDefault="00E3259F">
            <w:pPr>
              <w:pStyle w:val="1"/>
              <w:spacing w:before="0" w:beforeAutospacing="0" w:after="0" w:afterAutospacing="0" w:line="360" w:lineRule="auto"/>
              <w:jc w:val="center"/>
              <w:rPr>
                <w:b w:val="0"/>
                <w:sz w:val="20"/>
                <w:szCs w:val="20"/>
                <w:lang w:val="en-US" w:eastAsia="en-US"/>
              </w:rPr>
            </w:pPr>
            <w:r w:rsidRPr="00C239D8">
              <w:rPr>
                <w:b w:val="0"/>
                <w:sz w:val="20"/>
                <w:szCs w:val="20"/>
                <w:lang w:val="uk-UA" w:eastAsia="en-US"/>
              </w:rPr>
              <w:t>Група 1</w:t>
            </w:r>
          </w:p>
          <w:p w:rsidR="00E3259F" w:rsidRPr="00C239D8" w:rsidRDefault="00E3259F">
            <w:pPr>
              <w:pStyle w:val="1"/>
              <w:spacing w:before="0" w:beforeAutospacing="0" w:after="0" w:afterAutospacing="0" w:line="360" w:lineRule="auto"/>
              <w:jc w:val="center"/>
              <w:rPr>
                <w:b w:val="0"/>
                <w:sz w:val="20"/>
                <w:szCs w:val="20"/>
                <w:lang w:val="en-US" w:eastAsia="en-US"/>
              </w:rPr>
            </w:pPr>
            <w:r w:rsidRPr="00C239D8">
              <w:rPr>
                <w:b w:val="0"/>
                <w:sz w:val="20"/>
                <w:szCs w:val="20"/>
                <w:lang w:val="en-US" w:eastAsia="en-US"/>
              </w:rPr>
              <w:t>(n=</w:t>
            </w:r>
            <w:r w:rsidRPr="00C239D8">
              <w:rPr>
                <w:b w:val="0"/>
                <w:sz w:val="20"/>
                <w:szCs w:val="20"/>
                <w:lang w:val="uk-UA" w:eastAsia="en-US"/>
              </w:rPr>
              <w:t>106</w:t>
            </w:r>
            <w:r w:rsidRPr="00C239D8">
              <w:rPr>
                <w:b w:val="0"/>
                <w:sz w:val="20"/>
                <w:szCs w:val="20"/>
                <w:lang w:val="en-US" w:eastAsia="en-US"/>
              </w:rPr>
              <w:t>)</w:t>
            </w:r>
          </w:p>
        </w:tc>
        <w:tc>
          <w:tcPr>
            <w:tcW w:w="2824" w:type="dxa"/>
            <w:gridSpan w:val="2"/>
            <w:tcBorders>
              <w:top w:val="single" w:sz="4" w:space="0" w:color="auto"/>
              <w:left w:val="single" w:sz="4" w:space="0" w:color="auto"/>
              <w:bottom w:val="single" w:sz="4" w:space="0" w:color="auto"/>
              <w:right w:val="single" w:sz="4" w:space="0" w:color="auto"/>
            </w:tcBorders>
            <w:hideMark/>
          </w:tcPr>
          <w:p w:rsidR="00E3259F" w:rsidRPr="00C239D8" w:rsidRDefault="00E3259F">
            <w:pPr>
              <w:pStyle w:val="1"/>
              <w:spacing w:before="0" w:beforeAutospacing="0" w:after="0" w:afterAutospacing="0" w:line="360" w:lineRule="auto"/>
              <w:jc w:val="center"/>
              <w:rPr>
                <w:b w:val="0"/>
                <w:sz w:val="20"/>
                <w:szCs w:val="20"/>
                <w:lang w:val="en-US" w:eastAsia="en-US"/>
              </w:rPr>
            </w:pPr>
            <w:r w:rsidRPr="00C239D8">
              <w:rPr>
                <w:b w:val="0"/>
                <w:sz w:val="20"/>
                <w:szCs w:val="20"/>
                <w:lang w:val="uk-UA" w:eastAsia="en-US"/>
              </w:rPr>
              <w:t>Група 2</w:t>
            </w:r>
          </w:p>
          <w:p w:rsidR="00E3259F" w:rsidRPr="00C239D8" w:rsidRDefault="00E3259F">
            <w:pPr>
              <w:pStyle w:val="1"/>
              <w:spacing w:before="0" w:beforeAutospacing="0" w:after="0" w:afterAutospacing="0" w:line="360" w:lineRule="auto"/>
              <w:jc w:val="center"/>
              <w:rPr>
                <w:b w:val="0"/>
                <w:sz w:val="20"/>
                <w:szCs w:val="20"/>
                <w:lang w:val="en-US" w:eastAsia="en-US"/>
              </w:rPr>
            </w:pPr>
            <w:r w:rsidRPr="00C239D8">
              <w:rPr>
                <w:b w:val="0"/>
                <w:sz w:val="20"/>
                <w:szCs w:val="20"/>
                <w:lang w:val="en-US" w:eastAsia="en-US"/>
              </w:rPr>
              <w:t>(n=</w:t>
            </w:r>
            <w:r w:rsidRPr="00C239D8">
              <w:rPr>
                <w:b w:val="0"/>
                <w:sz w:val="20"/>
                <w:szCs w:val="20"/>
                <w:lang w:val="uk-UA" w:eastAsia="en-US"/>
              </w:rPr>
              <w:t>15</w:t>
            </w:r>
            <w:r w:rsidRPr="00C239D8">
              <w:rPr>
                <w:b w:val="0"/>
                <w:sz w:val="20"/>
                <w:szCs w:val="20"/>
                <w:lang w:val="en-US" w:eastAsia="en-US"/>
              </w:rPr>
              <w:t>6)</w:t>
            </w:r>
          </w:p>
        </w:tc>
        <w:tc>
          <w:tcPr>
            <w:tcW w:w="2824" w:type="dxa"/>
            <w:gridSpan w:val="2"/>
            <w:tcBorders>
              <w:top w:val="single" w:sz="4" w:space="0" w:color="auto"/>
              <w:left w:val="single" w:sz="4" w:space="0" w:color="auto"/>
              <w:bottom w:val="single" w:sz="4" w:space="0" w:color="auto"/>
              <w:right w:val="single" w:sz="4" w:space="0" w:color="auto"/>
            </w:tcBorders>
            <w:hideMark/>
          </w:tcPr>
          <w:p w:rsidR="00E3259F" w:rsidRPr="00C239D8" w:rsidRDefault="00E3259F">
            <w:pPr>
              <w:pStyle w:val="1"/>
              <w:spacing w:before="0" w:beforeAutospacing="0" w:after="0" w:afterAutospacing="0" w:line="360" w:lineRule="auto"/>
              <w:jc w:val="center"/>
              <w:rPr>
                <w:b w:val="0"/>
                <w:sz w:val="20"/>
                <w:szCs w:val="20"/>
                <w:lang w:eastAsia="en-US"/>
              </w:rPr>
            </w:pPr>
            <w:r w:rsidRPr="00C239D8">
              <w:rPr>
                <w:b w:val="0"/>
                <w:sz w:val="20"/>
                <w:szCs w:val="20"/>
                <w:lang w:val="uk-UA" w:eastAsia="en-US"/>
              </w:rPr>
              <w:t>Група 3</w:t>
            </w:r>
          </w:p>
          <w:p w:rsidR="00E3259F" w:rsidRPr="00C239D8" w:rsidRDefault="00E3259F">
            <w:pPr>
              <w:pStyle w:val="1"/>
              <w:spacing w:before="0" w:beforeAutospacing="0" w:after="0" w:afterAutospacing="0" w:line="360" w:lineRule="auto"/>
              <w:jc w:val="center"/>
              <w:rPr>
                <w:b w:val="0"/>
                <w:sz w:val="20"/>
                <w:szCs w:val="20"/>
                <w:lang w:eastAsia="en-US"/>
              </w:rPr>
            </w:pPr>
            <w:r w:rsidRPr="00C239D8">
              <w:rPr>
                <w:b w:val="0"/>
                <w:sz w:val="20"/>
                <w:szCs w:val="20"/>
                <w:lang w:eastAsia="en-US"/>
              </w:rPr>
              <w:t>(</w:t>
            </w:r>
            <w:r w:rsidRPr="00C239D8">
              <w:rPr>
                <w:b w:val="0"/>
                <w:sz w:val="20"/>
                <w:szCs w:val="20"/>
                <w:lang w:val="en-US" w:eastAsia="en-US"/>
              </w:rPr>
              <w:t>n</w:t>
            </w:r>
            <w:r w:rsidRPr="00C239D8">
              <w:rPr>
                <w:b w:val="0"/>
                <w:sz w:val="20"/>
                <w:szCs w:val="20"/>
                <w:lang w:eastAsia="en-US"/>
              </w:rPr>
              <w:t>=</w:t>
            </w:r>
            <w:r w:rsidRPr="00C239D8">
              <w:rPr>
                <w:b w:val="0"/>
                <w:sz w:val="20"/>
                <w:szCs w:val="20"/>
                <w:lang w:val="uk-UA" w:eastAsia="en-US"/>
              </w:rPr>
              <w:t>93</w:t>
            </w:r>
            <w:r w:rsidRPr="00C239D8">
              <w:rPr>
                <w:b w:val="0"/>
                <w:sz w:val="20"/>
                <w:szCs w:val="20"/>
                <w:lang w:eastAsia="en-US"/>
              </w:rPr>
              <w:t>)</w:t>
            </w:r>
          </w:p>
        </w:tc>
      </w:tr>
      <w:tr w:rsidR="00E3259F" w:rsidRPr="00C239D8" w:rsidTr="00E3259F">
        <w:tc>
          <w:tcPr>
            <w:tcW w:w="1099"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val="uk-UA" w:eastAsia="en-US"/>
              </w:rPr>
              <w:t>Вікова підгрупа</w:t>
            </w:r>
          </w:p>
        </w:tc>
        <w:tc>
          <w:tcPr>
            <w:tcW w:w="1411"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Підгрупа 1-І</w:t>
            </w:r>
          </w:p>
          <w:p w:rsidR="00E3259F" w:rsidRPr="00C239D8" w:rsidRDefault="00E3259F">
            <w:pPr>
              <w:spacing w:line="360" w:lineRule="auto"/>
              <w:jc w:val="center"/>
              <w:rPr>
                <w:sz w:val="20"/>
                <w:szCs w:val="20"/>
                <w:lang w:val="uk-UA" w:eastAsia="en-US"/>
              </w:rPr>
            </w:pPr>
            <w:r w:rsidRPr="00C239D8">
              <w:rPr>
                <w:sz w:val="20"/>
                <w:szCs w:val="20"/>
                <w:lang w:val="uk-UA" w:eastAsia="en-US"/>
              </w:rPr>
              <w:t>(44-</w:t>
            </w:r>
            <w:r w:rsidRPr="00C239D8">
              <w:rPr>
                <w:sz w:val="20"/>
                <w:szCs w:val="20"/>
                <w:lang w:eastAsia="en-US"/>
              </w:rPr>
              <w:t xml:space="preserve"> 60 </w:t>
            </w:r>
            <w:r w:rsidRPr="00C239D8">
              <w:rPr>
                <w:sz w:val="20"/>
                <w:szCs w:val="20"/>
                <w:lang w:val="uk-UA" w:eastAsia="en-US"/>
              </w:rPr>
              <w:t>років,</w:t>
            </w:r>
          </w:p>
          <w:p w:rsidR="00E3259F" w:rsidRPr="00C239D8" w:rsidRDefault="00E3259F">
            <w:pPr>
              <w:spacing w:line="360" w:lineRule="auto"/>
              <w:jc w:val="center"/>
              <w:rPr>
                <w:sz w:val="20"/>
                <w:szCs w:val="20"/>
                <w:lang w:eastAsia="en-US"/>
              </w:rPr>
            </w:pPr>
            <w:r w:rsidRPr="00C239D8">
              <w:rPr>
                <w:sz w:val="20"/>
                <w:szCs w:val="20"/>
                <w:lang w:val="en-US" w:eastAsia="en-US"/>
              </w:rPr>
              <w:t>n</w:t>
            </w:r>
            <w:r w:rsidRPr="00C239D8">
              <w:rPr>
                <w:sz w:val="20"/>
                <w:szCs w:val="20"/>
                <w:lang w:eastAsia="en-US"/>
              </w:rPr>
              <w:t>=</w:t>
            </w:r>
            <w:r w:rsidRPr="00C239D8">
              <w:rPr>
                <w:sz w:val="20"/>
                <w:szCs w:val="20"/>
                <w:lang w:val="uk-UA" w:eastAsia="en-US"/>
              </w:rPr>
              <w:t>49</w:t>
            </w:r>
            <w:r w:rsidRPr="00C239D8">
              <w:rPr>
                <w:sz w:val="20"/>
                <w:szCs w:val="20"/>
                <w:lang w:eastAsia="en-US"/>
              </w:rPr>
              <w:t>)</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Підгрупа 1-ІІ</w:t>
            </w:r>
          </w:p>
          <w:p w:rsidR="00E3259F" w:rsidRPr="00C239D8" w:rsidRDefault="00E3259F">
            <w:pPr>
              <w:spacing w:line="360" w:lineRule="auto"/>
              <w:jc w:val="center"/>
              <w:rPr>
                <w:sz w:val="20"/>
                <w:szCs w:val="20"/>
                <w:lang w:eastAsia="en-US"/>
              </w:rPr>
            </w:pPr>
            <w:r w:rsidRPr="00C239D8">
              <w:rPr>
                <w:sz w:val="20"/>
                <w:szCs w:val="20"/>
                <w:lang w:val="uk-UA" w:eastAsia="en-US"/>
              </w:rPr>
              <w:t>(</w:t>
            </w:r>
            <w:r w:rsidRPr="00C239D8">
              <w:rPr>
                <w:sz w:val="20"/>
                <w:szCs w:val="20"/>
                <w:lang w:eastAsia="en-US"/>
              </w:rPr>
              <w:t>6</w:t>
            </w:r>
            <w:r w:rsidRPr="00C239D8">
              <w:rPr>
                <w:sz w:val="20"/>
                <w:szCs w:val="20"/>
                <w:lang w:val="uk-UA" w:eastAsia="en-US"/>
              </w:rPr>
              <w:t xml:space="preserve">1-75 років, </w:t>
            </w:r>
            <w:r w:rsidRPr="00C239D8">
              <w:rPr>
                <w:sz w:val="20"/>
                <w:szCs w:val="20"/>
                <w:lang w:val="en-US" w:eastAsia="en-US"/>
              </w:rPr>
              <w:t>n</w:t>
            </w:r>
            <w:r w:rsidRPr="00C239D8">
              <w:rPr>
                <w:sz w:val="20"/>
                <w:szCs w:val="20"/>
                <w:lang w:eastAsia="en-US"/>
              </w:rPr>
              <w:t>=</w:t>
            </w:r>
            <w:r w:rsidRPr="00C239D8">
              <w:rPr>
                <w:sz w:val="20"/>
                <w:szCs w:val="20"/>
                <w:lang w:val="uk-UA" w:eastAsia="en-US"/>
              </w:rPr>
              <w:t>57</w:t>
            </w:r>
            <w:r w:rsidRPr="00C239D8">
              <w:rPr>
                <w:sz w:val="20"/>
                <w:szCs w:val="20"/>
                <w:lang w:eastAsia="en-US"/>
              </w:rPr>
              <w:t>)</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Підгрупа 2-І</w:t>
            </w:r>
          </w:p>
          <w:p w:rsidR="00E3259F" w:rsidRPr="00C239D8" w:rsidRDefault="00E3259F">
            <w:pPr>
              <w:spacing w:line="360" w:lineRule="auto"/>
              <w:jc w:val="center"/>
              <w:rPr>
                <w:sz w:val="20"/>
                <w:szCs w:val="20"/>
                <w:lang w:eastAsia="en-US"/>
              </w:rPr>
            </w:pPr>
            <w:r w:rsidRPr="00C239D8">
              <w:rPr>
                <w:sz w:val="20"/>
                <w:szCs w:val="20"/>
                <w:lang w:val="uk-UA" w:eastAsia="en-US"/>
              </w:rPr>
              <w:t>(44-</w:t>
            </w:r>
            <w:r w:rsidRPr="00C239D8">
              <w:rPr>
                <w:sz w:val="20"/>
                <w:szCs w:val="20"/>
                <w:lang w:eastAsia="en-US"/>
              </w:rPr>
              <w:t xml:space="preserve"> 60 </w:t>
            </w:r>
            <w:r w:rsidRPr="00C239D8">
              <w:rPr>
                <w:sz w:val="20"/>
                <w:szCs w:val="20"/>
                <w:lang w:val="uk-UA" w:eastAsia="en-US"/>
              </w:rPr>
              <w:t xml:space="preserve">років, </w:t>
            </w:r>
            <w:r w:rsidRPr="00C239D8">
              <w:rPr>
                <w:sz w:val="20"/>
                <w:szCs w:val="20"/>
                <w:lang w:val="en-US" w:eastAsia="en-US"/>
              </w:rPr>
              <w:t>n</w:t>
            </w:r>
            <w:r w:rsidRPr="00C239D8">
              <w:rPr>
                <w:sz w:val="20"/>
                <w:szCs w:val="20"/>
                <w:lang w:eastAsia="en-US"/>
              </w:rPr>
              <w:t>=</w:t>
            </w:r>
            <w:r w:rsidRPr="00C239D8">
              <w:rPr>
                <w:sz w:val="20"/>
                <w:szCs w:val="20"/>
                <w:lang w:val="uk-UA" w:eastAsia="en-US"/>
              </w:rPr>
              <w:t>56</w:t>
            </w:r>
            <w:r w:rsidRPr="00C239D8">
              <w:rPr>
                <w:sz w:val="20"/>
                <w:szCs w:val="20"/>
                <w:lang w:eastAsia="en-US"/>
              </w:rPr>
              <w:t>)</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Підгрупа 2-ІІ</w:t>
            </w:r>
          </w:p>
          <w:p w:rsidR="00E3259F" w:rsidRPr="00C239D8" w:rsidRDefault="00E3259F">
            <w:pPr>
              <w:spacing w:line="360" w:lineRule="auto"/>
              <w:jc w:val="center"/>
              <w:rPr>
                <w:sz w:val="20"/>
                <w:szCs w:val="20"/>
                <w:lang w:val="uk-UA" w:eastAsia="en-US"/>
              </w:rPr>
            </w:pPr>
            <w:r w:rsidRPr="00C239D8">
              <w:rPr>
                <w:sz w:val="20"/>
                <w:szCs w:val="20"/>
                <w:lang w:val="uk-UA" w:eastAsia="en-US"/>
              </w:rPr>
              <w:t>(</w:t>
            </w:r>
            <w:r w:rsidRPr="00C239D8">
              <w:rPr>
                <w:sz w:val="20"/>
                <w:szCs w:val="20"/>
                <w:lang w:eastAsia="en-US"/>
              </w:rPr>
              <w:t>6</w:t>
            </w:r>
            <w:r w:rsidRPr="00C239D8">
              <w:rPr>
                <w:sz w:val="20"/>
                <w:szCs w:val="20"/>
                <w:lang w:val="uk-UA" w:eastAsia="en-US"/>
              </w:rPr>
              <w:t>1-75 рокв,</w:t>
            </w:r>
          </w:p>
          <w:p w:rsidR="00E3259F" w:rsidRPr="00C239D8" w:rsidRDefault="00E3259F">
            <w:pPr>
              <w:spacing w:line="360" w:lineRule="auto"/>
              <w:jc w:val="center"/>
              <w:rPr>
                <w:sz w:val="20"/>
                <w:szCs w:val="20"/>
                <w:lang w:eastAsia="en-US"/>
              </w:rPr>
            </w:pPr>
            <w:r w:rsidRPr="00C239D8">
              <w:rPr>
                <w:sz w:val="20"/>
                <w:szCs w:val="20"/>
                <w:lang w:val="en-US" w:eastAsia="en-US"/>
              </w:rPr>
              <w:t>n</w:t>
            </w:r>
            <w:r w:rsidRPr="00C239D8">
              <w:rPr>
                <w:sz w:val="20"/>
                <w:szCs w:val="20"/>
                <w:lang w:eastAsia="en-US"/>
              </w:rPr>
              <w:t>=</w:t>
            </w:r>
            <w:r w:rsidRPr="00C239D8">
              <w:rPr>
                <w:sz w:val="20"/>
                <w:szCs w:val="20"/>
                <w:lang w:val="uk-UA" w:eastAsia="en-US"/>
              </w:rPr>
              <w:t>100</w:t>
            </w:r>
            <w:r w:rsidRPr="00C239D8">
              <w:rPr>
                <w:sz w:val="20"/>
                <w:szCs w:val="20"/>
                <w:lang w:eastAsia="en-US"/>
              </w:rPr>
              <w:t>)</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Підгрупа 3-І</w:t>
            </w:r>
          </w:p>
          <w:p w:rsidR="00E3259F" w:rsidRPr="00C239D8" w:rsidRDefault="00E3259F">
            <w:pPr>
              <w:spacing w:line="360" w:lineRule="auto"/>
              <w:jc w:val="center"/>
              <w:rPr>
                <w:sz w:val="20"/>
                <w:szCs w:val="20"/>
                <w:lang w:val="uk-UA" w:eastAsia="en-US"/>
              </w:rPr>
            </w:pPr>
            <w:r w:rsidRPr="00C239D8">
              <w:rPr>
                <w:sz w:val="20"/>
                <w:szCs w:val="20"/>
                <w:lang w:val="uk-UA" w:eastAsia="en-US"/>
              </w:rPr>
              <w:t>(44-</w:t>
            </w:r>
            <w:r w:rsidRPr="00C239D8">
              <w:rPr>
                <w:sz w:val="20"/>
                <w:szCs w:val="20"/>
                <w:lang w:eastAsia="en-US"/>
              </w:rPr>
              <w:t xml:space="preserve"> 60 </w:t>
            </w:r>
            <w:r w:rsidRPr="00C239D8">
              <w:rPr>
                <w:sz w:val="20"/>
                <w:szCs w:val="20"/>
                <w:lang w:val="uk-UA" w:eastAsia="en-US"/>
              </w:rPr>
              <w:t>років,</w:t>
            </w:r>
          </w:p>
          <w:p w:rsidR="00E3259F" w:rsidRPr="00C239D8" w:rsidRDefault="00E3259F">
            <w:pPr>
              <w:spacing w:line="360" w:lineRule="auto"/>
              <w:jc w:val="center"/>
              <w:rPr>
                <w:sz w:val="20"/>
                <w:szCs w:val="20"/>
                <w:lang w:eastAsia="en-US"/>
              </w:rPr>
            </w:pPr>
            <w:r w:rsidRPr="00C239D8">
              <w:rPr>
                <w:sz w:val="20"/>
                <w:szCs w:val="20"/>
                <w:lang w:val="en-US" w:eastAsia="en-US"/>
              </w:rPr>
              <w:t>n</w:t>
            </w:r>
            <w:r w:rsidRPr="00C239D8">
              <w:rPr>
                <w:sz w:val="20"/>
                <w:szCs w:val="20"/>
                <w:lang w:eastAsia="en-US"/>
              </w:rPr>
              <w:t>=</w:t>
            </w:r>
            <w:r w:rsidRPr="00C239D8">
              <w:rPr>
                <w:sz w:val="20"/>
                <w:szCs w:val="20"/>
                <w:lang w:val="uk-UA" w:eastAsia="en-US"/>
              </w:rPr>
              <w:t>37</w:t>
            </w:r>
            <w:r w:rsidRPr="00C239D8">
              <w:rPr>
                <w:sz w:val="20"/>
                <w:szCs w:val="20"/>
                <w:lang w:eastAsia="en-US"/>
              </w:rPr>
              <w:t>)</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sz w:val="20"/>
                <w:szCs w:val="20"/>
                <w:lang w:val="uk-UA" w:eastAsia="en-US"/>
              </w:rPr>
            </w:pPr>
            <w:r w:rsidRPr="00C239D8">
              <w:rPr>
                <w:sz w:val="20"/>
                <w:szCs w:val="20"/>
                <w:lang w:val="uk-UA" w:eastAsia="en-US"/>
              </w:rPr>
              <w:t>Підгрупа 3-ІІ</w:t>
            </w:r>
          </w:p>
          <w:p w:rsidR="00E3259F" w:rsidRPr="00C239D8" w:rsidRDefault="00E3259F">
            <w:pPr>
              <w:spacing w:line="360" w:lineRule="auto"/>
              <w:jc w:val="center"/>
              <w:rPr>
                <w:sz w:val="20"/>
                <w:szCs w:val="20"/>
                <w:lang w:val="uk-UA" w:eastAsia="en-US"/>
              </w:rPr>
            </w:pPr>
            <w:r w:rsidRPr="00C239D8">
              <w:rPr>
                <w:sz w:val="20"/>
                <w:szCs w:val="20"/>
                <w:lang w:val="uk-UA" w:eastAsia="en-US"/>
              </w:rPr>
              <w:t>(</w:t>
            </w:r>
            <w:r w:rsidRPr="00C239D8">
              <w:rPr>
                <w:sz w:val="20"/>
                <w:szCs w:val="20"/>
                <w:lang w:eastAsia="en-US"/>
              </w:rPr>
              <w:t>6</w:t>
            </w:r>
            <w:r w:rsidRPr="00C239D8">
              <w:rPr>
                <w:sz w:val="20"/>
                <w:szCs w:val="20"/>
                <w:lang w:val="uk-UA" w:eastAsia="en-US"/>
              </w:rPr>
              <w:t>1-75 рокв,</w:t>
            </w:r>
          </w:p>
          <w:p w:rsidR="00E3259F" w:rsidRPr="00C239D8" w:rsidRDefault="00E3259F">
            <w:pPr>
              <w:spacing w:line="360" w:lineRule="auto"/>
              <w:jc w:val="center"/>
              <w:rPr>
                <w:sz w:val="20"/>
                <w:szCs w:val="20"/>
                <w:lang w:eastAsia="en-US"/>
              </w:rPr>
            </w:pPr>
            <w:r w:rsidRPr="00C239D8">
              <w:rPr>
                <w:sz w:val="20"/>
                <w:szCs w:val="20"/>
                <w:lang w:val="en-US" w:eastAsia="en-US"/>
              </w:rPr>
              <w:t>n</w:t>
            </w:r>
            <w:r w:rsidRPr="00C239D8">
              <w:rPr>
                <w:sz w:val="20"/>
                <w:szCs w:val="20"/>
                <w:lang w:eastAsia="en-US"/>
              </w:rPr>
              <w:t>=</w:t>
            </w:r>
            <w:r w:rsidRPr="00C239D8">
              <w:rPr>
                <w:sz w:val="20"/>
                <w:szCs w:val="20"/>
                <w:lang w:val="uk-UA" w:eastAsia="en-US"/>
              </w:rPr>
              <w:t>56</w:t>
            </w:r>
            <w:r w:rsidRPr="00C239D8">
              <w:rPr>
                <w:sz w:val="20"/>
                <w:szCs w:val="20"/>
                <w:lang w:eastAsia="en-US"/>
              </w:rPr>
              <w:t>)</w:t>
            </w:r>
          </w:p>
        </w:tc>
      </w:tr>
      <w:tr w:rsidR="00E3259F" w:rsidRPr="00C239D8" w:rsidTr="00E3259F">
        <w:tc>
          <w:tcPr>
            <w:tcW w:w="1099"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val="uk-UA" w:eastAsia="en-US"/>
              </w:rPr>
              <w:t>Вік, років</w:t>
            </w:r>
          </w:p>
        </w:tc>
        <w:tc>
          <w:tcPr>
            <w:tcW w:w="1411"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51,41 ±1,3</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67,08±0,54</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53,29±1,04</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67,97±0,79</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52,80±1,20</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67,48±0,57</w:t>
            </w:r>
          </w:p>
        </w:tc>
      </w:tr>
      <w:tr w:rsidR="00E3259F" w:rsidRPr="00C239D8" w:rsidTr="00E3259F">
        <w:tc>
          <w:tcPr>
            <w:tcW w:w="1099"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both"/>
              <w:rPr>
                <w:sz w:val="20"/>
                <w:szCs w:val="20"/>
                <w:lang w:val="en-US" w:eastAsia="en-US"/>
              </w:rPr>
            </w:pPr>
            <w:r w:rsidRPr="00C239D8">
              <w:rPr>
                <w:sz w:val="20"/>
                <w:szCs w:val="20"/>
                <w:lang w:val="uk-UA" w:eastAsia="en-US"/>
              </w:rPr>
              <w:t>ВЕФР</w:t>
            </w:r>
            <w:r w:rsidRPr="00C239D8">
              <w:rPr>
                <w:rStyle w:val="xfm65112403"/>
                <w:sz w:val="20"/>
                <w:szCs w:val="20"/>
                <w:lang w:val="uk-UA" w:eastAsia="en-US"/>
              </w:rPr>
              <w:t>, пг</w:t>
            </w:r>
            <w:r w:rsidRPr="00C239D8">
              <w:rPr>
                <w:sz w:val="20"/>
                <w:szCs w:val="20"/>
                <w:lang w:eastAsia="en-US"/>
              </w:rPr>
              <w:t>/</w:t>
            </w:r>
            <w:r w:rsidRPr="00C239D8">
              <w:rPr>
                <w:sz w:val="20"/>
                <w:szCs w:val="20"/>
                <w:lang w:val="uk-UA" w:eastAsia="en-US"/>
              </w:rPr>
              <w:t>мл</w:t>
            </w:r>
          </w:p>
        </w:tc>
        <w:tc>
          <w:tcPr>
            <w:tcW w:w="1411"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377,64±32,68</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371,2</w:t>
            </w:r>
            <w:r w:rsidRPr="00C239D8">
              <w:rPr>
                <w:sz w:val="20"/>
                <w:szCs w:val="20"/>
                <w:lang w:val="uk-UA" w:eastAsia="en-US"/>
              </w:rPr>
              <w:t>2</w:t>
            </w:r>
            <w:r w:rsidRPr="00C239D8">
              <w:rPr>
                <w:sz w:val="20"/>
                <w:szCs w:val="20"/>
                <w:lang w:eastAsia="en-US"/>
              </w:rPr>
              <w:t>±27,1</w:t>
            </w:r>
            <w:r w:rsidRPr="00C239D8">
              <w:rPr>
                <w:sz w:val="20"/>
                <w:szCs w:val="20"/>
                <w:lang w:val="uk-UA" w:eastAsia="en-US"/>
              </w:rPr>
              <w:t>8</w:t>
            </w:r>
          </w:p>
          <w:p w:rsidR="00E3259F" w:rsidRPr="00C239D8" w:rsidRDefault="00E3259F">
            <w:pPr>
              <w:spacing w:line="360" w:lineRule="auto"/>
              <w:rPr>
                <w:sz w:val="20"/>
                <w:szCs w:val="20"/>
                <w:lang w:val="uk-UA" w:eastAsia="en-US"/>
              </w:rPr>
            </w:pPr>
            <w:r w:rsidRPr="00C239D8">
              <w:rPr>
                <w:sz w:val="20"/>
                <w:szCs w:val="20"/>
                <w:shd w:val="clear" w:color="auto" w:fill="FFFFFF"/>
                <w:lang w:val="uk-UA" w:eastAsia="en-US"/>
              </w:rPr>
              <w:t>р&gt;0,05</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312,30±25,43</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333,7</w:t>
            </w:r>
            <w:r w:rsidRPr="00C239D8">
              <w:rPr>
                <w:sz w:val="20"/>
                <w:szCs w:val="20"/>
                <w:lang w:val="uk-UA" w:eastAsia="en-US"/>
              </w:rPr>
              <w:t>2</w:t>
            </w:r>
            <w:r w:rsidRPr="00C239D8">
              <w:rPr>
                <w:sz w:val="20"/>
                <w:szCs w:val="20"/>
                <w:lang w:eastAsia="en-US"/>
              </w:rPr>
              <w:t>±17,0</w:t>
            </w:r>
            <w:r w:rsidRPr="00C239D8">
              <w:rPr>
                <w:sz w:val="20"/>
                <w:szCs w:val="20"/>
                <w:lang w:val="uk-UA" w:eastAsia="en-US"/>
              </w:rPr>
              <w:t>5</w:t>
            </w:r>
          </w:p>
          <w:p w:rsidR="00E3259F" w:rsidRPr="00C239D8" w:rsidRDefault="00E3259F">
            <w:pPr>
              <w:spacing w:line="360" w:lineRule="auto"/>
              <w:rPr>
                <w:sz w:val="20"/>
                <w:szCs w:val="20"/>
                <w:lang w:eastAsia="en-US"/>
              </w:rPr>
            </w:pPr>
            <w:r w:rsidRPr="00C239D8">
              <w:rPr>
                <w:sz w:val="20"/>
                <w:szCs w:val="20"/>
                <w:shd w:val="clear" w:color="auto" w:fill="FFFFFF"/>
                <w:lang w:val="uk-UA" w:eastAsia="en-US"/>
              </w:rPr>
              <w:t>р&gt;0,05)</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eastAsia="en-US"/>
              </w:rPr>
              <w:t>467,7</w:t>
            </w:r>
            <w:r w:rsidRPr="00C239D8">
              <w:rPr>
                <w:sz w:val="20"/>
                <w:szCs w:val="20"/>
                <w:lang w:val="uk-UA" w:eastAsia="en-US"/>
              </w:rPr>
              <w:t>4</w:t>
            </w:r>
            <w:r w:rsidRPr="00C239D8">
              <w:rPr>
                <w:sz w:val="20"/>
                <w:szCs w:val="20"/>
                <w:lang w:eastAsia="en-US"/>
              </w:rPr>
              <w:t>±36,00</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492,70±26,4</w:t>
            </w:r>
            <w:r w:rsidRPr="00C239D8">
              <w:rPr>
                <w:sz w:val="20"/>
                <w:szCs w:val="20"/>
                <w:lang w:val="uk-UA" w:eastAsia="en-US"/>
              </w:rPr>
              <w:t>5</w:t>
            </w:r>
          </w:p>
          <w:p w:rsidR="00E3259F" w:rsidRPr="00C239D8" w:rsidRDefault="00E3259F">
            <w:pPr>
              <w:spacing w:line="360" w:lineRule="auto"/>
              <w:rPr>
                <w:sz w:val="20"/>
                <w:szCs w:val="20"/>
                <w:lang w:val="uk-UA" w:eastAsia="en-US"/>
              </w:rPr>
            </w:pPr>
            <w:r w:rsidRPr="00C239D8">
              <w:rPr>
                <w:sz w:val="20"/>
                <w:szCs w:val="20"/>
                <w:shd w:val="clear" w:color="auto" w:fill="FFFFFF"/>
                <w:lang w:val="uk-UA" w:eastAsia="en-US"/>
              </w:rPr>
              <w:t>р&gt;0,05</w:t>
            </w:r>
          </w:p>
        </w:tc>
      </w:tr>
      <w:tr w:rsidR="00E3259F" w:rsidRPr="00C239D8" w:rsidTr="00E3259F">
        <w:tc>
          <w:tcPr>
            <w:tcW w:w="1099"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both"/>
              <w:rPr>
                <w:rStyle w:val="xfm65112403"/>
                <w:lang w:val="uk-UA"/>
              </w:rPr>
            </w:pPr>
            <w:r w:rsidRPr="00C239D8">
              <w:rPr>
                <w:rStyle w:val="xfm65112403"/>
                <w:sz w:val="20"/>
                <w:szCs w:val="20"/>
                <w:lang w:val="uk-UA" w:eastAsia="en-US"/>
              </w:rPr>
              <w:t>ЦДЕК,</w:t>
            </w:r>
            <w:r w:rsidRPr="00C239D8">
              <w:rPr>
                <w:rFonts w:eastAsia="TimesNewRomanPSMT"/>
                <w:sz w:val="20"/>
                <w:szCs w:val="20"/>
                <w:lang w:val="en-US" w:eastAsia="en-US"/>
              </w:rPr>
              <w:t xml:space="preserve"> кл</w:t>
            </w:r>
            <w:r w:rsidRPr="00C239D8">
              <w:rPr>
                <w:rFonts w:eastAsia="TimesNewRomanPSMT"/>
                <w:sz w:val="20"/>
                <w:szCs w:val="20"/>
                <w:lang w:eastAsia="en-US"/>
              </w:rPr>
              <w:t xml:space="preserve">./100 </w:t>
            </w:r>
            <w:r w:rsidRPr="00C239D8">
              <w:rPr>
                <w:rFonts w:eastAsia="TimesNewRomanPSMT"/>
                <w:sz w:val="20"/>
                <w:szCs w:val="20"/>
                <w:lang w:val="en-US" w:eastAsia="en-US"/>
              </w:rPr>
              <w:t>мкл</w:t>
            </w:r>
          </w:p>
        </w:tc>
        <w:tc>
          <w:tcPr>
            <w:tcW w:w="1411"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11,88±0,54</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12,39±</w:t>
            </w:r>
            <w:r w:rsidRPr="00C239D8">
              <w:rPr>
                <w:sz w:val="20"/>
                <w:szCs w:val="20"/>
                <w:lang w:val="uk-UA" w:eastAsia="en-US"/>
              </w:rPr>
              <w:t>0</w:t>
            </w:r>
            <w:r w:rsidRPr="00C239D8">
              <w:rPr>
                <w:sz w:val="20"/>
                <w:szCs w:val="20"/>
                <w:lang w:eastAsia="en-US"/>
              </w:rPr>
              <w:t>,4</w:t>
            </w:r>
            <w:r w:rsidRPr="00C239D8">
              <w:rPr>
                <w:sz w:val="20"/>
                <w:szCs w:val="20"/>
                <w:lang w:val="uk-UA" w:eastAsia="en-US"/>
              </w:rPr>
              <w:t>8</w:t>
            </w:r>
          </w:p>
          <w:p w:rsidR="00E3259F" w:rsidRPr="00C239D8" w:rsidRDefault="00E3259F">
            <w:pPr>
              <w:spacing w:line="360" w:lineRule="auto"/>
              <w:rPr>
                <w:sz w:val="20"/>
                <w:szCs w:val="20"/>
                <w:lang w:eastAsia="en-US"/>
              </w:rPr>
            </w:pPr>
            <w:r w:rsidRPr="00C239D8">
              <w:rPr>
                <w:sz w:val="20"/>
                <w:szCs w:val="20"/>
                <w:shd w:val="clear" w:color="auto" w:fill="FFFFFF"/>
                <w:lang w:val="uk-UA" w:eastAsia="en-US"/>
              </w:rPr>
              <w:t>р&gt;0,05</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10,79±</w:t>
            </w:r>
            <w:r w:rsidRPr="00C239D8">
              <w:rPr>
                <w:sz w:val="20"/>
                <w:szCs w:val="20"/>
                <w:lang w:val="uk-UA" w:eastAsia="en-US"/>
              </w:rPr>
              <w:t>0</w:t>
            </w:r>
            <w:r w:rsidRPr="00C239D8">
              <w:rPr>
                <w:sz w:val="20"/>
                <w:szCs w:val="20"/>
                <w:lang w:eastAsia="en-US"/>
              </w:rPr>
              <w:t>,6</w:t>
            </w:r>
            <w:r w:rsidRPr="00C239D8">
              <w:rPr>
                <w:sz w:val="20"/>
                <w:szCs w:val="20"/>
                <w:lang w:val="uk-UA" w:eastAsia="en-US"/>
              </w:rPr>
              <w:t>4</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12,88±</w:t>
            </w:r>
            <w:r w:rsidRPr="00C239D8">
              <w:rPr>
                <w:sz w:val="20"/>
                <w:szCs w:val="20"/>
                <w:lang w:val="uk-UA" w:eastAsia="en-US"/>
              </w:rPr>
              <w:t>0</w:t>
            </w:r>
            <w:r w:rsidRPr="00C239D8">
              <w:rPr>
                <w:sz w:val="20"/>
                <w:szCs w:val="20"/>
                <w:lang w:eastAsia="en-US"/>
              </w:rPr>
              <w:t>,45</w:t>
            </w:r>
          </w:p>
          <w:p w:rsidR="00E3259F" w:rsidRPr="00C239D8" w:rsidRDefault="00E3259F">
            <w:pPr>
              <w:spacing w:line="360" w:lineRule="auto"/>
              <w:rPr>
                <w:sz w:val="20"/>
                <w:szCs w:val="20"/>
                <w:lang w:val="uk-UA" w:eastAsia="en-US"/>
              </w:rPr>
            </w:pPr>
            <w:r w:rsidRPr="00C239D8">
              <w:rPr>
                <w:sz w:val="20"/>
                <w:szCs w:val="20"/>
                <w:lang w:val="uk-UA" w:eastAsia="en-US"/>
              </w:rPr>
              <w:t>р =0</w:t>
            </w:r>
            <w:r w:rsidRPr="00C239D8">
              <w:rPr>
                <w:sz w:val="20"/>
                <w:szCs w:val="20"/>
                <w:lang w:eastAsia="en-US"/>
              </w:rPr>
              <w:t>,007</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10,19±0,59</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eastAsia="en-US"/>
              </w:rPr>
              <w:t>10,36±</w:t>
            </w:r>
            <w:r w:rsidRPr="00C239D8">
              <w:rPr>
                <w:sz w:val="20"/>
                <w:szCs w:val="20"/>
                <w:lang w:val="uk-UA" w:eastAsia="en-US"/>
              </w:rPr>
              <w:t>0</w:t>
            </w:r>
            <w:r w:rsidRPr="00C239D8">
              <w:rPr>
                <w:sz w:val="20"/>
                <w:szCs w:val="20"/>
                <w:lang w:eastAsia="en-US"/>
              </w:rPr>
              <w:t>,4</w:t>
            </w:r>
            <w:r w:rsidRPr="00C239D8">
              <w:rPr>
                <w:sz w:val="20"/>
                <w:szCs w:val="20"/>
                <w:lang w:val="uk-UA" w:eastAsia="en-US"/>
              </w:rPr>
              <w:t>1</w:t>
            </w:r>
          </w:p>
          <w:p w:rsidR="00E3259F" w:rsidRPr="00C239D8" w:rsidRDefault="00E3259F">
            <w:pPr>
              <w:spacing w:line="360" w:lineRule="auto"/>
              <w:rPr>
                <w:sz w:val="20"/>
                <w:szCs w:val="20"/>
                <w:lang w:val="uk-UA" w:eastAsia="en-US"/>
              </w:rPr>
            </w:pPr>
            <w:r w:rsidRPr="00C239D8">
              <w:rPr>
                <w:sz w:val="20"/>
                <w:szCs w:val="20"/>
                <w:shd w:val="clear" w:color="auto" w:fill="FFFFFF"/>
                <w:lang w:val="uk-UA" w:eastAsia="en-US"/>
              </w:rPr>
              <w:t>р&gt;0,05</w:t>
            </w:r>
          </w:p>
        </w:tc>
      </w:tr>
      <w:tr w:rsidR="00E3259F" w:rsidRPr="00C239D8" w:rsidTr="00E3259F">
        <w:tc>
          <w:tcPr>
            <w:tcW w:w="1099"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both"/>
              <w:rPr>
                <w:rStyle w:val="xfm65112403"/>
                <w:lang w:val="uk-UA"/>
              </w:rPr>
            </w:pPr>
            <w:r w:rsidRPr="00C239D8">
              <w:rPr>
                <w:rStyle w:val="xfm65112403"/>
                <w:sz w:val="20"/>
                <w:szCs w:val="20"/>
                <w:lang w:val="uk-UA" w:eastAsia="en-US"/>
              </w:rPr>
              <w:t>ТКІМ ЗСА, мм</w:t>
            </w:r>
          </w:p>
        </w:tc>
        <w:tc>
          <w:tcPr>
            <w:tcW w:w="1411"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val="uk-UA" w:eastAsia="en-US"/>
              </w:rPr>
              <w:t>0</w:t>
            </w:r>
            <w:r w:rsidRPr="00C239D8">
              <w:rPr>
                <w:sz w:val="20"/>
                <w:szCs w:val="20"/>
                <w:lang w:eastAsia="en-US"/>
              </w:rPr>
              <w:t>,07</w:t>
            </w:r>
            <w:r w:rsidRPr="00C239D8">
              <w:rPr>
                <w:sz w:val="20"/>
                <w:szCs w:val="20"/>
                <w:lang w:val="uk-UA" w:eastAsia="en-US"/>
              </w:rPr>
              <w:t>9</w:t>
            </w:r>
            <w:r w:rsidRPr="00C239D8">
              <w:rPr>
                <w:sz w:val="20"/>
                <w:szCs w:val="20"/>
                <w:lang w:eastAsia="en-US"/>
              </w:rPr>
              <w:t>±</w:t>
            </w:r>
            <w:r w:rsidRPr="00C239D8">
              <w:rPr>
                <w:sz w:val="20"/>
                <w:szCs w:val="20"/>
                <w:lang w:val="uk-UA" w:eastAsia="en-US"/>
              </w:rPr>
              <w:t>0</w:t>
            </w:r>
            <w:r w:rsidRPr="00C239D8">
              <w:rPr>
                <w:sz w:val="20"/>
                <w:szCs w:val="20"/>
                <w:lang w:eastAsia="en-US"/>
              </w:rPr>
              <w:t>,003</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val="uk-UA" w:eastAsia="en-US"/>
              </w:rPr>
              <w:t>0</w:t>
            </w:r>
            <w:r w:rsidRPr="00C239D8">
              <w:rPr>
                <w:sz w:val="20"/>
                <w:szCs w:val="20"/>
                <w:lang w:eastAsia="en-US"/>
              </w:rPr>
              <w:t>,</w:t>
            </w:r>
            <w:r w:rsidRPr="00C239D8">
              <w:rPr>
                <w:sz w:val="20"/>
                <w:szCs w:val="20"/>
                <w:lang w:val="uk-UA" w:eastAsia="en-US"/>
              </w:rPr>
              <w:t>0</w:t>
            </w:r>
            <w:r w:rsidRPr="00C239D8">
              <w:rPr>
                <w:sz w:val="20"/>
                <w:szCs w:val="20"/>
                <w:lang w:eastAsia="en-US"/>
              </w:rPr>
              <w:t>74±</w:t>
            </w:r>
            <w:r w:rsidRPr="00C239D8">
              <w:rPr>
                <w:sz w:val="20"/>
                <w:szCs w:val="20"/>
                <w:lang w:val="uk-UA" w:eastAsia="en-US"/>
              </w:rPr>
              <w:t>0</w:t>
            </w:r>
            <w:r w:rsidRPr="00C239D8">
              <w:rPr>
                <w:sz w:val="20"/>
                <w:szCs w:val="20"/>
                <w:lang w:eastAsia="en-US"/>
              </w:rPr>
              <w:t>,00</w:t>
            </w:r>
            <w:r w:rsidRPr="00C239D8">
              <w:rPr>
                <w:sz w:val="20"/>
                <w:szCs w:val="20"/>
                <w:lang w:val="uk-UA" w:eastAsia="en-US"/>
              </w:rPr>
              <w:t>3</w:t>
            </w:r>
          </w:p>
          <w:p w:rsidR="00E3259F" w:rsidRPr="00C239D8" w:rsidRDefault="00E3259F">
            <w:pPr>
              <w:spacing w:line="360" w:lineRule="auto"/>
              <w:rPr>
                <w:sz w:val="20"/>
                <w:szCs w:val="20"/>
                <w:lang w:val="uk-UA" w:eastAsia="en-US"/>
              </w:rPr>
            </w:pPr>
            <w:r w:rsidRPr="00C239D8">
              <w:rPr>
                <w:sz w:val="20"/>
                <w:szCs w:val="20"/>
                <w:shd w:val="clear" w:color="auto" w:fill="FFFFFF"/>
                <w:lang w:val="uk-UA" w:eastAsia="en-US"/>
              </w:rPr>
              <w:t>р&gt;0,05</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val="uk-UA" w:eastAsia="en-US"/>
              </w:rPr>
              <w:t>0</w:t>
            </w:r>
            <w:r w:rsidRPr="00C239D8">
              <w:rPr>
                <w:sz w:val="20"/>
                <w:szCs w:val="20"/>
                <w:lang w:eastAsia="en-US"/>
              </w:rPr>
              <w:t>,07</w:t>
            </w:r>
            <w:r w:rsidRPr="00C239D8">
              <w:rPr>
                <w:sz w:val="20"/>
                <w:szCs w:val="20"/>
                <w:lang w:val="uk-UA" w:eastAsia="en-US"/>
              </w:rPr>
              <w:t>5</w:t>
            </w:r>
            <w:r w:rsidRPr="00C239D8">
              <w:rPr>
                <w:sz w:val="20"/>
                <w:szCs w:val="20"/>
                <w:lang w:eastAsia="en-US"/>
              </w:rPr>
              <w:t>±</w:t>
            </w:r>
            <w:r w:rsidRPr="00C239D8">
              <w:rPr>
                <w:sz w:val="20"/>
                <w:szCs w:val="20"/>
                <w:lang w:val="uk-UA" w:eastAsia="en-US"/>
              </w:rPr>
              <w:t>0</w:t>
            </w:r>
            <w:r w:rsidRPr="00C239D8">
              <w:rPr>
                <w:sz w:val="20"/>
                <w:szCs w:val="20"/>
                <w:lang w:eastAsia="en-US"/>
              </w:rPr>
              <w:t>,001</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val="uk-UA" w:eastAsia="en-US"/>
              </w:rPr>
              <w:t>0</w:t>
            </w:r>
            <w:r w:rsidRPr="00C239D8">
              <w:rPr>
                <w:sz w:val="20"/>
                <w:szCs w:val="20"/>
                <w:lang w:eastAsia="en-US"/>
              </w:rPr>
              <w:t>,07</w:t>
            </w:r>
            <w:r w:rsidRPr="00C239D8">
              <w:rPr>
                <w:sz w:val="20"/>
                <w:szCs w:val="20"/>
                <w:lang w:val="uk-UA" w:eastAsia="en-US"/>
              </w:rPr>
              <w:t>8</w:t>
            </w:r>
            <w:r w:rsidRPr="00C239D8">
              <w:rPr>
                <w:sz w:val="20"/>
                <w:szCs w:val="20"/>
                <w:lang w:eastAsia="en-US"/>
              </w:rPr>
              <w:t>±</w:t>
            </w:r>
            <w:r w:rsidRPr="00C239D8">
              <w:rPr>
                <w:sz w:val="20"/>
                <w:szCs w:val="20"/>
                <w:lang w:val="uk-UA" w:eastAsia="en-US"/>
              </w:rPr>
              <w:t>0</w:t>
            </w:r>
            <w:r w:rsidRPr="00C239D8">
              <w:rPr>
                <w:sz w:val="20"/>
                <w:szCs w:val="20"/>
                <w:lang w:eastAsia="en-US"/>
              </w:rPr>
              <w:t>,00</w:t>
            </w:r>
            <w:r w:rsidRPr="00C239D8">
              <w:rPr>
                <w:sz w:val="20"/>
                <w:szCs w:val="20"/>
                <w:lang w:val="uk-UA" w:eastAsia="en-US"/>
              </w:rPr>
              <w:t>2</w:t>
            </w:r>
          </w:p>
          <w:p w:rsidR="00E3259F" w:rsidRPr="00C239D8" w:rsidRDefault="00E3259F">
            <w:pPr>
              <w:spacing w:line="360" w:lineRule="auto"/>
              <w:rPr>
                <w:sz w:val="20"/>
                <w:szCs w:val="20"/>
                <w:lang w:val="uk-UA" w:eastAsia="en-US"/>
              </w:rPr>
            </w:pPr>
            <w:r w:rsidRPr="00C239D8">
              <w:rPr>
                <w:sz w:val="20"/>
                <w:szCs w:val="20"/>
                <w:shd w:val="clear" w:color="auto" w:fill="FFFFFF"/>
                <w:lang w:val="uk-UA" w:eastAsia="en-US"/>
              </w:rPr>
              <w:t>р&gt;0,05</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eastAsia="en-US"/>
              </w:rPr>
            </w:pPr>
            <w:r w:rsidRPr="00C239D8">
              <w:rPr>
                <w:sz w:val="20"/>
                <w:szCs w:val="20"/>
                <w:lang w:val="uk-UA" w:eastAsia="en-US"/>
              </w:rPr>
              <w:t>0</w:t>
            </w:r>
            <w:r w:rsidRPr="00C239D8">
              <w:rPr>
                <w:sz w:val="20"/>
                <w:szCs w:val="20"/>
                <w:lang w:eastAsia="en-US"/>
              </w:rPr>
              <w:t>,07</w:t>
            </w:r>
            <w:r w:rsidRPr="00C239D8">
              <w:rPr>
                <w:sz w:val="20"/>
                <w:szCs w:val="20"/>
                <w:lang w:val="uk-UA" w:eastAsia="en-US"/>
              </w:rPr>
              <w:t>4</w:t>
            </w:r>
            <w:r w:rsidRPr="00C239D8">
              <w:rPr>
                <w:sz w:val="20"/>
                <w:szCs w:val="20"/>
                <w:lang w:eastAsia="en-US"/>
              </w:rPr>
              <w:t>±</w:t>
            </w:r>
            <w:r w:rsidRPr="00C239D8">
              <w:rPr>
                <w:sz w:val="20"/>
                <w:szCs w:val="20"/>
                <w:lang w:val="uk-UA" w:eastAsia="en-US"/>
              </w:rPr>
              <w:t>0</w:t>
            </w:r>
            <w:r w:rsidRPr="00C239D8">
              <w:rPr>
                <w:sz w:val="20"/>
                <w:szCs w:val="20"/>
                <w:lang w:eastAsia="en-US"/>
              </w:rPr>
              <w:t>,002</w:t>
            </w:r>
          </w:p>
        </w:tc>
        <w:tc>
          <w:tcPr>
            <w:tcW w:w="1412"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0"/>
                <w:szCs w:val="20"/>
                <w:lang w:val="uk-UA" w:eastAsia="en-US"/>
              </w:rPr>
            </w:pPr>
            <w:r w:rsidRPr="00C239D8">
              <w:rPr>
                <w:sz w:val="20"/>
                <w:szCs w:val="20"/>
                <w:lang w:val="uk-UA" w:eastAsia="en-US"/>
              </w:rPr>
              <w:t>0</w:t>
            </w:r>
            <w:r w:rsidRPr="00C239D8">
              <w:rPr>
                <w:sz w:val="20"/>
                <w:szCs w:val="20"/>
                <w:lang w:eastAsia="en-US"/>
              </w:rPr>
              <w:t>,08</w:t>
            </w:r>
            <w:r w:rsidRPr="00C239D8">
              <w:rPr>
                <w:sz w:val="20"/>
                <w:szCs w:val="20"/>
                <w:lang w:val="uk-UA" w:eastAsia="en-US"/>
              </w:rPr>
              <w:t>4</w:t>
            </w:r>
            <w:r w:rsidRPr="00C239D8">
              <w:rPr>
                <w:sz w:val="20"/>
                <w:szCs w:val="20"/>
                <w:lang w:eastAsia="en-US"/>
              </w:rPr>
              <w:t>±</w:t>
            </w:r>
            <w:r w:rsidRPr="00C239D8">
              <w:rPr>
                <w:sz w:val="20"/>
                <w:szCs w:val="20"/>
                <w:lang w:val="uk-UA" w:eastAsia="en-US"/>
              </w:rPr>
              <w:t>0</w:t>
            </w:r>
            <w:r w:rsidRPr="00C239D8">
              <w:rPr>
                <w:sz w:val="20"/>
                <w:szCs w:val="20"/>
                <w:lang w:eastAsia="en-US"/>
              </w:rPr>
              <w:t>,002</w:t>
            </w:r>
          </w:p>
          <w:p w:rsidR="00E3259F" w:rsidRPr="00C239D8" w:rsidRDefault="00E3259F">
            <w:pPr>
              <w:spacing w:line="360" w:lineRule="auto"/>
              <w:rPr>
                <w:sz w:val="20"/>
                <w:szCs w:val="20"/>
                <w:lang w:val="uk-UA" w:eastAsia="en-US"/>
              </w:rPr>
            </w:pPr>
            <w:r w:rsidRPr="00C239D8">
              <w:rPr>
                <w:sz w:val="20"/>
                <w:szCs w:val="20"/>
                <w:lang w:val="uk-UA" w:eastAsia="en-US"/>
              </w:rPr>
              <w:t>р =0,002</w:t>
            </w:r>
          </w:p>
        </w:tc>
      </w:tr>
    </w:tbl>
    <w:p w:rsidR="00E3259F" w:rsidRDefault="00E3259F" w:rsidP="00C239D8">
      <w:pPr>
        <w:spacing w:line="360" w:lineRule="auto"/>
        <w:jc w:val="both"/>
        <w:rPr>
          <w:rStyle w:val="tlid-translation"/>
          <w:rFonts w:eastAsiaTheme="majorEastAsia"/>
          <w:sz w:val="26"/>
          <w:szCs w:val="26"/>
          <w:lang w:val="uk-UA" w:eastAsia="en-US"/>
        </w:rPr>
      </w:pPr>
      <w:r w:rsidRPr="00C239D8">
        <w:rPr>
          <w:sz w:val="28"/>
          <w:szCs w:val="28"/>
          <w:lang w:val="uk-UA"/>
        </w:rPr>
        <w:t>Примітка: р</w:t>
      </w:r>
      <w:r w:rsidRPr="00C239D8">
        <w:rPr>
          <w:sz w:val="28"/>
          <w:szCs w:val="28"/>
          <w:vertAlign w:val="subscript"/>
          <w:lang w:val="uk-UA"/>
        </w:rPr>
        <w:t xml:space="preserve"> -</w:t>
      </w:r>
      <w:r w:rsidRPr="00C239D8">
        <w:rPr>
          <w:sz w:val="28"/>
          <w:szCs w:val="28"/>
          <w:lang w:val="uk-UA"/>
        </w:rPr>
        <w:t xml:space="preserve">  рівень значущості відмінностей при порівнянні І та ІІ вікових підгруп в групі </w:t>
      </w:r>
    </w:p>
    <w:p w:rsidR="00E3259F" w:rsidRDefault="00E3259F" w:rsidP="00E3259F"/>
    <w:p w:rsidR="00E3259F" w:rsidRPr="00C239D8" w:rsidRDefault="00E3259F" w:rsidP="00C239D8">
      <w:pPr>
        <w:spacing w:line="360" w:lineRule="auto"/>
        <w:ind w:firstLine="709"/>
        <w:jc w:val="both"/>
        <w:rPr>
          <w:sz w:val="28"/>
          <w:szCs w:val="28"/>
          <w:lang w:val="uk-UA"/>
        </w:rPr>
      </w:pPr>
      <w:r w:rsidRPr="00C239D8">
        <w:rPr>
          <w:sz w:val="28"/>
          <w:szCs w:val="28"/>
          <w:lang w:val="uk-UA"/>
        </w:rPr>
        <w:t xml:space="preserve">Наявність кореляційних зв`язків між рівнями ВЕФР та ТТГ в усіх вікових підгрупах групи 2 (в підгрупі І - </w:t>
      </w:r>
      <w:r w:rsidRPr="00C239D8">
        <w:rPr>
          <w:sz w:val="28"/>
          <w:szCs w:val="28"/>
          <w:lang w:val="en-US"/>
        </w:rPr>
        <w:t>r</w:t>
      </w:r>
      <w:r w:rsidRPr="00C239D8">
        <w:rPr>
          <w:sz w:val="28"/>
          <w:szCs w:val="28"/>
          <w:lang w:val="uk-UA"/>
        </w:rPr>
        <w:t xml:space="preserve">=-0,449, р=0,001,  підгрупі ІІ -               </w:t>
      </w:r>
      <w:r w:rsidRPr="00C239D8">
        <w:rPr>
          <w:sz w:val="28"/>
          <w:szCs w:val="28"/>
          <w:lang w:val="en-US"/>
        </w:rPr>
        <w:t>r</w:t>
      </w:r>
      <w:r w:rsidRPr="00C239D8">
        <w:rPr>
          <w:sz w:val="28"/>
          <w:szCs w:val="28"/>
          <w:lang w:val="uk-UA"/>
        </w:rPr>
        <w:t xml:space="preserve">=-0,212, р=0,034) та групі 3 (підгрупа І - </w:t>
      </w:r>
      <w:r w:rsidRPr="00C239D8">
        <w:rPr>
          <w:sz w:val="28"/>
          <w:szCs w:val="28"/>
          <w:lang w:val="en-US"/>
        </w:rPr>
        <w:t>r</w:t>
      </w:r>
      <w:r w:rsidRPr="00C239D8">
        <w:rPr>
          <w:sz w:val="28"/>
          <w:szCs w:val="28"/>
          <w:lang w:val="uk-UA"/>
        </w:rPr>
        <w:t xml:space="preserve">=0,414, р=0,011, підгрупа ІІ - </w:t>
      </w:r>
      <w:r w:rsidRPr="00C239D8">
        <w:rPr>
          <w:sz w:val="28"/>
          <w:szCs w:val="28"/>
          <w:lang w:val="en-US"/>
        </w:rPr>
        <w:t>r</w:t>
      </w:r>
      <w:r w:rsidRPr="00C239D8">
        <w:rPr>
          <w:sz w:val="28"/>
          <w:szCs w:val="28"/>
          <w:lang w:val="uk-UA"/>
        </w:rPr>
        <w:t>=0,448,  р=0,001)  незалежно від функціонального стану ЩЗ, ще раз свідчить про суттєве значення тіреоїдного обміну в розвитку ЕД, більшою мірою, ніж віку.</w:t>
      </w:r>
    </w:p>
    <w:p w:rsidR="00E3259F" w:rsidRPr="00C239D8" w:rsidRDefault="00E3259F" w:rsidP="00C239D8">
      <w:pPr>
        <w:spacing w:line="360" w:lineRule="auto"/>
        <w:ind w:firstLine="709"/>
        <w:jc w:val="both"/>
        <w:rPr>
          <w:sz w:val="28"/>
          <w:szCs w:val="28"/>
          <w:lang w:val="uk-UA"/>
        </w:rPr>
      </w:pPr>
      <w:r w:rsidRPr="00C239D8">
        <w:rPr>
          <w:sz w:val="28"/>
          <w:szCs w:val="28"/>
          <w:lang w:val="uk-UA" w:eastAsia="en-US"/>
        </w:rPr>
        <w:t xml:space="preserve">Порівняльний аналіз показників ЕД в групах залежно від ТС продемонстрував підвищення кількості ЦДЕК при УТС в усіх групах пацієнтів з коморбідною патологією, на відміну від групи з ізольованою ГХ, проте достовірні відмінності були знайдені тільки в групі 2 (р=0,017, Таблиця 5.5). </w:t>
      </w:r>
    </w:p>
    <w:p w:rsidR="00E3259F" w:rsidRPr="00C239D8" w:rsidRDefault="00E3259F" w:rsidP="00C239D8">
      <w:pPr>
        <w:spacing w:line="360" w:lineRule="auto"/>
        <w:ind w:firstLine="709"/>
        <w:rPr>
          <w:lang w:val="uk-UA"/>
        </w:rPr>
      </w:pPr>
    </w:p>
    <w:p w:rsidR="00E3259F" w:rsidRDefault="00E3259F" w:rsidP="00E3259F">
      <w:pPr>
        <w:spacing w:line="360" w:lineRule="auto"/>
        <w:ind w:firstLine="709"/>
        <w:jc w:val="right"/>
        <w:rPr>
          <w:rStyle w:val="tlid-translation"/>
        </w:rPr>
      </w:pPr>
    </w:p>
    <w:p w:rsidR="00E3259F" w:rsidRDefault="00E3259F" w:rsidP="00E3259F">
      <w:pPr>
        <w:spacing w:line="360" w:lineRule="auto"/>
        <w:rPr>
          <w:rStyle w:val="tlid-translation"/>
          <w:lang w:val="uk-UA"/>
        </w:rPr>
        <w:sectPr w:rsidR="00E3259F">
          <w:pgSz w:w="11906" w:h="16838"/>
          <w:pgMar w:top="1134" w:right="851" w:bottom="1134" w:left="1701" w:header="709" w:footer="709" w:gutter="0"/>
          <w:cols w:space="720"/>
        </w:sectPr>
      </w:pPr>
    </w:p>
    <w:p w:rsidR="00E3259F" w:rsidRDefault="00E3259F" w:rsidP="00E3259F">
      <w:pPr>
        <w:spacing w:line="360" w:lineRule="auto"/>
        <w:ind w:firstLine="709"/>
        <w:jc w:val="right"/>
        <w:rPr>
          <w:rStyle w:val="tlid-translation"/>
          <w:sz w:val="28"/>
          <w:szCs w:val="28"/>
        </w:rPr>
      </w:pPr>
      <w:r>
        <w:rPr>
          <w:rStyle w:val="tlid-translation"/>
          <w:sz w:val="28"/>
          <w:szCs w:val="28"/>
          <w:lang w:val="uk-UA"/>
        </w:rPr>
        <w:t>Таблиця 5.5</w:t>
      </w:r>
    </w:p>
    <w:p w:rsidR="00E3259F" w:rsidRDefault="00E3259F" w:rsidP="00E3259F">
      <w:pPr>
        <w:spacing w:line="360" w:lineRule="auto"/>
        <w:ind w:firstLine="709"/>
        <w:jc w:val="center"/>
      </w:pPr>
      <w:r>
        <w:rPr>
          <w:rStyle w:val="tlid-translation"/>
          <w:sz w:val="28"/>
          <w:szCs w:val="28"/>
          <w:lang w:val="uk-UA"/>
        </w:rPr>
        <w:t xml:space="preserve">Порівняльний аналіз  показників ЕД в залежності від темпу старіння </w:t>
      </w:r>
      <w:r>
        <w:rPr>
          <w:sz w:val="28"/>
          <w:szCs w:val="28"/>
        </w:rPr>
        <w:t>(</w:t>
      </w:r>
      <w:r>
        <w:rPr>
          <w:sz w:val="28"/>
          <w:szCs w:val="28"/>
          <w:lang w:val="en-US"/>
        </w:rPr>
        <w:t>M</w:t>
      </w:r>
      <w:r>
        <w:rPr>
          <w:sz w:val="28"/>
          <w:szCs w:val="28"/>
        </w:rPr>
        <w:t>±</w:t>
      </w:r>
      <w:r>
        <w:rPr>
          <w:sz w:val="28"/>
          <w:szCs w:val="28"/>
          <w:lang w:val="en-US"/>
        </w:rPr>
        <w:t>m</w:t>
      </w:r>
      <w:r>
        <w:rPr>
          <w:sz w:val="28"/>
          <w:szCs w:val="28"/>
        </w:rPr>
        <w:t>)</w:t>
      </w:r>
    </w:p>
    <w:p w:rsidR="00E3259F" w:rsidRDefault="00E3259F" w:rsidP="00E3259F">
      <w:pPr>
        <w:spacing w:line="360" w:lineRule="auto"/>
        <w:ind w:firstLine="709"/>
        <w:jc w:val="center"/>
        <w:rPr>
          <w:rStyle w:val="tlid-translation"/>
        </w:rPr>
      </w:pPr>
    </w:p>
    <w:tbl>
      <w:tblPr>
        <w:tblW w:w="5000" w:type="pct"/>
        <w:tblLook w:val="04A0" w:firstRow="1" w:lastRow="0" w:firstColumn="1" w:lastColumn="0" w:noHBand="0" w:noVBand="1"/>
      </w:tblPr>
      <w:tblGrid>
        <w:gridCol w:w="2057"/>
        <w:gridCol w:w="2038"/>
        <w:gridCol w:w="2038"/>
        <w:gridCol w:w="2038"/>
        <w:gridCol w:w="2206"/>
        <w:gridCol w:w="2206"/>
        <w:gridCol w:w="2203"/>
      </w:tblGrid>
      <w:tr w:rsidR="00E3259F" w:rsidRPr="00C239D8" w:rsidTr="00E3259F">
        <w:tc>
          <w:tcPr>
            <w:tcW w:w="696" w:type="pct"/>
            <w:vMerge w:val="restar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Показник/</w:t>
            </w:r>
          </w:p>
          <w:p w:rsidR="00E3259F" w:rsidRPr="00C239D8" w:rsidRDefault="00E3259F" w:rsidP="00C239D8">
            <w:pPr>
              <w:spacing w:line="360" w:lineRule="auto"/>
              <w:jc w:val="both"/>
              <w:rPr>
                <w:sz w:val="28"/>
                <w:szCs w:val="28"/>
                <w:lang w:val="uk-UA" w:eastAsia="en-US"/>
              </w:rPr>
            </w:pPr>
            <w:r w:rsidRPr="00C239D8">
              <w:rPr>
                <w:sz w:val="28"/>
                <w:szCs w:val="28"/>
                <w:lang w:val="uk-UA" w:eastAsia="en-US"/>
              </w:rPr>
              <w:t>Темп старіння</w:t>
            </w:r>
          </w:p>
        </w:tc>
        <w:tc>
          <w:tcPr>
            <w:tcW w:w="1377" w:type="pct"/>
            <w:gridSpan w:val="2"/>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pStyle w:val="1"/>
              <w:spacing w:before="0" w:beforeAutospacing="0" w:after="0" w:afterAutospacing="0" w:line="360" w:lineRule="auto"/>
              <w:jc w:val="center"/>
              <w:rPr>
                <w:b w:val="0"/>
                <w:sz w:val="28"/>
                <w:szCs w:val="28"/>
                <w:lang w:val="en-US" w:eastAsia="en-US"/>
              </w:rPr>
            </w:pPr>
            <w:r w:rsidRPr="00C239D8">
              <w:rPr>
                <w:b w:val="0"/>
                <w:sz w:val="28"/>
                <w:szCs w:val="28"/>
                <w:lang w:val="uk-UA" w:eastAsia="en-US"/>
              </w:rPr>
              <w:t>Група 1</w:t>
            </w:r>
          </w:p>
          <w:p w:rsidR="00E3259F" w:rsidRPr="00C239D8" w:rsidRDefault="00E3259F" w:rsidP="00C239D8">
            <w:pPr>
              <w:pStyle w:val="1"/>
              <w:spacing w:before="0" w:beforeAutospacing="0" w:after="0" w:afterAutospacing="0" w:line="360" w:lineRule="auto"/>
              <w:jc w:val="center"/>
              <w:rPr>
                <w:b w:val="0"/>
                <w:sz w:val="28"/>
                <w:szCs w:val="28"/>
                <w:lang w:val="en-US" w:eastAsia="en-US"/>
              </w:rPr>
            </w:pPr>
            <w:r w:rsidRPr="00C239D8">
              <w:rPr>
                <w:b w:val="0"/>
                <w:sz w:val="28"/>
                <w:szCs w:val="28"/>
                <w:lang w:val="en-US" w:eastAsia="en-US"/>
              </w:rPr>
              <w:t>(n=</w:t>
            </w:r>
            <w:r w:rsidRPr="00C239D8">
              <w:rPr>
                <w:b w:val="0"/>
                <w:sz w:val="28"/>
                <w:szCs w:val="28"/>
                <w:lang w:val="uk-UA" w:eastAsia="en-US"/>
              </w:rPr>
              <w:t>106</w:t>
            </w:r>
            <w:r w:rsidRPr="00C239D8">
              <w:rPr>
                <w:b w:val="0"/>
                <w:sz w:val="28"/>
                <w:szCs w:val="28"/>
                <w:lang w:val="en-US" w:eastAsia="en-US"/>
              </w:rPr>
              <w:t>)</w:t>
            </w:r>
          </w:p>
        </w:tc>
        <w:tc>
          <w:tcPr>
            <w:tcW w:w="1435" w:type="pct"/>
            <w:gridSpan w:val="2"/>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pStyle w:val="1"/>
              <w:spacing w:before="0" w:beforeAutospacing="0" w:after="0" w:afterAutospacing="0" w:line="360" w:lineRule="auto"/>
              <w:jc w:val="center"/>
              <w:rPr>
                <w:b w:val="0"/>
                <w:sz w:val="28"/>
                <w:szCs w:val="28"/>
                <w:lang w:val="en-US" w:eastAsia="en-US"/>
              </w:rPr>
            </w:pPr>
            <w:r w:rsidRPr="00C239D8">
              <w:rPr>
                <w:b w:val="0"/>
                <w:sz w:val="28"/>
                <w:szCs w:val="28"/>
                <w:lang w:val="uk-UA" w:eastAsia="en-US"/>
              </w:rPr>
              <w:t>Група 2</w:t>
            </w:r>
          </w:p>
          <w:p w:rsidR="00E3259F" w:rsidRPr="00C239D8" w:rsidRDefault="00E3259F" w:rsidP="00C239D8">
            <w:pPr>
              <w:pStyle w:val="1"/>
              <w:spacing w:before="0" w:beforeAutospacing="0" w:after="0" w:afterAutospacing="0" w:line="360" w:lineRule="auto"/>
              <w:jc w:val="center"/>
              <w:rPr>
                <w:b w:val="0"/>
                <w:sz w:val="28"/>
                <w:szCs w:val="28"/>
                <w:lang w:val="en-US" w:eastAsia="en-US"/>
              </w:rPr>
            </w:pPr>
            <w:r w:rsidRPr="00C239D8">
              <w:rPr>
                <w:b w:val="0"/>
                <w:sz w:val="28"/>
                <w:szCs w:val="28"/>
                <w:lang w:val="en-US" w:eastAsia="en-US"/>
              </w:rPr>
              <w:t>(n=</w:t>
            </w:r>
            <w:r w:rsidRPr="00C239D8">
              <w:rPr>
                <w:b w:val="0"/>
                <w:sz w:val="28"/>
                <w:szCs w:val="28"/>
                <w:lang w:val="uk-UA" w:eastAsia="en-US"/>
              </w:rPr>
              <w:t>15</w:t>
            </w:r>
            <w:r w:rsidRPr="00C239D8">
              <w:rPr>
                <w:b w:val="0"/>
                <w:sz w:val="28"/>
                <w:szCs w:val="28"/>
                <w:lang w:val="en-US" w:eastAsia="en-US"/>
              </w:rPr>
              <w:t>6)</w:t>
            </w:r>
          </w:p>
        </w:tc>
        <w:tc>
          <w:tcPr>
            <w:tcW w:w="1492" w:type="pct"/>
            <w:gridSpan w:val="2"/>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pStyle w:val="1"/>
              <w:spacing w:before="0" w:beforeAutospacing="0" w:after="0" w:afterAutospacing="0" w:line="360" w:lineRule="auto"/>
              <w:jc w:val="center"/>
              <w:rPr>
                <w:b w:val="0"/>
                <w:sz w:val="28"/>
                <w:szCs w:val="28"/>
                <w:lang w:eastAsia="en-US"/>
              </w:rPr>
            </w:pPr>
            <w:r w:rsidRPr="00C239D8">
              <w:rPr>
                <w:b w:val="0"/>
                <w:sz w:val="28"/>
                <w:szCs w:val="28"/>
                <w:lang w:val="uk-UA" w:eastAsia="en-US"/>
              </w:rPr>
              <w:t>Група 3</w:t>
            </w:r>
          </w:p>
          <w:p w:rsidR="00E3259F" w:rsidRPr="00C239D8" w:rsidRDefault="00E3259F" w:rsidP="00C239D8">
            <w:pPr>
              <w:pStyle w:val="1"/>
              <w:spacing w:before="0" w:beforeAutospacing="0" w:after="0" w:afterAutospacing="0" w:line="360" w:lineRule="auto"/>
              <w:jc w:val="center"/>
              <w:rPr>
                <w:b w:val="0"/>
                <w:sz w:val="28"/>
                <w:szCs w:val="28"/>
                <w:lang w:eastAsia="en-US"/>
              </w:rPr>
            </w:pPr>
            <w:r w:rsidRPr="00C239D8">
              <w:rPr>
                <w:b w:val="0"/>
                <w:sz w:val="28"/>
                <w:szCs w:val="28"/>
                <w:lang w:eastAsia="en-US"/>
              </w:rPr>
              <w:t>(</w:t>
            </w:r>
            <w:r w:rsidRPr="00C239D8">
              <w:rPr>
                <w:b w:val="0"/>
                <w:sz w:val="28"/>
                <w:szCs w:val="28"/>
                <w:lang w:val="en-US" w:eastAsia="en-US"/>
              </w:rPr>
              <w:t>n</w:t>
            </w:r>
            <w:r w:rsidRPr="00C239D8">
              <w:rPr>
                <w:b w:val="0"/>
                <w:sz w:val="28"/>
                <w:szCs w:val="28"/>
                <w:lang w:eastAsia="en-US"/>
              </w:rPr>
              <w:t>=</w:t>
            </w:r>
            <w:r w:rsidRPr="00C239D8">
              <w:rPr>
                <w:b w:val="0"/>
                <w:sz w:val="28"/>
                <w:szCs w:val="28"/>
                <w:lang w:val="uk-UA" w:eastAsia="en-US"/>
              </w:rPr>
              <w:t>93</w:t>
            </w:r>
            <w:r w:rsidRPr="00C239D8">
              <w:rPr>
                <w:b w:val="0"/>
                <w:sz w:val="28"/>
                <w:szCs w:val="28"/>
                <w:lang w:eastAsia="en-US"/>
              </w:rPr>
              <w:t>)</w:t>
            </w:r>
          </w:p>
        </w:tc>
      </w:tr>
      <w:tr w:rsidR="00E3259F" w:rsidRPr="00C239D8" w:rsidTr="00E3259F">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C239D8" w:rsidRDefault="00E3259F" w:rsidP="00C239D8">
            <w:pPr>
              <w:spacing w:line="360" w:lineRule="auto"/>
              <w:rPr>
                <w:sz w:val="28"/>
                <w:szCs w:val="28"/>
                <w:lang w:val="uk-UA" w:eastAsia="en-US"/>
              </w:rPr>
            </w:pP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У</w:t>
            </w:r>
            <w:r w:rsidRPr="00C239D8">
              <w:rPr>
                <w:sz w:val="28"/>
                <w:szCs w:val="28"/>
                <w:lang w:eastAsia="en-US"/>
              </w:rPr>
              <w:t>ТС</w:t>
            </w:r>
          </w:p>
          <w:p w:rsidR="00E3259F" w:rsidRPr="00C239D8" w:rsidRDefault="00E3259F" w:rsidP="00C239D8">
            <w:pPr>
              <w:spacing w:line="360" w:lineRule="auto"/>
              <w:jc w:val="center"/>
              <w:rPr>
                <w:sz w:val="28"/>
                <w:szCs w:val="28"/>
                <w:lang w:val="uk-UA" w:eastAsia="en-US"/>
              </w:rPr>
            </w:pPr>
            <w:r w:rsidRPr="00C239D8">
              <w:rPr>
                <w:sz w:val="28"/>
                <w:szCs w:val="28"/>
                <w:lang w:eastAsia="en-US"/>
              </w:rPr>
              <w:t>(</w:t>
            </w:r>
            <w:r w:rsidRPr="00C239D8">
              <w:rPr>
                <w:sz w:val="28"/>
                <w:szCs w:val="28"/>
                <w:lang w:val="en-US" w:eastAsia="en-US"/>
              </w:rPr>
              <w:t>n=59)</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П</w:t>
            </w:r>
            <w:r w:rsidRPr="00C239D8">
              <w:rPr>
                <w:sz w:val="28"/>
                <w:szCs w:val="28"/>
                <w:lang w:eastAsia="en-US"/>
              </w:rPr>
              <w:t>ТС</w:t>
            </w:r>
          </w:p>
          <w:p w:rsidR="00E3259F" w:rsidRPr="00C239D8" w:rsidRDefault="00E3259F" w:rsidP="00C239D8">
            <w:pPr>
              <w:spacing w:line="360" w:lineRule="auto"/>
              <w:jc w:val="center"/>
              <w:rPr>
                <w:sz w:val="28"/>
                <w:szCs w:val="28"/>
                <w:lang w:val="uk-UA" w:eastAsia="en-US"/>
              </w:rPr>
            </w:pPr>
            <w:r w:rsidRPr="00C239D8">
              <w:rPr>
                <w:sz w:val="28"/>
                <w:szCs w:val="28"/>
                <w:lang w:eastAsia="en-US"/>
              </w:rPr>
              <w:t>(</w:t>
            </w:r>
            <w:r w:rsidRPr="00C239D8">
              <w:rPr>
                <w:sz w:val="28"/>
                <w:szCs w:val="28"/>
                <w:lang w:val="en-US" w:eastAsia="en-US"/>
              </w:rPr>
              <w:t>n=33)</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У</w:t>
            </w:r>
            <w:r w:rsidRPr="00C239D8">
              <w:rPr>
                <w:sz w:val="28"/>
                <w:szCs w:val="28"/>
                <w:lang w:eastAsia="en-US"/>
              </w:rPr>
              <w:t>ТС</w:t>
            </w:r>
          </w:p>
          <w:p w:rsidR="00E3259F" w:rsidRPr="00C239D8" w:rsidRDefault="00E3259F" w:rsidP="00C239D8">
            <w:pPr>
              <w:spacing w:line="360" w:lineRule="auto"/>
              <w:jc w:val="center"/>
              <w:rPr>
                <w:sz w:val="28"/>
                <w:szCs w:val="28"/>
                <w:lang w:val="uk-UA" w:eastAsia="en-US"/>
              </w:rPr>
            </w:pPr>
            <w:r w:rsidRPr="00C239D8">
              <w:rPr>
                <w:sz w:val="28"/>
                <w:szCs w:val="28"/>
                <w:lang w:eastAsia="en-US"/>
              </w:rPr>
              <w:t>(</w:t>
            </w:r>
            <w:r w:rsidRPr="00C239D8">
              <w:rPr>
                <w:sz w:val="28"/>
                <w:szCs w:val="28"/>
                <w:lang w:val="en-US" w:eastAsia="en-US"/>
              </w:rPr>
              <w:t>n=57)</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П</w:t>
            </w:r>
            <w:r w:rsidRPr="00C239D8">
              <w:rPr>
                <w:sz w:val="28"/>
                <w:szCs w:val="28"/>
                <w:lang w:eastAsia="en-US"/>
              </w:rPr>
              <w:t>ТС</w:t>
            </w:r>
          </w:p>
          <w:p w:rsidR="00E3259F" w:rsidRPr="00C239D8" w:rsidRDefault="00E3259F" w:rsidP="00C239D8">
            <w:pPr>
              <w:spacing w:line="360" w:lineRule="auto"/>
              <w:jc w:val="center"/>
              <w:rPr>
                <w:sz w:val="28"/>
                <w:szCs w:val="28"/>
                <w:lang w:val="uk-UA" w:eastAsia="en-US"/>
              </w:rPr>
            </w:pPr>
            <w:r w:rsidRPr="00C239D8">
              <w:rPr>
                <w:sz w:val="28"/>
                <w:szCs w:val="28"/>
                <w:lang w:eastAsia="en-US"/>
              </w:rPr>
              <w:t>(</w:t>
            </w:r>
            <w:r w:rsidRPr="00C239D8">
              <w:rPr>
                <w:sz w:val="28"/>
                <w:szCs w:val="28"/>
                <w:lang w:val="en-US" w:eastAsia="en-US"/>
              </w:rPr>
              <w:t>n=84)</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У</w:t>
            </w:r>
            <w:r w:rsidRPr="00C239D8">
              <w:rPr>
                <w:sz w:val="28"/>
                <w:szCs w:val="28"/>
                <w:lang w:eastAsia="en-US"/>
              </w:rPr>
              <w:t>ТС</w:t>
            </w:r>
          </w:p>
          <w:p w:rsidR="00E3259F" w:rsidRPr="00C239D8" w:rsidRDefault="00E3259F" w:rsidP="00C239D8">
            <w:pPr>
              <w:spacing w:line="360" w:lineRule="auto"/>
              <w:jc w:val="center"/>
              <w:rPr>
                <w:sz w:val="28"/>
                <w:szCs w:val="28"/>
                <w:lang w:val="uk-UA" w:eastAsia="en-US"/>
              </w:rPr>
            </w:pPr>
            <w:r w:rsidRPr="00C239D8">
              <w:rPr>
                <w:sz w:val="28"/>
                <w:szCs w:val="28"/>
                <w:lang w:eastAsia="en-US"/>
              </w:rPr>
              <w:t>(</w:t>
            </w:r>
            <w:r w:rsidRPr="00C239D8">
              <w:rPr>
                <w:sz w:val="28"/>
                <w:szCs w:val="28"/>
                <w:lang w:val="en-US" w:eastAsia="en-US"/>
              </w:rPr>
              <w:t>n=38)</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П</w:t>
            </w:r>
            <w:r w:rsidRPr="00C239D8">
              <w:rPr>
                <w:sz w:val="28"/>
                <w:szCs w:val="28"/>
                <w:lang w:eastAsia="en-US"/>
              </w:rPr>
              <w:t>ТС</w:t>
            </w:r>
          </w:p>
          <w:p w:rsidR="00E3259F" w:rsidRPr="00C239D8" w:rsidRDefault="00E3259F" w:rsidP="00C239D8">
            <w:pPr>
              <w:spacing w:line="360" w:lineRule="auto"/>
              <w:jc w:val="center"/>
              <w:rPr>
                <w:sz w:val="28"/>
                <w:szCs w:val="28"/>
                <w:lang w:val="uk-UA" w:eastAsia="en-US"/>
              </w:rPr>
            </w:pPr>
            <w:r w:rsidRPr="00C239D8">
              <w:rPr>
                <w:sz w:val="28"/>
                <w:szCs w:val="28"/>
                <w:lang w:eastAsia="en-US"/>
              </w:rPr>
              <w:t>(</w:t>
            </w:r>
            <w:r w:rsidRPr="00C239D8">
              <w:rPr>
                <w:sz w:val="28"/>
                <w:szCs w:val="28"/>
                <w:lang w:val="en-US" w:eastAsia="en-US"/>
              </w:rPr>
              <w:t>n=51)</w:t>
            </w:r>
          </w:p>
        </w:tc>
      </w:tr>
      <w:tr w:rsidR="00E3259F" w:rsidRPr="00C239D8" w:rsidTr="00E3259F">
        <w:tc>
          <w:tcPr>
            <w:tcW w:w="69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en-US" w:eastAsia="en-US"/>
              </w:rPr>
            </w:pPr>
            <w:r w:rsidRPr="00C239D8">
              <w:rPr>
                <w:sz w:val="28"/>
                <w:szCs w:val="28"/>
                <w:lang w:val="uk-UA" w:eastAsia="en-US"/>
              </w:rPr>
              <w:t>ВЕФР</w:t>
            </w:r>
            <w:r w:rsidRPr="00C239D8">
              <w:rPr>
                <w:rStyle w:val="xfm65112403"/>
                <w:sz w:val="28"/>
                <w:szCs w:val="28"/>
                <w:lang w:val="uk-UA" w:eastAsia="en-US"/>
              </w:rPr>
              <w:t>, пг</w:t>
            </w:r>
            <w:r w:rsidRPr="00C239D8">
              <w:rPr>
                <w:sz w:val="28"/>
                <w:szCs w:val="28"/>
                <w:lang w:eastAsia="en-US"/>
              </w:rPr>
              <w:t>/</w:t>
            </w:r>
            <w:r w:rsidRPr="00C239D8">
              <w:rPr>
                <w:sz w:val="28"/>
                <w:szCs w:val="28"/>
                <w:lang w:val="uk-UA" w:eastAsia="en-US"/>
              </w:rPr>
              <w:t>мл</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3</w:t>
            </w:r>
            <w:r w:rsidRPr="00C239D8">
              <w:rPr>
                <w:sz w:val="28"/>
                <w:szCs w:val="28"/>
                <w:lang w:val="uk-UA" w:eastAsia="en-US"/>
              </w:rPr>
              <w:t>67</w:t>
            </w:r>
            <w:r w:rsidRPr="00C239D8">
              <w:rPr>
                <w:sz w:val="28"/>
                <w:szCs w:val="28"/>
                <w:lang w:eastAsia="en-US"/>
              </w:rPr>
              <w:t>,5</w:t>
            </w:r>
            <w:r w:rsidRPr="00C239D8">
              <w:rPr>
                <w:sz w:val="28"/>
                <w:szCs w:val="28"/>
                <w:lang w:val="uk-UA" w:eastAsia="en-US"/>
              </w:rPr>
              <w:t>5</w:t>
            </w:r>
            <w:r w:rsidRPr="00C239D8">
              <w:rPr>
                <w:sz w:val="28"/>
                <w:szCs w:val="28"/>
                <w:lang w:eastAsia="en-US"/>
              </w:rPr>
              <w:t xml:space="preserve">± </w:t>
            </w:r>
            <w:r w:rsidRPr="00C239D8">
              <w:rPr>
                <w:sz w:val="28"/>
                <w:szCs w:val="28"/>
                <w:lang w:val="uk-UA" w:eastAsia="en-US"/>
              </w:rPr>
              <w:t>26</w:t>
            </w:r>
            <w:r w:rsidRPr="00C239D8">
              <w:rPr>
                <w:sz w:val="28"/>
                <w:szCs w:val="28"/>
                <w:lang w:eastAsia="en-US"/>
              </w:rPr>
              <w:t>,</w:t>
            </w:r>
            <w:r w:rsidRPr="00C239D8">
              <w:rPr>
                <w:sz w:val="28"/>
                <w:szCs w:val="28"/>
                <w:lang w:val="uk-UA" w:eastAsia="en-US"/>
              </w:rPr>
              <w:t>86</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383,8</w:t>
            </w:r>
            <w:r w:rsidRPr="00C239D8">
              <w:rPr>
                <w:sz w:val="28"/>
                <w:szCs w:val="28"/>
                <w:lang w:val="uk-UA" w:eastAsia="en-US"/>
              </w:rPr>
              <w:t>3</w:t>
            </w:r>
            <w:r w:rsidRPr="00C239D8">
              <w:rPr>
                <w:sz w:val="28"/>
                <w:szCs w:val="28"/>
                <w:lang w:eastAsia="en-US"/>
              </w:rPr>
              <w:t>±39,5</w:t>
            </w:r>
            <w:r w:rsidRPr="00C239D8">
              <w:rPr>
                <w:sz w:val="28"/>
                <w:szCs w:val="28"/>
                <w:lang w:val="uk-UA" w:eastAsia="en-US"/>
              </w:rPr>
              <w:t>3</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eastAsia="en-US"/>
              </w:rPr>
            </w:pPr>
            <w:r w:rsidRPr="00C239D8">
              <w:rPr>
                <w:sz w:val="28"/>
                <w:szCs w:val="28"/>
                <w:lang w:eastAsia="en-US"/>
              </w:rPr>
              <w:t>32</w:t>
            </w:r>
            <w:r w:rsidRPr="00C239D8">
              <w:rPr>
                <w:sz w:val="28"/>
                <w:szCs w:val="28"/>
                <w:lang w:val="uk-UA" w:eastAsia="en-US"/>
              </w:rPr>
              <w:t>9</w:t>
            </w:r>
            <w:r w:rsidRPr="00C239D8">
              <w:rPr>
                <w:sz w:val="28"/>
                <w:szCs w:val="28"/>
                <w:lang w:eastAsia="en-US"/>
              </w:rPr>
              <w:t>,</w:t>
            </w:r>
            <w:r w:rsidRPr="00C239D8">
              <w:rPr>
                <w:sz w:val="28"/>
                <w:szCs w:val="28"/>
                <w:lang w:val="uk-UA" w:eastAsia="en-US"/>
              </w:rPr>
              <w:t>55</w:t>
            </w:r>
            <w:r w:rsidRPr="00C239D8">
              <w:rPr>
                <w:sz w:val="28"/>
                <w:szCs w:val="28"/>
                <w:lang w:eastAsia="en-US"/>
              </w:rPr>
              <w:t>± 21,</w:t>
            </w:r>
            <w:r w:rsidRPr="00C239D8">
              <w:rPr>
                <w:sz w:val="28"/>
                <w:szCs w:val="28"/>
                <w:lang w:val="uk-UA" w:eastAsia="en-US"/>
              </w:rPr>
              <w:t>62</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32</w:t>
            </w:r>
            <w:r w:rsidRPr="00C239D8">
              <w:rPr>
                <w:sz w:val="28"/>
                <w:szCs w:val="28"/>
                <w:lang w:val="uk-UA" w:eastAsia="en-US"/>
              </w:rPr>
              <w:t>7</w:t>
            </w:r>
            <w:r w:rsidRPr="00C239D8">
              <w:rPr>
                <w:sz w:val="28"/>
                <w:szCs w:val="28"/>
                <w:lang w:eastAsia="en-US"/>
              </w:rPr>
              <w:t>,</w:t>
            </w:r>
            <w:r w:rsidRPr="00C239D8">
              <w:rPr>
                <w:sz w:val="28"/>
                <w:szCs w:val="28"/>
                <w:lang w:val="uk-UA" w:eastAsia="en-US"/>
              </w:rPr>
              <w:t>50</w:t>
            </w:r>
            <w:r w:rsidRPr="00C239D8">
              <w:rPr>
                <w:sz w:val="28"/>
                <w:szCs w:val="28"/>
                <w:lang w:eastAsia="en-US"/>
              </w:rPr>
              <w:t>±25,9</w:t>
            </w:r>
            <w:r w:rsidRPr="00C239D8">
              <w:rPr>
                <w:sz w:val="28"/>
                <w:szCs w:val="28"/>
                <w:lang w:val="uk-UA" w:eastAsia="en-US"/>
              </w:rPr>
              <w:t>2</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4</w:t>
            </w:r>
            <w:r w:rsidRPr="00C239D8">
              <w:rPr>
                <w:sz w:val="28"/>
                <w:szCs w:val="28"/>
                <w:lang w:val="uk-UA" w:eastAsia="en-US"/>
              </w:rPr>
              <w:t>6</w:t>
            </w:r>
            <w:r w:rsidRPr="00C239D8">
              <w:rPr>
                <w:sz w:val="28"/>
                <w:szCs w:val="28"/>
                <w:lang w:eastAsia="en-US"/>
              </w:rPr>
              <w:t>9,10±3</w:t>
            </w:r>
            <w:r w:rsidRPr="00C239D8">
              <w:rPr>
                <w:sz w:val="28"/>
                <w:szCs w:val="28"/>
                <w:lang w:val="uk-UA" w:eastAsia="en-US"/>
              </w:rPr>
              <w:t>0</w:t>
            </w:r>
            <w:r w:rsidRPr="00C239D8">
              <w:rPr>
                <w:sz w:val="28"/>
                <w:szCs w:val="28"/>
                <w:lang w:eastAsia="en-US"/>
              </w:rPr>
              <w:t>,</w:t>
            </w:r>
            <w:r w:rsidRPr="00C239D8">
              <w:rPr>
                <w:sz w:val="28"/>
                <w:szCs w:val="28"/>
                <w:lang w:val="uk-UA" w:eastAsia="en-US"/>
              </w:rPr>
              <w:t>91</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49</w:t>
            </w:r>
            <w:r w:rsidRPr="00C239D8">
              <w:rPr>
                <w:sz w:val="28"/>
                <w:szCs w:val="28"/>
                <w:lang w:eastAsia="en-US"/>
              </w:rPr>
              <w:t>2,</w:t>
            </w:r>
            <w:r w:rsidRPr="00C239D8">
              <w:rPr>
                <w:sz w:val="28"/>
                <w:szCs w:val="28"/>
                <w:lang w:val="uk-UA" w:eastAsia="en-US"/>
              </w:rPr>
              <w:t>76</w:t>
            </w:r>
            <w:r w:rsidRPr="00C239D8">
              <w:rPr>
                <w:sz w:val="28"/>
                <w:szCs w:val="28"/>
                <w:lang w:eastAsia="en-US"/>
              </w:rPr>
              <w:t>±</w:t>
            </w:r>
            <w:r w:rsidRPr="00C239D8">
              <w:rPr>
                <w:sz w:val="28"/>
                <w:szCs w:val="28"/>
                <w:lang w:val="uk-UA" w:eastAsia="en-US"/>
              </w:rPr>
              <w:t>31</w:t>
            </w:r>
            <w:r w:rsidRPr="00C239D8">
              <w:rPr>
                <w:sz w:val="28"/>
                <w:szCs w:val="28"/>
                <w:lang w:eastAsia="en-US"/>
              </w:rPr>
              <w:t>,</w:t>
            </w:r>
            <w:r w:rsidRPr="00C239D8">
              <w:rPr>
                <w:sz w:val="28"/>
                <w:szCs w:val="28"/>
                <w:lang w:val="uk-UA" w:eastAsia="en-US"/>
              </w:rPr>
              <w:t>41</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r>
      <w:tr w:rsidR="00E3259F" w:rsidRPr="00C239D8" w:rsidTr="00E3259F">
        <w:tc>
          <w:tcPr>
            <w:tcW w:w="69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rStyle w:val="xfm65112403"/>
                <w:sz w:val="28"/>
                <w:szCs w:val="28"/>
                <w:lang w:val="uk-UA"/>
              </w:rPr>
            </w:pPr>
            <w:r w:rsidRPr="00C239D8">
              <w:rPr>
                <w:rStyle w:val="xfm65112403"/>
                <w:sz w:val="28"/>
                <w:szCs w:val="28"/>
                <w:lang w:val="uk-UA" w:eastAsia="en-US"/>
              </w:rPr>
              <w:t>ЦДЕК,</w:t>
            </w:r>
            <w:r w:rsidRPr="00C239D8">
              <w:rPr>
                <w:rFonts w:eastAsia="TimesNewRomanPSMT"/>
                <w:sz w:val="28"/>
                <w:szCs w:val="28"/>
                <w:lang w:val="en-US" w:eastAsia="en-US"/>
              </w:rPr>
              <w:t xml:space="preserve"> кл</w:t>
            </w:r>
            <w:r w:rsidRPr="00C239D8">
              <w:rPr>
                <w:rFonts w:eastAsia="TimesNewRomanPSMT"/>
                <w:sz w:val="28"/>
                <w:szCs w:val="28"/>
                <w:lang w:eastAsia="en-US"/>
              </w:rPr>
              <w:t xml:space="preserve">./100 </w:t>
            </w:r>
            <w:r w:rsidRPr="00C239D8">
              <w:rPr>
                <w:rFonts w:eastAsia="TimesNewRomanPSMT"/>
                <w:sz w:val="28"/>
                <w:szCs w:val="28"/>
                <w:lang w:val="en-US" w:eastAsia="en-US"/>
              </w:rPr>
              <w:t>мкл</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eastAsia="en-US"/>
              </w:rPr>
            </w:pPr>
            <w:r w:rsidRPr="00C239D8">
              <w:rPr>
                <w:sz w:val="28"/>
                <w:szCs w:val="28"/>
                <w:lang w:eastAsia="en-US"/>
              </w:rPr>
              <w:t>12,</w:t>
            </w:r>
            <w:r w:rsidRPr="00C239D8">
              <w:rPr>
                <w:sz w:val="28"/>
                <w:szCs w:val="28"/>
                <w:lang w:val="uk-UA" w:eastAsia="en-US"/>
              </w:rPr>
              <w:t>00</w:t>
            </w:r>
            <w:r w:rsidRPr="00C239D8">
              <w:rPr>
                <w:sz w:val="28"/>
                <w:szCs w:val="28"/>
                <w:lang w:eastAsia="en-US"/>
              </w:rPr>
              <w:t>±</w:t>
            </w:r>
            <w:r w:rsidRPr="00C239D8">
              <w:rPr>
                <w:sz w:val="28"/>
                <w:szCs w:val="28"/>
                <w:lang w:val="uk-UA" w:eastAsia="en-US"/>
              </w:rPr>
              <w:t>0</w:t>
            </w:r>
            <w:r w:rsidRPr="00C239D8">
              <w:rPr>
                <w:sz w:val="28"/>
                <w:szCs w:val="28"/>
                <w:lang w:eastAsia="en-US"/>
              </w:rPr>
              <w:t>,</w:t>
            </w:r>
            <w:r w:rsidRPr="00C239D8">
              <w:rPr>
                <w:sz w:val="28"/>
                <w:szCs w:val="28"/>
                <w:lang w:val="uk-UA" w:eastAsia="en-US"/>
              </w:rPr>
              <w:t>4</w:t>
            </w:r>
            <w:r w:rsidRPr="00C239D8">
              <w:rPr>
                <w:sz w:val="28"/>
                <w:szCs w:val="28"/>
                <w:lang w:eastAsia="en-US"/>
              </w:rPr>
              <w:t>8</w:t>
            </w:r>
            <w:r w:rsidRPr="00C239D8">
              <w:rPr>
                <w:sz w:val="28"/>
                <w:szCs w:val="28"/>
                <w:lang w:val="uk-UA" w:eastAsia="en-US"/>
              </w:rPr>
              <w:t>1</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12,</w:t>
            </w:r>
            <w:r w:rsidRPr="00C239D8">
              <w:rPr>
                <w:sz w:val="28"/>
                <w:szCs w:val="28"/>
                <w:lang w:val="uk-UA" w:eastAsia="en-US"/>
              </w:rPr>
              <w:t>1</w:t>
            </w:r>
            <w:r w:rsidRPr="00C239D8">
              <w:rPr>
                <w:sz w:val="28"/>
                <w:szCs w:val="28"/>
                <w:lang w:eastAsia="en-US"/>
              </w:rPr>
              <w:t>8</w:t>
            </w:r>
            <w:r w:rsidRPr="00C239D8">
              <w:rPr>
                <w:sz w:val="28"/>
                <w:szCs w:val="28"/>
                <w:lang w:val="uk-UA" w:eastAsia="en-US"/>
              </w:rPr>
              <w:t>±0</w:t>
            </w:r>
            <w:r w:rsidRPr="00C239D8">
              <w:rPr>
                <w:sz w:val="28"/>
                <w:szCs w:val="28"/>
                <w:lang w:eastAsia="en-US"/>
              </w:rPr>
              <w:t>,</w:t>
            </w:r>
            <w:r w:rsidRPr="00C239D8">
              <w:rPr>
                <w:sz w:val="28"/>
                <w:szCs w:val="28"/>
                <w:lang w:val="uk-UA" w:eastAsia="en-US"/>
              </w:rPr>
              <w:t>67</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13,4</w:t>
            </w:r>
            <w:r w:rsidRPr="00C239D8">
              <w:rPr>
                <w:sz w:val="28"/>
                <w:szCs w:val="28"/>
                <w:lang w:val="uk-UA" w:eastAsia="en-US"/>
              </w:rPr>
              <w:t>9</w:t>
            </w:r>
            <w:r w:rsidRPr="00C239D8">
              <w:rPr>
                <w:sz w:val="28"/>
                <w:szCs w:val="28"/>
                <w:lang w:eastAsia="en-US"/>
              </w:rPr>
              <w:t>±</w:t>
            </w:r>
            <w:r w:rsidRPr="00C239D8">
              <w:rPr>
                <w:sz w:val="28"/>
                <w:szCs w:val="28"/>
                <w:lang w:val="uk-UA" w:eastAsia="en-US"/>
              </w:rPr>
              <w:t>0</w:t>
            </w:r>
            <w:r w:rsidRPr="00C239D8">
              <w:rPr>
                <w:sz w:val="28"/>
                <w:szCs w:val="28"/>
                <w:lang w:eastAsia="en-US"/>
              </w:rPr>
              <w:t>,5</w:t>
            </w:r>
            <w:r w:rsidRPr="00C239D8">
              <w:rPr>
                <w:sz w:val="28"/>
                <w:szCs w:val="28"/>
                <w:lang w:val="uk-UA" w:eastAsia="en-US"/>
              </w:rPr>
              <w:t>7</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11,</w:t>
            </w:r>
            <w:r w:rsidRPr="00C239D8">
              <w:rPr>
                <w:sz w:val="28"/>
                <w:szCs w:val="28"/>
                <w:lang w:val="uk-UA" w:eastAsia="en-US"/>
              </w:rPr>
              <w:t>4</w:t>
            </w:r>
            <w:r w:rsidRPr="00C239D8">
              <w:rPr>
                <w:sz w:val="28"/>
                <w:szCs w:val="28"/>
                <w:lang w:eastAsia="en-US"/>
              </w:rPr>
              <w:t>5±</w:t>
            </w:r>
            <w:r w:rsidRPr="00C239D8">
              <w:rPr>
                <w:sz w:val="28"/>
                <w:szCs w:val="28"/>
                <w:lang w:val="uk-UA" w:eastAsia="en-US"/>
              </w:rPr>
              <w:t>0</w:t>
            </w:r>
            <w:r w:rsidRPr="00C239D8">
              <w:rPr>
                <w:sz w:val="28"/>
                <w:szCs w:val="28"/>
                <w:lang w:eastAsia="en-US"/>
              </w:rPr>
              <w:t>,</w:t>
            </w:r>
            <w:r w:rsidRPr="00C239D8">
              <w:rPr>
                <w:sz w:val="28"/>
                <w:szCs w:val="28"/>
                <w:lang w:val="uk-UA" w:eastAsia="en-US"/>
              </w:rPr>
              <w:t>52</w:t>
            </w:r>
          </w:p>
          <w:p w:rsidR="00E3259F" w:rsidRPr="00C239D8" w:rsidRDefault="00E3259F" w:rsidP="00C239D8">
            <w:pPr>
              <w:spacing w:line="360" w:lineRule="auto"/>
              <w:jc w:val="both"/>
              <w:rPr>
                <w:sz w:val="28"/>
                <w:szCs w:val="28"/>
                <w:lang w:val="uk-UA" w:eastAsia="en-US"/>
              </w:rPr>
            </w:pPr>
            <w:r w:rsidRPr="00C239D8">
              <w:rPr>
                <w:sz w:val="28"/>
                <w:szCs w:val="28"/>
                <w:lang w:val="uk-UA" w:eastAsia="en-US"/>
              </w:rPr>
              <w:t>р=0</w:t>
            </w:r>
            <w:r w:rsidRPr="00C239D8">
              <w:rPr>
                <w:sz w:val="28"/>
                <w:szCs w:val="28"/>
                <w:lang w:eastAsia="en-US"/>
              </w:rPr>
              <w:t>,017</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1</w:t>
            </w:r>
            <w:r w:rsidRPr="00C239D8">
              <w:rPr>
                <w:sz w:val="28"/>
                <w:szCs w:val="28"/>
                <w:lang w:val="uk-UA" w:eastAsia="en-US"/>
              </w:rPr>
              <w:t>0</w:t>
            </w:r>
            <w:r w:rsidRPr="00C239D8">
              <w:rPr>
                <w:sz w:val="28"/>
                <w:szCs w:val="28"/>
                <w:lang w:eastAsia="en-US"/>
              </w:rPr>
              <w:t>,7</w:t>
            </w:r>
            <w:r w:rsidRPr="00C239D8">
              <w:rPr>
                <w:sz w:val="28"/>
                <w:szCs w:val="28"/>
                <w:lang w:val="uk-UA" w:eastAsia="en-US"/>
              </w:rPr>
              <w:t>1</w:t>
            </w:r>
            <w:r w:rsidRPr="00C239D8">
              <w:rPr>
                <w:sz w:val="28"/>
                <w:szCs w:val="28"/>
                <w:lang w:eastAsia="en-US"/>
              </w:rPr>
              <w:t>±</w:t>
            </w:r>
            <w:r w:rsidRPr="00C239D8">
              <w:rPr>
                <w:sz w:val="28"/>
                <w:szCs w:val="28"/>
                <w:lang w:val="uk-UA" w:eastAsia="en-US"/>
              </w:rPr>
              <w:t>0</w:t>
            </w:r>
            <w:r w:rsidRPr="00C239D8">
              <w:rPr>
                <w:sz w:val="28"/>
                <w:szCs w:val="28"/>
                <w:lang w:eastAsia="en-US"/>
              </w:rPr>
              <w:t>,5</w:t>
            </w:r>
            <w:r w:rsidRPr="00C239D8">
              <w:rPr>
                <w:sz w:val="28"/>
                <w:szCs w:val="28"/>
                <w:lang w:val="uk-UA" w:eastAsia="en-US"/>
              </w:rPr>
              <w:t>1</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eastAsia="en-US"/>
              </w:rPr>
              <w:t>9,</w:t>
            </w:r>
            <w:r w:rsidRPr="00C239D8">
              <w:rPr>
                <w:sz w:val="28"/>
                <w:szCs w:val="28"/>
                <w:lang w:val="uk-UA" w:eastAsia="en-US"/>
              </w:rPr>
              <w:t>90</w:t>
            </w:r>
            <w:r w:rsidRPr="00C239D8">
              <w:rPr>
                <w:sz w:val="28"/>
                <w:szCs w:val="28"/>
                <w:lang w:eastAsia="en-US"/>
              </w:rPr>
              <w:t>±</w:t>
            </w:r>
            <w:r w:rsidRPr="00C239D8">
              <w:rPr>
                <w:sz w:val="28"/>
                <w:szCs w:val="28"/>
                <w:lang w:val="uk-UA" w:eastAsia="en-US"/>
              </w:rPr>
              <w:t>0</w:t>
            </w:r>
            <w:r w:rsidRPr="00C239D8">
              <w:rPr>
                <w:sz w:val="28"/>
                <w:szCs w:val="28"/>
                <w:lang w:eastAsia="en-US"/>
              </w:rPr>
              <w:t>,</w:t>
            </w:r>
            <w:r w:rsidRPr="00C239D8">
              <w:rPr>
                <w:sz w:val="28"/>
                <w:szCs w:val="28"/>
                <w:lang w:val="uk-UA" w:eastAsia="en-US"/>
              </w:rPr>
              <w:t>48</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r>
      <w:tr w:rsidR="00E3259F" w:rsidRPr="00C239D8" w:rsidTr="00E3259F">
        <w:tc>
          <w:tcPr>
            <w:tcW w:w="69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rStyle w:val="xfm65112403"/>
                <w:sz w:val="28"/>
                <w:szCs w:val="28"/>
                <w:lang w:val="uk-UA"/>
              </w:rPr>
            </w:pPr>
            <w:r w:rsidRPr="00C239D8">
              <w:rPr>
                <w:rStyle w:val="xfm65112403"/>
                <w:sz w:val="28"/>
                <w:szCs w:val="28"/>
                <w:lang w:val="uk-UA" w:eastAsia="en-US"/>
              </w:rPr>
              <w:t>ТКІМ ЗСА, мм</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eastAsia="en-US"/>
              </w:rPr>
            </w:pPr>
            <w:r w:rsidRPr="00C239D8">
              <w:rPr>
                <w:sz w:val="28"/>
                <w:szCs w:val="28"/>
                <w:lang w:val="uk-UA" w:eastAsia="en-US"/>
              </w:rPr>
              <w:t>0</w:t>
            </w:r>
            <w:r w:rsidRPr="00C239D8">
              <w:rPr>
                <w:sz w:val="28"/>
                <w:szCs w:val="28"/>
                <w:lang w:eastAsia="en-US"/>
              </w:rPr>
              <w:t>,075±</w:t>
            </w:r>
            <w:r w:rsidRPr="00C239D8">
              <w:rPr>
                <w:sz w:val="28"/>
                <w:szCs w:val="28"/>
                <w:lang w:val="uk-UA" w:eastAsia="en-US"/>
              </w:rPr>
              <w:t>0</w:t>
            </w:r>
            <w:r w:rsidRPr="00C239D8">
              <w:rPr>
                <w:sz w:val="28"/>
                <w:szCs w:val="28"/>
                <w:lang w:eastAsia="en-US"/>
              </w:rPr>
              <w:t>,</w:t>
            </w:r>
            <w:r w:rsidRPr="00C239D8">
              <w:rPr>
                <w:sz w:val="28"/>
                <w:szCs w:val="28"/>
                <w:lang w:val="uk-UA" w:eastAsia="en-US"/>
              </w:rPr>
              <w:t>0</w:t>
            </w:r>
            <w:r w:rsidRPr="00C239D8">
              <w:rPr>
                <w:sz w:val="28"/>
                <w:szCs w:val="28"/>
                <w:lang w:eastAsia="en-US"/>
              </w:rPr>
              <w:t>0</w:t>
            </w:r>
            <w:r w:rsidRPr="00C239D8">
              <w:rPr>
                <w:sz w:val="28"/>
                <w:szCs w:val="28"/>
                <w:lang w:val="uk-UA" w:eastAsia="en-US"/>
              </w:rPr>
              <w:t>3</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0</w:t>
            </w:r>
            <w:r w:rsidRPr="00C239D8">
              <w:rPr>
                <w:sz w:val="28"/>
                <w:szCs w:val="28"/>
                <w:lang w:eastAsia="en-US"/>
              </w:rPr>
              <w:t>,078±</w:t>
            </w:r>
            <w:r w:rsidRPr="00C239D8">
              <w:rPr>
                <w:sz w:val="28"/>
                <w:szCs w:val="28"/>
                <w:lang w:val="uk-UA" w:eastAsia="en-US"/>
              </w:rPr>
              <w:t>0</w:t>
            </w:r>
            <w:r w:rsidRPr="00C239D8">
              <w:rPr>
                <w:sz w:val="28"/>
                <w:szCs w:val="28"/>
                <w:lang w:eastAsia="en-US"/>
              </w:rPr>
              <w:t>,004</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c>
          <w:tcPr>
            <w:tcW w:w="689"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eastAsia="en-US"/>
              </w:rPr>
            </w:pPr>
            <w:r w:rsidRPr="00C239D8">
              <w:rPr>
                <w:sz w:val="28"/>
                <w:szCs w:val="28"/>
                <w:lang w:val="uk-UA" w:eastAsia="en-US"/>
              </w:rPr>
              <w:t>0</w:t>
            </w:r>
            <w:r w:rsidRPr="00C239D8">
              <w:rPr>
                <w:sz w:val="28"/>
                <w:szCs w:val="28"/>
                <w:lang w:eastAsia="en-US"/>
              </w:rPr>
              <w:t>,08</w:t>
            </w:r>
            <w:r w:rsidRPr="00C239D8">
              <w:rPr>
                <w:sz w:val="28"/>
                <w:szCs w:val="28"/>
                <w:lang w:val="uk-UA" w:eastAsia="en-US"/>
              </w:rPr>
              <w:t>1</w:t>
            </w:r>
            <w:r w:rsidRPr="00C239D8">
              <w:rPr>
                <w:sz w:val="28"/>
                <w:szCs w:val="28"/>
                <w:lang w:eastAsia="en-US"/>
              </w:rPr>
              <w:t>±</w:t>
            </w:r>
            <w:r w:rsidRPr="00C239D8">
              <w:rPr>
                <w:sz w:val="28"/>
                <w:szCs w:val="28"/>
                <w:lang w:val="uk-UA" w:eastAsia="en-US"/>
              </w:rPr>
              <w:t>0</w:t>
            </w:r>
            <w:r w:rsidRPr="00C239D8">
              <w:rPr>
                <w:sz w:val="28"/>
                <w:szCs w:val="28"/>
                <w:lang w:eastAsia="en-US"/>
              </w:rPr>
              <w:t>,0</w:t>
            </w:r>
            <w:r w:rsidRPr="00C239D8">
              <w:rPr>
                <w:sz w:val="28"/>
                <w:szCs w:val="28"/>
                <w:lang w:val="uk-UA" w:eastAsia="en-US"/>
              </w:rPr>
              <w:t>03</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0</w:t>
            </w:r>
            <w:r w:rsidRPr="00C239D8">
              <w:rPr>
                <w:sz w:val="28"/>
                <w:szCs w:val="28"/>
                <w:lang w:eastAsia="en-US"/>
              </w:rPr>
              <w:t>,07</w:t>
            </w:r>
            <w:r w:rsidRPr="00C239D8">
              <w:rPr>
                <w:sz w:val="28"/>
                <w:szCs w:val="28"/>
                <w:lang w:val="uk-UA" w:eastAsia="en-US"/>
              </w:rPr>
              <w:t>6</w:t>
            </w:r>
            <w:r w:rsidRPr="00C239D8">
              <w:rPr>
                <w:sz w:val="28"/>
                <w:szCs w:val="28"/>
                <w:lang w:eastAsia="en-US"/>
              </w:rPr>
              <w:t>±</w:t>
            </w:r>
            <w:r w:rsidRPr="00C239D8">
              <w:rPr>
                <w:sz w:val="28"/>
                <w:szCs w:val="28"/>
                <w:lang w:val="uk-UA" w:eastAsia="en-US"/>
              </w:rPr>
              <w:t>0</w:t>
            </w:r>
            <w:r w:rsidRPr="00C239D8">
              <w:rPr>
                <w:sz w:val="28"/>
                <w:szCs w:val="28"/>
                <w:lang w:eastAsia="en-US"/>
              </w:rPr>
              <w:t>,001</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eastAsia="en-US"/>
              </w:rPr>
            </w:pPr>
            <w:r w:rsidRPr="00C239D8">
              <w:rPr>
                <w:sz w:val="28"/>
                <w:szCs w:val="28"/>
                <w:lang w:val="uk-UA" w:eastAsia="en-US"/>
              </w:rPr>
              <w:t>0</w:t>
            </w:r>
            <w:r w:rsidRPr="00C239D8">
              <w:rPr>
                <w:sz w:val="28"/>
                <w:szCs w:val="28"/>
                <w:lang w:eastAsia="en-US"/>
              </w:rPr>
              <w:t>,08</w:t>
            </w:r>
            <w:r w:rsidRPr="00C239D8">
              <w:rPr>
                <w:sz w:val="28"/>
                <w:szCs w:val="28"/>
                <w:lang w:val="uk-UA" w:eastAsia="en-US"/>
              </w:rPr>
              <w:t>3</w:t>
            </w:r>
            <w:r w:rsidRPr="00C239D8">
              <w:rPr>
                <w:sz w:val="28"/>
                <w:szCs w:val="28"/>
                <w:lang w:eastAsia="en-US"/>
              </w:rPr>
              <w:t>±</w:t>
            </w:r>
            <w:r w:rsidRPr="00C239D8">
              <w:rPr>
                <w:sz w:val="28"/>
                <w:szCs w:val="28"/>
                <w:lang w:val="uk-UA" w:eastAsia="en-US"/>
              </w:rPr>
              <w:t>0</w:t>
            </w:r>
            <w:r w:rsidRPr="00C239D8">
              <w:rPr>
                <w:sz w:val="28"/>
                <w:szCs w:val="28"/>
                <w:lang w:eastAsia="en-US"/>
              </w:rPr>
              <w:t>,00</w:t>
            </w:r>
            <w:r w:rsidRPr="00C239D8">
              <w:rPr>
                <w:sz w:val="28"/>
                <w:szCs w:val="28"/>
                <w:lang w:val="uk-UA" w:eastAsia="en-US"/>
              </w:rPr>
              <w:t>3</w:t>
            </w:r>
          </w:p>
        </w:tc>
        <w:tc>
          <w:tcPr>
            <w:tcW w:w="746" w:type="pct"/>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0</w:t>
            </w:r>
            <w:r w:rsidRPr="00C239D8">
              <w:rPr>
                <w:sz w:val="28"/>
                <w:szCs w:val="28"/>
                <w:lang w:eastAsia="en-US"/>
              </w:rPr>
              <w:t>,07</w:t>
            </w:r>
            <w:r w:rsidRPr="00C239D8">
              <w:rPr>
                <w:sz w:val="28"/>
                <w:szCs w:val="28"/>
                <w:lang w:val="uk-UA" w:eastAsia="en-US"/>
              </w:rPr>
              <w:t>8</w:t>
            </w:r>
            <w:r w:rsidRPr="00C239D8">
              <w:rPr>
                <w:sz w:val="28"/>
                <w:szCs w:val="28"/>
                <w:lang w:eastAsia="en-US"/>
              </w:rPr>
              <w:t>±</w:t>
            </w:r>
            <w:r w:rsidRPr="00C239D8">
              <w:rPr>
                <w:sz w:val="28"/>
                <w:szCs w:val="28"/>
                <w:lang w:val="uk-UA" w:eastAsia="en-US"/>
              </w:rPr>
              <w:t>0</w:t>
            </w:r>
            <w:r w:rsidRPr="00C239D8">
              <w:rPr>
                <w:sz w:val="28"/>
                <w:szCs w:val="28"/>
                <w:lang w:eastAsia="en-US"/>
              </w:rPr>
              <w:t>,00</w:t>
            </w:r>
            <w:r w:rsidRPr="00C239D8">
              <w:rPr>
                <w:sz w:val="28"/>
                <w:szCs w:val="28"/>
                <w:lang w:val="uk-UA" w:eastAsia="en-US"/>
              </w:rPr>
              <w:t>2</w:t>
            </w:r>
          </w:p>
          <w:p w:rsidR="00E3259F" w:rsidRPr="00C239D8" w:rsidRDefault="00E3259F" w:rsidP="00C239D8">
            <w:pPr>
              <w:spacing w:line="360" w:lineRule="auto"/>
              <w:jc w:val="both"/>
              <w:rPr>
                <w:sz w:val="28"/>
                <w:szCs w:val="28"/>
                <w:lang w:val="uk-UA" w:eastAsia="en-US"/>
              </w:rPr>
            </w:pPr>
            <w:r w:rsidRPr="00C239D8">
              <w:rPr>
                <w:sz w:val="28"/>
                <w:szCs w:val="28"/>
                <w:shd w:val="clear" w:color="auto" w:fill="FFFFFF"/>
                <w:lang w:val="uk-UA" w:eastAsia="en-US"/>
              </w:rPr>
              <w:t>р&gt;0,05</w:t>
            </w:r>
          </w:p>
        </w:tc>
      </w:tr>
    </w:tbl>
    <w:p w:rsidR="00E3259F" w:rsidRPr="00C239D8" w:rsidRDefault="00E3259F" w:rsidP="00C239D8">
      <w:pPr>
        <w:spacing w:line="360" w:lineRule="auto"/>
        <w:jc w:val="both"/>
        <w:rPr>
          <w:sz w:val="28"/>
          <w:szCs w:val="28"/>
          <w:lang w:val="uk-UA"/>
        </w:rPr>
      </w:pPr>
    </w:p>
    <w:p w:rsidR="00E3259F" w:rsidRPr="00C239D8" w:rsidRDefault="00E3259F" w:rsidP="00C239D8">
      <w:pPr>
        <w:spacing w:line="360" w:lineRule="auto"/>
        <w:jc w:val="both"/>
        <w:rPr>
          <w:rStyle w:val="tlid-translation"/>
          <w:rFonts w:eastAsiaTheme="majorEastAsia"/>
          <w:sz w:val="28"/>
          <w:szCs w:val="28"/>
          <w:lang w:val="uk-UA" w:eastAsia="en-US"/>
        </w:rPr>
      </w:pPr>
      <w:r w:rsidRPr="00C239D8">
        <w:rPr>
          <w:sz w:val="28"/>
          <w:szCs w:val="28"/>
          <w:lang w:val="uk-UA"/>
        </w:rPr>
        <w:t>Примітка: р</w:t>
      </w:r>
      <w:r w:rsidRPr="00C239D8">
        <w:rPr>
          <w:sz w:val="28"/>
          <w:szCs w:val="28"/>
          <w:vertAlign w:val="subscript"/>
          <w:lang w:val="uk-UA"/>
        </w:rPr>
        <w:t xml:space="preserve"> -</w:t>
      </w:r>
      <w:r w:rsidRPr="00C239D8">
        <w:rPr>
          <w:sz w:val="28"/>
          <w:szCs w:val="28"/>
          <w:lang w:val="uk-UA"/>
        </w:rPr>
        <w:t xml:space="preserve">  рівень значущості відмінностей при порівнянні пацієнтів з УТС та ПТС в групі </w:t>
      </w:r>
    </w:p>
    <w:p w:rsidR="00E3259F" w:rsidRPr="00C239D8" w:rsidRDefault="00E3259F" w:rsidP="00C239D8">
      <w:pPr>
        <w:spacing w:line="360" w:lineRule="auto"/>
        <w:jc w:val="both"/>
        <w:rPr>
          <w:sz w:val="28"/>
          <w:szCs w:val="28"/>
          <w:lang w:val="uk-UA"/>
        </w:rPr>
      </w:pPr>
    </w:p>
    <w:p w:rsidR="00E3259F" w:rsidRPr="00C239D8" w:rsidRDefault="00E3259F" w:rsidP="00C239D8">
      <w:pPr>
        <w:spacing w:line="360" w:lineRule="auto"/>
        <w:jc w:val="both"/>
        <w:rPr>
          <w:sz w:val="28"/>
          <w:szCs w:val="28"/>
          <w:lang w:val="uk-UA" w:eastAsia="en-US"/>
        </w:rPr>
      </w:pPr>
    </w:p>
    <w:p w:rsidR="00E3259F" w:rsidRDefault="00E3259F" w:rsidP="00E3259F">
      <w:pPr>
        <w:spacing w:line="360" w:lineRule="auto"/>
        <w:rPr>
          <w:sz w:val="28"/>
          <w:szCs w:val="28"/>
          <w:lang w:val="uk-UA" w:eastAsia="en-US"/>
        </w:rPr>
        <w:sectPr w:rsidR="00E3259F">
          <w:pgSz w:w="16838" w:h="11906" w:orient="landscape"/>
          <w:pgMar w:top="851" w:right="1134" w:bottom="1701" w:left="1134" w:header="709" w:footer="709" w:gutter="0"/>
          <w:cols w:space="720"/>
        </w:sectPr>
      </w:pPr>
    </w:p>
    <w:p w:rsidR="00E3259F" w:rsidRDefault="00E3259F" w:rsidP="00E3259F">
      <w:pPr>
        <w:rPr>
          <w:lang w:val="uk-UA" w:eastAsia="en-US"/>
        </w:rPr>
      </w:pPr>
    </w:p>
    <w:p w:rsidR="00E3259F" w:rsidRPr="00C239D8" w:rsidRDefault="00E3259F" w:rsidP="00C239D8">
      <w:pPr>
        <w:spacing w:line="360" w:lineRule="auto"/>
        <w:ind w:firstLine="709"/>
        <w:jc w:val="both"/>
        <w:rPr>
          <w:sz w:val="28"/>
          <w:szCs w:val="28"/>
          <w:lang w:val="uk-UA" w:eastAsia="en-US"/>
        </w:rPr>
      </w:pPr>
      <w:r w:rsidRPr="00C239D8">
        <w:rPr>
          <w:sz w:val="28"/>
          <w:szCs w:val="28"/>
          <w:lang w:val="uk-UA" w:eastAsia="en-US"/>
        </w:rPr>
        <w:t>Рівні ВЕФР не мали достовірних відмінностей між пацієнтами з ознаками УТС та ПТС незалежно від групи (</w:t>
      </w:r>
      <w:r w:rsidRPr="00C239D8">
        <w:rPr>
          <w:sz w:val="28"/>
          <w:szCs w:val="28"/>
          <w:shd w:val="clear" w:color="auto" w:fill="FFFFFF"/>
          <w:lang w:val="uk-UA"/>
        </w:rPr>
        <w:t>р&gt;0,05)</w:t>
      </w:r>
      <w:r w:rsidRPr="00C239D8">
        <w:rPr>
          <w:sz w:val="28"/>
          <w:szCs w:val="28"/>
          <w:lang w:val="uk-UA" w:eastAsia="en-US"/>
        </w:rPr>
        <w:t>. Між тим, при порівнянні пацієнтів різних груп з однаковим ТС були виявлені достовірні відмінності при УТС: рівнів</w:t>
      </w:r>
      <w:r w:rsidRPr="00C239D8">
        <w:rPr>
          <w:sz w:val="40"/>
          <w:szCs w:val="40"/>
          <w:lang w:val="uk-UA" w:eastAsia="en-US"/>
        </w:rPr>
        <w:t xml:space="preserve"> </w:t>
      </w:r>
      <w:r w:rsidRPr="00C239D8">
        <w:rPr>
          <w:sz w:val="28"/>
          <w:szCs w:val="28"/>
          <w:lang w:val="uk-UA" w:eastAsia="en-US"/>
        </w:rPr>
        <w:t>ВЕФР між групами 1 і 2 (р=0,049), групами 1 і 3 (р=0,016) та  групами 2 і 3 (р=0,001), кількості ЦДЕК між групами 2 та 3 (р=0,001), ТКІМ між групами 1 і 3 (р=0,045), при ПТС: рівнів ВЕФР між  групами 1 та 3 (р=0,033) та групами 2 і 3 (р=0,001), кількості ЦДЕК між групами 1 та 3 (р=0,039) та групами 2 та 3 (р=0,030).</w:t>
      </w:r>
    </w:p>
    <w:p w:rsidR="00E3259F" w:rsidRPr="00C239D8" w:rsidRDefault="00E3259F" w:rsidP="00C239D8">
      <w:pPr>
        <w:spacing w:line="360" w:lineRule="auto"/>
        <w:ind w:firstLine="709"/>
        <w:jc w:val="both"/>
        <w:rPr>
          <w:sz w:val="28"/>
          <w:szCs w:val="28"/>
          <w:lang w:val="uk-UA"/>
        </w:rPr>
      </w:pPr>
      <w:r w:rsidRPr="00C239D8">
        <w:rPr>
          <w:sz w:val="28"/>
          <w:szCs w:val="28"/>
          <w:lang w:val="uk-UA" w:eastAsia="en-US"/>
        </w:rPr>
        <w:t>Виявлені  статистично значимі</w:t>
      </w:r>
      <w:r w:rsidRPr="00C239D8">
        <w:rPr>
          <w:sz w:val="28"/>
          <w:szCs w:val="28"/>
          <w:lang w:val="uk-UA"/>
        </w:rPr>
        <w:t xml:space="preserve"> </w:t>
      </w:r>
      <w:r w:rsidRPr="00C239D8">
        <w:rPr>
          <w:sz w:val="28"/>
          <w:szCs w:val="28"/>
          <w:lang w:val="uk-UA" w:eastAsia="en-US"/>
        </w:rPr>
        <w:t xml:space="preserve"> кореляційні </w:t>
      </w:r>
      <w:r w:rsidRPr="00C239D8">
        <w:rPr>
          <w:sz w:val="28"/>
          <w:szCs w:val="28"/>
          <w:lang w:val="uk-UA"/>
        </w:rPr>
        <w:t>зв`язки між рівнями ВЕФР та БВ (</w:t>
      </w:r>
      <w:r w:rsidRPr="00C239D8">
        <w:rPr>
          <w:sz w:val="28"/>
          <w:szCs w:val="28"/>
          <w:lang w:val="en-US"/>
        </w:rPr>
        <w:t>r</w:t>
      </w:r>
      <w:r w:rsidRPr="00C239D8">
        <w:rPr>
          <w:sz w:val="28"/>
          <w:szCs w:val="28"/>
          <w:lang w:val="uk-UA"/>
        </w:rPr>
        <w:t>=0,280, р=0,030), кількістю ЦДЕК та коеф. старіння (</w:t>
      </w:r>
      <w:r w:rsidRPr="00C239D8">
        <w:rPr>
          <w:sz w:val="28"/>
          <w:szCs w:val="28"/>
          <w:lang w:val="en-US"/>
        </w:rPr>
        <w:t>r</w:t>
      </w:r>
      <w:r w:rsidRPr="00C239D8">
        <w:rPr>
          <w:sz w:val="28"/>
          <w:szCs w:val="28"/>
          <w:lang w:val="uk-UA"/>
        </w:rPr>
        <w:t>=-0,268, р=0,038) в  групі 3, кількістю ЦДЕК та коеф. старіння (</w:t>
      </w:r>
      <w:r w:rsidRPr="00C239D8">
        <w:rPr>
          <w:sz w:val="28"/>
          <w:szCs w:val="28"/>
          <w:lang w:val="en-US"/>
        </w:rPr>
        <w:t>r</w:t>
      </w:r>
      <w:r w:rsidRPr="00C239D8">
        <w:rPr>
          <w:sz w:val="28"/>
          <w:szCs w:val="28"/>
          <w:lang w:val="uk-UA"/>
        </w:rPr>
        <w:t>=-0,203, р=0,024), індексом швидкості старіння (</w:t>
      </w:r>
      <w:r w:rsidRPr="00C239D8">
        <w:rPr>
          <w:sz w:val="28"/>
          <w:szCs w:val="28"/>
          <w:lang w:val="en-US"/>
        </w:rPr>
        <w:t>r</w:t>
      </w:r>
      <w:r w:rsidRPr="00C239D8">
        <w:rPr>
          <w:sz w:val="28"/>
          <w:szCs w:val="28"/>
          <w:lang w:val="uk-UA"/>
        </w:rPr>
        <w:t>=-0,213, р=0,018) та коеф. швидкості старіння (</w:t>
      </w:r>
      <w:r w:rsidRPr="00C239D8">
        <w:rPr>
          <w:sz w:val="28"/>
          <w:szCs w:val="28"/>
          <w:lang w:val="en-US"/>
        </w:rPr>
        <w:t>r</w:t>
      </w:r>
      <w:r w:rsidRPr="00C239D8">
        <w:rPr>
          <w:sz w:val="28"/>
          <w:szCs w:val="28"/>
          <w:lang w:val="uk-UA"/>
        </w:rPr>
        <w:t>=-0,291, р=0,001) у  групі 2.</w:t>
      </w:r>
    </w:p>
    <w:p w:rsidR="00E3259F" w:rsidRPr="00C239D8" w:rsidRDefault="00E3259F" w:rsidP="00C239D8">
      <w:pPr>
        <w:spacing w:line="360" w:lineRule="auto"/>
        <w:ind w:firstLine="709"/>
        <w:jc w:val="both"/>
        <w:rPr>
          <w:sz w:val="28"/>
          <w:szCs w:val="28"/>
          <w:lang w:val="uk-UA"/>
        </w:rPr>
      </w:pPr>
      <w:r w:rsidRPr="00C239D8">
        <w:rPr>
          <w:sz w:val="28"/>
          <w:szCs w:val="28"/>
          <w:lang w:val="uk-UA"/>
        </w:rPr>
        <w:t xml:space="preserve">Однофакторний  дисперсійний аналіз виявив значний вплив ВЕФР на БВ як у  групі 2 (р=0,001) так  і в  групі 3 (р=0,004), а  також  на такі вікові показники,  як хронологічний вік (р=0,005), коефіцієнт старіння (р=0,018), коефіцієнт швидкості старіння (р=0,006)  у пацієнтів групи 3 та НБВ (р=0,002) в  групі 2.  </w:t>
      </w:r>
    </w:p>
    <w:p w:rsidR="00E3259F" w:rsidRPr="00C239D8" w:rsidRDefault="00E3259F" w:rsidP="00C239D8">
      <w:pPr>
        <w:shd w:val="clear" w:color="auto" w:fill="FFFFFF"/>
        <w:spacing w:line="360" w:lineRule="auto"/>
        <w:ind w:firstLine="709"/>
        <w:jc w:val="both"/>
        <w:rPr>
          <w:sz w:val="28"/>
          <w:szCs w:val="28"/>
          <w:lang w:val="uk-UA"/>
        </w:rPr>
      </w:pPr>
      <w:r w:rsidRPr="00C239D8">
        <w:rPr>
          <w:sz w:val="28"/>
          <w:szCs w:val="28"/>
          <w:lang w:val="uk-UA"/>
        </w:rPr>
        <w:t>Про значення ЕД в якості маркера судинного старіння свідчать численні дослідження, присвячені проблемі БВ [</w:t>
      </w:r>
      <w:bookmarkStart w:id="22" w:name="_Hlk43668814"/>
      <w:r w:rsidRPr="00C239D8">
        <w:rPr>
          <w:sz w:val="28"/>
          <w:szCs w:val="28"/>
        </w:rPr>
        <w:t>2</w:t>
      </w:r>
      <w:r w:rsidRPr="00C239D8">
        <w:rPr>
          <w:sz w:val="28"/>
          <w:szCs w:val="28"/>
          <w:lang w:val="uk-UA"/>
        </w:rPr>
        <w:t>38</w:t>
      </w:r>
      <w:r w:rsidRPr="00C239D8">
        <w:rPr>
          <w:sz w:val="28"/>
          <w:szCs w:val="28"/>
        </w:rPr>
        <w:t>,2</w:t>
      </w:r>
      <w:r w:rsidRPr="00C239D8">
        <w:rPr>
          <w:sz w:val="28"/>
          <w:szCs w:val="28"/>
          <w:lang w:val="uk-UA"/>
        </w:rPr>
        <w:t>46</w:t>
      </w:r>
      <w:r w:rsidRPr="00C239D8">
        <w:rPr>
          <w:sz w:val="28"/>
          <w:szCs w:val="28"/>
        </w:rPr>
        <w:t>,3</w:t>
      </w:r>
      <w:r w:rsidRPr="00C239D8">
        <w:rPr>
          <w:sz w:val="28"/>
          <w:szCs w:val="28"/>
          <w:lang w:val="uk-UA"/>
        </w:rPr>
        <w:t>71</w:t>
      </w:r>
      <w:r w:rsidRPr="00C239D8">
        <w:rPr>
          <w:sz w:val="28"/>
          <w:szCs w:val="28"/>
        </w:rPr>
        <w:t>,3</w:t>
      </w:r>
      <w:bookmarkEnd w:id="22"/>
      <w:r w:rsidRPr="00C239D8">
        <w:rPr>
          <w:sz w:val="28"/>
          <w:szCs w:val="28"/>
          <w:lang w:val="uk-UA"/>
        </w:rPr>
        <w:t>81]. Оскільки зміна (зазвичай зниження) функціональної активності органів і систем з віком має досить закономірний характер, представляється можливим оцінити ступінь старіння за сукупністю функціональних параметрів. Маркери функціонально-морфологічного стану ендотелію, розглядаються в якості одного з критеріїв біологічного віку, оскільки, демонструючи тісну залежність із хронологічним віком у сукупності з іншими критеріями, описують уповільнений або прискорений ТС індивідуума [</w:t>
      </w:r>
      <w:r w:rsidRPr="00C239D8">
        <w:rPr>
          <w:sz w:val="28"/>
          <w:szCs w:val="28"/>
          <w:shd w:val="clear" w:color="auto" w:fill="FFFFFF"/>
          <w:lang w:val="uk-UA"/>
        </w:rPr>
        <w:t>4]</w:t>
      </w:r>
      <w:r w:rsidRPr="00C239D8">
        <w:rPr>
          <w:sz w:val="28"/>
          <w:szCs w:val="28"/>
          <w:lang w:val="uk-UA"/>
        </w:rPr>
        <w:t>. Наявність коморбідної патології значно впливає на ступінь ЕД, що погіршується при наявності СГТ. Тому, при оцінці впливу ЕД на судинне старіння та загальний КВР при поєднаному перебігу ГХ, ЦД 2 типу та СГТ, необхідно враховувати не тільки вік хворого та роль ГХ та ЦД 2 типу, але й наявність тиреоїдної гіпофункції навіть на субклінічному рівні .</w:t>
      </w:r>
    </w:p>
    <w:p w:rsidR="00E3259F" w:rsidRPr="00C239D8" w:rsidRDefault="00E3259F" w:rsidP="00C239D8">
      <w:pPr>
        <w:spacing w:line="360" w:lineRule="auto"/>
        <w:ind w:firstLine="709"/>
        <w:rPr>
          <w:sz w:val="28"/>
          <w:szCs w:val="28"/>
          <w:lang w:val="uk-UA"/>
        </w:rPr>
      </w:pPr>
    </w:p>
    <w:p w:rsidR="00E3259F" w:rsidRDefault="00E3259F" w:rsidP="00C239D8">
      <w:pPr>
        <w:spacing w:line="360" w:lineRule="auto"/>
        <w:jc w:val="both"/>
        <w:rPr>
          <w:color w:val="FF0000"/>
          <w:sz w:val="28"/>
          <w:szCs w:val="28"/>
          <w:lang w:val="uk-UA"/>
        </w:rPr>
      </w:pPr>
      <w:r>
        <w:rPr>
          <w:sz w:val="28"/>
          <w:szCs w:val="28"/>
          <w:lang w:val="uk-UA"/>
        </w:rPr>
        <w:t xml:space="preserve">5.2. </w:t>
      </w:r>
      <w:r w:rsidRPr="0064003E">
        <w:rPr>
          <w:sz w:val="28"/>
          <w:szCs w:val="28"/>
          <w:lang w:val="uk-UA"/>
        </w:rPr>
        <w:t xml:space="preserve">Значення рівнів СРП та ФНП –α як </w:t>
      </w:r>
      <w:r>
        <w:rPr>
          <w:sz w:val="28"/>
          <w:szCs w:val="28"/>
          <w:lang w:val="uk-UA"/>
        </w:rPr>
        <w:t xml:space="preserve">маркерів хронічного </w:t>
      </w:r>
      <w:r w:rsidR="00C239D8">
        <w:rPr>
          <w:sz w:val="28"/>
          <w:szCs w:val="28"/>
          <w:lang w:val="uk-UA"/>
        </w:rPr>
        <w:t xml:space="preserve">системного </w:t>
      </w:r>
      <w:r>
        <w:rPr>
          <w:sz w:val="28"/>
          <w:szCs w:val="28"/>
          <w:lang w:val="uk-UA"/>
        </w:rPr>
        <w:t xml:space="preserve">запалення та їх влив на функцію ендотелію у хворих на гіпертонічну хворобу у поєднанні з цукровим діабетом 2 типу без порушення функції щитоподібної залози та з субклінічним гіпотиреозом </w:t>
      </w:r>
    </w:p>
    <w:p w:rsidR="00E3259F" w:rsidRDefault="00E3259F" w:rsidP="00E3259F">
      <w:pPr>
        <w:spacing w:line="360" w:lineRule="auto"/>
        <w:rPr>
          <w:sz w:val="28"/>
          <w:szCs w:val="28"/>
          <w:lang w:val="uk-UA"/>
        </w:rPr>
      </w:pPr>
    </w:p>
    <w:p w:rsidR="00E3259F" w:rsidRPr="00C239D8" w:rsidRDefault="00E3259F" w:rsidP="008742E0">
      <w:pPr>
        <w:spacing w:line="360" w:lineRule="auto"/>
        <w:ind w:firstLine="709"/>
        <w:jc w:val="both"/>
        <w:rPr>
          <w:sz w:val="28"/>
          <w:szCs w:val="28"/>
          <w:lang w:val="uk-UA" w:eastAsia="uk-UA"/>
        </w:rPr>
      </w:pPr>
      <w:r w:rsidRPr="00C239D8">
        <w:rPr>
          <w:sz w:val="28"/>
          <w:szCs w:val="28"/>
          <w:lang w:val="uk-UA"/>
        </w:rPr>
        <w:t>В останні роки все більше  уваги звертають на роль латентного хронічного запального процесу у патології судин і зокрема атеросклерозу [</w:t>
      </w:r>
      <w:r w:rsidRPr="00C239D8">
        <w:rPr>
          <w:sz w:val="28"/>
          <w:szCs w:val="28"/>
          <w:shd w:val="clear" w:color="auto" w:fill="FFFFFF"/>
        </w:rPr>
        <w:t>42</w:t>
      </w:r>
      <w:r w:rsidRPr="00C239D8">
        <w:rPr>
          <w:sz w:val="28"/>
          <w:szCs w:val="28"/>
          <w:shd w:val="clear" w:color="auto" w:fill="FFFFFF"/>
          <w:lang w:val="uk-UA"/>
        </w:rPr>
        <w:t>0</w:t>
      </w:r>
      <w:r w:rsidRPr="00C239D8">
        <w:rPr>
          <w:sz w:val="28"/>
          <w:szCs w:val="28"/>
          <w:lang w:val="uk-UA"/>
        </w:rPr>
        <w:t>]. Латентний запальний процес в організмі визначають за показниками С-реактивного протеїну (СРП), а також цитокінів, білкових молекул - медіаторів міжклітинних комунікацій при запаленні [</w:t>
      </w:r>
      <w:r w:rsidRPr="00C239D8">
        <w:rPr>
          <w:sz w:val="28"/>
          <w:szCs w:val="28"/>
          <w:shd w:val="clear" w:color="auto" w:fill="FFFFFF"/>
          <w:lang w:val="uk-UA"/>
        </w:rPr>
        <w:t>420</w:t>
      </w:r>
      <w:r w:rsidRPr="00C239D8">
        <w:rPr>
          <w:sz w:val="28"/>
          <w:szCs w:val="28"/>
          <w:lang w:val="uk-UA"/>
        </w:rPr>
        <w:t>], які регулюють синтез СРП, одним з яких є ФНП-</w:t>
      </w:r>
      <w:r w:rsidRPr="00C239D8">
        <w:rPr>
          <w:sz w:val="28"/>
          <w:szCs w:val="28"/>
        </w:rPr>
        <w:t>α</w:t>
      </w:r>
      <w:r w:rsidRPr="00C239D8">
        <w:rPr>
          <w:sz w:val="28"/>
          <w:szCs w:val="28"/>
          <w:lang w:val="uk-UA"/>
        </w:rPr>
        <w:t>. Клінічні дослідження показали, що підвищений уміст у сироватці крові прозапальних цитокінів - ФНП-а, інтерлейкіну-6 (ІЛ-6) та - СРП свідчать про більш високий ризик і несприятливий прогноз ССЗ [</w:t>
      </w:r>
      <w:r w:rsidRPr="00C239D8">
        <w:rPr>
          <w:bCs/>
          <w:sz w:val="28"/>
          <w:szCs w:val="28"/>
          <w:lang w:val="uk-UA"/>
        </w:rPr>
        <w:t>67,383</w:t>
      </w:r>
      <w:r w:rsidRPr="00C239D8">
        <w:rPr>
          <w:sz w:val="28"/>
          <w:szCs w:val="28"/>
          <w:lang w:val="uk-UA"/>
        </w:rPr>
        <w:t xml:space="preserve">]. </w:t>
      </w:r>
      <w:r w:rsidRPr="00C239D8">
        <w:rPr>
          <w:sz w:val="28"/>
          <w:szCs w:val="28"/>
          <w:lang w:val="uk-UA" w:eastAsia="uk-UA"/>
        </w:rPr>
        <w:t>Так аналіз даних цитокінової бази дослідження VEST (велика популяція пацієнтів з ХСН) підтверджує, що циркулюючі рівні прозапальних цитокінів (ФНП-а та ІЛ-6) і цитокінові рецептори (рФНП-а-P) є незалежними предикторами смертності в пацієнтів із серцевою недостатністю [</w:t>
      </w:r>
      <w:r w:rsidRPr="00C239D8">
        <w:rPr>
          <w:rStyle w:val="hl"/>
          <w:sz w:val="28"/>
          <w:szCs w:val="28"/>
          <w:bdr w:val="none" w:sz="0" w:space="0" w:color="auto" w:frame="1"/>
          <w:lang w:val="uk-UA" w:eastAsia="en-US"/>
        </w:rPr>
        <w:t>122</w:t>
      </w:r>
      <w:r w:rsidRPr="00C239D8">
        <w:rPr>
          <w:sz w:val="28"/>
          <w:szCs w:val="28"/>
          <w:lang w:val="uk-UA" w:eastAsia="uk-UA"/>
        </w:rPr>
        <w:t>]. Вважають, що чим вищий вміст СРП, тим більша ймовірність серцево-судинної катастрофи [</w:t>
      </w:r>
      <w:r w:rsidRPr="00C239D8">
        <w:rPr>
          <w:iCs/>
          <w:caps/>
          <w:sz w:val="28"/>
          <w:szCs w:val="28"/>
          <w:bdr w:val="none" w:sz="0" w:space="0" w:color="auto" w:frame="1"/>
          <w:lang w:val="uk-UA" w:eastAsia="en-US"/>
        </w:rPr>
        <w:t>67</w:t>
      </w:r>
      <w:r w:rsidRPr="00C239D8">
        <w:rPr>
          <w:sz w:val="28"/>
          <w:szCs w:val="28"/>
          <w:lang w:val="uk-UA" w:eastAsia="uk-UA"/>
        </w:rPr>
        <w:t>]. Так встановлено, що підвищення концентрації СРП навіть у межах, які раніше розглядалися як нормальні, пов'язане з підвищенням ризику розвитку гострого коронарного синдрому, а стабільно підвищений рівень СРП асоціюється з ризиком розвитку повторного інфаркту міокарда [</w:t>
      </w:r>
      <w:r w:rsidRPr="00C239D8">
        <w:rPr>
          <w:sz w:val="28"/>
          <w:szCs w:val="28"/>
          <w:lang w:val="uk-UA" w:eastAsia="en-US"/>
        </w:rPr>
        <w:t>110</w:t>
      </w:r>
      <w:r w:rsidRPr="00C239D8">
        <w:rPr>
          <w:sz w:val="28"/>
          <w:szCs w:val="28"/>
          <w:lang w:val="uk-UA" w:eastAsia="uk-UA"/>
        </w:rPr>
        <w:t xml:space="preserve">].  </w:t>
      </w:r>
    </w:p>
    <w:p w:rsidR="00E3259F" w:rsidRPr="00C239D8" w:rsidRDefault="00E3259F" w:rsidP="008742E0">
      <w:pPr>
        <w:pStyle w:val="a4"/>
        <w:spacing w:line="360" w:lineRule="auto"/>
        <w:ind w:left="0" w:firstLine="709"/>
        <w:jc w:val="both"/>
        <w:textAlignment w:val="top"/>
        <w:rPr>
          <w:sz w:val="28"/>
          <w:szCs w:val="28"/>
          <w:lang w:val="uk-UA"/>
        </w:rPr>
      </w:pPr>
      <w:r w:rsidRPr="00C239D8">
        <w:rPr>
          <w:sz w:val="28"/>
          <w:szCs w:val="28"/>
          <w:lang w:val="uk-UA"/>
        </w:rPr>
        <w:t xml:space="preserve">Дисфункція ендотелію та хронічне запалення в інтимі судин є одними із загальних патогенетичних механізмів розвитку ССЗ та ЦД 2 типу, відображенням якого може бути рівень СРП </w:t>
      </w:r>
      <w:r w:rsidRPr="00C239D8">
        <w:rPr>
          <w:sz w:val="28"/>
          <w:szCs w:val="28"/>
          <w:lang w:val="uk-UA" w:eastAsia="uk-UA"/>
        </w:rPr>
        <w:t>[</w:t>
      </w:r>
      <w:r w:rsidRPr="00C239D8">
        <w:rPr>
          <w:sz w:val="28"/>
          <w:szCs w:val="28"/>
          <w:lang w:val="uk-UA" w:eastAsia="en-US"/>
        </w:rPr>
        <w:t>110</w:t>
      </w:r>
      <w:r w:rsidRPr="00C239D8">
        <w:rPr>
          <w:sz w:val="28"/>
          <w:szCs w:val="28"/>
          <w:lang w:val="uk-UA" w:eastAsia="uk-UA"/>
        </w:rPr>
        <w:t>].</w:t>
      </w:r>
      <w:r w:rsidRPr="00C239D8">
        <w:rPr>
          <w:sz w:val="28"/>
          <w:szCs w:val="28"/>
          <w:lang w:val="uk-UA"/>
        </w:rPr>
        <w:t xml:space="preserve"> СРП у цей час розглядають як суттєвий маркер ризику розвитку ССЗ </w:t>
      </w:r>
      <w:r w:rsidRPr="00C239D8">
        <w:rPr>
          <w:sz w:val="28"/>
          <w:szCs w:val="28"/>
          <w:lang w:val="uk-UA" w:eastAsia="uk-UA"/>
        </w:rPr>
        <w:t>[</w:t>
      </w:r>
      <w:r w:rsidRPr="00C239D8">
        <w:rPr>
          <w:sz w:val="28"/>
          <w:szCs w:val="28"/>
          <w:lang w:val="uk-UA" w:eastAsia="en-US"/>
        </w:rPr>
        <w:t>110</w:t>
      </w:r>
      <w:r w:rsidRPr="00C239D8">
        <w:rPr>
          <w:sz w:val="28"/>
          <w:szCs w:val="28"/>
          <w:lang w:val="uk-UA" w:eastAsia="uk-UA"/>
        </w:rPr>
        <w:t>].</w:t>
      </w:r>
      <w:r w:rsidRPr="00C239D8">
        <w:rPr>
          <w:rFonts w:ascii="Tahoma" w:hAnsi="Tahoma" w:cs="Tahoma"/>
          <w:sz w:val="28"/>
          <w:szCs w:val="28"/>
          <w:lang w:val="uk-UA"/>
        </w:rPr>
        <w:t xml:space="preserve"> </w:t>
      </w:r>
      <w:r w:rsidRPr="00C239D8">
        <w:rPr>
          <w:sz w:val="28"/>
          <w:szCs w:val="28"/>
          <w:lang w:val="uk-UA"/>
        </w:rPr>
        <w:t xml:space="preserve">ФНП-α сприяє підвищенню генерації вільних радикалів і може стати причиною інтенсифікації процесів апоптозу ендотелію судин та інактивації </w:t>
      </w:r>
      <w:r w:rsidRPr="00C239D8">
        <w:rPr>
          <w:sz w:val="28"/>
          <w:szCs w:val="28"/>
        </w:rPr>
        <w:t>NO</w:t>
      </w:r>
      <w:r w:rsidRPr="00C239D8">
        <w:rPr>
          <w:sz w:val="28"/>
          <w:szCs w:val="28"/>
          <w:lang w:val="uk-UA"/>
        </w:rPr>
        <w:t>, тому підвищення рівня ФНП-α розглядається багатьма авторами як фактор ушкодження ендотелію судин [420]. Крім регуляції запальної реакції,  прозапальні цитокіни, зокрема ФНП-α, стимулюють проліферацію ендотеліоцитів, посилюють синтез колагену фібробластами та протромботичну активність ендотелію, індукують експресію молекул адгезії, що призводить до зміни структури стінки судин, розвитку та прогресуванню атеросклерозу і, таким чином, суттєво впливають на клінічний перебіг захворювання [383]. Крім того, вони вважаються маркерами несприятливого прогнозу та високого КВР [110].</w:t>
      </w:r>
    </w:p>
    <w:p w:rsidR="00E3259F" w:rsidRPr="00C239D8" w:rsidRDefault="00E3259F" w:rsidP="00C239D8">
      <w:pPr>
        <w:spacing w:line="360" w:lineRule="auto"/>
        <w:ind w:firstLine="709"/>
        <w:jc w:val="both"/>
        <w:rPr>
          <w:sz w:val="28"/>
          <w:szCs w:val="28"/>
          <w:lang w:val="uk-UA"/>
        </w:rPr>
      </w:pPr>
      <w:r w:rsidRPr="00C239D8">
        <w:rPr>
          <w:sz w:val="28"/>
          <w:szCs w:val="28"/>
          <w:lang w:val="uk-UA"/>
        </w:rPr>
        <w:t xml:space="preserve"> Тому, з огляду на доведену важливу роль СРП та ФНП-α, визначення цих маркерів при коморбідній патології в контексті впливу на ЕД, ОС та маркери КВР являє собою відображення багатофакторних впливів на перебіг та прогноз цих захворювань.</w:t>
      </w:r>
    </w:p>
    <w:p w:rsidR="00E3259F" w:rsidRPr="00C239D8" w:rsidRDefault="00E3259F" w:rsidP="00C239D8">
      <w:pPr>
        <w:spacing w:line="360" w:lineRule="auto"/>
        <w:ind w:firstLine="709"/>
        <w:jc w:val="both"/>
        <w:rPr>
          <w:sz w:val="28"/>
          <w:szCs w:val="28"/>
          <w:lang w:val="uk-UA"/>
        </w:rPr>
      </w:pPr>
      <w:r w:rsidRPr="00C239D8">
        <w:rPr>
          <w:sz w:val="28"/>
          <w:szCs w:val="28"/>
          <w:lang w:val="uk-UA"/>
        </w:rPr>
        <w:t>Отримані дані свідчать про те, що наявність як ізольованої ГХ, так і коморбідність зі ЦД 2 типу незалежно від функції ЩЗ супроводжується достовірнім підвищенням СРП та ФНП-α порівняно з контрольною групою (</w:t>
      </w:r>
      <w:r w:rsidRPr="00C239D8">
        <w:rPr>
          <w:sz w:val="28"/>
          <w:szCs w:val="28"/>
          <w:lang w:val="uk-UA" w:eastAsia="en-US"/>
        </w:rPr>
        <w:t>група контролю: СРП -</w:t>
      </w:r>
      <w:r w:rsidRPr="00C239D8">
        <w:rPr>
          <w:sz w:val="28"/>
          <w:szCs w:val="28"/>
          <w:lang w:val="uk-UA"/>
        </w:rPr>
        <w:t xml:space="preserve"> </w:t>
      </w:r>
      <w:r w:rsidRPr="00C239D8">
        <w:rPr>
          <w:sz w:val="28"/>
          <w:szCs w:val="28"/>
          <w:lang w:val="uk-UA" w:eastAsia="en-US"/>
        </w:rPr>
        <w:t xml:space="preserve">3,82±0,10 </w:t>
      </w:r>
      <w:r w:rsidRPr="00C239D8">
        <w:rPr>
          <w:sz w:val="28"/>
          <w:szCs w:val="28"/>
          <w:lang w:val="uk-UA"/>
        </w:rPr>
        <w:t xml:space="preserve">мг/л , </w:t>
      </w:r>
      <w:r w:rsidRPr="00C239D8">
        <w:rPr>
          <w:sz w:val="28"/>
          <w:szCs w:val="28"/>
          <w:lang w:val="uk-UA" w:eastAsia="en-US"/>
        </w:rPr>
        <w:t>ФНП-</w:t>
      </w:r>
      <w:r w:rsidRPr="00C239D8">
        <w:rPr>
          <w:sz w:val="28"/>
          <w:szCs w:val="28"/>
          <w:lang w:eastAsia="en-US"/>
        </w:rPr>
        <w:t>α</w:t>
      </w:r>
      <w:r w:rsidRPr="00C239D8">
        <w:rPr>
          <w:sz w:val="28"/>
          <w:szCs w:val="28"/>
          <w:lang w:val="uk-UA" w:eastAsia="en-US"/>
        </w:rPr>
        <w:t xml:space="preserve"> - </w:t>
      </w:r>
      <w:r w:rsidRPr="00C239D8">
        <w:rPr>
          <w:sz w:val="28"/>
          <w:szCs w:val="28"/>
          <w:lang w:val="uk-UA"/>
        </w:rPr>
        <w:t xml:space="preserve"> </w:t>
      </w:r>
      <w:r w:rsidRPr="00C239D8">
        <w:rPr>
          <w:sz w:val="28"/>
          <w:szCs w:val="28"/>
          <w:lang w:val="uk-UA" w:eastAsia="en-US"/>
        </w:rPr>
        <w:t>6,90±0,23</w:t>
      </w:r>
      <w:r w:rsidRPr="00C239D8">
        <w:rPr>
          <w:sz w:val="28"/>
          <w:szCs w:val="28"/>
          <w:lang w:val="uk-UA"/>
        </w:rPr>
        <w:t xml:space="preserve"> пг/мл,  </w:t>
      </w:r>
      <w:r w:rsidRPr="00C239D8">
        <w:rPr>
          <w:sz w:val="28"/>
          <w:szCs w:val="28"/>
          <w:lang w:val="uk-UA" w:eastAsia="en-US"/>
        </w:rPr>
        <w:t xml:space="preserve">1 група: СРП - </w:t>
      </w:r>
      <w:r w:rsidRPr="00C239D8">
        <w:rPr>
          <w:sz w:val="28"/>
          <w:szCs w:val="28"/>
          <w:lang w:val="uk-UA"/>
        </w:rPr>
        <w:t xml:space="preserve"> </w:t>
      </w:r>
      <w:r w:rsidRPr="00C239D8">
        <w:rPr>
          <w:sz w:val="28"/>
          <w:szCs w:val="28"/>
          <w:lang w:val="uk-UA" w:eastAsia="en-US"/>
        </w:rPr>
        <w:t xml:space="preserve">6,68±0,28 </w:t>
      </w:r>
      <w:r w:rsidRPr="00C239D8">
        <w:rPr>
          <w:sz w:val="28"/>
          <w:szCs w:val="28"/>
          <w:lang w:val="uk-UA"/>
        </w:rPr>
        <w:t>мг/л ,</w:t>
      </w:r>
      <w:r w:rsidRPr="00C239D8">
        <w:rPr>
          <w:sz w:val="28"/>
          <w:szCs w:val="28"/>
          <w:lang w:val="uk-UA" w:eastAsia="en-US"/>
        </w:rPr>
        <w:t xml:space="preserve"> ФНП-</w:t>
      </w:r>
      <w:r w:rsidRPr="00C239D8">
        <w:rPr>
          <w:sz w:val="28"/>
          <w:szCs w:val="28"/>
          <w:lang w:eastAsia="en-US"/>
        </w:rPr>
        <w:t>α</w:t>
      </w:r>
      <w:r w:rsidRPr="00C239D8">
        <w:rPr>
          <w:sz w:val="28"/>
          <w:szCs w:val="28"/>
          <w:lang w:val="uk-UA" w:eastAsia="en-US"/>
        </w:rPr>
        <w:t xml:space="preserve"> - </w:t>
      </w:r>
      <w:r w:rsidRPr="00C239D8">
        <w:rPr>
          <w:sz w:val="28"/>
          <w:szCs w:val="28"/>
          <w:lang w:val="uk-UA"/>
        </w:rPr>
        <w:t xml:space="preserve"> </w:t>
      </w:r>
      <w:r w:rsidRPr="00C239D8">
        <w:rPr>
          <w:sz w:val="28"/>
          <w:szCs w:val="28"/>
          <w:lang w:val="uk-UA" w:eastAsia="en-US"/>
        </w:rPr>
        <w:t xml:space="preserve">12,24±0,49 </w:t>
      </w:r>
      <w:r w:rsidRPr="00C239D8">
        <w:rPr>
          <w:sz w:val="28"/>
          <w:szCs w:val="28"/>
          <w:lang w:val="uk-UA"/>
        </w:rPr>
        <w:t xml:space="preserve">пг/мл , </w:t>
      </w:r>
      <w:r w:rsidRPr="00C239D8">
        <w:rPr>
          <w:sz w:val="28"/>
          <w:szCs w:val="28"/>
          <w:lang w:val="uk-UA" w:eastAsia="en-US"/>
        </w:rPr>
        <w:t>2 група</w:t>
      </w:r>
      <w:r w:rsidRPr="00C239D8">
        <w:rPr>
          <w:sz w:val="28"/>
          <w:szCs w:val="28"/>
          <w:lang w:val="uk-UA"/>
        </w:rPr>
        <w:t xml:space="preserve">:СРП- </w:t>
      </w:r>
      <w:r w:rsidRPr="00C239D8">
        <w:rPr>
          <w:sz w:val="28"/>
          <w:szCs w:val="28"/>
          <w:lang w:val="uk-UA" w:eastAsia="en-US"/>
        </w:rPr>
        <w:t>8,52±0,27</w:t>
      </w:r>
      <w:r w:rsidRPr="00C239D8">
        <w:rPr>
          <w:sz w:val="28"/>
          <w:szCs w:val="28"/>
          <w:lang w:val="uk-UA"/>
        </w:rPr>
        <w:t xml:space="preserve"> мг/л , </w:t>
      </w:r>
      <w:r w:rsidRPr="00C239D8">
        <w:rPr>
          <w:sz w:val="28"/>
          <w:szCs w:val="28"/>
          <w:lang w:val="uk-UA" w:eastAsia="en-US"/>
        </w:rPr>
        <w:t>ФНП-</w:t>
      </w:r>
      <w:r w:rsidRPr="00C239D8">
        <w:rPr>
          <w:sz w:val="28"/>
          <w:szCs w:val="28"/>
          <w:lang w:eastAsia="en-US"/>
        </w:rPr>
        <w:t>α</w:t>
      </w:r>
      <w:r w:rsidRPr="00C239D8">
        <w:rPr>
          <w:sz w:val="28"/>
          <w:szCs w:val="28"/>
          <w:lang w:val="uk-UA" w:eastAsia="en-US"/>
        </w:rPr>
        <w:t xml:space="preserve"> - </w:t>
      </w:r>
      <w:r w:rsidRPr="00C239D8">
        <w:rPr>
          <w:sz w:val="28"/>
          <w:szCs w:val="28"/>
          <w:lang w:val="uk-UA"/>
        </w:rPr>
        <w:t xml:space="preserve"> </w:t>
      </w:r>
      <w:r w:rsidRPr="00C239D8">
        <w:rPr>
          <w:sz w:val="28"/>
          <w:szCs w:val="28"/>
          <w:lang w:val="uk-UA" w:eastAsia="en-US"/>
        </w:rPr>
        <w:t>11,19±0,35</w:t>
      </w:r>
      <w:r w:rsidRPr="00C239D8">
        <w:rPr>
          <w:sz w:val="28"/>
          <w:szCs w:val="28"/>
          <w:lang w:val="uk-UA"/>
        </w:rPr>
        <w:t xml:space="preserve"> пг/мл,  </w:t>
      </w:r>
      <w:r w:rsidRPr="00C239D8">
        <w:rPr>
          <w:sz w:val="28"/>
          <w:szCs w:val="28"/>
          <w:lang w:val="uk-UA" w:eastAsia="en-US"/>
        </w:rPr>
        <w:t xml:space="preserve">3 група: СРП - </w:t>
      </w:r>
      <w:r w:rsidRPr="00C239D8">
        <w:rPr>
          <w:sz w:val="28"/>
          <w:szCs w:val="28"/>
          <w:lang w:val="uk-UA"/>
        </w:rPr>
        <w:t xml:space="preserve"> </w:t>
      </w:r>
      <w:r w:rsidRPr="00C239D8">
        <w:rPr>
          <w:sz w:val="28"/>
          <w:szCs w:val="28"/>
          <w:lang w:val="uk-UA" w:eastAsia="en-US"/>
        </w:rPr>
        <w:t>8,35±0,33</w:t>
      </w:r>
      <w:r w:rsidRPr="00C239D8">
        <w:rPr>
          <w:sz w:val="28"/>
          <w:szCs w:val="28"/>
          <w:lang w:val="uk-UA"/>
        </w:rPr>
        <w:t xml:space="preserve"> мг/л, </w:t>
      </w:r>
      <w:r w:rsidRPr="00C239D8">
        <w:rPr>
          <w:sz w:val="28"/>
          <w:szCs w:val="28"/>
          <w:lang w:val="uk-UA" w:eastAsia="en-US"/>
        </w:rPr>
        <w:t>ФНП-</w:t>
      </w:r>
      <w:r w:rsidRPr="00C239D8">
        <w:rPr>
          <w:sz w:val="28"/>
          <w:szCs w:val="28"/>
          <w:lang w:eastAsia="en-US"/>
        </w:rPr>
        <w:t>α</w:t>
      </w:r>
      <w:r w:rsidRPr="00C239D8">
        <w:rPr>
          <w:sz w:val="28"/>
          <w:szCs w:val="28"/>
          <w:lang w:val="uk-UA" w:eastAsia="en-US"/>
        </w:rPr>
        <w:t xml:space="preserve"> - </w:t>
      </w:r>
      <w:r w:rsidRPr="00C239D8">
        <w:rPr>
          <w:sz w:val="28"/>
          <w:szCs w:val="28"/>
          <w:lang w:val="uk-UA"/>
        </w:rPr>
        <w:t xml:space="preserve"> </w:t>
      </w:r>
      <w:r w:rsidRPr="00C239D8">
        <w:rPr>
          <w:sz w:val="28"/>
          <w:szCs w:val="28"/>
          <w:lang w:val="uk-UA" w:eastAsia="en-US"/>
        </w:rPr>
        <w:t xml:space="preserve">12,62±0,41 </w:t>
      </w:r>
      <w:r w:rsidRPr="00C239D8">
        <w:rPr>
          <w:sz w:val="28"/>
          <w:szCs w:val="28"/>
          <w:lang w:val="uk-UA"/>
        </w:rPr>
        <w:t xml:space="preserve">пг/мл, р&lt;0,001 при порівнянні з групою контрою для всіх груп).  </w:t>
      </w:r>
    </w:p>
    <w:p w:rsidR="00E3259F" w:rsidRPr="00C239D8" w:rsidRDefault="00E3259F" w:rsidP="00C239D8">
      <w:pPr>
        <w:pStyle w:val="amaintext"/>
        <w:spacing w:before="0" w:beforeAutospacing="0" w:after="0" w:afterAutospacing="0" w:line="360" w:lineRule="auto"/>
        <w:ind w:firstLine="709"/>
        <w:jc w:val="both"/>
        <w:rPr>
          <w:sz w:val="28"/>
          <w:szCs w:val="28"/>
          <w:shd w:val="clear" w:color="auto" w:fill="FFFFFF"/>
          <w:lang w:val="uk-UA"/>
        </w:rPr>
      </w:pPr>
      <w:r w:rsidRPr="00C239D8">
        <w:rPr>
          <w:sz w:val="28"/>
          <w:szCs w:val="28"/>
          <w:lang w:val="uk-UA"/>
        </w:rPr>
        <w:t>Якщо роль СРП у патогенезі як атерогенезу, так й атеротромбозу, а також у якості предиктора серцево-судинних подій, не викликає сумнівів, проте, дані щодо рівня СРП у пацієнтів зі СГТ носять суперечливий характер. Є роботи, у яких показано підвищення рівня СРП у хворих зі СГТ [</w:t>
      </w:r>
      <w:r w:rsidRPr="00C239D8">
        <w:rPr>
          <w:sz w:val="28"/>
          <w:szCs w:val="28"/>
        </w:rPr>
        <w:t>1</w:t>
      </w:r>
      <w:r w:rsidRPr="00C239D8">
        <w:rPr>
          <w:sz w:val="28"/>
          <w:szCs w:val="28"/>
          <w:lang w:val="uk-UA"/>
        </w:rPr>
        <w:t>80], зокрема й збільшення при цьому ризику ускладнень з боку серцево-судинної системи в 3,4 рази [</w:t>
      </w:r>
      <w:bookmarkStart w:id="23" w:name="_Hlk43669745"/>
      <w:r w:rsidRPr="00C239D8">
        <w:rPr>
          <w:sz w:val="28"/>
          <w:szCs w:val="28"/>
        </w:rPr>
        <w:t>1,</w:t>
      </w:r>
      <w:r w:rsidRPr="00C239D8">
        <w:rPr>
          <w:sz w:val="28"/>
          <w:szCs w:val="28"/>
          <w:lang w:val="uk-UA"/>
        </w:rPr>
        <w:t>53</w:t>
      </w:r>
      <w:bookmarkEnd w:id="23"/>
      <w:r w:rsidRPr="00C239D8">
        <w:rPr>
          <w:sz w:val="28"/>
          <w:szCs w:val="28"/>
          <w:lang w:val="uk-UA"/>
        </w:rPr>
        <w:t xml:space="preserve">]. Але  варто відзначити, що зустрічаються й такі роботи, де не виявлено підвищення рівнів СРП у хворих СГТ порівняно з хворими без тиреоїдної патології. Так у дослідженні, яке було проведено в Бразилії та включало 12 284 осіб з ТТГ у межах від еутиреоїдного стану до СГТ, не було знайдено узаємозв`язку  між ТТГ та СРП </w:t>
      </w:r>
      <w:r w:rsidRPr="00C239D8">
        <w:rPr>
          <w:sz w:val="28"/>
          <w:szCs w:val="28"/>
          <w:shd w:val="clear" w:color="auto" w:fill="FFFFFF"/>
          <w:lang w:val="uk-UA"/>
        </w:rPr>
        <w:t xml:space="preserve"> [316</w:t>
      </w:r>
      <w:r w:rsidRPr="00C239D8">
        <w:rPr>
          <w:sz w:val="28"/>
          <w:szCs w:val="28"/>
          <w:shd w:val="clear" w:color="auto" w:fill="FFFFFF"/>
        </w:rPr>
        <w:t xml:space="preserve">]. </w:t>
      </w:r>
    </w:p>
    <w:p w:rsidR="00C239D8" w:rsidRDefault="00E3259F" w:rsidP="00C239D8">
      <w:pPr>
        <w:pStyle w:val="amaintext"/>
        <w:spacing w:before="0" w:beforeAutospacing="0" w:after="0" w:afterAutospacing="0" w:line="360" w:lineRule="auto"/>
        <w:ind w:firstLine="709"/>
        <w:jc w:val="both"/>
        <w:rPr>
          <w:sz w:val="28"/>
          <w:szCs w:val="28"/>
          <w:lang w:val="uk-UA"/>
        </w:rPr>
      </w:pPr>
      <w:r w:rsidRPr="00C239D8">
        <w:rPr>
          <w:rFonts w:eastAsia="Times New Roman"/>
          <w:sz w:val="28"/>
          <w:szCs w:val="28"/>
          <w:lang w:val="uk-UA" w:eastAsia="ru-RU"/>
        </w:rPr>
        <w:t xml:space="preserve"> </w:t>
      </w:r>
      <w:r w:rsidRPr="00C239D8">
        <w:rPr>
          <w:sz w:val="28"/>
          <w:szCs w:val="28"/>
          <w:lang w:val="uk-UA"/>
        </w:rPr>
        <w:t>У пацієнтів групи 2 та 3 мало місце вірогідне підвищення СРП порівняно з  групою 1 (р=0,001), але між групами з коморбідною патологією наявність СГТ не приводила до достовірних змін рівня СРП (</w:t>
      </w:r>
      <w:r w:rsidRPr="00C239D8">
        <w:rPr>
          <w:sz w:val="28"/>
          <w:szCs w:val="28"/>
          <w:shd w:val="clear" w:color="auto" w:fill="FFFFFF"/>
          <w:lang w:val="uk-UA"/>
        </w:rPr>
        <w:t>р&gt;0,05) (</w:t>
      </w:r>
      <w:r w:rsidRPr="00C239D8">
        <w:rPr>
          <w:sz w:val="28"/>
          <w:szCs w:val="28"/>
          <w:lang w:val="uk-UA"/>
        </w:rPr>
        <w:t xml:space="preserve"> рис 5.2). Не було виявлено достовірних відмінностей рівня ФНП-α між групою з ізольованою ГХ та групами з коморбідною патологією (</w:t>
      </w:r>
      <w:r w:rsidRPr="00C239D8">
        <w:rPr>
          <w:sz w:val="28"/>
          <w:szCs w:val="28"/>
          <w:shd w:val="clear" w:color="auto" w:fill="FFFFFF"/>
          <w:lang w:val="uk-UA"/>
        </w:rPr>
        <w:t xml:space="preserve">р&gt;0,05 </w:t>
      </w:r>
      <w:r w:rsidRPr="00C239D8">
        <w:rPr>
          <w:sz w:val="28"/>
          <w:szCs w:val="28"/>
          <w:lang w:val="uk-UA"/>
        </w:rPr>
        <w:t>порівняно</w:t>
      </w:r>
      <w:r w:rsidRPr="00C239D8">
        <w:rPr>
          <w:sz w:val="28"/>
          <w:szCs w:val="28"/>
          <w:shd w:val="clear" w:color="auto" w:fill="FFFFFF"/>
          <w:lang w:val="uk-UA"/>
        </w:rPr>
        <w:t xml:space="preserve"> з групою 2 та групою 3</w:t>
      </w:r>
      <w:r w:rsidRPr="00C239D8">
        <w:rPr>
          <w:sz w:val="28"/>
          <w:szCs w:val="28"/>
          <w:lang w:val="uk-UA"/>
        </w:rPr>
        <w:t>). Але наявність СГТ супроводжувалася достовірним підвищенням рівня ФНП-α у пацієнтів  групи 3 порівняно з пацієнтами групи 2 (р=0,011).</w:t>
      </w:r>
    </w:p>
    <w:p w:rsidR="00E3259F" w:rsidRDefault="00E3259F" w:rsidP="008742E0">
      <w:pPr>
        <w:pStyle w:val="amaintext"/>
        <w:spacing w:before="0" w:beforeAutospacing="0" w:after="0" w:afterAutospacing="0" w:line="360" w:lineRule="auto"/>
        <w:ind w:firstLine="709"/>
        <w:jc w:val="both"/>
        <w:rPr>
          <w:lang w:val="uk-UA"/>
        </w:rPr>
      </w:pPr>
      <w:r>
        <w:rPr>
          <w:noProof/>
          <w:lang w:eastAsia="ru-RU"/>
        </w:rPr>
        <w:drawing>
          <wp:inline distT="0" distB="0" distL="0" distR="0" wp14:anchorId="51AA0815" wp14:editId="0304FE40">
            <wp:extent cx="5553075" cy="3267075"/>
            <wp:effectExtent l="0" t="0" r="9525" b="9525"/>
            <wp:docPr id="121" name="Диаграмма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E3259F" w:rsidRDefault="00E3259F" w:rsidP="00E3259F">
      <w:pPr>
        <w:jc w:val="both"/>
        <w:rPr>
          <w:sz w:val="28"/>
          <w:szCs w:val="28"/>
          <w:lang w:val="uk-UA"/>
        </w:rPr>
      </w:pPr>
    </w:p>
    <w:p w:rsidR="00E3259F" w:rsidRPr="00C239D8" w:rsidRDefault="00E3259F" w:rsidP="00E3259F">
      <w:pPr>
        <w:spacing w:line="360" w:lineRule="auto"/>
        <w:jc w:val="both"/>
        <w:rPr>
          <w:sz w:val="28"/>
          <w:szCs w:val="28"/>
          <w:lang w:val="uk-UA" w:eastAsia="en-US"/>
        </w:rPr>
      </w:pPr>
      <w:r w:rsidRPr="00C239D8">
        <w:rPr>
          <w:sz w:val="28"/>
          <w:szCs w:val="28"/>
          <w:lang w:val="uk-UA"/>
        </w:rPr>
        <w:t xml:space="preserve">Рис 5.2. Середні рівні СРП та </w:t>
      </w:r>
      <w:r w:rsidRPr="00C239D8">
        <w:rPr>
          <w:sz w:val="28"/>
          <w:szCs w:val="28"/>
          <w:lang w:val="uk-UA" w:eastAsia="en-US"/>
        </w:rPr>
        <w:t>ФНП-α  (</w:t>
      </w:r>
      <w:r w:rsidRPr="00C239D8">
        <w:rPr>
          <w:sz w:val="28"/>
          <w:szCs w:val="28"/>
          <w:lang w:val="uk-UA"/>
        </w:rPr>
        <w:t>* -p &lt;0,001- значущість при порівнянні з групою контролю; 1- достовірні відмінності при порівнянні   з групою 1</w:t>
      </w:r>
      <w:r w:rsidR="00C239D8" w:rsidRPr="00C239D8">
        <w:rPr>
          <w:sz w:val="28"/>
          <w:szCs w:val="28"/>
          <w:lang w:val="uk-UA"/>
        </w:rPr>
        <w:t xml:space="preserve"> (p&lt;0,05)</w:t>
      </w:r>
      <w:r w:rsidRPr="00C239D8">
        <w:rPr>
          <w:sz w:val="28"/>
          <w:szCs w:val="28"/>
          <w:lang w:val="uk-UA"/>
        </w:rPr>
        <w:t>; 2 – достовірні відмінності при порівнянні з групою 2</w:t>
      </w:r>
      <w:r w:rsidR="00C239D8" w:rsidRPr="00C239D8">
        <w:rPr>
          <w:sz w:val="28"/>
          <w:szCs w:val="28"/>
          <w:lang w:val="uk-UA"/>
        </w:rPr>
        <w:t xml:space="preserve">                 </w:t>
      </w:r>
      <w:r w:rsidRPr="00C239D8">
        <w:rPr>
          <w:sz w:val="28"/>
          <w:szCs w:val="28"/>
          <w:lang w:val="uk-UA"/>
        </w:rPr>
        <w:t xml:space="preserve"> </w:t>
      </w:r>
      <w:r w:rsidR="00C239D8" w:rsidRPr="00C239D8">
        <w:rPr>
          <w:sz w:val="28"/>
          <w:szCs w:val="28"/>
          <w:lang w:val="uk-UA"/>
        </w:rPr>
        <w:t>(p&lt;0,05)</w:t>
      </w:r>
    </w:p>
    <w:p w:rsidR="00E3259F" w:rsidRPr="00C239D8" w:rsidRDefault="00E3259F" w:rsidP="00E3259F">
      <w:pPr>
        <w:spacing w:line="360" w:lineRule="auto"/>
        <w:ind w:firstLine="709"/>
        <w:jc w:val="both"/>
        <w:rPr>
          <w:sz w:val="28"/>
          <w:szCs w:val="28"/>
          <w:lang w:val="uk-UA"/>
        </w:rPr>
      </w:pPr>
      <w:r w:rsidRPr="00C239D8">
        <w:rPr>
          <w:sz w:val="28"/>
          <w:szCs w:val="28"/>
          <w:lang w:val="uk-UA"/>
        </w:rPr>
        <w:t xml:space="preserve">Для виявлення взаємозв`язку маркерів хронічного запалення та показників метаболізму, ОС та ЕД був проведений кореляційний аналіз, який виявив значну кількість як позитивних, так і негативних статистично значущих узаємозв`язків між СРП і </w:t>
      </w:r>
      <w:r w:rsidRPr="00C239D8">
        <w:rPr>
          <w:sz w:val="28"/>
          <w:szCs w:val="28"/>
          <w:lang w:val="uk-UA" w:eastAsia="en-US"/>
        </w:rPr>
        <w:t>ФНП-α та показниками ліпідного, вуглеводного обміну, рівнями АТ, ТКІМ ЗСА, ЦДЕК та показниками ОС в обох групах з коморбідною патологією</w:t>
      </w:r>
      <w:r w:rsidRPr="00C239D8">
        <w:rPr>
          <w:sz w:val="28"/>
          <w:szCs w:val="28"/>
          <w:lang w:val="uk-UA"/>
        </w:rPr>
        <w:t xml:space="preserve">. (таблиця 5.6). </w:t>
      </w:r>
    </w:p>
    <w:p w:rsidR="00E3259F" w:rsidRDefault="00E3259F" w:rsidP="00E3259F">
      <w:pPr>
        <w:spacing w:line="360" w:lineRule="auto"/>
        <w:jc w:val="right"/>
        <w:rPr>
          <w:sz w:val="28"/>
          <w:szCs w:val="28"/>
          <w:lang w:val="uk-UA"/>
        </w:rPr>
      </w:pPr>
      <w:r>
        <w:rPr>
          <w:sz w:val="28"/>
          <w:szCs w:val="28"/>
          <w:lang w:val="uk-UA"/>
        </w:rPr>
        <w:t>Таблиця 5.6</w:t>
      </w:r>
    </w:p>
    <w:p w:rsidR="00E3259F" w:rsidRPr="00C239D8" w:rsidRDefault="00E3259F" w:rsidP="00C239D8">
      <w:pPr>
        <w:spacing w:line="360" w:lineRule="auto"/>
        <w:jc w:val="center"/>
        <w:rPr>
          <w:color w:val="000000"/>
          <w:sz w:val="28"/>
          <w:szCs w:val="28"/>
          <w:shd w:val="clear" w:color="auto" w:fill="F2F2F2"/>
          <w:lang w:val="uk-UA"/>
        </w:rPr>
      </w:pPr>
      <w:r w:rsidRPr="00C239D8">
        <w:rPr>
          <w:sz w:val="28"/>
          <w:szCs w:val="28"/>
          <w:lang w:val="uk-UA"/>
        </w:rPr>
        <w:t>Результати кореляційного аналізу маркерів хронічного запалення, ОС, ЕД, антропометричнх і метаболічних показників</w:t>
      </w:r>
    </w:p>
    <w:tbl>
      <w:tblPr>
        <w:tblW w:w="0" w:type="auto"/>
        <w:tblLook w:val="04A0" w:firstRow="1" w:lastRow="0" w:firstColumn="1" w:lastColumn="0" w:noHBand="0" w:noVBand="1"/>
      </w:tblPr>
      <w:tblGrid>
        <w:gridCol w:w="2802"/>
        <w:gridCol w:w="3577"/>
        <w:gridCol w:w="3191"/>
      </w:tblGrid>
      <w:tr w:rsidR="00C239D8"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Показники</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en-US" w:eastAsia="en-US"/>
              </w:rPr>
            </w:pPr>
            <w:r w:rsidRPr="00C239D8">
              <w:rPr>
                <w:sz w:val="28"/>
                <w:szCs w:val="28"/>
                <w:lang w:val="uk-UA" w:eastAsia="en-US"/>
              </w:rPr>
              <w:t>Коефіцієнт к</w:t>
            </w:r>
            <w:r w:rsidRPr="00C239D8">
              <w:rPr>
                <w:sz w:val="28"/>
                <w:szCs w:val="28"/>
                <w:lang w:eastAsia="en-US"/>
              </w:rPr>
              <w:t>ореляц</w:t>
            </w:r>
            <w:r w:rsidRPr="00C239D8">
              <w:rPr>
                <w:sz w:val="28"/>
                <w:szCs w:val="28"/>
                <w:lang w:val="uk-UA" w:eastAsia="en-US"/>
              </w:rPr>
              <w:t>ії</w:t>
            </w:r>
            <w:r w:rsidRPr="00C239D8">
              <w:rPr>
                <w:sz w:val="28"/>
                <w:szCs w:val="28"/>
                <w:lang w:eastAsia="en-US"/>
              </w:rPr>
              <w:t xml:space="preserve"> П</w:t>
            </w:r>
            <w:r w:rsidRPr="00C239D8">
              <w:rPr>
                <w:sz w:val="28"/>
                <w:szCs w:val="28"/>
                <w:lang w:val="uk-UA" w:eastAsia="en-US"/>
              </w:rPr>
              <w:t>і</w:t>
            </w:r>
            <w:r w:rsidRPr="00C239D8">
              <w:rPr>
                <w:sz w:val="28"/>
                <w:szCs w:val="28"/>
                <w:lang w:eastAsia="en-US"/>
              </w:rPr>
              <w:t>рсона</w:t>
            </w:r>
            <w:r w:rsidRPr="00C239D8">
              <w:rPr>
                <w:sz w:val="28"/>
                <w:szCs w:val="28"/>
                <w:lang w:val="uk-UA" w:eastAsia="en-US"/>
              </w:rPr>
              <w:t>,</w:t>
            </w:r>
            <w:r w:rsidRPr="00C239D8">
              <w:rPr>
                <w:sz w:val="28"/>
                <w:szCs w:val="28"/>
                <w:lang w:val="en-US" w:eastAsia="en-US"/>
              </w:rPr>
              <w:t xml:space="preserve"> r</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eastAsia="en-US"/>
              </w:rPr>
            </w:pPr>
            <w:r w:rsidRPr="00C239D8">
              <w:rPr>
                <w:sz w:val="28"/>
                <w:szCs w:val="28"/>
                <w:lang w:val="uk-UA" w:eastAsia="en-US"/>
              </w:rPr>
              <w:t>Рівень з</w:t>
            </w:r>
            <w:r w:rsidRPr="00C239D8">
              <w:rPr>
                <w:sz w:val="28"/>
                <w:szCs w:val="28"/>
                <w:lang w:eastAsia="en-US"/>
              </w:rPr>
              <w:t>нач</w:t>
            </w:r>
            <w:r w:rsidRPr="00C239D8">
              <w:rPr>
                <w:sz w:val="28"/>
                <w:szCs w:val="28"/>
                <w:lang w:val="uk-UA" w:eastAsia="en-US"/>
              </w:rPr>
              <w:t>ущості, р</w:t>
            </w:r>
          </w:p>
        </w:tc>
      </w:tr>
      <w:tr w:rsidR="00E3259F" w:rsidRPr="00C239D8"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2 група</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СРП-ЗХС</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,260</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,001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 –</w:t>
            </w:r>
            <w:r w:rsidRPr="00C239D8">
              <w:rPr>
                <w:color w:val="000000"/>
                <w:sz w:val="28"/>
                <w:szCs w:val="28"/>
                <w:lang w:eastAsia="en-US"/>
              </w:rPr>
              <w:t>Х</w:t>
            </w:r>
            <w:r w:rsidRPr="00C239D8">
              <w:rPr>
                <w:color w:val="000000"/>
                <w:sz w:val="28"/>
                <w:szCs w:val="28"/>
                <w:lang w:val="uk-UA" w:eastAsia="en-US"/>
              </w:rPr>
              <w:t xml:space="preserve">С </w:t>
            </w:r>
            <w:r w:rsidRPr="00C239D8">
              <w:rPr>
                <w:color w:val="000000"/>
                <w:sz w:val="28"/>
                <w:szCs w:val="28"/>
                <w:lang w:eastAsia="en-US"/>
              </w:rPr>
              <w:t>ЛП</w:t>
            </w:r>
            <w:r w:rsidRPr="00C239D8">
              <w:rPr>
                <w:color w:val="000000"/>
                <w:sz w:val="28"/>
                <w:szCs w:val="28"/>
                <w:lang w:val="uk-UA" w:eastAsia="en-US"/>
              </w:rPr>
              <w:t>Д</w:t>
            </w:r>
            <w:r w:rsidRPr="00C239D8">
              <w:rPr>
                <w:color w:val="000000"/>
                <w:sz w:val="28"/>
                <w:szCs w:val="28"/>
                <w:lang w:eastAsia="en-US"/>
              </w:rPr>
              <w:t>Н</w:t>
            </w:r>
            <w:r w:rsidRPr="00C239D8">
              <w:rPr>
                <w:color w:val="000000"/>
                <w:sz w:val="28"/>
                <w:szCs w:val="28"/>
                <w:lang w:val="uk-UA" w:eastAsia="en-US"/>
              </w:rPr>
              <w:t>Щ</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w:t>
            </w:r>
            <w:r w:rsidRPr="00C239D8">
              <w:rPr>
                <w:color w:val="000000"/>
                <w:sz w:val="28"/>
                <w:szCs w:val="28"/>
                <w:lang w:val="uk-UA" w:eastAsia="en-US"/>
              </w:rPr>
              <w:t>186</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,020</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w:t>
            </w:r>
            <w:r w:rsidRPr="00C239D8">
              <w:rPr>
                <w:color w:val="000000"/>
                <w:sz w:val="28"/>
                <w:szCs w:val="28"/>
                <w:lang w:eastAsia="en-US"/>
              </w:rPr>
              <w:t>Х</w:t>
            </w:r>
            <w:r w:rsidRPr="00C239D8">
              <w:rPr>
                <w:color w:val="000000"/>
                <w:sz w:val="28"/>
                <w:szCs w:val="28"/>
                <w:lang w:val="uk-UA" w:eastAsia="en-US"/>
              </w:rPr>
              <w:t xml:space="preserve">С </w:t>
            </w:r>
            <w:r w:rsidRPr="00C239D8">
              <w:rPr>
                <w:color w:val="000000"/>
                <w:sz w:val="28"/>
                <w:szCs w:val="28"/>
                <w:lang w:eastAsia="en-US"/>
              </w:rPr>
              <w:t>ЛПН</w:t>
            </w:r>
            <w:r w:rsidRPr="00C239D8">
              <w:rPr>
                <w:color w:val="000000"/>
                <w:sz w:val="28"/>
                <w:szCs w:val="28"/>
                <w:lang w:val="uk-UA" w:eastAsia="en-US"/>
              </w:rPr>
              <w:t>Щ</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,294</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,00</w:t>
            </w:r>
            <w:r w:rsidRPr="00C239D8">
              <w:rPr>
                <w:color w:val="000000"/>
                <w:sz w:val="28"/>
                <w:szCs w:val="28"/>
                <w:lang w:val="uk-UA" w:eastAsia="en-US"/>
              </w:rPr>
              <w:t>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СРП-ЦДЕК</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0,205</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0,010</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w:t>
            </w:r>
            <w:r w:rsidRPr="00C239D8">
              <w:rPr>
                <w:color w:val="000000"/>
                <w:sz w:val="28"/>
                <w:szCs w:val="28"/>
                <w:lang w:eastAsia="en-US"/>
              </w:rPr>
              <w:t>HbA1</w:t>
            </w:r>
            <w:r w:rsidRPr="00C239D8">
              <w:rPr>
                <w:color w:val="000000"/>
                <w:sz w:val="28"/>
                <w:szCs w:val="28"/>
                <w:lang w:val="uk-UA" w:eastAsia="en-US"/>
              </w:rPr>
              <w:t>с</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,253</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,001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 -ТКІМ</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eastAsia="en-US"/>
              </w:rPr>
            </w:pPr>
            <w:r w:rsidRPr="00C239D8">
              <w:rPr>
                <w:color w:val="000000"/>
                <w:sz w:val="28"/>
                <w:szCs w:val="28"/>
                <w:lang w:val="uk-UA" w:eastAsia="en-US"/>
              </w:rPr>
              <w:t>0</w:t>
            </w:r>
            <w:r w:rsidRPr="00C239D8">
              <w:rPr>
                <w:color w:val="000000"/>
                <w:sz w:val="28"/>
                <w:szCs w:val="28"/>
                <w:lang w:eastAsia="en-US"/>
              </w:rPr>
              <w:t>,230</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,004</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 -</w:t>
            </w:r>
            <w:r w:rsidRPr="00C239D8">
              <w:rPr>
                <w:color w:val="000000"/>
                <w:sz w:val="28"/>
                <w:szCs w:val="28"/>
                <w:lang w:eastAsia="en-US"/>
              </w:rPr>
              <w:t>ТТГ</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-0,161</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,045</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sz w:val="28"/>
                <w:szCs w:val="28"/>
                <w:lang w:val="uk-UA" w:eastAsia="en-US"/>
              </w:rPr>
              <w:t>ФНП-α -8-OH-dG</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,166</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,038</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sz w:val="28"/>
                <w:szCs w:val="28"/>
                <w:lang w:val="uk-UA" w:eastAsia="en-US"/>
              </w:rPr>
              <w:t>ФНП-α -</w:t>
            </w:r>
            <w:r w:rsidRPr="00C239D8">
              <w:rPr>
                <w:color w:val="000000"/>
                <w:sz w:val="28"/>
                <w:szCs w:val="28"/>
                <w:lang w:eastAsia="en-US"/>
              </w:rPr>
              <w:t>МДА</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,207</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,010</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sz w:val="28"/>
                <w:szCs w:val="28"/>
                <w:lang w:val="uk-UA" w:eastAsia="en-US"/>
              </w:rPr>
              <w:t>ФНП-α-</w:t>
            </w:r>
            <w:r w:rsidRPr="00C239D8">
              <w:rPr>
                <w:color w:val="000000"/>
                <w:sz w:val="28"/>
                <w:szCs w:val="28"/>
                <w:lang w:eastAsia="en-US"/>
              </w:rPr>
              <w:t>СА</w:t>
            </w:r>
            <w:r w:rsidRPr="00C239D8">
              <w:rPr>
                <w:color w:val="000000"/>
                <w:sz w:val="28"/>
                <w:szCs w:val="28"/>
                <w:lang w:val="uk-UA" w:eastAsia="en-US"/>
              </w:rPr>
              <w:t>Т</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,268</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,001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sz w:val="28"/>
                <w:szCs w:val="28"/>
                <w:lang w:val="uk-UA" w:eastAsia="en-US"/>
              </w:rPr>
              <w:t>ФНП-α -</w:t>
            </w:r>
            <w:r w:rsidRPr="00C239D8">
              <w:rPr>
                <w:color w:val="000000"/>
                <w:sz w:val="28"/>
                <w:szCs w:val="28"/>
                <w:lang w:eastAsia="en-US"/>
              </w:rPr>
              <w:t>ПА</w:t>
            </w:r>
            <w:r w:rsidRPr="00C239D8">
              <w:rPr>
                <w:color w:val="000000"/>
                <w:sz w:val="28"/>
                <w:szCs w:val="28"/>
                <w:lang w:val="uk-UA" w:eastAsia="en-US"/>
              </w:rPr>
              <w:t>Т</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eastAsia="en-US"/>
              </w:rPr>
              <w:t>-</w:t>
            </w:r>
            <w:r w:rsidRPr="00C239D8">
              <w:rPr>
                <w:color w:val="000000"/>
                <w:sz w:val="28"/>
                <w:szCs w:val="28"/>
                <w:lang w:val="uk-UA" w:eastAsia="en-US"/>
              </w:rPr>
              <w:t>0</w:t>
            </w:r>
            <w:r w:rsidRPr="00C239D8">
              <w:rPr>
                <w:color w:val="000000"/>
                <w:sz w:val="28"/>
                <w:szCs w:val="28"/>
                <w:lang w:eastAsia="en-US"/>
              </w:rPr>
              <w:t>,2</w:t>
            </w:r>
            <w:r w:rsidRPr="00C239D8">
              <w:rPr>
                <w:color w:val="000000"/>
                <w:sz w:val="28"/>
                <w:szCs w:val="28"/>
                <w:lang w:val="uk-UA" w:eastAsia="en-US"/>
              </w:rPr>
              <w:t>01</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b/>
                <w:sz w:val="28"/>
                <w:szCs w:val="28"/>
                <w:lang w:val="uk-UA" w:eastAsia="en-US"/>
              </w:rPr>
            </w:pPr>
            <w:r w:rsidRPr="00C239D8">
              <w:rPr>
                <w:color w:val="000000"/>
                <w:sz w:val="28"/>
                <w:szCs w:val="28"/>
                <w:lang w:val="uk-UA" w:eastAsia="en-US"/>
              </w:rPr>
              <w:t>0</w:t>
            </w:r>
            <w:r w:rsidRPr="00C239D8">
              <w:rPr>
                <w:color w:val="000000"/>
                <w:sz w:val="28"/>
                <w:szCs w:val="28"/>
                <w:lang w:eastAsia="en-US"/>
              </w:rPr>
              <w:t>,0</w:t>
            </w:r>
            <w:r w:rsidRPr="00C239D8">
              <w:rPr>
                <w:color w:val="000000"/>
                <w:sz w:val="28"/>
                <w:szCs w:val="28"/>
                <w:lang w:val="uk-UA" w:eastAsia="en-US"/>
              </w:rPr>
              <w:t>12</w:t>
            </w:r>
          </w:p>
        </w:tc>
      </w:tr>
      <w:tr w:rsidR="00E3259F" w:rsidRPr="00C239D8"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center"/>
              <w:rPr>
                <w:sz w:val="28"/>
                <w:szCs w:val="28"/>
                <w:lang w:val="uk-UA" w:eastAsia="en-US"/>
              </w:rPr>
            </w:pPr>
            <w:r w:rsidRPr="00C239D8">
              <w:rPr>
                <w:sz w:val="28"/>
                <w:szCs w:val="28"/>
                <w:lang w:val="uk-UA" w:eastAsia="en-US"/>
              </w:rPr>
              <w:t>3 група</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СРП-ТТГ</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eastAsia="en-US"/>
              </w:rPr>
            </w:pPr>
            <w:r w:rsidRPr="00C239D8">
              <w:rPr>
                <w:color w:val="000000"/>
                <w:sz w:val="28"/>
                <w:szCs w:val="28"/>
                <w:lang w:val="uk-UA" w:eastAsia="en-US"/>
              </w:rPr>
              <w:t>0</w:t>
            </w:r>
            <w:r w:rsidRPr="00C239D8">
              <w:rPr>
                <w:color w:val="000000"/>
                <w:sz w:val="28"/>
                <w:szCs w:val="28"/>
                <w:lang w:eastAsia="en-US"/>
              </w:rPr>
              <w:t>,434</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,00</w:t>
            </w:r>
            <w:r w:rsidRPr="00C239D8">
              <w:rPr>
                <w:color w:val="000000"/>
                <w:sz w:val="28"/>
                <w:szCs w:val="28"/>
                <w:lang w:val="uk-UA" w:eastAsia="en-US"/>
              </w:rPr>
              <w:t>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w:t>
            </w:r>
            <w:r w:rsidRPr="00C239D8">
              <w:rPr>
                <w:color w:val="000000"/>
                <w:sz w:val="28"/>
                <w:szCs w:val="28"/>
                <w:lang w:eastAsia="en-US"/>
              </w:rPr>
              <w:t>ГПО</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eastAsia="en-US"/>
              </w:rPr>
              <w:t>-</w:t>
            </w:r>
            <w:r w:rsidRPr="00C239D8">
              <w:rPr>
                <w:color w:val="000000"/>
                <w:sz w:val="28"/>
                <w:szCs w:val="28"/>
                <w:lang w:val="uk-UA" w:eastAsia="en-US"/>
              </w:rPr>
              <w:t>0</w:t>
            </w:r>
            <w:r w:rsidRPr="00C239D8">
              <w:rPr>
                <w:color w:val="000000"/>
                <w:sz w:val="28"/>
                <w:szCs w:val="28"/>
                <w:lang w:eastAsia="en-US"/>
              </w:rPr>
              <w:t>,307</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,003</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w:t>
            </w:r>
            <w:r w:rsidRPr="00C239D8">
              <w:rPr>
                <w:color w:val="000000"/>
                <w:sz w:val="28"/>
                <w:szCs w:val="28"/>
                <w:lang w:eastAsia="en-US"/>
              </w:rPr>
              <w:t>МДА</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,240</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,021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СРП-</w:t>
            </w:r>
            <w:r w:rsidRPr="00C239D8">
              <w:rPr>
                <w:color w:val="000000"/>
                <w:sz w:val="28"/>
                <w:szCs w:val="28"/>
                <w:lang w:eastAsia="en-US"/>
              </w:rPr>
              <w:t>SH</w:t>
            </w:r>
            <w:r w:rsidRPr="00C239D8">
              <w:rPr>
                <w:color w:val="000000"/>
                <w:sz w:val="28"/>
                <w:szCs w:val="28"/>
                <w:lang w:val="uk-UA" w:eastAsia="en-US"/>
              </w:rPr>
              <w:t>-групи</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eastAsia="en-US"/>
              </w:rPr>
              <w:t>-</w:t>
            </w:r>
            <w:r w:rsidRPr="00C239D8">
              <w:rPr>
                <w:color w:val="000000"/>
                <w:sz w:val="28"/>
                <w:szCs w:val="28"/>
                <w:lang w:val="uk-UA" w:eastAsia="en-US"/>
              </w:rPr>
              <w:t>0</w:t>
            </w:r>
            <w:r w:rsidRPr="00C239D8">
              <w:rPr>
                <w:color w:val="000000"/>
                <w:sz w:val="28"/>
                <w:szCs w:val="28"/>
                <w:lang w:eastAsia="en-US"/>
              </w:rPr>
              <w:t>,301</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,003</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w:t>
            </w:r>
            <w:r w:rsidRPr="00C239D8">
              <w:rPr>
                <w:color w:val="000000"/>
                <w:sz w:val="28"/>
                <w:szCs w:val="28"/>
                <w:lang w:eastAsia="en-US"/>
              </w:rPr>
              <w:t>Х</w:t>
            </w:r>
            <w:r w:rsidRPr="00C239D8">
              <w:rPr>
                <w:color w:val="000000"/>
                <w:sz w:val="28"/>
                <w:szCs w:val="28"/>
                <w:lang w:val="uk-UA" w:eastAsia="en-US"/>
              </w:rPr>
              <w:t xml:space="preserve">С </w:t>
            </w:r>
            <w:r w:rsidRPr="00C239D8">
              <w:rPr>
                <w:color w:val="000000"/>
                <w:sz w:val="28"/>
                <w:szCs w:val="28"/>
                <w:lang w:eastAsia="en-US"/>
              </w:rPr>
              <w:t>ЛП</w:t>
            </w:r>
            <w:r w:rsidRPr="00C239D8">
              <w:rPr>
                <w:color w:val="000000"/>
                <w:sz w:val="28"/>
                <w:szCs w:val="28"/>
                <w:lang w:val="uk-UA" w:eastAsia="en-US"/>
              </w:rPr>
              <w:t>ДНЩ</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,224</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,031</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 - г</w:t>
            </w:r>
            <w:r w:rsidRPr="00C239D8">
              <w:rPr>
                <w:color w:val="000000"/>
                <w:sz w:val="28"/>
                <w:szCs w:val="28"/>
                <w:lang w:eastAsia="en-US"/>
              </w:rPr>
              <w:t>люкоза</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,205</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,048</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w:t>
            </w:r>
            <w:r w:rsidRPr="00C239D8">
              <w:rPr>
                <w:color w:val="000000"/>
                <w:sz w:val="28"/>
                <w:szCs w:val="28"/>
                <w:lang w:eastAsia="en-US"/>
              </w:rPr>
              <w:t>МДА</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eastAsia="en-US"/>
              </w:rPr>
              <w:t>-</w:t>
            </w:r>
            <w:r w:rsidRPr="00C239D8">
              <w:rPr>
                <w:color w:val="000000"/>
                <w:sz w:val="28"/>
                <w:szCs w:val="28"/>
                <w:lang w:val="uk-UA" w:eastAsia="en-US"/>
              </w:rPr>
              <w:t>0</w:t>
            </w:r>
            <w:r w:rsidRPr="00C239D8">
              <w:rPr>
                <w:color w:val="000000"/>
                <w:sz w:val="28"/>
                <w:szCs w:val="28"/>
                <w:lang w:eastAsia="en-US"/>
              </w:rPr>
              <w:t>,214</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val="uk-UA" w:eastAsia="en-US"/>
              </w:rPr>
            </w:pPr>
            <w:r w:rsidRPr="00C239D8">
              <w:rPr>
                <w:color w:val="000000"/>
                <w:sz w:val="28"/>
                <w:szCs w:val="28"/>
                <w:lang w:val="uk-UA" w:eastAsia="en-US"/>
              </w:rPr>
              <w:t>0</w:t>
            </w:r>
            <w:r w:rsidRPr="00C239D8">
              <w:rPr>
                <w:color w:val="000000"/>
                <w:sz w:val="28"/>
                <w:szCs w:val="28"/>
                <w:lang w:eastAsia="en-US"/>
              </w:rPr>
              <w:t>,040</w:t>
            </w:r>
          </w:p>
        </w:tc>
      </w:tr>
      <w:tr w:rsidR="00E3259F" w:rsidRPr="00C239D8" w:rsidTr="00E3259F">
        <w:tc>
          <w:tcPr>
            <w:tcW w:w="2802"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sz w:val="28"/>
                <w:szCs w:val="28"/>
                <w:lang w:val="uk-UA" w:eastAsia="en-US"/>
              </w:rPr>
            </w:pPr>
            <w:r w:rsidRPr="00C239D8">
              <w:rPr>
                <w:sz w:val="28"/>
                <w:szCs w:val="28"/>
                <w:lang w:val="uk-UA" w:eastAsia="en-US"/>
              </w:rPr>
              <w:t>ФНП-α-</w:t>
            </w:r>
            <w:r w:rsidRPr="00C239D8">
              <w:rPr>
                <w:color w:val="000000"/>
                <w:sz w:val="28"/>
                <w:szCs w:val="28"/>
                <w:lang w:eastAsia="en-US"/>
              </w:rPr>
              <w:t>ТК</w:t>
            </w:r>
            <w:r w:rsidRPr="00C239D8">
              <w:rPr>
                <w:color w:val="000000"/>
                <w:sz w:val="28"/>
                <w:szCs w:val="28"/>
                <w:lang w:val="uk-UA" w:eastAsia="en-US"/>
              </w:rPr>
              <w:t>І</w:t>
            </w:r>
            <w:r w:rsidRPr="00C239D8">
              <w:rPr>
                <w:color w:val="000000"/>
                <w:sz w:val="28"/>
                <w:szCs w:val="28"/>
                <w:lang w:eastAsia="en-US"/>
              </w:rPr>
              <w:t>М</w:t>
            </w:r>
          </w:p>
        </w:tc>
        <w:tc>
          <w:tcPr>
            <w:tcW w:w="3577"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eastAsia="en-US"/>
              </w:rPr>
            </w:pPr>
            <w:r w:rsidRPr="00C239D8">
              <w:rPr>
                <w:color w:val="000000"/>
                <w:sz w:val="28"/>
                <w:szCs w:val="28"/>
                <w:lang w:val="uk-UA" w:eastAsia="en-US"/>
              </w:rPr>
              <w:t>0</w:t>
            </w:r>
            <w:r w:rsidRPr="00C239D8">
              <w:rPr>
                <w:color w:val="000000"/>
                <w:sz w:val="28"/>
                <w:szCs w:val="28"/>
                <w:lang w:eastAsia="en-US"/>
              </w:rPr>
              <w:t>,294</w:t>
            </w:r>
          </w:p>
        </w:tc>
        <w:tc>
          <w:tcPr>
            <w:tcW w:w="3191" w:type="dxa"/>
            <w:tcBorders>
              <w:top w:val="single" w:sz="4" w:space="0" w:color="auto"/>
              <w:left w:val="single" w:sz="4" w:space="0" w:color="auto"/>
              <w:bottom w:val="single" w:sz="4" w:space="0" w:color="auto"/>
              <w:right w:val="single" w:sz="4" w:space="0" w:color="auto"/>
            </w:tcBorders>
            <w:hideMark/>
          </w:tcPr>
          <w:p w:rsidR="00E3259F" w:rsidRPr="00C239D8" w:rsidRDefault="00E3259F" w:rsidP="00C239D8">
            <w:pPr>
              <w:spacing w:line="360" w:lineRule="auto"/>
              <w:jc w:val="both"/>
              <w:rPr>
                <w:color w:val="000000"/>
                <w:sz w:val="28"/>
                <w:szCs w:val="28"/>
                <w:lang w:eastAsia="en-US"/>
              </w:rPr>
            </w:pPr>
            <w:r w:rsidRPr="00C239D8">
              <w:rPr>
                <w:color w:val="000000"/>
                <w:sz w:val="28"/>
                <w:szCs w:val="28"/>
                <w:lang w:val="uk-UA" w:eastAsia="en-US"/>
              </w:rPr>
              <w:t>0</w:t>
            </w:r>
            <w:r w:rsidRPr="00C239D8">
              <w:rPr>
                <w:color w:val="000000"/>
                <w:sz w:val="28"/>
                <w:szCs w:val="28"/>
                <w:lang w:eastAsia="en-US"/>
              </w:rPr>
              <w:t>,004</w:t>
            </w:r>
          </w:p>
        </w:tc>
      </w:tr>
    </w:tbl>
    <w:p w:rsidR="00E3259F" w:rsidRPr="00C239D8" w:rsidRDefault="00E3259F" w:rsidP="00E3259F">
      <w:pPr>
        <w:spacing w:line="360" w:lineRule="auto"/>
        <w:ind w:firstLine="709"/>
        <w:jc w:val="both"/>
        <w:rPr>
          <w:sz w:val="28"/>
          <w:szCs w:val="28"/>
          <w:lang w:val="uk-UA"/>
        </w:rPr>
      </w:pPr>
      <w:r w:rsidRPr="00C239D8">
        <w:rPr>
          <w:sz w:val="28"/>
          <w:szCs w:val="28"/>
          <w:lang w:val="uk-UA"/>
        </w:rPr>
        <w:t>Однофакторний  дисперсійний аналіз виявив значний вплив ТТГ на рівні ФНО-α (р =0,032) у пацієнтів з ГХ, ЦД 2 типу та СГТ та на рівні СРП (р=0,001) у пацієнтів з ГХ та ЦД 2 типу.</w:t>
      </w:r>
      <w:r w:rsidRPr="00C239D8">
        <w:rPr>
          <w:sz w:val="28"/>
          <w:szCs w:val="28"/>
        </w:rPr>
        <w:t> </w:t>
      </w:r>
    </w:p>
    <w:p w:rsidR="00E3259F" w:rsidRPr="00C239D8" w:rsidRDefault="00E3259F" w:rsidP="00E3259F">
      <w:pPr>
        <w:spacing w:line="360" w:lineRule="auto"/>
        <w:ind w:firstLine="709"/>
        <w:jc w:val="both"/>
        <w:rPr>
          <w:sz w:val="28"/>
          <w:szCs w:val="28"/>
          <w:lang w:val="uk-UA"/>
        </w:rPr>
      </w:pPr>
      <w:r w:rsidRPr="00C239D8">
        <w:rPr>
          <w:sz w:val="28"/>
          <w:szCs w:val="28"/>
          <w:shd w:val="clear" w:color="auto" w:fill="FFFFFF"/>
          <w:lang w:val="uk-UA"/>
        </w:rPr>
        <w:t xml:space="preserve">У групі пацієнтів з поєднаним перебігом ГХ, ЦД 2 типу та СГТ  дослідження рівня маркерів хронічного запалення з урахуванням розподілу пацієнтів за рівнем ТТГ (Таблиця 5.7) не виявило достовірних відмінностей рівнів </w:t>
      </w:r>
      <w:r w:rsidRPr="00C239D8">
        <w:rPr>
          <w:sz w:val="28"/>
          <w:szCs w:val="28"/>
          <w:lang w:val="uk-UA" w:eastAsia="en-US"/>
        </w:rPr>
        <w:t>ФНП-α (</w:t>
      </w:r>
      <w:r w:rsidRPr="00C239D8">
        <w:rPr>
          <w:sz w:val="28"/>
          <w:szCs w:val="28"/>
          <w:shd w:val="clear" w:color="auto" w:fill="FFFFFF"/>
          <w:lang w:val="uk-UA"/>
        </w:rPr>
        <w:t xml:space="preserve">р&gt;0,05) та СРП (р&gt;0,05) залежно від рівня ТТГ. </w:t>
      </w:r>
    </w:p>
    <w:p w:rsidR="00E3259F" w:rsidRPr="00C239D8" w:rsidRDefault="00E3259F" w:rsidP="00E3259F">
      <w:pPr>
        <w:spacing w:line="360" w:lineRule="auto"/>
        <w:ind w:firstLine="709"/>
        <w:jc w:val="right"/>
        <w:rPr>
          <w:sz w:val="28"/>
          <w:szCs w:val="28"/>
          <w:lang w:val="uk-UA"/>
        </w:rPr>
      </w:pPr>
      <w:r w:rsidRPr="00C239D8">
        <w:rPr>
          <w:sz w:val="28"/>
          <w:szCs w:val="28"/>
          <w:lang w:val="uk-UA"/>
        </w:rPr>
        <w:t>Таблица 5.7</w:t>
      </w:r>
    </w:p>
    <w:p w:rsidR="00E3259F" w:rsidRPr="00C239D8" w:rsidRDefault="00E3259F" w:rsidP="00E3259F">
      <w:pPr>
        <w:spacing w:line="360" w:lineRule="auto"/>
        <w:jc w:val="center"/>
        <w:rPr>
          <w:sz w:val="28"/>
          <w:szCs w:val="28"/>
          <w:lang w:val="uk-UA"/>
        </w:rPr>
      </w:pPr>
      <w:r w:rsidRPr="00C239D8">
        <w:rPr>
          <w:sz w:val="28"/>
          <w:szCs w:val="28"/>
          <w:lang w:val="uk-UA"/>
        </w:rPr>
        <w:t>Порівняльна характеристика маркерів хронічного системного запалення у пацієнтів  з гіпертонічною хворобою, цукровим діабетом 2 типу та субклінічним гіпотиреозом з урахуванням рівня ТТГ, (</w:t>
      </w:r>
      <w:r w:rsidRPr="00C239D8">
        <w:rPr>
          <w:sz w:val="28"/>
          <w:szCs w:val="28"/>
          <w:lang w:val="en-US"/>
        </w:rPr>
        <w:t>M</w:t>
      </w:r>
      <w:r w:rsidRPr="00C239D8">
        <w:rPr>
          <w:sz w:val="28"/>
          <w:szCs w:val="28"/>
          <w:lang w:val="uk-UA"/>
        </w:rPr>
        <w:t>±</w:t>
      </w:r>
      <w:r w:rsidRPr="00C239D8">
        <w:rPr>
          <w:sz w:val="28"/>
          <w:szCs w:val="28"/>
          <w:lang w:val="en-US"/>
        </w:rPr>
        <w:t>m</w:t>
      </w:r>
      <w:r w:rsidRPr="00C239D8">
        <w:rPr>
          <w:sz w:val="28"/>
          <w:szCs w:val="28"/>
          <w:lang w:val="uk-UA"/>
        </w:rPr>
        <w:t>)</w:t>
      </w:r>
    </w:p>
    <w:tbl>
      <w:tblPr>
        <w:tblW w:w="0" w:type="auto"/>
        <w:tblLook w:val="04A0" w:firstRow="1" w:lastRow="0" w:firstColumn="1" w:lastColumn="0" w:noHBand="0" w:noVBand="1"/>
      </w:tblPr>
      <w:tblGrid>
        <w:gridCol w:w="2235"/>
        <w:gridCol w:w="2835"/>
        <w:gridCol w:w="2767"/>
        <w:gridCol w:w="1733"/>
      </w:tblGrid>
      <w:tr w:rsidR="00E3259F" w:rsidRPr="00C239D8" w:rsidTr="00E3259F">
        <w:tc>
          <w:tcPr>
            <w:tcW w:w="2235"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center"/>
              <w:rPr>
                <w:rFonts w:eastAsia="Calibri"/>
                <w:sz w:val="28"/>
                <w:szCs w:val="28"/>
                <w:lang w:val="uk-UA" w:eastAsia="en-US"/>
              </w:rPr>
            </w:pPr>
            <w:r w:rsidRPr="00C239D8">
              <w:rPr>
                <w:sz w:val="28"/>
                <w:szCs w:val="28"/>
                <w:lang w:val="uk-UA" w:eastAsia="en-US"/>
              </w:rPr>
              <w:t>Показник</w:t>
            </w:r>
          </w:p>
        </w:tc>
        <w:tc>
          <w:tcPr>
            <w:tcW w:w="2835"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8"/>
                <w:szCs w:val="28"/>
                <w:lang w:val="uk-UA" w:eastAsia="en-US"/>
              </w:rPr>
            </w:pPr>
            <w:r w:rsidRPr="00C239D8">
              <w:rPr>
                <w:sz w:val="28"/>
                <w:szCs w:val="28"/>
                <w:lang w:val="uk-UA" w:eastAsia="en-US"/>
              </w:rPr>
              <w:t>3а група</w:t>
            </w:r>
          </w:p>
          <w:p w:rsidR="00E3259F" w:rsidRPr="00C239D8" w:rsidRDefault="00E3259F">
            <w:pPr>
              <w:spacing w:line="360" w:lineRule="auto"/>
              <w:rPr>
                <w:rFonts w:eastAsia="Calibri"/>
                <w:sz w:val="28"/>
                <w:szCs w:val="28"/>
                <w:lang w:val="uk-UA" w:eastAsia="en-US"/>
              </w:rPr>
            </w:pPr>
            <w:r w:rsidRPr="00C239D8">
              <w:rPr>
                <w:sz w:val="28"/>
                <w:szCs w:val="28"/>
                <w:shd w:val="clear" w:color="auto" w:fill="FFFFFF"/>
                <w:lang w:val="uk-UA" w:eastAsia="en-US"/>
              </w:rPr>
              <w:t xml:space="preserve">(ТТГ від 4,1 до 6,0 мкМОд/мл, </w:t>
            </w:r>
            <w:r w:rsidRPr="00C239D8">
              <w:rPr>
                <w:sz w:val="28"/>
                <w:szCs w:val="28"/>
                <w:shd w:val="clear" w:color="auto" w:fill="FFFFFF"/>
                <w:lang w:val="en-US" w:eastAsia="en-US"/>
              </w:rPr>
              <w:t>n</w:t>
            </w:r>
            <w:r w:rsidRPr="00C239D8">
              <w:rPr>
                <w:sz w:val="28"/>
                <w:szCs w:val="28"/>
                <w:shd w:val="clear" w:color="auto" w:fill="FFFFFF"/>
                <w:lang w:val="uk-UA" w:eastAsia="en-US"/>
              </w:rPr>
              <w:t>=52)</w:t>
            </w:r>
          </w:p>
        </w:tc>
        <w:tc>
          <w:tcPr>
            <w:tcW w:w="2767"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8"/>
                <w:szCs w:val="28"/>
                <w:lang w:val="uk-UA" w:eastAsia="en-US"/>
              </w:rPr>
            </w:pPr>
            <w:r w:rsidRPr="00C239D8">
              <w:rPr>
                <w:sz w:val="28"/>
                <w:szCs w:val="28"/>
                <w:lang w:val="uk-UA" w:eastAsia="en-US"/>
              </w:rPr>
              <w:t>3б група</w:t>
            </w:r>
          </w:p>
          <w:p w:rsidR="00E3259F" w:rsidRPr="00C239D8" w:rsidRDefault="00E3259F">
            <w:pPr>
              <w:spacing w:line="360" w:lineRule="auto"/>
              <w:rPr>
                <w:rFonts w:eastAsia="Calibri"/>
                <w:sz w:val="28"/>
                <w:szCs w:val="28"/>
                <w:lang w:eastAsia="en-US"/>
              </w:rPr>
            </w:pPr>
            <w:r w:rsidRPr="00C239D8">
              <w:rPr>
                <w:sz w:val="28"/>
                <w:szCs w:val="28"/>
                <w:shd w:val="clear" w:color="auto" w:fill="FFFFFF"/>
                <w:lang w:val="uk-UA" w:eastAsia="en-US"/>
              </w:rPr>
              <w:t xml:space="preserve">(ТТГ від 6,1 до 10 мкМОд/мл, </w:t>
            </w:r>
            <w:r w:rsidRPr="00C239D8">
              <w:rPr>
                <w:sz w:val="28"/>
                <w:szCs w:val="28"/>
                <w:shd w:val="clear" w:color="auto" w:fill="FFFFFF"/>
                <w:lang w:val="en-US" w:eastAsia="en-US"/>
              </w:rPr>
              <w:t>n</w:t>
            </w:r>
            <w:r w:rsidRPr="00C239D8">
              <w:rPr>
                <w:sz w:val="28"/>
                <w:szCs w:val="28"/>
                <w:shd w:val="clear" w:color="auto" w:fill="FFFFFF"/>
                <w:lang w:val="uk-UA" w:eastAsia="en-US"/>
              </w:rPr>
              <w:t>=41)</w:t>
            </w:r>
          </w:p>
        </w:tc>
        <w:tc>
          <w:tcPr>
            <w:tcW w:w="1733"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8"/>
                <w:szCs w:val="28"/>
                <w:lang w:val="uk-UA" w:eastAsia="en-US"/>
              </w:rPr>
            </w:pPr>
            <w:r w:rsidRPr="00C239D8">
              <w:rPr>
                <w:sz w:val="28"/>
                <w:szCs w:val="28"/>
                <w:lang w:val="uk-UA" w:eastAsia="en-US"/>
              </w:rPr>
              <w:t>Значимість,</w:t>
            </w:r>
          </w:p>
          <w:p w:rsidR="00E3259F" w:rsidRPr="00C239D8" w:rsidRDefault="00E3259F">
            <w:pPr>
              <w:spacing w:line="360" w:lineRule="auto"/>
              <w:jc w:val="center"/>
              <w:rPr>
                <w:sz w:val="28"/>
                <w:szCs w:val="28"/>
                <w:lang w:val="uk-UA" w:eastAsia="en-US"/>
              </w:rPr>
            </w:pPr>
            <w:r w:rsidRPr="00C239D8">
              <w:rPr>
                <w:sz w:val="28"/>
                <w:szCs w:val="28"/>
                <w:lang w:val="uk-UA" w:eastAsia="en-US"/>
              </w:rPr>
              <w:t>р</w:t>
            </w:r>
          </w:p>
        </w:tc>
      </w:tr>
      <w:tr w:rsidR="00E3259F" w:rsidRPr="00C239D8" w:rsidTr="00E3259F">
        <w:tc>
          <w:tcPr>
            <w:tcW w:w="2235"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rFonts w:eastAsia="Calibri"/>
                <w:sz w:val="28"/>
                <w:szCs w:val="28"/>
                <w:lang w:eastAsia="en-US"/>
              </w:rPr>
            </w:pPr>
            <w:r w:rsidRPr="00C239D8">
              <w:rPr>
                <w:sz w:val="28"/>
                <w:szCs w:val="28"/>
                <w:lang w:val="uk-UA" w:eastAsia="en-US"/>
              </w:rPr>
              <w:t xml:space="preserve">ФНП-α, </w:t>
            </w:r>
            <w:r w:rsidRPr="00C239D8">
              <w:rPr>
                <w:sz w:val="28"/>
                <w:szCs w:val="28"/>
                <w:lang w:eastAsia="en-US"/>
              </w:rPr>
              <w:t>пг/мл</w:t>
            </w:r>
          </w:p>
        </w:tc>
        <w:tc>
          <w:tcPr>
            <w:tcW w:w="2835"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rFonts w:eastAsia="Calibri"/>
                <w:sz w:val="28"/>
                <w:szCs w:val="28"/>
                <w:lang w:eastAsia="en-US"/>
              </w:rPr>
            </w:pPr>
            <w:r w:rsidRPr="00C239D8">
              <w:rPr>
                <w:sz w:val="28"/>
                <w:szCs w:val="28"/>
                <w:lang w:eastAsia="en-US"/>
              </w:rPr>
              <w:t>11,9</w:t>
            </w:r>
            <w:r w:rsidRPr="00C239D8">
              <w:rPr>
                <w:sz w:val="28"/>
                <w:szCs w:val="28"/>
                <w:lang w:val="uk-UA" w:eastAsia="en-US"/>
              </w:rPr>
              <w:t>5</w:t>
            </w:r>
            <w:r w:rsidRPr="00C239D8">
              <w:rPr>
                <w:sz w:val="28"/>
                <w:szCs w:val="28"/>
                <w:lang w:eastAsia="en-US"/>
              </w:rPr>
              <w:t>±</w:t>
            </w:r>
            <w:r w:rsidRPr="00C239D8">
              <w:rPr>
                <w:sz w:val="28"/>
                <w:szCs w:val="28"/>
                <w:lang w:val="uk-UA" w:eastAsia="en-US"/>
              </w:rPr>
              <w:t>0</w:t>
            </w:r>
            <w:r w:rsidRPr="00C239D8">
              <w:rPr>
                <w:sz w:val="28"/>
                <w:szCs w:val="28"/>
                <w:lang w:eastAsia="en-US"/>
              </w:rPr>
              <w:t>,50</w:t>
            </w:r>
          </w:p>
        </w:tc>
        <w:tc>
          <w:tcPr>
            <w:tcW w:w="2767"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rFonts w:eastAsia="Calibri"/>
                <w:sz w:val="28"/>
                <w:szCs w:val="28"/>
                <w:lang w:eastAsia="en-US"/>
              </w:rPr>
            </w:pPr>
            <w:r w:rsidRPr="00C239D8">
              <w:rPr>
                <w:sz w:val="28"/>
                <w:szCs w:val="28"/>
                <w:lang w:eastAsia="en-US"/>
              </w:rPr>
              <w:t>13,46±</w:t>
            </w:r>
            <w:r w:rsidRPr="00C239D8">
              <w:rPr>
                <w:sz w:val="28"/>
                <w:szCs w:val="28"/>
                <w:lang w:val="uk-UA" w:eastAsia="en-US"/>
              </w:rPr>
              <w:t>0</w:t>
            </w:r>
            <w:r w:rsidRPr="00C239D8">
              <w:rPr>
                <w:sz w:val="28"/>
                <w:szCs w:val="28"/>
                <w:lang w:eastAsia="en-US"/>
              </w:rPr>
              <w:t>,64</w:t>
            </w:r>
          </w:p>
        </w:tc>
        <w:tc>
          <w:tcPr>
            <w:tcW w:w="1733"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8"/>
                <w:szCs w:val="28"/>
                <w:lang w:val="uk-UA" w:eastAsia="en-US"/>
              </w:rPr>
            </w:pPr>
            <w:r w:rsidRPr="00C239D8">
              <w:rPr>
                <w:sz w:val="28"/>
                <w:szCs w:val="28"/>
                <w:shd w:val="clear" w:color="auto" w:fill="FFFFFF"/>
                <w:lang w:val="uk-UA" w:eastAsia="en-US"/>
              </w:rPr>
              <w:t>р&gt;0,05</w:t>
            </w:r>
          </w:p>
        </w:tc>
      </w:tr>
      <w:tr w:rsidR="00E3259F" w:rsidRPr="00C239D8" w:rsidTr="00E3259F">
        <w:tc>
          <w:tcPr>
            <w:tcW w:w="2235"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jc w:val="both"/>
              <w:rPr>
                <w:rFonts w:eastAsia="Calibri"/>
                <w:sz w:val="28"/>
                <w:szCs w:val="28"/>
                <w:lang w:val="uk-UA" w:eastAsia="en-US"/>
              </w:rPr>
            </w:pPr>
            <w:r w:rsidRPr="00C239D8">
              <w:rPr>
                <w:sz w:val="28"/>
                <w:szCs w:val="28"/>
                <w:lang w:val="uk-UA" w:eastAsia="en-US"/>
              </w:rPr>
              <w:t xml:space="preserve">СРП, </w:t>
            </w:r>
            <w:r w:rsidRPr="00C239D8">
              <w:rPr>
                <w:sz w:val="28"/>
                <w:szCs w:val="28"/>
                <w:lang w:eastAsia="en-US"/>
              </w:rPr>
              <w:t>мг/л</w:t>
            </w:r>
          </w:p>
        </w:tc>
        <w:tc>
          <w:tcPr>
            <w:tcW w:w="2835"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rFonts w:eastAsia="Calibri"/>
                <w:sz w:val="28"/>
                <w:szCs w:val="28"/>
                <w:lang w:eastAsia="en-US"/>
              </w:rPr>
            </w:pPr>
            <w:r w:rsidRPr="00C239D8">
              <w:rPr>
                <w:sz w:val="28"/>
                <w:szCs w:val="28"/>
                <w:lang w:eastAsia="en-US"/>
              </w:rPr>
              <w:t>8,63</w:t>
            </w:r>
            <w:r w:rsidRPr="00C239D8">
              <w:rPr>
                <w:sz w:val="28"/>
                <w:szCs w:val="28"/>
                <w:lang w:val="uk-UA" w:eastAsia="en-US"/>
              </w:rPr>
              <w:t>±0</w:t>
            </w:r>
            <w:r w:rsidRPr="00C239D8">
              <w:rPr>
                <w:sz w:val="28"/>
                <w:szCs w:val="28"/>
                <w:lang w:eastAsia="en-US"/>
              </w:rPr>
              <w:t>,5</w:t>
            </w:r>
            <w:r w:rsidRPr="00C239D8">
              <w:rPr>
                <w:sz w:val="28"/>
                <w:szCs w:val="28"/>
                <w:lang w:val="uk-UA" w:eastAsia="en-US"/>
              </w:rPr>
              <w:t>3</w:t>
            </w:r>
          </w:p>
        </w:tc>
        <w:tc>
          <w:tcPr>
            <w:tcW w:w="2767"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rFonts w:eastAsia="Calibri"/>
                <w:sz w:val="28"/>
                <w:szCs w:val="28"/>
                <w:lang w:eastAsia="en-US"/>
              </w:rPr>
            </w:pPr>
            <w:r w:rsidRPr="00C239D8">
              <w:rPr>
                <w:sz w:val="28"/>
                <w:szCs w:val="28"/>
                <w:lang w:eastAsia="en-US"/>
              </w:rPr>
              <w:t>8,00</w:t>
            </w:r>
            <w:r w:rsidRPr="00C239D8">
              <w:rPr>
                <w:sz w:val="28"/>
                <w:szCs w:val="28"/>
                <w:lang w:val="uk-UA" w:eastAsia="en-US"/>
              </w:rPr>
              <w:t>±0</w:t>
            </w:r>
            <w:r w:rsidRPr="00C239D8">
              <w:rPr>
                <w:sz w:val="28"/>
                <w:szCs w:val="28"/>
                <w:lang w:eastAsia="en-US"/>
              </w:rPr>
              <w:t>,3</w:t>
            </w:r>
            <w:r w:rsidRPr="00C239D8">
              <w:rPr>
                <w:sz w:val="28"/>
                <w:szCs w:val="28"/>
                <w:lang w:val="uk-UA" w:eastAsia="en-US"/>
              </w:rPr>
              <w:t>3</w:t>
            </w:r>
          </w:p>
        </w:tc>
        <w:tc>
          <w:tcPr>
            <w:tcW w:w="1733" w:type="dxa"/>
            <w:tcBorders>
              <w:top w:val="single" w:sz="4" w:space="0" w:color="auto"/>
              <w:left w:val="single" w:sz="4" w:space="0" w:color="auto"/>
              <w:bottom w:val="single" w:sz="4" w:space="0" w:color="auto"/>
              <w:right w:val="single" w:sz="4" w:space="0" w:color="auto"/>
            </w:tcBorders>
            <w:hideMark/>
          </w:tcPr>
          <w:p w:rsidR="00E3259F" w:rsidRPr="00C239D8" w:rsidRDefault="00E3259F">
            <w:pPr>
              <w:spacing w:line="360" w:lineRule="auto"/>
              <w:rPr>
                <w:sz w:val="28"/>
                <w:szCs w:val="28"/>
                <w:lang w:eastAsia="en-US"/>
              </w:rPr>
            </w:pPr>
            <w:r w:rsidRPr="00C239D8">
              <w:rPr>
                <w:sz w:val="28"/>
                <w:szCs w:val="28"/>
                <w:shd w:val="clear" w:color="auto" w:fill="FFFFFF"/>
                <w:lang w:val="uk-UA" w:eastAsia="en-US"/>
              </w:rPr>
              <w:t>р&gt;0,05</w:t>
            </w:r>
          </w:p>
        </w:tc>
      </w:tr>
    </w:tbl>
    <w:p w:rsidR="00E3259F" w:rsidRDefault="00E3259F" w:rsidP="00E3259F">
      <w:pPr>
        <w:spacing w:line="360" w:lineRule="auto"/>
        <w:ind w:firstLine="709"/>
        <w:jc w:val="both"/>
        <w:rPr>
          <w:color w:val="000000"/>
          <w:sz w:val="28"/>
          <w:szCs w:val="28"/>
          <w:lang w:val="uk-UA"/>
        </w:rPr>
      </w:pPr>
    </w:p>
    <w:p w:rsidR="00E3259F" w:rsidRPr="00C239D8" w:rsidRDefault="00E3259F" w:rsidP="00C239D8">
      <w:pPr>
        <w:pStyle w:val="a4"/>
        <w:spacing w:line="360" w:lineRule="auto"/>
        <w:ind w:left="0" w:firstLine="709"/>
        <w:jc w:val="both"/>
        <w:textAlignment w:val="top"/>
        <w:rPr>
          <w:sz w:val="28"/>
          <w:szCs w:val="28"/>
          <w:lang w:val="uk-UA" w:eastAsia="uk-UA"/>
        </w:rPr>
      </w:pPr>
      <w:r w:rsidRPr="00C239D8">
        <w:rPr>
          <w:sz w:val="28"/>
          <w:szCs w:val="28"/>
          <w:lang w:val="uk-UA" w:eastAsia="uk-UA"/>
        </w:rPr>
        <w:t>Досліджуючи вікові особливості процесів хронічного системного запалення, J.Danesh et а1 [</w:t>
      </w:r>
      <w:r w:rsidRPr="00C239D8">
        <w:rPr>
          <w:sz w:val="28"/>
          <w:szCs w:val="28"/>
          <w:lang w:val="uk-UA" w:eastAsia="en-US"/>
        </w:rPr>
        <w:t>124</w:t>
      </w:r>
      <w:r w:rsidRPr="00C239D8">
        <w:rPr>
          <w:sz w:val="28"/>
          <w:szCs w:val="28"/>
          <w:lang w:val="uk-UA" w:eastAsia="uk-UA"/>
        </w:rPr>
        <w:t>] встановили в осіб старших вікових груп ​​достовірну позитивну кореляцію між рівнем СРП і такими факторами ризику як гомоцистеїн, тканинний активатор плазміногену, а також негативний взаємозв'язок з ХС ЛПВЩ, аполіпопротеїном А1, А11. За даними Strandberg Т.Е., Tilvis RS, при оцінці 10-річної виживаності серед пацієнтів більше 75 років, базальний рівень СРП, рівний 5,22 мг/л, був достовірно вище в пацієнтів з летальним результатом, ніж зі сприятливим при значенні СРП 3,16 мг/л. При цьому концентрація СРП більше 10 мг/л виступила предиктором загальної смертності (відносний ризик 1,20) і смертності від серцево-судинної патології (відносний ризик 1,22) [</w:t>
      </w:r>
      <w:r w:rsidRPr="00C239D8">
        <w:rPr>
          <w:sz w:val="28"/>
          <w:szCs w:val="28"/>
          <w:lang w:val="uk-UA" w:eastAsia="en-US"/>
        </w:rPr>
        <w:t>124</w:t>
      </w:r>
      <w:r w:rsidRPr="00C239D8">
        <w:rPr>
          <w:sz w:val="28"/>
          <w:szCs w:val="28"/>
          <w:bdr w:val="none" w:sz="0" w:space="0" w:color="auto" w:frame="1"/>
          <w:lang w:val="uk-UA" w:eastAsia="uk-UA"/>
        </w:rPr>
        <w:t>].</w:t>
      </w:r>
    </w:p>
    <w:p w:rsidR="00E3259F" w:rsidRPr="00C239D8" w:rsidRDefault="00E3259F" w:rsidP="00C239D8">
      <w:pPr>
        <w:spacing w:line="360" w:lineRule="auto"/>
        <w:ind w:firstLine="709"/>
        <w:jc w:val="both"/>
        <w:rPr>
          <w:sz w:val="28"/>
          <w:szCs w:val="28"/>
          <w:lang w:val="uk-UA" w:eastAsia="en-US"/>
        </w:rPr>
      </w:pPr>
      <w:r w:rsidRPr="00C239D8">
        <w:rPr>
          <w:sz w:val="28"/>
          <w:szCs w:val="28"/>
          <w:lang w:val="uk-UA"/>
        </w:rPr>
        <w:t xml:space="preserve">Проведений аналіз рівнів СРП та </w:t>
      </w:r>
      <w:r w:rsidRPr="00C239D8">
        <w:rPr>
          <w:sz w:val="28"/>
          <w:szCs w:val="28"/>
          <w:lang w:val="uk-UA" w:eastAsia="en-US"/>
        </w:rPr>
        <w:t>ФНП-α</w:t>
      </w:r>
      <w:r w:rsidRPr="00C239D8">
        <w:rPr>
          <w:sz w:val="28"/>
          <w:szCs w:val="28"/>
          <w:lang w:val="uk-UA"/>
        </w:rPr>
        <w:t xml:space="preserve"> з урахуванням вікової підгрупи виявив значний вплив віку на ці показники в усіх групах, що підтверджує значимість хронічного запалення як вік-асоційованого процесу незалежно від супутнього захворювання (Таблиця 5.8). Так, у групі пацієнтів з ізольованою ГХ з віком спостерігалося достовірне зменшення рівнів ФНП-α (р=0,025) при відсутності достовірних відмінностей рівнів СРП (</w:t>
      </w:r>
      <w:r w:rsidRPr="00C239D8">
        <w:rPr>
          <w:sz w:val="28"/>
          <w:szCs w:val="28"/>
          <w:shd w:val="clear" w:color="auto" w:fill="FFFFFF"/>
          <w:lang w:val="uk-UA"/>
        </w:rPr>
        <w:t>р&gt;0,05)</w:t>
      </w:r>
      <w:r w:rsidRPr="00C239D8">
        <w:rPr>
          <w:sz w:val="28"/>
          <w:szCs w:val="28"/>
          <w:lang w:val="uk-UA"/>
        </w:rPr>
        <w:t xml:space="preserve">. Коморбідний перебіг ГХ і ЦД 2 типу супроводжувався достовірним підвищенням рівня СРП (р=0,028) та зниженням рівня </w:t>
      </w:r>
      <w:r w:rsidRPr="00C239D8">
        <w:rPr>
          <w:sz w:val="28"/>
          <w:szCs w:val="28"/>
          <w:lang w:val="uk-UA" w:eastAsia="en-US"/>
        </w:rPr>
        <w:t>ФНО-α(р=0,004) у осіб старшої вікової групи. У пацієнтів з поєданим перебігом ГХ, ЦД 2 типу та СГТ віком від 61 до 75 років спостерігалося достовірне зменшення рівня СРП, ніж у більш молодшої групи (р=0,043) на тлі відсутності відмінностей рівня ФНО-α (</w:t>
      </w:r>
      <w:r w:rsidRPr="00C239D8">
        <w:rPr>
          <w:sz w:val="28"/>
          <w:szCs w:val="28"/>
          <w:shd w:val="clear" w:color="auto" w:fill="FFFFFF"/>
          <w:lang w:val="uk-UA"/>
        </w:rPr>
        <w:t>р&gt;0,05)</w:t>
      </w:r>
      <w:r w:rsidRPr="00C239D8">
        <w:rPr>
          <w:sz w:val="28"/>
          <w:szCs w:val="28"/>
          <w:lang w:val="uk-UA" w:eastAsia="en-US"/>
        </w:rPr>
        <w:t>.</w:t>
      </w:r>
    </w:p>
    <w:p w:rsidR="00E3259F" w:rsidRDefault="00E3259F" w:rsidP="00E3259F">
      <w:pPr>
        <w:jc w:val="right"/>
        <w:rPr>
          <w:color w:val="000000"/>
          <w:sz w:val="28"/>
          <w:szCs w:val="28"/>
          <w:lang w:val="uk-UA"/>
        </w:rPr>
      </w:pPr>
      <w:r>
        <w:rPr>
          <w:color w:val="000000"/>
          <w:sz w:val="28"/>
          <w:szCs w:val="28"/>
          <w:lang w:val="uk-UA"/>
        </w:rPr>
        <w:t>Таблиця 5.8</w:t>
      </w:r>
    </w:p>
    <w:p w:rsidR="00E3259F" w:rsidRDefault="00E3259F" w:rsidP="00E3259F">
      <w:pPr>
        <w:spacing w:line="360" w:lineRule="auto"/>
        <w:ind w:firstLine="709"/>
        <w:jc w:val="center"/>
        <w:rPr>
          <w:rFonts w:eastAsiaTheme="minorHAnsi"/>
          <w:sz w:val="28"/>
          <w:szCs w:val="28"/>
          <w:lang w:val="uk-UA" w:eastAsia="en-US"/>
        </w:rPr>
      </w:pPr>
      <w:r>
        <w:rPr>
          <w:color w:val="000000"/>
          <w:sz w:val="28"/>
          <w:szCs w:val="28"/>
          <w:lang w:val="uk-UA"/>
        </w:rPr>
        <w:t xml:space="preserve">Порівняльний аналіз рівней СРП та </w:t>
      </w:r>
      <w:r>
        <w:rPr>
          <w:sz w:val="28"/>
          <w:szCs w:val="28"/>
          <w:lang w:val="uk-UA" w:eastAsia="en-US"/>
        </w:rPr>
        <w:t xml:space="preserve">ФНО-α </w:t>
      </w:r>
      <w:r>
        <w:rPr>
          <w:color w:val="000000"/>
          <w:sz w:val="28"/>
          <w:szCs w:val="28"/>
          <w:lang w:val="uk-UA"/>
        </w:rPr>
        <w:t xml:space="preserve">залежно від вікової підгрупи,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p>
    <w:tbl>
      <w:tblPr>
        <w:tblW w:w="9570" w:type="dxa"/>
        <w:tblLayout w:type="fixed"/>
        <w:tblLook w:val="04A0" w:firstRow="1" w:lastRow="0" w:firstColumn="1" w:lastColumn="0" w:noHBand="0" w:noVBand="1"/>
      </w:tblPr>
      <w:tblGrid>
        <w:gridCol w:w="1100"/>
        <w:gridCol w:w="1417"/>
        <w:gridCol w:w="1418"/>
        <w:gridCol w:w="1417"/>
        <w:gridCol w:w="1418"/>
        <w:gridCol w:w="1417"/>
        <w:gridCol w:w="1383"/>
      </w:tblGrid>
      <w:tr w:rsidR="0023188D" w:rsidRPr="0023188D" w:rsidTr="00C239D8">
        <w:tc>
          <w:tcPr>
            <w:tcW w:w="1100" w:type="dxa"/>
            <w:vMerge w:val="restart"/>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rPr>
                <w:lang w:val="uk-UA" w:eastAsia="en-US"/>
              </w:rPr>
            </w:pPr>
            <w:r w:rsidRPr="0023188D">
              <w:rPr>
                <w:lang w:val="uk-UA" w:eastAsia="en-US"/>
              </w:rPr>
              <w:t>Показ-ник/під-група</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23188D" w:rsidRDefault="00E3259F">
            <w:pPr>
              <w:pStyle w:val="1"/>
              <w:spacing w:before="0" w:beforeAutospacing="0" w:after="0" w:afterAutospacing="0" w:line="276" w:lineRule="auto"/>
              <w:jc w:val="center"/>
              <w:rPr>
                <w:b w:val="0"/>
                <w:sz w:val="24"/>
                <w:szCs w:val="24"/>
                <w:lang w:val="en-US" w:eastAsia="en-US"/>
              </w:rPr>
            </w:pPr>
            <w:r w:rsidRPr="0023188D">
              <w:rPr>
                <w:b w:val="0"/>
                <w:sz w:val="24"/>
                <w:szCs w:val="24"/>
                <w:lang w:val="uk-UA" w:eastAsia="en-US"/>
              </w:rPr>
              <w:t>Група 1</w:t>
            </w:r>
          </w:p>
          <w:p w:rsidR="00E3259F" w:rsidRPr="0023188D" w:rsidRDefault="00E3259F">
            <w:pPr>
              <w:pStyle w:val="1"/>
              <w:spacing w:before="0" w:beforeAutospacing="0" w:after="0" w:afterAutospacing="0" w:line="276" w:lineRule="auto"/>
              <w:jc w:val="center"/>
              <w:rPr>
                <w:b w:val="0"/>
                <w:sz w:val="24"/>
                <w:szCs w:val="24"/>
                <w:lang w:val="en-US" w:eastAsia="en-US"/>
              </w:rPr>
            </w:pPr>
            <w:r w:rsidRPr="0023188D">
              <w:rPr>
                <w:b w:val="0"/>
                <w:sz w:val="24"/>
                <w:szCs w:val="24"/>
                <w:lang w:val="en-US" w:eastAsia="en-US"/>
              </w:rPr>
              <w:t>(n=</w:t>
            </w:r>
            <w:r w:rsidRPr="0023188D">
              <w:rPr>
                <w:b w:val="0"/>
                <w:sz w:val="24"/>
                <w:szCs w:val="24"/>
                <w:lang w:val="uk-UA" w:eastAsia="en-US"/>
              </w:rPr>
              <w:t>106</w:t>
            </w:r>
            <w:r w:rsidRPr="0023188D">
              <w:rPr>
                <w:b w:val="0"/>
                <w:sz w:val="24"/>
                <w:szCs w:val="24"/>
                <w:lang w:val="en-US" w:eastAsia="en-US"/>
              </w:rPr>
              <w:t>)</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23188D" w:rsidRDefault="00E3259F">
            <w:pPr>
              <w:pStyle w:val="1"/>
              <w:spacing w:before="0" w:beforeAutospacing="0" w:after="0" w:afterAutospacing="0" w:line="276" w:lineRule="auto"/>
              <w:jc w:val="center"/>
              <w:rPr>
                <w:b w:val="0"/>
                <w:sz w:val="24"/>
                <w:szCs w:val="24"/>
                <w:lang w:val="en-US" w:eastAsia="en-US"/>
              </w:rPr>
            </w:pPr>
            <w:r w:rsidRPr="0023188D">
              <w:rPr>
                <w:b w:val="0"/>
                <w:sz w:val="24"/>
                <w:szCs w:val="24"/>
                <w:lang w:val="uk-UA" w:eastAsia="en-US"/>
              </w:rPr>
              <w:t>Група 2</w:t>
            </w:r>
          </w:p>
          <w:p w:rsidR="00E3259F" w:rsidRPr="0023188D" w:rsidRDefault="00E3259F">
            <w:pPr>
              <w:pStyle w:val="1"/>
              <w:spacing w:before="0" w:beforeAutospacing="0" w:after="0" w:afterAutospacing="0" w:line="276" w:lineRule="auto"/>
              <w:jc w:val="center"/>
              <w:rPr>
                <w:b w:val="0"/>
                <w:sz w:val="24"/>
                <w:szCs w:val="24"/>
                <w:lang w:val="en-US" w:eastAsia="en-US"/>
              </w:rPr>
            </w:pPr>
            <w:r w:rsidRPr="0023188D">
              <w:rPr>
                <w:b w:val="0"/>
                <w:sz w:val="24"/>
                <w:szCs w:val="24"/>
                <w:lang w:val="en-US" w:eastAsia="en-US"/>
              </w:rPr>
              <w:t>(n=</w:t>
            </w:r>
            <w:r w:rsidRPr="0023188D">
              <w:rPr>
                <w:b w:val="0"/>
                <w:sz w:val="24"/>
                <w:szCs w:val="24"/>
                <w:lang w:val="uk-UA" w:eastAsia="en-US"/>
              </w:rPr>
              <w:t>15</w:t>
            </w:r>
            <w:r w:rsidRPr="0023188D">
              <w:rPr>
                <w:b w:val="0"/>
                <w:sz w:val="24"/>
                <w:szCs w:val="24"/>
                <w:lang w:val="en-US" w:eastAsia="en-US"/>
              </w:rPr>
              <w:t>6)</w:t>
            </w:r>
          </w:p>
        </w:tc>
        <w:tc>
          <w:tcPr>
            <w:tcW w:w="2800" w:type="dxa"/>
            <w:gridSpan w:val="2"/>
            <w:tcBorders>
              <w:top w:val="single" w:sz="4" w:space="0" w:color="auto"/>
              <w:left w:val="single" w:sz="4" w:space="0" w:color="auto"/>
              <w:bottom w:val="single" w:sz="4" w:space="0" w:color="auto"/>
              <w:right w:val="single" w:sz="4" w:space="0" w:color="auto"/>
            </w:tcBorders>
            <w:hideMark/>
          </w:tcPr>
          <w:p w:rsidR="00E3259F" w:rsidRPr="0023188D" w:rsidRDefault="00E3259F">
            <w:pPr>
              <w:pStyle w:val="1"/>
              <w:spacing w:before="0" w:beforeAutospacing="0" w:after="0" w:afterAutospacing="0" w:line="276" w:lineRule="auto"/>
              <w:jc w:val="center"/>
              <w:rPr>
                <w:b w:val="0"/>
                <w:sz w:val="24"/>
                <w:szCs w:val="24"/>
                <w:lang w:eastAsia="en-US"/>
              </w:rPr>
            </w:pPr>
            <w:r w:rsidRPr="0023188D">
              <w:rPr>
                <w:b w:val="0"/>
                <w:sz w:val="24"/>
                <w:szCs w:val="24"/>
                <w:lang w:val="uk-UA" w:eastAsia="en-US"/>
              </w:rPr>
              <w:t>Група 3</w:t>
            </w:r>
          </w:p>
          <w:p w:rsidR="00E3259F" w:rsidRPr="0023188D" w:rsidRDefault="00E3259F">
            <w:pPr>
              <w:pStyle w:val="1"/>
              <w:spacing w:before="0" w:beforeAutospacing="0" w:after="0" w:afterAutospacing="0" w:line="276" w:lineRule="auto"/>
              <w:jc w:val="center"/>
              <w:rPr>
                <w:b w:val="0"/>
                <w:sz w:val="24"/>
                <w:szCs w:val="24"/>
                <w:lang w:eastAsia="en-US"/>
              </w:rPr>
            </w:pPr>
            <w:r w:rsidRPr="0023188D">
              <w:rPr>
                <w:b w:val="0"/>
                <w:sz w:val="24"/>
                <w:szCs w:val="24"/>
                <w:lang w:eastAsia="en-US"/>
              </w:rPr>
              <w:t>(</w:t>
            </w:r>
            <w:r w:rsidRPr="0023188D">
              <w:rPr>
                <w:b w:val="0"/>
                <w:sz w:val="24"/>
                <w:szCs w:val="24"/>
                <w:lang w:val="en-US" w:eastAsia="en-US"/>
              </w:rPr>
              <w:t>n</w:t>
            </w:r>
            <w:r w:rsidRPr="0023188D">
              <w:rPr>
                <w:b w:val="0"/>
                <w:sz w:val="24"/>
                <w:szCs w:val="24"/>
                <w:lang w:eastAsia="en-US"/>
              </w:rPr>
              <w:t>=</w:t>
            </w:r>
            <w:r w:rsidRPr="0023188D">
              <w:rPr>
                <w:b w:val="0"/>
                <w:sz w:val="24"/>
                <w:szCs w:val="24"/>
                <w:lang w:val="uk-UA" w:eastAsia="en-US"/>
              </w:rPr>
              <w:t>93</w:t>
            </w:r>
            <w:r w:rsidRPr="0023188D">
              <w:rPr>
                <w:b w:val="0"/>
                <w:sz w:val="24"/>
                <w:szCs w:val="24"/>
                <w:lang w:eastAsia="en-US"/>
              </w:rPr>
              <w:t>)</w:t>
            </w:r>
          </w:p>
        </w:tc>
      </w:tr>
      <w:tr w:rsidR="0023188D" w:rsidRPr="0023188D" w:rsidTr="00C239D8">
        <w:tc>
          <w:tcPr>
            <w:tcW w:w="1100" w:type="dxa"/>
            <w:vMerge/>
            <w:tcBorders>
              <w:top w:val="single" w:sz="4" w:space="0" w:color="auto"/>
              <w:left w:val="single" w:sz="4" w:space="0" w:color="auto"/>
              <w:bottom w:val="single" w:sz="4" w:space="0" w:color="auto"/>
              <w:right w:val="single" w:sz="4" w:space="0" w:color="auto"/>
            </w:tcBorders>
            <w:vAlign w:val="center"/>
            <w:hideMark/>
          </w:tcPr>
          <w:p w:rsidR="00E3259F" w:rsidRPr="0023188D" w:rsidRDefault="00E3259F">
            <w:pPr>
              <w:rPr>
                <w:lang w:val="uk-UA" w:eastAsia="en-US"/>
              </w:rPr>
            </w:pP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jc w:val="center"/>
              <w:rPr>
                <w:lang w:val="uk-UA" w:eastAsia="en-US"/>
              </w:rPr>
            </w:pPr>
            <w:r w:rsidRPr="0023188D">
              <w:rPr>
                <w:lang w:val="uk-UA" w:eastAsia="en-US"/>
              </w:rPr>
              <w:t>Підгрупа 1-І</w:t>
            </w:r>
          </w:p>
          <w:p w:rsidR="00E3259F" w:rsidRPr="0023188D" w:rsidRDefault="00E3259F">
            <w:pPr>
              <w:spacing w:line="276" w:lineRule="auto"/>
              <w:jc w:val="center"/>
              <w:rPr>
                <w:lang w:val="uk-UA" w:eastAsia="en-US"/>
              </w:rPr>
            </w:pPr>
            <w:r w:rsidRPr="0023188D">
              <w:rPr>
                <w:lang w:val="uk-UA" w:eastAsia="en-US"/>
              </w:rPr>
              <w:t>(44-</w:t>
            </w:r>
            <w:r w:rsidRPr="0023188D">
              <w:rPr>
                <w:lang w:eastAsia="en-US"/>
              </w:rPr>
              <w:t xml:space="preserve"> 60 </w:t>
            </w:r>
            <w:r w:rsidRPr="0023188D">
              <w:rPr>
                <w:lang w:val="uk-UA" w:eastAsia="en-US"/>
              </w:rPr>
              <w:t>років,</w:t>
            </w:r>
          </w:p>
          <w:p w:rsidR="00E3259F" w:rsidRPr="0023188D" w:rsidRDefault="00E3259F">
            <w:pPr>
              <w:spacing w:line="276" w:lineRule="auto"/>
              <w:jc w:val="center"/>
              <w:rPr>
                <w:lang w:eastAsia="en-US"/>
              </w:rPr>
            </w:pPr>
            <w:r w:rsidRPr="0023188D">
              <w:rPr>
                <w:lang w:val="en-US" w:eastAsia="en-US"/>
              </w:rPr>
              <w:t>n</w:t>
            </w:r>
            <w:r w:rsidRPr="0023188D">
              <w:rPr>
                <w:lang w:eastAsia="en-US"/>
              </w:rPr>
              <w:t>=</w:t>
            </w:r>
            <w:r w:rsidRPr="0023188D">
              <w:rPr>
                <w:lang w:val="uk-UA" w:eastAsia="en-US"/>
              </w:rPr>
              <w:t>49</w:t>
            </w:r>
            <w:r w:rsidRPr="0023188D">
              <w:rPr>
                <w:lang w:eastAsia="en-US"/>
              </w:rPr>
              <w:t>)</w:t>
            </w:r>
          </w:p>
        </w:tc>
        <w:tc>
          <w:tcPr>
            <w:tcW w:w="1418"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jc w:val="center"/>
              <w:rPr>
                <w:lang w:val="uk-UA" w:eastAsia="en-US"/>
              </w:rPr>
            </w:pPr>
            <w:r w:rsidRPr="0023188D">
              <w:rPr>
                <w:lang w:val="uk-UA" w:eastAsia="en-US"/>
              </w:rPr>
              <w:t>Підгрупа 1-ІІ</w:t>
            </w:r>
          </w:p>
          <w:p w:rsidR="00E3259F" w:rsidRPr="0023188D" w:rsidRDefault="00E3259F">
            <w:pPr>
              <w:spacing w:line="276" w:lineRule="auto"/>
              <w:jc w:val="center"/>
              <w:rPr>
                <w:lang w:eastAsia="en-US"/>
              </w:rPr>
            </w:pPr>
            <w:r w:rsidRPr="0023188D">
              <w:rPr>
                <w:lang w:val="uk-UA" w:eastAsia="en-US"/>
              </w:rPr>
              <w:t>(</w:t>
            </w:r>
            <w:r w:rsidRPr="0023188D">
              <w:rPr>
                <w:lang w:eastAsia="en-US"/>
              </w:rPr>
              <w:t>6</w:t>
            </w:r>
            <w:r w:rsidRPr="0023188D">
              <w:rPr>
                <w:lang w:val="uk-UA" w:eastAsia="en-US"/>
              </w:rPr>
              <w:t xml:space="preserve">1-75 років, </w:t>
            </w:r>
            <w:r w:rsidRPr="0023188D">
              <w:rPr>
                <w:lang w:val="en-US" w:eastAsia="en-US"/>
              </w:rPr>
              <w:t>n</w:t>
            </w:r>
            <w:r w:rsidRPr="0023188D">
              <w:rPr>
                <w:lang w:eastAsia="en-US"/>
              </w:rPr>
              <w:t>=</w:t>
            </w:r>
            <w:r w:rsidRPr="0023188D">
              <w:rPr>
                <w:lang w:val="uk-UA" w:eastAsia="en-US"/>
              </w:rPr>
              <w:t>57</w:t>
            </w:r>
            <w:r w:rsidRPr="0023188D">
              <w:rPr>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jc w:val="center"/>
              <w:rPr>
                <w:lang w:val="uk-UA" w:eastAsia="en-US"/>
              </w:rPr>
            </w:pPr>
            <w:r w:rsidRPr="0023188D">
              <w:rPr>
                <w:lang w:val="uk-UA" w:eastAsia="en-US"/>
              </w:rPr>
              <w:t>Підгрупа 2-І</w:t>
            </w:r>
          </w:p>
          <w:p w:rsidR="00E3259F" w:rsidRPr="0023188D" w:rsidRDefault="00E3259F">
            <w:pPr>
              <w:spacing w:line="276" w:lineRule="auto"/>
              <w:jc w:val="center"/>
              <w:rPr>
                <w:lang w:eastAsia="en-US"/>
              </w:rPr>
            </w:pPr>
            <w:r w:rsidRPr="0023188D">
              <w:rPr>
                <w:lang w:val="uk-UA" w:eastAsia="en-US"/>
              </w:rPr>
              <w:t>(44-</w:t>
            </w:r>
            <w:r w:rsidRPr="0023188D">
              <w:rPr>
                <w:lang w:eastAsia="en-US"/>
              </w:rPr>
              <w:t xml:space="preserve"> 60 </w:t>
            </w:r>
            <w:r w:rsidRPr="0023188D">
              <w:rPr>
                <w:lang w:val="uk-UA" w:eastAsia="en-US"/>
              </w:rPr>
              <w:t xml:space="preserve">років, </w:t>
            </w:r>
            <w:r w:rsidRPr="0023188D">
              <w:rPr>
                <w:lang w:val="en-US" w:eastAsia="en-US"/>
              </w:rPr>
              <w:t>n</w:t>
            </w:r>
            <w:r w:rsidRPr="0023188D">
              <w:rPr>
                <w:lang w:eastAsia="en-US"/>
              </w:rPr>
              <w:t>=</w:t>
            </w:r>
            <w:r w:rsidRPr="0023188D">
              <w:rPr>
                <w:lang w:val="uk-UA" w:eastAsia="en-US"/>
              </w:rPr>
              <w:t>56</w:t>
            </w:r>
            <w:r w:rsidRPr="0023188D">
              <w:rPr>
                <w:lang w:eastAsia="en-US"/>
              </w:rPr>
              <w:t>)</w:t>
            </w:r>
          </w:p>
        </w:tc>
        <w:tc>
          <w:tcPr>
            <w:tcW w:w="1418"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jc w:val="center"/>
              <w:rPr>
                <w:lang w:val="uk-UA" w:eastAsia="en-US"/>
              </w:rPr>
            </w:pPr>
            <w:r w:rsidRPr="0023188D">
              <w:rPr>
                <w:lang w:val="uk-UA" w:eastAsia="en-US"/>
              </w:rPr>
              <w:t>Підгрупа 2-ІІ</w:t>
            </w:r>
          </w:p>
          <w:p w:rsidR="00E3259F" w:rsidRPr="0023188D" w:rsidRDefault="00E3259F">
            <w:pPr>
              <w:spacing w:line="276" w:lineRule="auto"/>
              <w:jc w:val="center"/>
              <w:rPr>
                <w:lang w:val="uk-UA" w:eastAsia="en-US"/>
              </w:rPr>
            </w:pPr>
            <w:r w:rsidRPr="0023188D">
              <w:rPr>
                <w:lang w:val="uk-UA" w:eastAsia="en-US"/>
              </w:rPr>
              <w:t>(</w:t>
            </w:r>
            <w:r w:rsidRPr="0023188D">
              <w:rPr>
                <w:lang w:eastAsia="en-US"/>
              </w:rPr>
              <w:t>6</w:t>
            </w:r>
            <w:r w:rsidRPr="0023188D">
              <w:rPr>
                <w:lang w:val="uk-UA" w:eastAsia="en-US"/>
              </w:rPr>
              <w:t>1-75 рокв,</w:t>
            </w:r>
          </w:p>
          <w:p w:rsidR="00E3259F" w:rsidRPr="0023188D" w:rsidRDefault="00E3259F">
            <w:pPr>
              <w:spacing w:line="276" w:lineRule="auto"/>
              <w:jc w:val="center"/>
              <w:rPr>
                <w:lang w:eastAsia="en-US"/>
              </w:rPr>
            </w:pPr>
            <w:r w:rsidRPr="0023188D">
              <w:rPr>
                <w:lang w:val="en-US" w:eastAsia="en-US"/>
              </w:rPr>
              <w:t>n</w:t>
            </w:r>
            <w:r w:rsidRPr="0023188D">
              <w:rPr>
                <w:lang w:eastAsia="en-US"/>
              </w:rPr>
              <w:t>=</w:t>
            </w:r>
            <w:r w:rsidRPr="0023188D">
              <w:rPr>
                <w:lang w:val="uk-UA" w:eastAsia="en-US"/>
              </w:rPr>
              <w:t>100</w:t>
            </w:r>
            <w:r w:rsidRPr="0023188D">
              <w:rPr>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jc w:val="center"/>
              <w:rPr>
                <w:lang w:val="uk-UA" w:eastAsia="en-US"/>
              </w:rPr>
            </w:pPr>
            <w:r w:rsidRPr="0023188D">
              <w:rPr>
                <w:lang w:val="uk-UA" w:eastAsia="en-US"/>
              </w:rPr>
              <w:t>Підгрупа 3-І</w:t>
            </w:r>
          </w:p>
          <w:p w:rsidR="00E3259F" w:rsidRPr="0023188D" w:rsidRDefault="00E3259F">
            <w:pPr>
              <w:spacing w:line="276" w:lineRule="auto"/>
              <w:jc w:val="center"/>
              <w:rPr>
                <w:lang w:val="uk-UA" w:eastAsia="en-US"/>
              </w:rPr>
            </w:pPr>
            <w:r w:rsidRPr="0023188D">
              <w:rPr>
                <w:lang w:val="uk-UA" w:eastAsia="en-US"/>
              </w:rPr>
              <w:t>(44-</w:t>
            </w:r>
            <w:r w:rsidRPr="0023188D">
              <w:rPr>
                <w:lang w:eastAsia="en-US"/>
              </w:rPr>
              <w:t xml:space="preserve"> 60 </w:t>
            </w:r>
            <w:r w:rsidRPr="0023188D">
              <w:rPr>
                <w:lang w:val="uk-UA" w:eastAsia="en-US"/>
              </w:rPr>
              <w:t>років,</w:t>
            </w:r>
          </w:p>
          <w:p w:rsidR="00E3259F" w:rsidRPr="0023188D" w:rsidRDefault="00E3259F">
            <w:pPr>
              <w:spacing w:line="276" w:lineRule="auto"/>
              <w:jc w:val="center"/>
              <w:rPr>
                <w:lang w:eastAsia="en-US"/>
              </w:rPr>
            </w:pPr>
            <w:r w:rsidRPr="0023188D">
              <w:rPr>
                <w:lang w:val="en-US" w:eastAsia="en-US"/>
              </w:rPr>
              <w:t>n</w:t>
            </w:r>
            <w:r w:rsidRPr="0023188D">
              <w:rPr>
                <w:lang w:eastAsia="en-US"/>
              </w:rPr>
              <w:t>=</w:t>
            </w:r>
            <w:r w:rsidRPr="0023188D">
              <w:rPr>
                <w:lang w:val="uk-UA" w:eastAsia="en-US"/>
              </w:rPr>
              <w:t>37</w:t>
            </w:r>
            <w:r w:rsidRPr="0023188D">
              <w:rPr>
                <w:lang w:eastAsia="en-US"/>
              </w:rPr>
              <w:t>)</w:t>
            </w:r>
          </w:p>
        </w:tc>
        <w:tc>
          <w:tcPr>
            <w:tcW w:w="1383"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276" w:lineRule="auto"/>
              <w:jc w:val="center"/>
              <w:rPr>
                <w:lang w:val="uk-UA" w:eastAsia="en-US"/>
              </w:rPr>
            </w:pPr>
            <w:r w:rsidRPr="0023188D">
              <w:rPr>
                <w:lang w:val="uk-UA" w:eastAsia="en-US"/>
              </w:rPr>
              <w:t>Підгрупа 3-ІІ</w:t>
            </w:r>
          </w:p>
          <w:p w:rsidR="00E3259F" w:rsidRPr="0023188D" w:rsidRDefault="00E3259F">
            <w:pPr>
              <w:spacing w:line="276" w:lineRule="auto"/>
              <w:jc w:val="center"/>
              <w:rPr>
                <w:lang w:val="uk-UA" w:eastAsia="en-US"/>
              </w:rPr>
            </w:pPr>
            <w:r w:rsidRPr="0023188D">
              <w:rPr>
                <w:lang w:val="uk-UA" w:eastAsia="en-US"/>
              </w:rPr>
              <w:t>(</w:t>
            </w:r>
            <w:r w:rsidRPr="0023188D">
              <w:rPr>
                <w:lang w:eastAsia="en-US"/>
              </w:rPr>
              <w:t>6</w:t>
            </w:r>
            <w:r w:rsidRPr="0023188D">
              <w:rPr>
                <w:lang w:val="uk-UA" w:eastAsia="en-US"/>
              </w:rPr>
              <w:t>1-75 рокв,</w:t>
            </w:r>
          </w:p>
          <w:p w:rsidR="00E3259F" w:rsidRPr="0023188D" w:rsidRDefault="00E3259F">
            <w:pPr>
              <w:spacing w:line="276" w:lineRule="auto"/>
              <w:jc w:val="center"/>
              <w:rPr>
                <w:lang w:eastAsia="en-US"/>
              </w:rPr>
            </w:pPr>
            <w:r w:rsidRPr="0023188D">
              <w:rPr>
                <w:lang w:val="en-US" w:eastAsia="en-US"/>
              </w:rPr>
              <w:t>n</w:t>
            </w:r>
            <w:r w:rsidRPr="0023188D">
              <w:rPr>
                <w:lang w:eastAsia="en-US"/>
              </w:rPr>
              <w:t>=</w:t>
            </w:r>
            <w:r w:rsidRPr="0023188D">
              <w:rPr>
                <w:lang w:val="uk-UA" w:eastAsia="en-US"/>
              </w:rPr>
              <w:t>56</w:t>
            </w:r>
            <w:r w:rsidRPr="0023188D">
              <w:rPr>
                <w:lang w:eastAsia="en-US"/>
              </w:rPr>
              <w:t>)</w:t>
            </w:r>
          </w:p>
        </w:tc>
      </w:tr>
      <w:tr w:rsidR="0023188D" w:rsidRPr="0023188D" w:rsidTr="00C239D8">
        <w:tc>
          <w:tcPr>
            <w:tcW w:w="1100"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jc w:val="both"/>
              <w:rPr>
                <w:lang w:val="en-US" w:eastAsia="en-US"/>
              </w:rPr>
            </w:pPr>
            <w:r w:rsidRPr="0023188D">
              <w:rPr>
                <w:lang w:val="uk-UA" w:eastAsia="en-US"/>
              </w:rPr>
              <w:t xml:space="preserve">ФНП-α, </w:t>
            </w:r>
            <w:r w:rsidRPr="0023188D">
              <w:rPr>
                <w:lang w:eastAsia="en-US"/>
              </w:rPr>
              <w:t>пг/мл</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12,39±0,</w:t>
            </w:r>
            <w:r w:rsidRPr="0023188D">
              <w:rPr>
                <w:lang w:val="uk-UA" w:eastAsia="en-US"/>
              </w:rPr>
              <w:t>0</w:t>
            </w:r>
            <w:r w:rsidRPr="0023188D">
              <w:rPr>
                <w:lang w:eastAsia="en-US"/>
              </w:rPr>
              <w:t>8</w:t>
            </w:r>
          </w:p>
        </w:tc>
        <w:tc>
          <w:tcPr>
            <w:tcW w:w="1418"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12,1</w:t>
            </w:r>
            <w:r w:rsidRPr="0023188D">
              <w:rPr>
                <w:lang w:val="uk-UA" w:eastAsia="en-US"/>
              </w:rPr>
              <w:t>1</w:t>
            </w:r>
            <w:r w:rsidRPr="0023188D">
              <w:rPr>
                <w:lang w:eastAsia="en-US"/>
              </w:rPr>
              <w:t>±</w:t>
            </w:r>
            <w:r w:rsidRPr="0023188D">
              <w:rPr>
                <w:lang w:val="uk-UA" w:eastAsia="en-US"/>
              </w:rPr>
              <w:t>0</w:t>
            </w:r>
            <w:r w:rsidRPr="0023188D">
              <w:rPr>
                <w:lang w:eastAsia="en-US"/>
              </w:rPr>
              <w:t>,</w:t>
            </w:r>
            <w:r w:rsidRPr="0023188D">
              <w:rPr>
                <w:lang w:val="uk-UA" w:eastAsia="en-US"/>
              </w:rPr>
              <w:t>09</w:t>
            </w:r>
          </w:p>
          <w:p w:rsidR="00E3259F" w:rsidRPr="0023188D" w:rsidRDefault="00E3259F">
            <w:pPr>
              <w:spacing w:line="360" w:lineRule="auto"/>
              <w:rPr>
                <w:lang w:val="uk-UA" w:eastAsia="en-US"/>
              </w:rPr>
            </w:pPr>
            <w:r w:rsidRPr="0023188D">
              <w:rPr>
                <w:lang w:val="uk-UA" w:eastAsia="en-US"/>
              </w:rPr>
              <w:t>р =0</w:t>
            </w:r>
            <w:r w:rsidRPr="0023188D">
              <w:rPr>
                <w:lang w:eastAsia="en-US"/>
              </w:rPr>
              <w:t>,025</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11,88±0,55</w:t>
            </w:r>
          </w:p>
        </w:tc>
        <w:tc>
          <w:tcPr>
            <w:tcW w:w="1418"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10,</w:t>
            </w:r>
            <w:r w:rsidRPr="0023188D">
              <w:rPr>
                <w:lang w:val="uk-UA" w:eastAsia="en-US"/>
              </w:rPr>
              <w:t>80</w:t>
            </w:r>
            <w:r w:rsidRPr="0023188D">
              <w:rPr>
                <w:lang w:eastAsia="en-US"/>
              </w:rPr>
              <w:t>±</w:t>
            </w:r>
            <w:r w:rsidRPr="0023188D">
              <w:rPr>
                <w:lang w:val="uk-UA" w:eastAsia="en-US"/>
              </w:rPr>
              <w:t>0</w:t>
            </w:r>
            <w:r w:rsidRPr="0023188D">
              <w:rPr>
                <w:lang w:eastAsia="en-US"/>
              </w:rPr>
              <w:t>,45</w:t>
            </w:r>
          </w:p>
          <w:p w:rsidR="00E3259F" w:rsidRPr="0023188D" w:rsidRDefault="00E3259F">
            <w:pPr>
              <w:spacing w:line="360" w:lineRule="auto"/>
              <w:rPr>
                <w:lang w:eastAsia="en-US"/>
              </w:rPr>
            </w:pPr>
            <w:r w:rsidRPr="0023188D">
              <w:rPr>
                <w:lang w:val="uk-UA" w:eastAsia="en-US"/>
              </w:rPr>
              <w:t>р =0</w:t>
            </w:r>
            <w:r w:rsidRPr="0023188D">
              <w:rPr>
                <w:lang w:eastAsia="en-US"/>
              </w:rPr>
              <w:t>,004</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eastAsia="en-US"/>
              </w:rPr>
            </w:pPr>
            <w:r w:rsidRPr="0023188D">
              <w:rPr>
                <w:lang w:eastAsia="en-US"/>
              </w:rPr>
              <w:t>12,57±0,5</w:t>
            </w:r>
            <w:r w:rsidRPr="0023188D">
              <w:rPr>
                <w:lang w:val="uk-UA" w:eastAsia="en-US"/>
              </w:rPr>
              <w:t>9</w:t>
            </w:r>
          </w:p>
        </w:tc>
        <w:tc>
          <w:tcPr>
            <w:tcW w:w="1383"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12,6</w:t>
            </w:r>
            <w:r w:rsidRPr="0023188D">
              <w:rPr>
                <w:lang w:val="uk-UA" w:eastAsia="en-US"/>
              </w:rPr>
              <w:t>5</w:t>
            </w:r>
            <w:r w:rsidRPr="0023188D">
              <w:rPr>
                <w:lang w:eastAsia="en-US"/>
              </w:rPr>
              <w:t>±</w:t>
            </w:r>
            <w:r w:rsidRPr="0023188D">
              <w:rPr>
                <w:lang w:val="uk-UA" w:eastAsia="en-US"/>
              </w:rPr>
              <w:t>0</w:t>
            </w:r>
            <w:r w:rsidRPr="0023188D">
              <w:rPr>
                <w:lang w:eastAsia="en-US"/>
              </w:rPr>
              <w:t>,55</w:t>
            </w:r>
          </w:p>
          <w:p w:rsidR="00E3259F" w:rsidRPr="0023188D" w:rsidRDefault="00E3259F">
            <w:pPr>
              <w:spacing w:line="360" w:lineRule="auto"/>
              <w:rPr>
                <w:lang w:val="uk-UA" w:eastAsia="en-US"/>
              </w:rPr>
            </w:pPr>
            <w:r w:rsidRPr="0023188D">
              <w:rPr>
                <w:shd w:val="clear" w:color="auto" w:fill="FFFFFF"/>
                <w:lang w:val="uk-UA" w:eastAsia="en-US"/>
              </w:rPr>
              <w:t>р&gt;0,05</w:t>
            </w:r>
          </w:p>
        </w:tc>
      </w:tr>
      <w:tr w:rsidR="0023188D" w:rsidRPr="0023188D" w:rsidTr="00C239D8">
        <w:tc>
          <w:tcPr>
            <w:tcW w:w="1100"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jc w:val="both"/>
              <w:rPr>
                <w:lang w:val="en-US" w:eastAsia="en-US"/>
              </w:rPr>
            </w:pPr>
            <w:r w:rsidRPr="0023188D">
              <w:rPr>
                <w:lang w:val="uk-UA" w:eastAsia="en-US"/>
              </w:rPr>
              <w:t>СРП,</w:t>
            </w:r>
          </w:p>
          <w:p w:rsidR="00E3259F" w:rsidRPr="0023188D" w:rsidRDefault="00E3259F">
            <w:pPr>
              <w:spacing w:line="360" w:lineRule="auto"/>
              <w:jc w:val="both"/>
              <w:rPr>
                <w:rStyle w:val="xfm65112403"/>
                <w:lang w:val="uk-UA"/>
              </w:rPr>
            </w:pPr>
            <w:r w:rsidRPr="0023188D">
              <w:rPr>
                <w:lang w:eastAsia="en-US"/>
              </w:rPr>
              <w:t>мг/л</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eastAsia="en-US"/>
              </w:rPr>
            </w:pPr>
            <w:r w:rsidRPr="0023188D">
              <w:rPr>
                <w:lang w:eastAsia="en-US"/>
              </w:rPr>
              <w:t>6,6</w:t>
            </w:r>
            <w:r w:rsidRPr="0023188D">
              <w:rPr>
                <w:lang w:val="uk-UA" w:eastAsia="en-US"/>
              </w:rPr>
              <w:t>1</w:t>
            </w:r>
            <w:r w:rsidRPr="0023188D">
              <w:rPr>
                <w:lang w:eastAsia="en-US"/>
              </w:rPr>
              <w:t>±0,38</w:t>
            </w:r>
          </w:p>
        </w:tc>
        <w:tc>
          <w:tcPr>
            <w:tcW w:w="1418"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6,7</w:t>
            </w:r>
            <w:r w:rsidRPr="0023188D">
              <w:rPr>
                <w:lang w:val="uk-UA" w:eastAsia="en-US"/>
              </w:rPr>
              <w:t>5</w:t>
            </w:r>
            <w:r w:rsidRPr="0023188D">
              <w:rPr>
                <w:lang w:eastAsia="en-US"/>
              </w:rPr>
              <w:t>±</w:t>
            </w:r>
            <w:r w:rsidRPr="0023188D">
              <w:rPr>
                <w:lang w:val="uk-UA" w:eastAsia="en-US"/>
              </w:rPr>
              <w:t>0</w:t>
            </w:r>
            <w:r w:rsidRPr="0023188D">
              <w:rPr>
                <w:lang w:eastAsia="en-US"/>
              </w:rPr>
              <w:t>,40</w:t>
            </w:r>
          </w:p>
          <w:p w:rsidR="00E3259F" w:rsidRPr="0023188D" w:rsidRDefault="00E3259F">
            <w:pPr>
              <w:spacing w:line="360" w:lineRule="auto"/>
              <w:rPr>
                <w:lang w:eastAsia="en-US"/>
              </w:rPr>
            </w:pPr>
            <w:r w:rsidRPr="0023188D">
              <w:rPr>
                <w:shd w:val="clear" w:color="auto" w:fill="FFFFFF"/>
                <w:lang w:val="uk-UA" w:eastAsia="en-US"/>
              </w:rPr>
              <w:t>р&gt;0,05</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8,01±0,</w:t>
            </w:r>
            <w:r w:rsidRPr="0023188D">
              <w:rPr>
                <w:lang w:val="uk-UA" w:eastAsia="en-US"/>
              </w:rPr>
              <w:t>51</w:t>
            </w:r>
          </w:p>
        </w:tc>
        <w:tc>
          <w:tcPr>
            <w:tcW w:w="1418"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8,</w:t>
            </w:r>
            <w:r w:rsidRPr="0023188D">
              <w:rPr>
                <w:lang w:val="uk-UA" w:eastAsia="en-US"/>
              </w:rPr>
              <w:t>80</w:t>
            </w:r>
            <w:r w:rsidRPr="0023188D">
              <w:rPr>
                <w:lang w:eastAsia="en-US"/>
              </w:rPr>
              <w:t>±</w:t>
            </w:r>
            <w:r w:rsidRPr="0023188D">
              <w:rPr>
                <w:lang w:val="uk-UA" w:eastAsia="en-US"/>
              </w:rPr>
              <w:t>0</w:t>
            </w:r>
            <w:r w:rsidRPr="0023188D">
              <w:rPr>
                <w:lang w:eastAsia="en-US"/>
              </w:rPr>
              <w:t>,2</w:t>
            </w:r>
            <w:r w:rsidRPr="0023188D">
              <w:rPr>
                <w:lang w:val="uk-UA" w:eastAsia="en-US"/>
              </w:rPr>
              <w:t>4</w:t>
            </w:r>
          </w:p>
          <w:p w:rsidR="00E3259F" w:rsidRPr="0023188D" w:rsidRDefault="00E3259F">
            <w:pPr>
              <w:spacing w:line="360" w:lineRule="auto"/>
              <w:rPr>
                <w:lang w:val="uk-UA" w:eastAsia="en-US"/>
              </w:rPr>
            </w:pPr>
            <w:r w:rsidRPr="0023188D">
              <w:rPr>
                <w:lang w:val="uk-UA" w:eastAsia="en-US"/>
              </w:rPr>
              <w:t>р =0</w:t>
            </w:r>
            <w:r w:rsidRPr="0023188D">
              <w:rPr>
                <w:lang w:eastAsia="en-US"/>
              </w:rPr>
              <w:t>,028</w:t>
            </w:r>
          </w:p>
        </w:tc>
        <w:tc>
          <w:tcPr>
            <w:tcW w:w="1417"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8,94±0,</w:t>
            </w:r>
            <w:r w:rsidRPr="0023188D">
              <w:rPr>
                <w:lang w:val="uk-UA" w:eastAsia="en-US"/>
              </w:rPr>
              <w:t>40</w:t>
            </w:r>
          </w:p>
        </w:tc>
        <w:tc>
          <w:tcPr>
            <w:tcW w:w="1383" w:type="dxa"/>
            <w:tcBorders>
              <w:top w:val="single" w:sz="4" w:space="0" w:color="auto"/>
              <w:left w:val="single" w:sz="4" w:space="0" w:color="auto"/>
              <w:bottom w:val="single" w:sz="4" w:space="0" w:color="auto"/>
              <w:right w:val="single" w:sz="4" w:space="0" w:color="auto"/>
            </w:tcBorders>
            <w:hideMark/>
          </w:tcPr>
          <w:p w:rsidR="00E3259F" w:rsidRPr="0023188D" w:rsidRDefault="00E3259F">
            <w:pPr>
              <w:spacing w:line="360" w:lineRule="auto"/>
              <w:rPr>
                <w:lang w:val="uk-UA" w:eastAsia="en-US"/>
              </w:rPr>
            </w:pPr>
            <w:r w:rsidRPr="0023188D">
              <w:rPr>
                <w:lang w:eastAsia="en-US"/>
              </w:rPr>
              <w:t>7,9</w:t>
            </w:r>
            <w:r w:rsidRPr="0023188D">
              <w:rPr>
                <w:lang w:val="uk-UA" w:eastAsia="en-US"/>
              </w:rPr>
              <w:t>7</w:t>
            </w:r>
            <w:r w:rsidRPr="0023188D">
              <w:rPr>
                <w:lang w:eastAsia="en-US"/>
              </w:rPr>
              <w:t>±</w:t>
            </w:r>
            <w:r w:rsidRPr="0023188D">
              <w:rPr>
                <w:lang w:val="uk-UA" w:eastAsia="en-US"/>
              </w:rPr>
              <w:t>0</w:t>
            </w:r>
            <w:r w:rsidRPr="0023188D">
              <w:rPr>
                <w:lang w:eastAsia="en-US"/>
              </w:rPr>
              <w:t>,</w:t>
            </w:r>
            <w:r w:rsidRPr="0023188D">
              <w:rPr>
                <w:lang w:val="uk-UA" w:eastAsia="en-US"/>
              </w:rPr>
              <w:t>25</w:t>
            </w:r>
          </w:p>
          <w:p w:rsidR="00E3259F" w:rsidRPr="0023188D" w:rsidRDefault="00E3259F">
            <w:pPr>
              <w:spacing w:line="360" w:lineRule="auto"/>
              <w:rPr>
                <w:lang w:val="uk-UA" w:eastAsia="en-US"/>
              </w:rPr>
            </w:pPr>
            <w:r w:rsidRPr="0023188D">
              <w:rPr>
                <w:lang w:val="uk-UA" w:eastAsia="en-US"/>
              </w:rPr>
              <w:t>р =0</w:t>
            </w:r>
            <w:r w:rsidRPr="0023188D">
              <w:rPr>
                <w:lang w:eastAsia="en-US"/>
              </w:rPr>
              <w:t>,0</w:t>
            </w:r>
            <w:r w:rsidRPr="0023188D">
              <w:rPr>
                <w:lang w:val="uk-UA" w:eastAsia="en-US"/>
              </w:rPr>
              <w:t>43</w:t>
            </w:r>
          </w:p>
        </w:tc>
      </w:tr>
    </w:tbl>
    <w:p w:rsidR="00E3259F" w:rsidRDefault="00E3259F" w:rsidP="0023188D">
      <w:pPr>
        <w:spacing w:line="360" w:lineRule="auto"/>
        <w:jc w:val="both"/>
        <w:rPr>
          <w:rStyle w:val="tlid-translation"/>
          <w:rFonts w:eastAsiaTheme="majorEastAsia"/>
          <w:sz w:val="26"/>
          <w:szCs w:val="26"/>
          <w:lang w:val="uk-UA" w:eastAsia="en-US"/>
        </w:rPr>
      </w:pPr>
      <w:r w:rsidRPr="0023188D">
        <w:rPr>
          <w:sz w:val="28"/>
          <w:szCs w:val="28"/>
          <w:lang w:val="uk-UA"/>
        </w:rPr>
        <w:t>Примітка: р</w:t>
      </w:r>
      <w:r w:rsidRPr="0023188D">
        <w:rPr>
          <w:sz w:val="28"/>
          <w:szCs w:val="28"/>
          <w:vertAlign w:val="subscript"/>
          <w:lang w:val="uk-UA"/>
        </w:rPr>
        <w:t xml:space="preserve"> -</w:t>
      </w:r>
      <w:r w:rsidRPr="0023188D">
        <w:rPr>
          <w:sz w:val="28"/>
          <w:szCs w:val="28"/>
          <w:lang w:val="uk-UA"/>
        </w:rPr>
        <w:t xml:space="preserve">  рівень значущості відмінностей при порівнянні І та ІІ вікових підгруп в групі </w:t>
      </w:r>
    </w:p>
    <w:p w:rsidR="008742E0" w:rsidRDefault="008742E0" w:rsidP="0023188D">
      <w:pPr>
        <w:spacing w:line="360" w:lineRule="auto"/>
        <w:ind w:firstLine="709"/>
        <w:jc w:val="both"/>
        <w:rPr>
          <w:sz w:val="28"/>
          <w:szCs w:val="28"/>
          <w:lang w:val="uk-UA" w:eastAsia="en-US"/>
        </w:rPr>
      </w:pPr>
    </w:p>
    <w:p w:rsidR="00E3259F" w:rsidRPr="0023188D" w:rsidRDefault="00E3259F" w:rsidP="0023188D">
      <w:pPr>
        <w:spacing w:line="360" w:lineRule="auto"/>
        <w:ind w:firstLine="709"/>
        <w:jc w:val="both"/>
        <w:rPr>
          <w:sz w:val="28"/>
          <w:szCs w:val="28"/>
          <w:lang w:val="uk-UA" w:eastAsia="en-US"/>
        </w:rPr>
      </w:pPr>
      <w:r w:rsidRPr="0023188D">
        <w:rPr>
          <w:sz w:val="28"/>
          <w:szCs w:val="28"/>
          <w:lang w:val="uk-UA" w:eastAsia="en-US"/>
        </w:rPr>
        <w:t>При порівнянні рівнів СРП та ФНП-α між особами однієї вікової підгрупи та з різними захворюваннями були виявлені достовірні відмінності між рівнями СРП у осіб віком 61-75 років групи 1 та 2 (р=0,001), групи 1 та 3 (р=0,025) та групи 2 і 3 (р=0,044). В осіб більш молодшої вікової групи рівні СРП достовірно відрізнялися лише між пацієнтами групи 1 та 3 (р=0,002). Міжгрупове порівняння плазмових рівнів ФНП-α у пацієнтів віком 44-60 років не виявило достовірних відмінностей (</w:t>
      </w:r>
      <w:r w:rsidRPr="0023188D">
        <w:rPr>
          <w:sz w:val="28"/>
          <w:szCs w:val="28"/>
          <w:shd w:val="clear" w:color="auto" w:fill="FFFFFF"/>
          <w:lang w:val="uk-UA"/>
        </w:rPr>
        <w:t>р&gt;0,05</w:t>
      </w:r>
      <w:r w:rsidRPr="0023188D">
        <w:rPr>
          <w:sz w:val="28"/>
          <w:szCs w:val="28"/>
          <w:lang w:val="uk-UA" w:eastAsia="en-US"/>
        </w:rPr>
        <w:t xml:space="preserve">), серед осіб старшої вікової групи достовірні відмінності спостерігалися лише  при порівнянні груп 2 та 3 (р=0,013).  </w:t>
      </w:r>
    </w:p>
    <w:p w:rsidR="00E3259F" w:rsidRPr="0023188D" w:rsidRDefault="00E3259F" w:rsidP="0023188D">
      <w:pPr>
        <w:spacing w:line="360" w:lineRule="auto"/>
        <w:ind w:firstLine="709"/>
        <w:jc w:val="both"/>
        <w:rPr>
          <w:sz w:val="28"/>
          <w:szCs w:val="28"/>
          <w:lang w:val="uk-UA" w:eastAsia="en-US"/>
        </w:rPr>
      </w:pPr>
      <w:r w:rsidRPr="0023188D">
        <w:rPr>
          <w:sz w:val="28"/>
          <w:szCs w:val="28"/>
          <w:lang w:val="uk-UA"/>
        </w:rPr>
        <w:t xml:space="preserve">При порівняльному аналізі рівнів СРП та </w:t>
      </w:r>
      <w:r w:rsidRPr="0023188D">
        <w:rPr>
          <w:sz w:val="28"/>
          <w:szCs w:val="28"/>
          <w:lang w:val="uk-UA" w:eastAsia="en-US"/>
        </w:rPr>
        <w:t xml:space="preserve">ФНП-α з урахуванням ТС </w:t>
      </w:r>
      <w:r w:rsidRPr="0023188D">
        <w:rPr>
          <w:sz w:val="28"/>
          <w:szCs w:val="28"/>
          <w:lang w:val="uk-UA"/>
        </w:rPr>
        <w:t xml:space="preserve">не було виявлено жодних достовірних відмінностей між рівнями СРП та ФНО при УТС та ПТС в групах пацієнтів (таблиця 5.9). </w:t>
      </w:r>
    </w:p>
    <w:p w:rsidR="00E3259F" w:rsidRPr="00E3259F" w:rsidRDefault="00E3259F" w:rsidP="00E3259F">
      <w:pPr>
        <w:spacing w:line="360" w:lineRule="auto"/>
        <w:ind w:firstLine="709"/>
        <w:jc w:val="right"/>
        <w:rPr>
          <w:rStyle w:val="tlid-translation"/>
          <w:sz w:val="28"/>
          <w:szCs w:val="28"/>
          <w:lang w:val="uk-UA"/>
        </w:rPr>
      </w:pPr>
      <w:r>
        <w:rPr>
          <w:rStyle w:val="tlid-translation"/>
          <w:sz w:val="28"/>
          <w:szCs w:val="28"/>
          <w:lang w:val="uk-UA"/>
        </w:rPr>
        <w:t>Таблиця 5.9</w:t>
      </w:r>
    </w:p>
    <w:p w:rsidR="00E3259F" w:rsidRPr="0064003E" w:rsidRDefault="00E3259F" w:rsidP="00E3259F">
      <w:pPr>
        <w:spacing w:line="360" w:lineRule="auto"/>
        <w:ind w:firstLine="709"/>
        <w:jc w:val="center"/>
        <w:rPr>
          <w:lang w:val="uk-UA"/>
        </w:rPr>
      </w:pPr>
      <w:r w:rsidRPr="0064003E">
        <w:rPr>
          <w:rStyle w:val="tlid-translation"/>
          <w:sz w:val="28"/>
          <w:szCs w:val="28"/>
          <w:lang w:val="uk-UA"/>
        </w:rPr>
        <w:t xml:space="preserve">Порівняльний аналіз  рівнів </w:t>
      </w:r>
      <w:r w:rsidRPr="0064003E">
        <w:rPr>
          <w:sz w:val="28"/>
          <w:szCs w:val="28"/>
          <w:lang w:val="uk-UA" w:eastAsia="en-US"/>
        </w:rPr>
        <w:t>ФНП-α</w:t>
      </w:r>
      <w:r w:rsidRPr="0064003E">
        <w:rPr>
          <w:rStyle w:val="tlid-translation"/>
          <w:sz w:val="28"/>
          <w:szCs w:val="28"/>
          <w:lang w:val="uk-UA"/>
        </w:rPr>
        <w:t xml:space="preserve">  та СРП в плазмі крові в групах пацієнтів </w:t>
      </w:r>
      <w:r w:rsidRPr="0064003E">
        <w:rPr>
          <w:sz w:val="28"/>
          <w:szCs w:val="28"/>
          <w:lang w:val="uk-UA" w:eastAsia="en-US"/>
        </w:rPr>
        <w:t>залежно</w:t>
      </w:r>
      <w:r w:rsidRPr="0064003E">
        <w:rPr>
          <w:rStyle w:val="tlid-translation"/>
          <w:sz w:val="28"/>
          <w:szCs w:val="28"/>
          <w:lang w:val="uk-UA"/>
        </w:rPr>
        <w:t xml:space="preserve"> від темпу старіння </w:t>
      </w:r>
      <w:r w:rsidRPr="0064003E">
        <w:rPr>
          <w:sz w:val="28"/>
          <w:szCs w:val="28"/>
          <w:lang w:val="uk-UA"/>
        </w:rPr>
        <w:t>(</w:t>
      </w:r>
      <w:r w:rsidRPr="0064003E">
        <w:rPr>
          <w:sz w:val="28"/>
          <w:szCs w:val="28"/>
          <w:lang w:val="en-US"/>
        </w:rPr>
        <w:t>M</w:t>
      </w:r>
      <w:r w:rsidRPr="0064003E">
        <w:rPr>
          <w:sz w:val="28"/>
          <w:szCs w:val="28"/>
          <w:lang w:val="uk-UA"/>
        </w:rPr>
        <w:t>±</w:t>
      </w:r>
      <w:r w:rsidRPr="0064003E">
        <w:rPr>
          <w:sz w:val="28"/>
          <w:szCs w:val="28"/>
          <w:lang w:val="en-US"/>
        </w:rPr>
        <w:t>m</w:t>
      </w:r>
      <w:r w:rsidRPr="0064003E">
        <w:rPr>
          <w:sz w:val="28"/>
          <w:szCs w:val="28"/>
          <w:lang w:val="uk-UA"/>
        </w:rPr>
        <w:t>)</w:t>
      </w:r>
    </w:p>
    <w:p w:rsidR="00E3259F" w:rsidRDefault="00E3259F" w:rsidP="00E3259F">
      <w:pPr>
        <w:rPr>
          <w:lang w:val="uk-UA"/>
        </w:rPr>
      </w:pPr>
    </w:p>
    <w:tbl>
      <w:tblPr>
        <w:tblW w:w="5000" w:type="pct"/>
        <w:tblLook w:val="04A0" w:firstRow="1" w:lastRow="0" w:firstColumn="1" w:lastColumn="0" w:noHBand="0" w:noVBand="1"/>
      </w:tblPr>
      <w:tblGrid>
        <w:gridCol w:w="1442"/>
        <w:gridCol w:w="1308"/>
        <w:gridCol w:w="1309"/>
        <w:gridCol w:w="1308"/>
        <w:gridCol w:w="1390"/>
        <w:gridCol w:w="1409"/>
        <w:gridCol w:w="1405"/>
      </w:tblGrid>
      <w:tr w:rsidR="00E3259F" w:rsidRPr="00595A10" w:rsidTr="00E3259F">
        <w:tc>
          <w:tcPr>
            <w:tcW w:w="754" w:type="pct"/>
            <w:vMerge w:val="restar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Показник/</w:t>
            </w:r>
          </w:p>
          <w:p w:rsidR="00E3259F" w:rsidRPr="00595A10" w:rsidRDefault="00E3259F" w:rsidP="00595A10">
            <w:pPr>
              <w:spacing w:line="360" w:lineRule="auto"/>
              <w:jc w:val="both"/>
              <w:rPr>
                <w:lang w:val="uk-UA" w:eastAsia="en-US"/>
              </w:rPr>
            </w:pPr>
            <w:r w:rsidRPr="00595A10">
              <w:rPr>
                <w:lang w:val="uk-UA" w:eastAsia="en-US"/>
              </w:rPr>
              <w:t>Темп старіння</w:t>
            </w:r>
          </w:p>
        </w:tc>
        <w:tc>
          <w:tcPr>
            <w:tcW w:w="1367" w:type="pct"/>
            <w:gridSpan w:val="2"/>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 xml:space="preserve">Група </w:t>
            </w:r>
          </w:p>
          <w:p w:rsidR="00E3259F" w:rsidRPr="00595A10" w:rsidRDefault="00E3259F" w:rsidP="00595A10">
            <w:pPr>
              <w:spacing w:line="360" w:lineRule="auto"/>
              <w:jc w:val="center"/>
              <w:rPr>
                <w:rFonts w:eastAsia="Calibri"/>
                <w:lang w:val="uk-UA" w:eastAsia="en-US"/>
              </w:rPr>
            </w:pPr>
            <w:r w:rsidRPr="00595A10">
              <w:rPr>
                <w:lang w:val="uk-UA" w:eastAsia="en-US"/>
              </w:rPr>
              <w:t>(</w:t>
            </w:r>
            <w:r w:rsidRPr="00595A10">
              <w:rPr>
                <w:lang w:val="en-US" w:eastAsia="en-US"/>
              </w:rPr>
              <w:t>n</w:t>
            </w:r>
            <w:r w:rsidRPr="00595A10">
              <w:rPr>
                <w:lang w:val="uk-UA" w:eastAsia="en-US"/>
              </w:rPr>
              <w:t>=106)</w:t>
            </w:r>
          </w:p>
        </w:tc>
        <w:tc>
          <w:tcPr>
            <w:tcW w:w="1409" w:type="pct"/>
            <w:gridSpan w:val="2"/>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 xml:space="preserve">Група </w:t>
            </w:r>
          </w:p>
          <w:p w:rsidR="00E3259F" w:rsidRPr="00595A10" w:rsidRDefault="00E3259F" w:rsidP="00595A10">
            <w:pPr>
              <w:spacing w:line="360" w:lineRule="auto"/>
              <w:jc w:val="center"/>
              <w:rPr>
                <w:rFonts w:eastAsia="Calibri"/>
                <w:lang w:val="en-US" w:eastAsia="en-US"/>
              </w:rPr>
            </w:pPr>
            <w:r w:rsidRPr="00595A10">
              <w:rPr>
                <w:lang w:val="uk-UA" w:eastAsia="en-US"/>
              </w:rPr>
              <w:t>(</w:t>
            </w:r>
            <w:r w:rsidRPr="00595A10">
              <w:rPr>
                <w:lang w:val="en-US" w:eastAsia="en-US"/>
              </w:rPr>
              <w:t>n</w:t>
            </w:r>
            <w:r w:rsidRPr="00595A10">
              <w:rPr>
                <w:lang w:val="uk-UA" w:eastAsia="en-US"/>
              </w:rPr>
              <w:t>=156)</w:t>
            </w:r>
          </w:p>
        </w:tc>
        <w:tc>
          <w:tcPr>
            <w:tcW w:w="1470" w:type="pct"/>
            <w:gridSpan w:val="2"/>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eastAsia="en-US"/>
              </w:rPr>
              <w:t>Група</w:t>
            </w:r>
            <w:r w:rsidRPr="00595A10">
              <w:rPr>
                <w:lang w:val="uk-UA" w:eastAsia="en-US"/>
              </w:rPr>
              <w:t xml:space="preserve"> 3</w:t>
            </w:r>
          </w:p>
          <w:p w:rsidR="00E3259F" w:rsidRPr="00595A10" w:rsidRDefault="00E3259F" w:rsidP="00595A10">
            <w:pPr>
              <w:spacing w:line="360" w:lineRule="auto"/>
              <w:jc w:val="center"/>
              <w:rPr>
                <w:rFonts w:eastAsia="Calibri"/>
                <w:lang w:eastAsia="en-US"/>
              </w:rPr>
            </w:pPr>
            <w:r w:rsidRPr="00595A10">
              <w:rPr>
                <w:lang w:val="uk-UA" w:eastAsia="en-US"/>
              </w:rPr>
              <w:t>(</w:t>
            </w:r>
            <w:r w:rsidRPr="00595A10">
              <w:rPr>
                <w:lang w:val="en-US" w:eastAsia="en-US"/>
              </w:rPr>
              <w:t>n</w:t>
            </w:r>
            <w:r w:rsidRPr="00595A10">
              <w:rPr>
                <w:lang w:val="uk-UA" w:eastAsia="en-US"/>
              </w:rPr>
              <w:t>=93)</w:t>
            </w:r>
          </w:p>
        </w:tc>
      </w:tr>
      <w:tr w:rsidR="00E3259F" w:rsidRPr="00595A10" w:rsidTr="00E3259F">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595A10" w:rsidRDefault="00E3259F" w:rsidP="00595A10">
            <w:pPr>
              <w:spacing w:line="360" w:lineRule="auto"/>
              <w:rPr>
                <w:lang w:val="uk-UA" w:eastAsia="en-US"/>
              </w:rPr>
            </w:pP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У</w:t>
            </w:r>
            <w:r w:rsidRPr="00595A10">
              <w:rPr>
                <w:lang w:eastAsia="en-US"/>
              </w:rPr>
              <w:t>ТС</w:t>
            </w:r>
          </w:p>
          <w:p w:rsidR="00E3259F" w:rsidRPr="00595A10" w:rsidRDefault="00E3259F" w:rsidP="00595A10">
            <w:pPr>
              <w:spacing w:line="360" w:lineRule="auto"/>
              <w:jc w:val="center"/>
              <w:rPr>
                <w:lang w:val="uk-UA" w:eastAsia="en-US"/>
              </w:rPr>
            </w:pPr>
            <w:r w:rsidRPr="00595A10">
              <w:rPr>
                <w:lang w:val="uk-UA" w:eastAsia="en-US"/>
              </w:rPr>
              <w:t xml:space="preserve">1а </w:t>
            </w:r>
            <w:r w:rsidRPr="00595A10">
              <w:rPr>
                <w:lang w:eastAsia="en-US"/>
              </w:rPr>
              <w:t>(</w:t>
            </w:r>
            <w:r w:rsidRPr="00595A10">
              <w:rPr>
                <w:lang w:val="en-US" w:eastAsia="en-US"/>
              </w:rPr>
              <w:t>n=59)</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П</w:t>
            </w:r>
            <w:r w:rsidRPr="00595A10">
              <w:rPr>
                <w:lang w:eastAsia="en-US"/>
              </w:rPr>
              <w:t>ТС</w:t>
            </w:r>
          </w:p>
          <w:p w:rsidR="00E3259F" w:rsidRPr="00595A10" w:rsidRDefault="00E3259F" w:rsidP="00595A10">
            <w:pPr>
              <w:spacing w:line="360" w:lineRule="auto"/>
              <w:jc w:val="center"/>
              <w:rPr>
                <w:lang w:val="uk-UA" w:eastAsia="en-US"/>
              </w:rPr>
            </w:pPr>
            <w:r w:rsidRPr="00595A10">
              <w:rPr>
                <w:lang w:val="uk-UA" w:eastAsia="en-US"/>
              </w:rPr>
              <w:t xml:space="preserve">1б </w:t>
            </w:r>
            <w:r w:rsidRPr="00595A10">
              <w:rPr>
                <w:lang w:eastAsia="en-US"/>
              </w:rPr>
              <w:t>(</w:t>
            </w:r>
            <w:r w:rsidRPr="00595A10">
              <w:rPr>
                <w:lang w:val="en-US" w:eastAsia="en-US"/>
              </w:rPr>
              <w:t>n=33)</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У</w:t>
            </w:r>
            <w:r w:rsidRPr="00595A10">
              <w:rPr>
                <w:lang w:eastAsia="en-US"/>
              </w:rPr>
              <w:t>ТС</w:t>
            </w:r>
          </w:p>
          <w:p w:rsidR="00E3259F" w:rsidRPr="00595A10" w:rsidRDefault="00E3259F" w:rsidP="00595A10">
            <w:pPr>
              <w:spacing w:line="360" w:lineRule="auto"/>
              <w:jc w:val="center"/>
              <w:rPr>
                <w:lang w:val="uk-UA" w:eastAsia="en-US"/>
              </w:rPr>
            </w:pPr>
            <w:r w:rsidRPr="00595A10">
              <w:rPr>
                <w:lang w:val="uk-UA" w:eastAsia="en-US"/>
              </w:rPr>
              <w:t xml:space="preserve">2а </w:t>
            </w:r>
            <w:r w:rsidRPr="00595A10">
              <w:rPr>
                <w:lang w:eastAsia="en-US"/>
              </w:rPr>
              <w:t>(</w:t>
            </w:r>
            <w:r w:rsidRPr="00595A10">
              <w:rPr>
                <w:lang w:val="en-US" w:eastAsia="en-US"/>
              </w:rPr>
              <w:t>n=57)</w:t>
            </w:r>
          </w:p>
        </w:tc>
        <w:tc>
          <w:tcPr>
            <w:tcW w:w="726"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П</w:t>
            </w:r>
            <w:r w:rsidRPr="00595A10">
              <w:rPr>
                <w:lang w:eastAsia="en-US"/>
              </w:rPr>
              <w:t>ТС</w:t>
            </w:r>
          </w:p>
          <w:p w:rsidR="00E3259F" w:rsidRPr="00595A10" w:rsidRDefault="00E3259F" w:rsidP="00595A10">
            <w:pPr>
              <w:spacing w:line="360" w:lineRule="auto"/>
              <w:jc w:val="center"/>
              <w:rPr>
                <w:lang w:val="uk-UA" w:eastAsia="en-US"/>
              </w:rPr>
            </w:pPr>
            <w:r w:rsidRPr="00595A10">
              <w:rPr>
                <w:lang w:val="uk-UA" w:eastAsia="en-US"/>
              </w:rPr>
              <w:t xml:space="preserve">2б </w:t>
            </w:r>
            <w:r w:rsidRPr="00595A10">
              <w:rPr>
                <w:lang w:eastAsia="en-US"/>
              </w:rPr>
              <w:t>(</w:t>
            </w:r>
            <w:r w:rsidRPr="00595A10">
              <w:rPr>
                <w:lang w:val="en-US" w:eastAsia="en-US"/>
              </w:rPr>
              <w:t>n=84)</w:t>
            </w:r>
          </w:p>
        </w:tc>
        <w:tc>
          <w:tcPr>
            <w:tcW w:w="736"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У</w:t>
            </w:r>
            <w:r w:rsidRPr="00595A10">
              <w:rPr>
                <w:lang w:eastAsia="en-US"/>
              </w:rPr>
              <w:t>ТС</w:t>
            </w:r>
          </w:p>
          <w:p w:rsidR="00E3259F" w:rsidRPr="00595A10" w:rsidRDefault="00E3259F" w:rsidP="00595A10">
            <w:pPr>
              <w:spacing w:line="360" w:lineRule="auto"/>
              <w:jc w:val="center"/>
              <w:rPr>
                <w:lang w:val="uk-UA" w:eastAsia="en-US"/>
              </w:rPr>
            </w:pPr>
            <w:r w:rsidRPr="00595A10">
              <w:rPr>
                <w:lang w:val="uk-UA" w:eastAsia="en-US"/>
              </w:rPr>
              <w:t xml:space="preserve">3а </w:t>
            </w:r>
            <w:r w:rsidRPr="00595A10">
              <w:rPr>
                <w:lang w:eastAsia="en-US"/>
              </w:rPr>
              <w:t>(</w:t>
            </w:r>
            <w:r w:rsidRPr="00595A10">
              <w:rPr>
                <w:lang w:val="en-US" w:eastAsia="en-US"/>
              </w:rPr>
              <w:t>n=38)</w:t>
            </w:r>
          </w:p>
        </w:tc>
        <w:tc>
          <w:tcPr>
            <w:tcW w:w="735"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center"/>
              <w:rPr>
                <w:lang w:val="uk-UA" w:eastAsia="en-US"/>
              </w:rPr>
            </w:pPr>
            <w:r w:rsidRPr="00595A10">
              <w:rPr>
                <w:lang w:val="uk-UA" w:eastAsia="en-US"/>
              </w:rPr>
              <w:t>П</w:t>
            </w:r>
            <w:r w:rsidRPr="00595A10">
              <w:rPr>
                <w:lang w:eastAsia="en-US"/>
              </w:rPr>
              <w:t>ТС</w:t>
            </w:r>
          </w:p>
          <w:p w:rsidR="00E3259F" w:rsidRPr="00595A10" w:rsidRDefault="00E3259F" w:rsidP="00595A10">
            <w:pPr>
              <w:spacing w:line="360" w:lineRule="auto"/>
              <w:jc w:val="center"/>
              <w:rPr>
                <w:lang w:val="uk-UA" w:eastAsia="en-US"/>
              </w:rPr>
            </w:pPr>
            <w:r w:rsidRPr="00595A10">
              <w:rPr>
                <w:lang w:val="uk-UA" w:eastAsia="en-US"/>
              </w:rPr>
              <w:t xml:space="preserve">3б </w:t>
            </w:r>
            <w:r w:rsidRPr="00595A10">
              <w:rPr>
                <w:lang w:eastAsia="en-US"/>
              </w:rPr>
              <w:t>(</w:t>
            </w:r>
            <w:r w:rsidRPr="00595A10">
              <w:rPr>
                <w:lang w:val="en-US" w:eastAsia="en-US"/>
              </w:rPr>
              <w:t>n=51)</w:t>
            </w:r>
          </w:p>
        </w:tc>
      </w:tr>
      <w:tr w:rsidR="00E3259F" w:rsidRPr="00595A10" w:rsidTr="00E3259F">
        <w:tc>
          <w:tcPr>
            <w:tcW w:w="754"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val="uk-UA" w:eastAsia="en-US"/>
              </w:rPr>
              <w:t>СРП,</w:t>
            </w:r>
            <w:r w:rsidRPr="00595A10">
              <w:rPr>
                <w:lang w:eastAsia="en-US"/>
              </w:rPr>
              <w:t xml:space="preserve"> мг/л</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6,</w:t>
            </w:r>
            <w:r w:rsidRPr="00595A10">
              <w:rPr>
                <w:lang w:val="uk-UA" w:eastAsia="en-US"/>
              </w:rPr>
              <w:t>53</w:t>
            </w:r>
            <w:r w:rsidRPr="00595A10">
              <w:rPr>
                <w:lang w:eastAsia="en-US"/>
              </w:rPr>
              <w:t>±</w:t>
            </w:r>
            <w:r w:rsidRPr="00595A10">
              <w:rPr>
                <w:lang w:val="uk-UA" w:eastAsia="en-US"/>
              </w:rPr>
              <w:t>0</w:t>
            </w:r>
            <w:r w:rsidRPr="00595A10">
              <w:rPr>
                <w:lang w:eastAsia="en-US"/>
              </w:rPr>
              <w:t>,</w:t>
            </w:r>
            <w:r w:rsidRPr="00595A10">
              <w:rPr>
                <w:lang w:val="uk-UA" w:eastAsia="en-US"/>
              </w:rPr>
              <w:t>30</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6,1</w:t>
            </w:r>
            <w:r w:rsidRPr="00595A10">
              <w:rPr>
                <w:lang w:val="uk-UA" w:eastAsia="en-US"/>
              </w:rPr>
              <w:t>7</w:t>
            </w:r>
            <w:r w:rsidRPr="00595A10">
              <w:rPr>
                <w:lang w:eastAsia="en-US"/>
              </w:rPr>
              <w:t>±</w:t>
            </w:r>
            <w:r w:rsidRPr="00595A10">
              <w:rPr>
                <w:lang w:val="uk-UA" w:eastAsia="en-US"/>
              </w:rPr>
              <w:t>0</w:t>
            </w:r>
            <w:r w:rsidRPr="00595A10">
              <w:rPr>
                <w:lang w:eastAsia="en-US"/>
              </w:rPr>
              <w:t>,5</w:t>
            </w:r>
            <w:r w:rsidRPr="00595A10">
              <w:rPr>
                <w:lang w:val="uk-UA" w:eastAsia="en-US"/>
              </w:rPr>
              <w:t>6</w:t>
            </w:r>
          </w:p>
          <w:p w:rsidR="00E3259F" w:rsidRPr="00595A10" w:rsidRDefault="00E3259F" w:rsidP="00595A10">
            <w:pPr>
              <w:spacing w:line="360" w:lineRule="auto"/>
              <w:jc w:val="both"/>
              <w:rPr>
                <w:lang w:val="uk-UA" w:eastAsia="en-US"/>
              </w:rPr>
            </w:pPr>
            <w:r w:rsidRPr="00595A10">
              <w:rPr>
                <w:shd w:val="clear" w:color="auto" w:fill="FFFFFF"/>
                <w:lang w:val="uk-UA" w:eastAsia="en-US"/>
              </w:rPr>
              <w:t>р&gt;0,05</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eastAsia="en-US"/>
              </w:rPr>
            </w:pPr>
            <w:r w:rsidRPr="00595A10">
              <w:rPr>
                <w:lang w:eastAsia="en-US"/>
              </w:rPr>
              <w:t>8,</w:t>
            </w:r>
            <w:r w:rsidRPr="00595A10">
              <w:rPr>
                <w:lang w:val="uk-UA" w:eastAsia="en-US"/>
              </w:rPr>
              <w:t>74</w:t>
            </w:r>
            <w:r w:rsidRPr="00595A10">
              <w:rPr>
                <w:lang w:eastAsia="en-US"/>
              </w:rPr>
              <w:t>±</w:t>
            </w:r>
            <w:r w:rsidRPr="00595A10">
              <w:rPr>
                <w:lang w:val="uk-UA" w:eastAsia="en-US"/>
              </w:rPr>
              <w:t>0</w:t>
            </w:r>
            <w:r w:rsidRPr="00595A10">
              <w:rPr>
                <w:lang w:eastAsia="en-US"/>
              </w:rPr>
              <w:t>,26</w:t>
            </w:r>
          </w:p>
        </w:tc>
        <w:tc>
          <w:tcPr>
            <w:tcW w:w="726"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9,</w:t>
            </w:r>
            <w:r w:rsidRPr="00595A10">
              <w:rPr>
                <w:lang w:val="uk-UA" w:eastAsia="en-US"/>
              </w:rPr>
              <w:t>30</w:t>
            </w:r>
            <w:r w:rsidRPr="00595A10">
              <w:rPr>
                <w:lang w:eastAsia="en-US"/>
              </w:rPr>
              <w:t>±</w:t>
            </w:r>
            <w:r w:rsidRPr="00595A10">
              <w:rPr>
                <w:lang w:val="uk-UA" w:eastAsia="en-US"/>
              </w:rPr>
              <w:t>0</w:t>
            </w:r>
            <w:r w:rsidRPr="00595A10">
              <w:rPr>
                <w:lang w:eastAsia="en-US"/>
              </w:rPr>
              <w:t>,56</w:t>
            </w:r>
          </w:p>
          <w:p w:rsidR="00E3259F" w:rsidRPr="00595A10" w:rsidRDefault="00E3259F" w:rsidP="00595A10">
            <w:pPr>
              <w:spacing w:line="360" w:lineRule="auto"/>
              <w:jc w:val="both"/>
              <w:rPr>
                <w:lang w:val="uk-UA" w:eastAsia="en-US"/>
              </w:rPr>
            </w:pPr>
            <w:r w:rsidRPr="00595A10">
              <w:rPr>
                <w:shd w:val="clear" w:color="auto" w:fill="FFFFFF"/>
                <w:lang w:val="uk-UA" w:eastAsia="en-US"/>
              </w:rPr>
              <w:t>р&gt;0,05</w:t>
            </w:r>
          </w:p>
        </w:tc>
        <w:tc>
          <w:tcPr>
            <w:tcW w:w="736"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7,99±</w:t>
            </w:r>
            <w:r w:rsidRPr="00595A10">
              <w:rPr>
                <w:lang w:val="uk-UA" w:eastAsia="en-US"/>
              </w:rPr>
              <w:t>0</w:t>
            </w:r>
            <w:r w:rsidRPr="00595A10">
              <w:rPr>
                <w:lang w:eastAsia="en-US"/>
              </w:rPr>
              <w:t>,63</w:t>
            </w:r>
          </w:p>
        </w:tc>
        <w:tc>
          <w:tcPr>
            <w:tcW w:w="735"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8,69±</w:t>
            </w:r>
            <w:r w:rsidRPr="00595A10">
              <w:rPr>
                <w:lang w:val="uk-UA" w:eastAsia="en-US"/>
              </w:rPr>
              <w:t>0</w:t>
            </w:r>
            <w:r w:rsidRPr="00595A10">
              <w:rPr>
                <w:lang w:eastAsia="en-US"/>
              </w:rPr>
              <w:t>,65</w:t>
            </w:r>
          </w:p>
          <w:p w:rsidR="00E3259F" w:rsidRPr="00595A10" w:rsidRDefault="00E3259F" w:rsidP="00595A10">
            <w:pPr>
              <w:spacing w:line="360" w:lineRule="auto"/>
              <w:jc w:val="both"/>
              <w:rPr>
                <w:lang w:val="uk-UA" w:eastAsia="en-US"/>
              </w:rPr>
            </w:pPr>
            <w:r w:rsidRPr="00595A10">
              <w:rPr>
                <w:shd w:val="clear" w:color="auto" w:fill="FFFFFF"/>
                <w:lang w:val="uk-UA" w:eastAsia="en-US"/>
              </w:rPr>
              <w:t>р&gt;0,05</w:t>
            </w:r>
          </w:p>
        </w:tc>
      </w:tr>
      <w:tr w:rsidR="00E3259F" w:rsidRPr="00595A10" w:rsidTr="00E3259F">
        <w:tc>
          <w:tcPr>
            <w:tcW w:w="754"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rStyle w:val="xfm65112403"/>
                <w:lang w:val="uk-UA"/>
              </w:rPr>
            </w:pPr>
            <w:r w:rsidRPr="00595A10">
              <w:rPr>
                <w:lang w:val="uk-UA" w:eastAsia="en-US"/>
              </w:rPr>
              <w:t>ФНП-α,</w:t>
            </w:r>
            <w:r w:rsidRPr="00595A10">
              <w:rPr>
                <w:lang w:eastAsia="en-US"/>
              </w:rPr>
              <w:t xml:space="preserve"> пг/мл</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12,</w:t>
            </w:r>
            <w:r w:rsidRPr="00595A10">
              <w:rPr>
                <w:lang w:val="uk-UA" w:eastAsia="en-US"/>
              </w:rPr>
              <w:t>84</w:t>
            </w:r>
            <w:r w:rsidRPr="00595A10">
              <w:rPr>
                <w:lang w:eastAsia="en-US"/>
              </w:rPr>
              <w:t>±</w:t>
            </w:r>
            <w:r w:rsidRPr="00595A10">
              <w:rPr>
                <w:lang w:val="uk-UA" w:eastAsia="en-US"/>
              </w:rPr>
              <w:t>0</w:t>
            </w:r>
            <w:r w:rsidRPr="00595A10">
              <w:rPr>
                <w:lang w:eastAsia="en-US"/>
              </w:rPr>
              <w:t>,</w:t>
            </w:r>
            <w:r w:rsidRPr="00595A10">
              <w:rPr>
                <w:lang w:val="uk-UA" w:eastAsia="en-US"/>
              </w:rPr>
              <w:t>63</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11,12</w:t>
            </w:r>
            <w:r w:rsidRPr="00595A10">
              <w:rPr>
                <w:lang w:val="uk-UA" w:eastAsia="en-US"/>
              </w:rPr>
              <w:t>±</w:t>
            </w:r>
            <w:r w:rsidRPr="00595A10">
              <w:rPr>
                <w:lang w:eastAsia="en-US"/>
              </w:rPr>
              <w:t>1,52</w:t>
            </w:r>
          </w:p>
          <w:p w:rsidR="00E3259F" w:rsidRPr="00595A10" w:rsidRDefault="00E3259F" w:rsidP="00595A10">
            <w:pPr>
              <w:spacing w:line="360" w:lineRule="auto"/>
              <w:jc w:val="both"/>
              <w:rPr>
                <w:lang w:val="uk-UA" w:eastAsia="en-US"/>
              </w:rPr>
            </w:pPr>
            <w:r w:rsidRPr="00595A10">
              <w:rPr>
                <w:shd w:val="clear" w:color="auto" w:fill="FFFFFF"/>
                <w:lang w:val="uk-UA" w:eastAsia="en-US"/>
              </w:rPr>
              <w:t>р&gt;0,05</w:t>
            </w:r>
          </w:p>
        </w:tc>
        <w:tc>
          <w:tcPr>
            <w:tcW w:w="683"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11,7</w:t>
            </w:r>
            <w:r w:rsidRPr="00595A10">
              <w:rPr>
                <w:lang w:val="uk-UA" w:eastAsia="en-US"/>
              </w:rPr>
              <w:t>6</w:t>
            </w:r>
            <w:r w:rsidRPr="00595A10">
              <w:rPr>
                <w:lang w:eastAsia="en-US"/>
              </w:rPr>
              <w:t>±</w:t>
            </w:r>
            <w:r w:rsidRPr="00595A10">
              <w:rPr>
                <w:lang w:val="uk-UA" w:eastAsia="en-US"/>
              </w:rPr>
              <w:t>0</w:t>
            </w:r>
            <w:r w:rsidRPr="00595A10">
              <w:rPr>
                <w:lang w:eastAsia="en-US"/>
              </w:rPr>
              <w:t>,5</w:t>
            </w:r>
            <w:r w:rsidRPr="00595A10">
              <w:rPr>
                <w:lang w:val="uk-UA" w:eastAsia="en-US"/>
              </w:rPr>
              <w:t>5</w:t>
            </w:r>
          </w:p>
        </w:tc>
        <w:tc>
          <w:tcPr>
            <w:tcW w:w="726"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11,67±</w:t>
            </w:r>
            <w:r w:rsidRPr="00595A10">
              <w:rPr>
                <w:lang w:val="uk-UA" w:eastAsia="en-US"/>
              </w:rPr>
              <w:t>0</w:t>
            </w:r>
            <w:r w:rsidRPr="00595A10">
              <w:rPr>
                <w:lang w:eastAsia="en-US"/>
              </w:rPr>
              <w:t>,6</w:t>
            </w:r>
            <w:r w:rsidRPr="00595A10">
              <w:rPr>
                <w:lang w:val="uk-UA" w:eastAsia="en-US"/>
              </w:rPr>
              <w:t>7</w:t>
            </w:r>
          </w:p>
          <w:p w:rsidR="00E3259F" w:rsidRPr="00595A10" w:rsidRDefault="00E3259F" w:rsidP="00595A10">
            <w:pPr>
              <w:spacing w:line="360" w:lineRule="auto"/>
              <w:jc w:val="both"/>
              <w:rPr>
                <w:lang w:val="uk-UA" w:eastAsia="en-US"/>
              </w:rPr>
            </w:pPr>
            <w:r w:rsidRPr="00595A10">
              <w:rPr>
                <w:shd w:val="clear" w:color="auto" w:fill="FFFFFF"/>
                <w:lang w:val="uk-UA" w:eastAsia="en-US"/>
              </w:rPr>
              <w:t>р&gt;0,05</w:t>
            </w:r>
          </w:p>
        </w:tc>
        <w:tc>
          <w:tcPr>
            <w:tcW w:w="736"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12,70±</w:t>
            </w:r>
            <w:r w:rsidRPr="00595A10">
              <w:rPr>
                <w:lang w:val="uk-UA" w:eastAsia="en-US"/>
              </w:rPr>
              <w:t>0</w:t>
            </w:r>
            <w:r w:rsidRPr="00595A10">
              <w:rPr>
                <w:lang w:eastAsia="en-US"/>
              </w:rPr>
              <w:t>,87</w:t>
            </w:r>
          </w:p>
        </w:tc>
        <w:tc>
          <w:tcPr>
            <w:tcW w:w="735" w:type="pct"/>
            <w:tcBorders>
              <w:top w:val="single" w:sz="4" w:space="0" w:color="auto"/>
              <w:left w:val="single" w:sz="4" w:space="0" w:color="auto"/>
              <w:bottom w:val="single" w:sz="4" w:space="0" w:color="auto"/>
              <w:right w:val="single" w:sz="4" w:space="0" w:color="auto"/>
            </w:tcBorders>
            <w:hideMark/>
          </w:tcPr>
          <w:p w:rsidR="00E3259F" w:rsidRPr="00595A10" w:rsidRDefault="00E3259F" w:rsidP="00595A10">
            <w:pPr>
              <w:spacing w:line="360" w:lineRule="auto"/>
              <w:jc w:val="both"/>
              <w:rPr>
                <w:lang w:val="uk-UA" w:eastAsia="en-US"/>
              </w:rPr>
            </w:pPr>
            <w:r w:rsidRPr="00595A10">
              <w:rPr>
                <w:lang w:eastAsia="en-US"/>
              </w:rPr>
              <w:t>12,</w:t>
            </w:r>
            <w:r w:rsidRPr="00595A10">
              <w:rPr>
                <w:lang w:val="uk-UA" w:eastAsia="en-US"/>
              </w:rPr>
              <w:t>50</w:t>
            </w:r>
            <w:r w:rsidRPr="00595A10">
              <w:rPr>
                <w:lang w:eastAsia="en-US"/>
              </w:rPr>
              <w:t>±</w:t>
            </w:r>
            <w:r w:rsidRPr="00595A10">
              <w:rPr>
                <w:lang w:val="uk-UA" w:eastAsia="en-US"/>
              </w:rPr>
              <w:t>0</w:t>
            </w:r>
            <w:r w:rsidRPr="00595A10">
              <w:rPr>
                <w:lang w:eastAsia="en-US"/>
              </w:rPr>
              <w:t>,62</w:t>
            </w:r>
          </w:p>
          <w:p w:rsidR="00E3259F" w:rsidRPr="00595A10" w:rsidRDefault="00E3259F" w:rsidP="00595A10">
            <w:pPr>
              <w:spacing w:line="360" w:lineRule="auto"/>
              <w:jc w:val="both"/>
              <w:rPr>
                <w:lang w:val="uk-UA" w:eastAsia="en-US"/>
              </w:rPr>
            </w:pPr>
            <w:r w:rsidRPr="00595A10">
              <w:rPr>
                <w:shd w:val="clear" w:color="auto" w:fill="FFFFFF"/>
                <w:lang w:val="uk-UA" w:eastAsia="en-US"/>
              </w:rPr>
              <w:t>р&gt;0,05</w:t>
            </w:r>
          </w:p>
        </w:tc>
      </w:tr>
    </w:tbl>
    <w:p w:rsidR="00E3259F" w:rsidRPr="00595A10" w:rsidRDefault="00E3259F" w:rsidP="00595A10">
      <w:pPr>
        <w:spacing w:line="360" w:lineRule="auto"/>
        <w:jc w:val="both"/>
        <w:rPr>
          <w:rFonts w:eastAsiaTheme="minorHAnsi"/>
          <w:sz w:val="18"/>
          <w:szCs w:val="18"/>
          <w:lang w:val="uk-UA" w:eastAsia="en-US"/>
        </w:rPr>
      </w:pPr>
      <w:r w:rsidRPr="00595A10">
        <w:rPr>
          <w:sz w:val="28"/>
          <w:szCs w:val="28"/>
          <w:lang w:val="uk-UA"/>
        </w:rPr>
        <w:t>Примітка: р- рівнь значущості відмінностей при порівнянні пацієнтів з УТС та ПТС в групах</w:t>
      </w:r>
    </w:p>
    <w:p w:rsidR="008742E0" w:rsidRDefault="008742E0" w:rsidP="008742E0">
      <w:pPr>
        <w:spacing w:line="360" w:lineRule="auto"/>
        <w:ind w:firstLine="709"/>
        <w:jc w:val="both"/>
        <w:rPr>
          <w:sz w:val="28"/>
          <w:szCs w:val="28"/>
          <w:lang w:val="uk-UA" w:eastAsia="en-US"/>
        </w:rPr>
      </w:pPr>
      <w:r w:rsidRPr="0023188D">
        <w:rPr>
          <w:sz w:val="28"/>
          <w:szCs w:val="28"/>
          <w:lang w:val="uk-UA"/>
        </w:rPr>
        <w:t xml:space="preserve">Однак, при порівнянні рівнів СРП та </w:t>
      </w:r>
      <w:r w:rsidRPr="0023188D">
        <w:rPr>
          <w:sz w:val="28"/>
          <w:szCs w:val="28"/>
          <w:lang w:val="uk-UA" w:eastAsia="en-US"/>
        </w:rPr>
        <w:t>ФНП-α між особами з однаковим темпом старіння та різними захворюваннями було виявлено, що при УТС пацієнти з ГХ та ЦД 2 типу мають достовірно вищі значення СРП,  ніж пацієнти  групи 1 (р=0,001), а наявність СГТ при УТС не приводила до достовірних відмінностей  рівнів СРП між групами (</w:t>
      </w:r>
      <w:r w:rsidRPr="0023188D">
        <w:rPr>
          <w:sz w:val="28"/>
          <w:szCs w:val="28"/>
          <w:shd w:val="clear" w:color="auto" w:fill="FFFFFF"/>
          <w:lang w:val="uk-UA"/>
        </w:rPr>
        <w:t>р&gt;0,05)</w:t>
      </w:r>
      <w:r w:rsidRPr="0023188D">
        <w:rPr>
          <w:sz w:val="28"/>
          <w:szCs w:val="28"/>
          <w:lang w:val="uk-UA" w:eastAsia="en-US"/>
        </w:rPr>
        <w:t xml:space="preserve">. </w:t>
      </w:r>
    </w:p>
    <w:p w:rsidR="00595A10" w:rsidRPr="008742E0" w:rsidRDefault="00595A10" w:rsidP="008742E0">
      <w:pPr>
        <w:spacing w:line="360" w:lineRule="auto"/>
        <w:ind w:firstLine="709"/>
        <w:jc w:val="both"/>
        <w:rPr>
          <w:sz w:val="28"/>
          <w:szCs w:val="28"/>
          <w:lang w:val="uk-UA" w:eastAsia="en-US"/>
        </w:rPr>
      </w:pPr>
      <w:r w:rsidRPr="008742E0">
        <w:rPr>
          <w:sz w:val="28"/>
          <w:szCs w:val="28"/>
          <w:lang w:val="uk-UA" w:eastAsia="en-US"/>
        </w:rPr>
        <w:t>В осіб з ПТС спостерігалися достовірно вищі рівні СРП у  групі  2 порівняно з  групою  1 (р=0,001), та у  групі 3 порівняно з групою 1 (р=0,005). Між групами з коморбідною патологією при наявності ПТС достовірних відмінностей за рівнем СРП знайдено не було (</w:t>
      </w:r>
      <w:r w:rsidRPr="008742E0">
        <w:rPr>
          <w:sz w:val="28"/>
          <w:szCs w:val="28"/>
          <w:shd w:val="clear" w:color="auto" w:fill="FFFFFF"/>
          <w:lang w:val="uk-UA"/>
        </w:rPr>
        <w:t>р&gt;0,05) р&gt;0,05)</w:t>
      </w:r>
      <w:r w:rsidRPr="008742E0">
        <w:rPr>
          <w:sz w:val="28"/>
          <w:szCs w:val="28"/>
          <w:lang w:val="uk-UA" w:eastAsia="en-US"/>
        </w:rPr>
        <w:t>.  Міжгруповий порівняльний аналіз рівнів ФНП-α з урахуванням ТС достовірних відмінностей не виявив.</w:t>
      </w:r>
    </w:p>
    <w:p w:rsidR="008742E0" w:rsidRDefault="00E3259F" w:rsidP="008742E0">
      <w:pPr>
        <w:spacing w:line="360" w:lineRule="auto"/>
        <w:ind w:firstLine="709"/>
        <w:jc w:val="both"/>
        <w:rPr>
          <w:rStyle w:val="tlid-translation"/>
          <w:sz w:val="28"/>
          <w:szCs w:val="28"/>
          <w:lang w:val="uk-UA"/>
        </w:rPr>
      </w:pPr>
      <w:r w:rsidRPr="008742E0">
        <w:rPr>
          <w:rStyle w:val="tlid-translation"/>
          <w:sz w:val="28"/>
          <w:szCs w:val="28"/>
          <w:lang w:val="uk-UA"/>
        </w:rPr>
        <w:t xml:space="preserve">Для уточнення зв`язку хронічного запалення з віком був проведений кореляційний аналіз рівнів СРП та </w:t>
      </w:r>
      <w:r w:rsidRPr="008742E0">
        <w:rPr>
          <w:sz w:val="28"/>
          <w:szCs w:val="28"/>
          <w:lang w:val="uk-UA" w:eastAsia="en-US"/>
        </w:rPr>
        <w:t xml:space="preserve">ФНО-α з БВ та показниками, які характеризують ТС, в різних вікових підгрупах. Так в підгрупі пацієнтів з ізольованою ГХ віком від 61 до 75 років були виявлені позитивні кореляційні </w:t>
      </w:r>
      <w:r w:rsidRPr="008742E0">
        <w:rPr>
          <w:rStyle w:val="tlid-translation"/>
          <w:sz w:val="28"/>
          <w:szCs w:val="28"/>
          <w:lang w:val="uk-UA"/>
        </w:rPr>
        <w:t>зв`язки між рівнями СРП та календарним віком (</w:t>
      </w:r>
      <w:r w:rsidRPr="008742E0">
        <w:rPr>
          <w:rStyle w:val="tlid-translation"/>
          <w:sz w:val="28"/>
          <w:szCs w:val="28"/>
          <w:lang w:val="en-US"/>
        </w:rPr>
        <w:t>r</w:t>
      </w:r>
      <w:r w:rsidRPr="008742E0">
        <w:rPr>
          <w:rStyle w:val="tlid-translation"/>
          <w:sz w:val="28"/>
          <w:szCs w:val="28"/>
          <w:lang w:val="uk-UA"/>
        </w:rPr>
        <w:t>=0,261,р=0,050), СРП та НБВ (</w:t>
      </w:r>
      <w:r w:rsidRPr="008742E0">
        <w:rPr>
          <w:rStyle w:val="tlid-translation"/>
          <w:sz w:val="28"/>
          <w:szCs w:val="28"/>
          <w:lang w:val="en-US"/>
        </w:rPr>
        <w:t>r</w:t>
      </w:r>
      <w:r w:rsidRPr="008742E0">
        <w:rPr>
          <w:rStyle w:val="tlid-translation"/>
          <w:sz w:val="28"/>
          <w:szCs w:val="28"/>
          <w:lang w:val="uk-UA"/>
        </w:rPr>
        <w:t xml:space="preserve">=0,465,р=0,034), </w:t>
      </w:r>
      <w:r w:rsidRPr="008742E0">
        <w:rPr>
          <w:sz w:val="28"/>
          <w:szCs w:val="28"/>
          <w:lang w:val="uk-UA" w:eastAsia="en-US"/>
        </w:rPr>
        <w:t>ФНО-α та НБВ (</w:t>
      </w:r>
      <w:r w:rsidRPr="008742E0">
        <w:rPr>
          <w:rStyle w:val="tlid-translation"/>
          <w:sz w:val="28"/>
          <w:szCs w:val="28"/>
          <w:lang w:val="en-US"/>
        </w:rPr>
        <w:t>r</w:t>
      </w:r>
      <w:r w:rsidRPr="008742E0">
        <w:rPr>
          <w:rStyle w:val="tlid-translation"/>
          <w:sz w:val="28"/>
          <w:szCs w:val="28"/>
          <w:lang w:val="uk-UA"/>
        </w:rPr>
        <w:t xml:space="preserve">=0,544,р=0,011). </w:t>
      </w:r>
    </w:p>
    <w:p w:rsidR="00E3259F" w:rsidRPr="008742E0" w:rsidRDefault="00E3259F" w:rsidP="008742E0">
      <w:pPr>
        <w:spacing w:line="360" w:lineRule="auto"/>
        <w:ind w:firstLine="709"/>
        <w:jc w:val="both"/>
        <w:rPr>
          <w:rStyle w:val="tlid-translation"/>
          <w:sz w:val="28"/>
          <w:szCs w:val="28"/>
        </w:rPr>
      </w:pPr>
      <w:r w:rsidRPr="008742E0">
        <w:rPr>
          <w:rStyle w:val="tlid-translation"/>
          <w:sz w:val="28"/>
          <w:szCs w:val="28"/>
          <w:lang w:val="uk-UA"/>
        </w:rPr>
        <w:t>У пацієнтів з ГХ та ЦД 2 типу віком від 61 до 75 років були виявлені негативні кореляційні  зв`язкі</w:t>
      </w:r>
      <w:r w:rsidRPr="008742E0">
        <w:rPr>
          <w:sz w:val="28"/>
          <w:szCs w:val="28"/>
          <w:lang w:val="uk-UA" w:eastAsia="en-US"/>
        </w:rPr>
        <w:t xml:space="preserve">  між ФНО-α і  БВ (</w:t>
      </w:r>
      <w:r w:rsidRPr="008742E0">
        <w:rPr>
          <w:rStyle w:val="tlid-translation"/>
          <w:sz w:val="28"/>
          <w:szCs w:val="28"/>
          <w:lang w:val="en-US"/>
        </w:rPr>
        <w:t>r</w:t>
      </w:r>
      <w:r w:rsidRPr="008742E0">
        <w:rPr>
          <w:rStyle w:val="tlid-translation"/>
          <w:sz w:val="28"/>
          <w:szCs w:val="28"/>
          <w:lang w:val="uk-UA"/>
        </w:rPr>
        <w:t xml:space="preserve">=-0,296, р=0,007), </w:t>
      </w:r>
      <w:r w:rsidRPr="008742E0">
        <w:rPr>
          <w:sz w:val="28"/>
          <w:szCs w:val="28"/>
          <w:lang w:val="uk-UA" w:eastAsia="en-US"/>
        </w:rPr>
        <w:t>ФНП-α й коеф.старіння (</w:t>
      </w:r>
      <w:r w:rsidRPr="008742E0">
        <w:rPr>
          <w:rStyle w:val="tlid-translation"/>
          <w:sz w:val="28"/>
          <w:szCs w:val="28"/>
          <w:lang w:val="en-US"/>
        </w:rPr>
        <w:t>r</w:t>
      </w:r>
      <w:r w:rsidRPr="008742E0">
        <w:rPr>
          <w:rStyle w:val="tlid-translation"/>
          <w:sz w:val="28"/>
          <w:szCs w:val="28"/>
          <w:lang w:val="uk-UA"/>
        </w:rPr>
        <w:t xml:space="preserve">=-0,267, р=0,015), </w:t>
      </w:r>
      <w:r w:rsidRPr="008742E0">
        <w:rPr>
          <w:sz w:val="28"/>
          <w:szCs w:val="28"/>
          <w:lang w:val="uk-UA" w:eastAsia="en-US"/>
        </w:rPr>
        <w:t xml:space="preserve">ФНО-α та індексом швидкості старіння </w:t>
      </w:r>
      <w:r w:rsidR="008742E0">
        <w:rPr>
          <w:sz w:val="28"/>
          <w:szCs w:val="28"/>
          <w:lang w:val="uk-UA" w:eastAsia="en-US"/>
        </w:rPr>
        <w:t xml:space="preserve">      </w:t>
      </w:r>
      <w:r w:rsidRPr="008742E0">
        <w:rPr>
          <w:sz w:val="28"/>
          <w:szCs w:val="28"/>
          <w:lang w:val="uk-UA" w:eastAsia="en-US"/>
        </w:rPr>
        <w:t>(</w:t>
      </w:r>
      <w:r w:rsidRPr="008742E0">
        <w:rPr>
          <w:rStyle w:val="tlid-translation"/>
          <w:sz w:val="28"/>
          <w:szCs w:val="28"/>
          <w:lang w:val="en-US"/>
        </w:rPr>
        <w:t>r</w:t>
      </w:r>
      <w:r w:rsidRPr="008742E0">
        <w:rPr>
          <w:rStyle w:val="tlid-translation"/>
          <w:sz w:val="28"/>
          <w:szCs w:val="28"/>
          <w:lang w:val="uk-UA"/>
        </w:rPr>
        <w:t xml:space="preserve">=-0,325, р=0,003), </w:t>
      </w:r>
      <w:r w:rsidRPr="008742E0">
        <w:rPr>
          <w:sz w:val="28"/>
          <w:szCs w:val="28"/>
          <w:lang w:val="uk-UA" w:eastAsia="en-US"/>
        </w:rPr>
        <w:t xml:space="preserve">ФНП-α і </w:t>
      </w:r>
      <w:r w:rsidRPr="008742E0">
        <w:rPr>
          <w:rStyle w:val="tlid-translation"/>
          <w:sz w:val="28"/>
          <w:szCs w:val="28"/>
          <w:lang w:val="uk-UA"/>
        </w:rPr>
        <w:t xml:space="preserve">коефіцієнтом швидкості старіння </w:t>
      </w:r>
      <w:r w:rsidR="008742E0">
        <w:rPr>
          <w:rStyle w:val="tlid-translation"/>
          <w:sz w:val="28"/>
          <w:szCs w:val="28"/>
          <w:lang w:val="uk-UA"/>
        </w:rPr>
        <w:t xml:space="preserve">                               </w:t>
      </w:r>
      <w:r w:rsidRPr="008742E0">
        <w:rPr>
          <w:rStyle w:val="tlid-translation"/>
          <w:sz w:val="28"/>
          <w:szCs w:val="28"/>
          <w:lang w:val="uk-UA"/>
        </w:rPr>
        <w:t>(</w:t>
      </w:r>
      <w:r w:rsidRPr="008742E0">
        <w:rPr>
          <w:rStyle w:val="tlid-translation"/>
          <w:sz w:val="28"/>
          <w:szCs w:val="28"/>
          <w:lang w:val="en-US"/>
        </w:rPr>
        <w:t>r</w:t>
      </w:r>
      <w:r w:rsidRPr="008742E0">
        <w:rPr>
          <w:rStyle w:val="tlid-translation"/>
          <w:sz w:val="28"/>
          <w:szCs w:val="28"/>
          <w:lang w:val="uk-UA"/>
        </w:rPr>
        <w:t>=-0,434,</w:t>
      </w:r>
      <w:r w:rsidR="008742E0">
        <w:rPr>
          <w:rStyle w:val="tlid-translation"/>
          <w:sz w:val="28"/>
          <w:szCs w:val="28"/>
          <w:lang w:val="uk-UA"/>
        </w:rPr>
        <w:t xml:space="preserve"> </w:t>
      </w:r>
      <w:r w:rsidRPr="008742E0">
        <w:rPr>
          <w:rStyle w:val="tlid-translation"/>
          <w:sz w:val="28"/>
          <w:szCs w:val="28"/>
          <w:lang w:val="uk-UA"/>
        </w:rPr>
        <w:t>р=0,0001) та позитивний кореляційний зв`язок між рівнями</w:t>
      </w:r>
      <w:r w:rsidRPr="008742E0">
        <w:rPr>
          <w:sz w:val="28"/>
          <w:szCs w:val="28"/>
          <w:lang w:val="uk-UA" w:eastAsia="en-US"/>
        </w:rPr>
        <w:t xml:space="preserve"> ФНП-α та НБВ (</w:t>
      </w:r>
      <w:r w:rsidRPr="008742E0">
        <w:rPr>
          <w:rStyle w:val="tlid-translation"/>
          <w:sz w:val="28"/>
          <w:szCs w:val="28"/>
          <w:lang w:val="en-US"/>
        </w:rPr>
        <w:t>r</w:t>
      </w:r>
      <w:r w:rsidRPr="008742E0">
        <w:rPr>
          <w:rStyle w:val="tlid-translation"/>
          <w:sz w:val="28"/>
          <w:szCs w:val="28"/>
          <w:lang w:val="uk-UA"/>
        </w:rPr>
        <w:t xml:space="preserve">=0,217, р=0,050). У пацієнтів з коморбідним перебігом ГХ, ЦД 2 типу та СГТ віком від 44 до 60 років був виявлений позитивний кореляційний зв`язок між рівнями </w:t>
      </w:r>
      <w:r w:rsidRPr="008742E0">
        <w:rPr>
          <w:sz w:val="28"/>
          <w:szCs w:val="28"/>
          <w:lang w:val="uk-UA" w:eastAsia="en-US"/>
        </w:rPr>
        <w:t>ФНП-α та коефіцієнтом швидкості старіння (</w:t>
      </w:r>
      <w:r w:rsidRPr="008742E0">
        <w:rPr>
          <w:rStyle w:val="tlid-translation"/>
          <w:sz w:val="28"/>
          <w:szCs w:val="28"/>
          <w:lang w:val="en-US"/>
        </w:rPr>
        <w:t>r</w:t>
      </w:r>
      <w:r w:rsidRPr="008742E0">
        <w:rPr>
          <w:rStyle w:val="tlid-translation"/>
          <w:sz w:val="28"/>
          <w:szCs w:val="28"/>
          <w:lang w:val="uk-UA"/>
        </w:rPr>
        <w:t>=0,436, р=0,001). Узазначені зв`язки були статистично значимі.</w:t>
      </w:r>
    </w:p>
    <w:p w:rsidR="00E3259F" w:rsidRPr="008742E0" w:rsidRDefault="00E3259F" w:rsidP="008742E0">
      <w:pPr>
        <w:pStyle w:val="a4"/>
        <w:spacing w:line="360" w:lineRule="auto"/>
        <w:ind w:left="0" w:firstLine="709"/>
        <w:jc w:val="both"/>
        <w:textAlignment w:val="top"/>
        <w:rPr>
          <w:rStyle w:val="tlid-translation"/>
          <w:sz w:val="28"/>
          <w:szCs w:val="28"/>
          <w:lang w:val="uk-UA" w:eastAsia="uk-UA"/>
        </w:rPr>
      </w:pPr>
      <w:r w:rsidRPr="008742E0">
        <w:rPr>
          <w:rStyle w:val="tlid-translation"/>
          <w:sz w:val="28"/>
          <w:szCs w:val="28"/>
          <w:lang w:val="uk-UA" w:eastAsia="uk-UA"/>
        </w:rPr>
        <w:t xml:space="preserve"> Отримані дані свідчать, що хронічне запалення може бути не тільки патогенетичним фактором розвитку та прогресування низки захворювань, але й важливою ланкою процесу старіння. В осіб з коморбідною патологією з віком негативний вплив прозапальних факторів обумовлюється вік-ассоційованим та патогенетичним синергізмом, що посилює прогностичне значення цих факторів.</w:t>
      </w:r>
    </w:p>
    <w:p w:rsidR="00E3259F" w:rsidRPr="008742E0" w:rsidRDefault="00E3259F" w:rsidP="008742E0">
      <w:pPr>
        <w:pStyle w:val="a4"/>
        <w:spacing w:line="360" w:lineRule="auto"/>
        <w:ind w:left="0" w:firstLine="709"/>
        <w:jc w:val="both"/>
        <w:textAlignment w:val="top"/>
        <w:rPr>
          <w:rStyle w:val="tlid-translation"/>
          <w:sz w:val="28"/>
          <w:szCs w:val="28"/>
          <w:lang w:val="uk-UA"/>
        </w:rPr>
      </w:pPr>
      <w:r w:rsidRPr="008742E0">
        <w:rPr>
          <w:rStyle w:val="tlid-translation"/>
          <w:sz w:val="28"/>
          <w:szCs w:val="28"/>
          <w:lang w:val="uk-UA" w:eastAsia="uk-UA"/>
        </w:rPr>
        <w:t>Існують поодинокі дослідження, у яких оцінювався вплив статі на активність процесів хронічного запалення. Так, аналіз низки досліджень за участю практично здорових чоловіків продемонстрував, що</w:t>
      </w:r>
      <w:r w:rsidRPr="008742E0">
        <w:rPr>
          <w:rStyle w:val="a3"/>
          <w:rFonts w:eastAsiaTheme="majorEastAsia"/>
          <w:color w:val="auto"/>
          <w:sz w:val="28"/>
          <w:szCs w:val="28"/>
          <w:lang w:val="uk-UA" w:eastAsia="uk-UA"/>
        </w:rPr>
        <w:t xml:space="preserve"> </w:t>
      </w:r>
      <w:r w:rsidRPr="008742E0">
        <w:rPr>
          <w:rStyle w:val="tlid-translation"/>
          <w:sz w:val="28"/>
          <w:szCs w:val="28"/>
          <w:lang w:val="uk-UA" w:eastAsia="uk-UA"/>
        </w:rPr>
        <w:t xml:space="preserve">базовий рівень активності запалення при оцінці концентрації СРП у плазмі є предиктором ризику розвитку першого інфаркту міокарда </w:t>
      </w:r>
      <w:r w:rsidRPr="008742E0">
        <w:rPr>
          <w:sz w:val="28"/>
          <w:szCs w:val="28"/>
          <w:lang w:val="uk-UA" w:eastAsia="uk-UA"/>
        </w:rPr>
        <w:t>[</w:t>
      </w:r>
      <w:r w:rsidRPr="008742E0">
        <w:rPr>
          <w:sz w:val="28"/>
          <w:szCs w:val="28"/>
          <w:lang w:val="uk-UA" w:eastAsia="en-US"/>
        </w:rPr>
        <w:t>124</w:t>
      </w:r>
      <w:r w:rsidRPr="008742E0">
        <w:rPr>
          <w:sz w:val="28"/>
          <w:szCs w:val="28"/>
          <w:lang w:val="uk-UA" w:eastAsia="uk-UA"/>
        </w:rPr>
        <w:t xml:space="preserve">]. </w:t>
      </w:r>
      <w:r w:rsidRPr="008742E0">
        <w:rPr>
          <w:rStyle w:val="tlid-translation"/>
          <w:sz w:val="28"/>
          <w:szCs w:val="28"/>
          <w:lang w:val="uk-UA" w:eastAsia="uk-UA"/>
        </w:rPr>
        <w:t>Підвищення концентрації СРП у здорових чоловіків середнього віку призводило до збільшення ризику ССУ в 2,9 рази, при цьому необхідно відзначити, що ступінь ризику в динаміці 6 років спостереження був без змін. Підвищення концентрацій СРП у сироватці крові  були оцінені в дослідженні Women's Health Study, головними висновками якого стали рекомендації оцінювати прогностичну значимість рівня СРП серед пацієнтів з гіперхолестеринемією [</w:t>
      </w:r>
      <w:r w:rsidRPr="008742E0">
        <w:rPr>
          <w:rFonts w:eastAsiaTheme="minorHAnsi"/>
          <w:sz w:val="28"/>
          <w:szCs w:val="28"/>
          <w:lang w:eastAsia="en-US"/>
        </w:rPr>
        <w:t>1</w:t>
      </w:r>
      <w:r w:rsidRPr="008742E0">
        <w:rPr>
          <w:rFonts w:eastAsiaTheme="minorHAnsi"/>
          <w:sz w:val="28"/>
          <w:szCs w:val="28"/>
          <w:lang w:val="uk-UA" w:eastAsia="en-US"/>
        </w:rPr>
        <w:t>24</w:t>
      </w:r>
      <w:r w:rsidRPr="008742E0">
        <w:rPr>
          <w:rStyle w:val="tlid-translation"/>
          <w:sz w:val="28"/>
          <w:szCs w:val="28"/>
          <w:lang w:val="uk-UA" w:eastAsia="uk-UA"/>
        </w:rPr>
        <w:t xml:space="preserve">]. </w:t>
      </w:r>
      <w:r w:rsidRPr="008742E0">
        <w:rPr>
          <w:rStyle w:val="tlid-translation"/>
          <w:sz w:val="28"/>
          <w:szCs w:val="28"/>
          <w:lang w:val="uk-UA"/>
        </w:rPr>
        <w:t>Наявність  гендерних відмінностей цитокінового статусу в пацієнтів з ІМ було виявлено в низці досліджень. Так, результати дослідження MONICA Augsburg Cohort Study продемонстрували підвищення на 50% частоти ІХС у групі з базовим підвищенням концентрації СРП у плазмі через 8 років спостереження, а захворюваність на гострий інфаркт міокарда в чоловіків була вищою при наявності дворазового збільшення рівня СРП</w:t>
      </w:r>
      <w:r w:rsidRPr="008742E0">
        <w:rPr>
          <w:sz w:val="28"/>
          <w:szCs w:val="28"/>
          <w:lang w:val="uk-UA"/>
        </w:rPr>
        <w:t xml:space="preserve"> [124]</w:t>
      </w:r>
      <w:r w:rsidRPr="008742E0">
        <w:rPr>
          <w:rStyle w:val="tlid-translation"/>
          <w:sz w:val="28"/>
          <w:szCs w:val="28"/>
          <w:lang w:val="uk-UA"/>
        </w:rPr>
        <w:t xml:space="preserve">. У той же час існують роботи, в яких було продемонстровано, що в жінок, </w:t>
      </w:r>
      <w:r w:rsidRPr="008742E0">
        <w:rPr>
          <w:sz w:val="28"/>
          <w:szCs w:val="28"/>
          <w:lang w:val="uk-UA"/>
        </w:rPr>
        <w:t>порівняно</w:t>
      </w:r>
      <w:r w:rsidRPr="008742E0">
        <w:rPr>
          <w:rStyle w:val="tlid-translation"/>
          <w:sz w:val="28"/>
          <w:szCs w:val="28"/>
          <w:lang w:val="uk-UA"/>
        </w:rPr>
        <w:t xml:space="preserve"> із чоловіками, достовірно вище прозапальні цитокіни [</w:t>
      </w:r>
      <w:r w:rsidRPr="008742E0">
        <w:rPr>
          <w:sz w:val="28"/>
          <w:szCs w:val="28"/>
          <w:shd w:val="clear" w:color="auto" w:fill="FFFFFF"/>
          <w:lang w:val="uk-UA"/>
        </w:rPr>
        <w:t>39], проте</w:t>
      </w:r>
      <w:r w:rsidRPr="008742E0">
        <w:rPr>
          <w:rStyle w:val="tlid-translation"/>
          <w:sz w:val="28"/>
          <w:szCs w:val="28"/>
          <w:lang w:val="uk-UA"/>
        </w:rPr>
        <w:t xml:space="preserve"> протизапальна реакція у молодих жінок достовірно перевищувала протизапальну реакцію в жінок в літньому віці. Відомо, що естрогени впливають на цитокіни, забезпечуючи альтерацію їх експресії на рівні транскрипції та посттранскрипційному етапі; модуляцію експресії цитокінових рецепторів; модифікацію ефекту цитокінів на клітини-мішені [</w:t>
      </w:r>
      <w:r w:rsidRPr="008742E0">
        <w:rPr>
          <w:sz w:val="28"/>
          <w:szCs w:val="28"/>
          <w:shd w:val="clear" w:color="auto" w:fill="FFFFFF"/>
          <w:lang w:val="uk-UA"/>
        </w:rPr>
        <w:t>39].</w:t>
      </w:r>
    </w:p>
    <w:p w:rsidR="00E3259F" w:rsidRPr="008742E0" w:rsidRDefault="00E3259F" w:rsidP="008742E0">
      <w:pPr>
        <w:spacing w:line="360" w:lineRule="auto"/>
        <w:ind w:firstLine="709"/>
        <w:jc w:val="both"/>
        <w:rPr>
          <w:lang w:val="uk-UA" w:eastAsia="en-US"/>
        </w:rPr>
      </w:pPr>
      <w:r w:rsidRPr="008742E0">
        <w:rPr>
          <w:sz w:val="28"/>
          <w:szCs w:val="28"/>
          <w:lang w:val="uk-UA"/>
        </w:rPr>
        <w:t xml:space="preserve">Проведений аналіз відмінностей між рівнями </w:t>
      </w:r>
      <w:r w:rsidRPr="008742E0">
        <w:rPr>
          <w:sz w:val="28"/>
          <w:szCs w:val="28"/>
          <w:lang w:val="uk-UA" w:eastAsia="en-US"/>
        </w:rPr>
        <w:t xml:space="preserve">ФНП-α та СРП плазми крові в пацієнтів досліджуваних груп з урахуванням статі (Таблиця 5.10) не виявив достовірних відмінностей рівнів СРП та ФНП-α в усіх групах.  </w:t>
      </w:r>
    </w:p>
    <w:p w:rsidR="00E3259F" w:rsidRPr="00E3259F" w:rsidRDefault="00E3259F" w:rsidP="00E3259F">
      <w:pPr>
        <w:spacing w:line="360" w:lineRule="auto"/>
        <w:ind w:firstLine="709"/>
        <w:jc w:val="right"/>
        <w:rPr>
          <w:rStyle w:val="tlid-translation"/>
          <w:sz w:val="28"/>
          <w:szCs w:val="28"/>
          <w:lang w:val="uk-UA"/>
        </w:rPr>
      </w:pPr>
      <w:r>
        <w:rPr>
          <w:rStyle w:val="tlid-translation"/>
          <w:sz w:val="28"/>
          <w:szCs w:val="28"/>
          <w:lang w:val="uk-UA"/>
        </w:rPr>
        <w:t>Таблиця 5.10</w:t>
      </w:r>
    </w:p>
    <w:p w:rsidR="00E3259F" w:rsidRPr="008742E0" w:rsidRDefault="00E3259F" w:rsidP="008742E0">
      <w:pPr>
        <w:spacing w:line="360" w:lineRule="auto"/>
        <w:jc w:val="center"/>
        <w:rPr>
          <w:lang w:val="uk-UA"/>
        </w:rPr>
      </w:pPr>
      <w:r w:rsidRPr="008742E0">
        <w:rPr>
          <w:rStyle w:val="tlid-translation"/>
          <w:sz w:val="28"/>
          <w:szCs w:val="28"/>
          <w:lang w:val="uk-UA"/>
        </w:rPr>
        <w:t xml:space="preserve">Порівняльний аналіз  рівнів </w:t>
      </w:r>
      <w:r w:rsidRPr="008742E0">
        <w:rPr>
          <w:sz w:val="28"/>
          <w:szCs w:val="28"/>
          <w:lang w:val="uk-UA" w:eastAsia="en-US"/>
        </w:rPr>
        <w:t>ФНП-α</w:t>
      </w:r>
      <w:r w:rsidRPr="008742E0">
        <w:rPr>
          <w:rStyle w:val="tlid-translation"/>
          <w:sz w:val="28"/>
          <w:szCs w:val="28"/>
          <w:lang w:val="uk-UA"/>
        </w:rPr>
        <w:t xml:space="preserve"> та СРП в плазмі крові в групах пацієнтів в залежності від статі </w:t>
      </w:r>
      <w:r w:rsidRPr="008742E0">
        <w:rPr>
          <w:sz w:val="28"/>
          <w:szCs w:val="28"/>
          <w:lang w:val="uk-UA"/>
        </w:rPr>
        <w:t>(</w:t>
      </w:r>
      <w:r w:rsidRPr="008742E0">
        <w:rPr>
          <w:sz w:val="28"/>
          <w:szCs w:val="28"/>
          <w:lang w:val="en-US"/>
        </w:rPr>
        <w:t>M</w:t>
      </w:r>
      <w:r w:rsidRPr="008742E0">
        <w:rPr>
          <w:sz w:val="28"/>
          <w:szCs w:val="28"/>
          <w:lang w:val="uk-UA"/>
        </w:rPr>
        <w:t>±</w:t>
      </w:r>
      <w:r w:rsidRPr="008742E0">
        <w:rPr>
          <w:sz w:val="28"/>
          <w:szCs w:val="28"/>
          <w:lang w:val="en-US"/>
        </w:rPr>
        <w:t>m</w:t>
      </w:r>
      <w:r w:rsidRPr="008742E0">
        <w:rPr>
          <w:sz w:val="28"/>
          <w:szCs w:val="28"/>
          <w:lang w:val="uk-UA"/>
        </w:rPr>
        <w:t>)</w:t>
      </w:r>
    </w:p>
    <w:tbl>
      <w:tblPr>
        <w:tblW w:w="5000" w:type="pct"/>
        <w:tblLook w:val="04A0" w:firstRow="1" w:lastRow="0" w:firstColumn="1" w:lastColumn="0" w:noHBand="0" w:noVBand="1"/>
      </w:tblPr>
      <w:tblGrid>
        <w:gridCol w:w="1243"/>
        <w:gridCol w:w="1417"/>
        <w:gridCol w:w="1428"/>
        <w:gridCol w:w="1372"/>
        <w:gridCol w:w="1372"/>
        <w:gridCol w:w="1372"/>
        <w:gridCol w:w="1367"/>
      </w:tblGrid>
      <w:tr w:rsidR="00E3259F" w:rsidRPr="008742E0" w:rsidTr="00E3259F">
        <w:tc>
          <w:tcPr>
            <w:tcW w:w="649"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Показник</w:t>
            </w:r>
          </w:p>
        </w:tc>
        <w:tc>
          <w:tcPr>
            <w:tcW w:w="1486" w:type="pct"/>
            <w:gridSpan w:val="2"/>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pStyle w:val="1"/>
              <w:spacing w:before="0" w:beforeAutospacing="0" w:after="0" w:afterAutospacing="0" w:line="360" w:lineRule="auto"/>
              <w:jc w:val="center"/>
              <w:rPr>
                <w:b w:val="0"/>
                <w:sz w:val="24"/>
                <w:szCs w:val="24"/>
                <w:lang w:val="en-US" w:eastAsia="en-US"/>
              </w:rPr>
            </w:pPr>
            <w:r w:rsidRPr="008742E0">
              <w:rPr>
                <w:b w:val="0"/>
                <w:sz w:val="24"/>
                <w:szCs w:val="24"/>
                <w:lang w:val="uk-UA" w:eastAsia="en-US"/>
              </w:rPr>
              <w:t>Група 1</w:t>
            </w:r>
          </w:p>
          <w:p w:rsidR="00E3259F" w:rsidRPr="008742E0" w:rsidRDefault="00E3259F" w:rsidP="008742E0">
            <w:pPr>
              <w:pStyle w:val="1"/>
              <w:spacing w:before="0" w:beforeAutospacing="0" w:after="0" w:afterAutospacing="0" w:line="360" w:lineRule="auto"/>
              <w:jc w:val="center"/>
              <w:rPr>
                <w:b w:val="0"/>
                <w:sz w:val="24"/>
                <w:szCs w:val="24"/>
                <w:lang w:val="en-US" w:eastAsia="en-US"/>
              </w:rPr>
            </w:pPr>
            <w:r w:rsidRPr="008742E0">
              <w:rPr>
                <w:b w:val="0"/>
                <w:sz w:val="24"/>
                <w:szCs w:val="24"/>
                <w:lang w:val="en-US" w:eastAsia="en-US"/>
              </w:rPr>
              <w:t>(n=</w:t>
            </w:r>
            <w:r w:rsidRPr="008742E0">
              <w:rPr>
                <w:b w:val="0"/>
                <w:sz w:val="24"/>
                <w:szCs w:val="24"/>
                <w:lang w:val="uk-UA" w:eastAsia="en-US"/>
              </w:rPr>
              <w:t>106</w:t>
            </w:r>
            <w:r w:rsidRPr="008742E0">
              <w:rPr>
                <w:b w:val="0"/>
                <w:sz w:val="24"/>
                <w:szCs w:val="24"/>
                <w:lang w:val="en-US" w:eastAsia="en-US"/>
              </w:rPr>
              <w:t>)</w:t>
            </w:r>
          </w:p>
        </w:tc>
        <w:tc>
          <w:tcPr>
            <w:tcW w:w="1434" w:type="pct"/>
            <w:gridSpan w:val="2"/>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pStyle w:val="1"/>
              <w:spacing w:before="0" w:beforeAutospacing="0" w:after="0" w:afterAutospacing="0" w:line="360" w:lineRule="auto"/>
              <w:jc w:val="center"/>
              <w:rPr>
                <w:b w:val="0"/>
                <w:sz w:val="24"/>
                <w:szCs w:val="24"/>
                <w:lang w:val="en-US" w:eastAsia="en-US"/>
              </w:rPr>
            </w:pPr>
            <w:r w:rsidRPr="008742E0">
              <w:rPr>
                <w:b w:val="0"/>
                <w:sz w:val="24"/>
                <w:szCs w:val="24"/>
                <w:lang w:val="uk-UA" w:eastAsia="en-US"/>
              </w:rPr>
              <w:t>Група 2</w:t>
            </w:r>
          </w:p>
          <w:p w:rsidR="00E3259F" w:rsidRPr="008742E0" w:rsidRDefault="00E3259F" w:rsidP="008742E0">
            <w:pPr>
              <w:pStyle w:val="1"/>
              <w:spacing w:before="0" w:beforeAutospacing="0" w:after="0" w:afterAutospacing="0" w:line="360" w:lineRule="auto"/>
              <w:jc w:val="center"/>
              <w:rPr>
                <w:b w:val="0"/>
                <w:sz w:val="24"/>
                <w:szCs w:val="24"/>
                <w:lang w:val="en-US" w:eastAsia="en-US"/>
              </w:rPr>
            </w:pPr>
            <w:r w:rsidRPr="008742E0">
              <w:rPr>
                <w:b w:val="0"/>
                <w:sz w:val="24"/>
                <w:szCs w:val="24"/>
                <w:lang w:val="en-US" w:eastAsia="en-US"/>
              </w:rPr>
              <w:t>(n=</w:t>
            </w:r>
            <w:r w:rsidRPr="008742E0">
              <w:rPr>
                <w:b w:val="0"/>
                <w:sz w:val="24"/>
                <w:szCs w:val="24"/>
                <w:lang w:val="uk-UA" w:eastAsia="en-US"/>
              </w:rPr>
              <w:t>15</w:t>
            </w:r>
            <w:r w:rsidRPr="008742E0">
              <w:rPr>
                <w:b w:val="0"/>
                <w:sz w:val="24"/>
                <w:szCs w:val="24"/>
                <w:lang w:val="en-US" w:eastAsia="en-US"/>
              </w:rPr>
              <w:t>6)</w:t>
            </w:r>
          </w:p>
        </w:tc>
        <w:tc>
          <w:tcPr>
            <w:tcW w:w="1431" w:type="pct"/>
            <w:gridSpan w:val="2"/>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pStyle w:val="1"/>
              <w:spacing w:before="0" w:beforeAutospacing="0" w:after="0" w:afterAutospacing="0" w:line="360" w:lineRule="auto"/>
              <w:jc w:val="center"/>
              <w:rPr>
                <w:b w:val="0"/>
                <w:sz w:val="24"/>
                <w:szCs w:val="24"/>
                <w:lang w:eastAsia="en-US"/>
              </w:rPr>
            </w:pPr>
            <w:r w:rsidRPr="008742E0">
              <w:rPr>
                <w:b w:val="0"/>
                <w:sz w:val="24"/>
                <w:szCs w:val="24"/>
                <w:lang w:val="uk-UA" w:eastAsia="en-US"/>
              </w:rPr>
              <w:t>Група 3</w:t>
            </w:r>
          </w:p>
          <w:p w:rsidR="00E3259F" w:rsidRPr="008742E0" w:rsidRDefault="00E3259F" w:rsidP="008742E0">
            <w:pPr>
              <w:pStyle w:val="1"/>
              <w:spacing w:before="0" w:beforeAutospacing="0" w:after="0" w:afterAutospacing="0" w:line="360" w:lineRule="auto"/>
              <w:jc w:val="center"/>
              <w:rPr>
                <w:b w:val="0"/>
                <w:sz w:val="24"/>
                <w:szCs w:val="24"/>
                <w:lang w:eastAsia="en-US"/>
              </w:rPr>
            </w:pPr>
            <w:r w:rsidRPr="008742E0">
              <w:rPr>
                <w:b w:val="0"/>
                <w:sz w:val="24"/>
                <w:szCs w:val="24"/>
                <w:lang w:eastAsia="en-US"/>
              </w:rPr>
              <w:t>(</w:t>
            </w:r>
            <w:r w:rsidRPr="008742E0">
              <w:rPr>
                <w:b w:val="0"/>
                <w:sz w:val="24"/>
                <w:szCs w:val="24"/>
                <w:lang w:val="en-US" w:eastAsia="en-US"/>
              </w:rPr>
              <w:t>n</w:t>
            </w:r>
            <w:r w:rsidRPr="008742E0">
              <w:rPr>
                <w:b w:val="0"/>
                <w:sz w:val="24"/>
                <w:szCs w:val="24"/>
                <w:lang w:eastAsia="en-US"/>
              </w:rPr>
              <w:t>=</w:t>
            </w:r>
            <w:r w:rsidRPr="008742E0">
              <w:rPr>
                <w:b w:val="0"/>
                <w:sz w:val="24"/>
                <w:szCs w:val="24"/>
                <w:lang w:val="uk-UA" w:eastAsia="en-US"/>
              </w:rPr>
              <w:t>93</w:t>
            </w:r>
            <w:r w:rsidRPr="008742E0">
              <w:rPr>
                <w:b w:val="0"/>
                <w:sz w:val="24"/>
                <w:szCs w:val="24"/>
                <w:lang w:eastAsia="en-US"/>
              </w:rPr>
              <w:t>)</w:t>
            </w:r>
          </w:p>
        </w:tc>
      </w:tr>
      <w:tr w:rsidR="00E3259F" w:rsidRPr="008742E0" w:rsidTr="00E3259F">
        <w:tc>
          <w:tcPr>
            <w:tcW w:w="649"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Стать</w:t>
            </w:r>
          </w:p>
        </w:tc>
        <w:tc>
          <w:tcPr>
            <w:tcW w:w="740"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жінки</w:t>
            </w:r>
          </w:p>
          <w:p w:rsidR="00E3259F" w:rsidRPr="008742E0" w:rsidRDefault="00E3259F" w:rsidP="008742E0">
            <w:pPr>
              <w:spacing w:line="360" w:lineRule="auto"/>
              <w:jc w:val="both"/>
              <w:rPr>
                <w:lang w:val="uk-UA" w:eastAsia="en-US"/>
              </w:rPr>
            </w:pPr>
            <w:r w:rsidRPr="008742E0">
              <w:rPr>
                <w:lang w:eastAsia="en-US"/>
              </w:rPr>
              <w:t>(</w:t>
            </w:r>
            <w:r w:rsidRPr="008742E0">
              <w:rPr>
                <w:lang w:val="en-US" w:eastAsia="en-US"/>
              </w:rPr>
              <w:t>n=</w:t>
            </w:r>
            <w:r w:rsidRPr="008742E0">
              <w:rPr>
                <w:lang w:val="uk-UA" w:eastAsia="en-US"/>
              </w:rPr>
              <w:t>71</w:t>
            </w:r>
            <w:r w:rsidRPr="008742E0">
              <w:rPr>
                <w:lang w:val="en-US" w:eastAsia="en-US"/>
              </w:rPr>
              <w:t>)</w:t>
            </w:r>
          </w:p>
        </w:tc>
        <w:tc>
          <w:tcPr>
            <w:tcW w:w="746"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чоловіки</w:t>
            </w:r>
          </w:p>
          <w:p w:rsidR="00E3259F" w:rsidRPr="008742E0" w:rsidRDefault="00E3259F" w:rsidP="008742E0">
            <w:pPr>
              <w:spacing w:line="360" w:lineRule="auto"/>
              <w:jc w:val="both"/>
              <w:rPr>
                <w:lang w:val="uk-UA" w:eastAsia="en-US"/>
              </w:rPr>
            </w:pPr>
            <w:r w:rsidRPr="008742E0">
              <w:rPr>
                <w:lang w:eastAsia="en-US"/>
              </w:rPr>
              <w:t>(</w:t>
            </w:r>
            <w:r w:rsidRPr="008742E0">
              <w:rPr>
                <w:lang w:val="en-US" w:eastAsia="en-US"/>
              </w:rPr>
              <w:t>n=</w:t>
            </w:r>
            <w:r w:rsidRPr="008742E0">
              <w:rPr>
                <w:lang w:val="uk-UA" w:eastAsia="en-US"/>
              </w:rPr>
              <w:t>35</w:t>
            </w:r>
            <w:r w:rsidRPr="008742E0">
              <w:rPr>
                <w:lang w:val="en-US" w:eastAsia="en-US"/>
              </w:rPr>
              <w:t>)</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жінки</w:t>
            </w:r>
          </w:p>
          <w:p w:rsidR="00E3259F" w:rsidRPr="008742E0" w:rsidRDefault="00E3259F" w:rsidP="008742E0">
            <w:pPr>
              <w:spacing w:line="360" w:lineRule="auto"/>
              <w:jc w:val="both"/>
              <w:rPr>
                <w:lang w:val="uk-UA" w:eastAsia="en-US"/>
              </w:rPr>
            </w:pPr>
            <w:r w:rsidRPr="008742E0">
              <w:rPr>
                <w:lang w:eastAsia="en-US"/>
              </w:rPr>
              <w:t>(</w:t>
            </w:r>
            <w:r w:rsidRPr="008742E0">
              <w:rPr>
                <w:lang w:val="en-US" w:eastAsia="en-US"/>
              </w:rPr>
              <w:t>n=</w:t>
            </w:r>
            <w:r w:rsidRPr="008742E0">
              <w:rPr>
                <w:lang w:val="uk-UA" w:eastAsia="en-US"/>
              </w:rPr>
              <w:t>75</w:t>
            </w:r>
            <w:r w:rsidRPr="008742E0">
              <w:rPr>
                <w:lang w:val="en-US" w:eastAsia="en-US"/>
              </w:rPr>
              <w:t>)</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чоловіки</w:t>
            </w:r>
          </w:p>
          <w:p w:rsidR="00E3259F" w:rsidRPr="008742E0" w:rsidRDefault="00E3259F" w:rsidP="008742E0">
            <w:pPr>
              <w:spacing w:line="360" w:lineRule="auto"/>
              <w:jc w:val="both"/>
              <w:rPr>
                <w:lang w:val="uk-UA" w:eastAsia="en-US"/>
              </w:rPr>
            </w:pPr>
            <w:r w:rsidRPr="008742E0">
              <w:rPr>
                <w:lang w:eastAsia="en-US"/>
              </w:rPr>
              <w:t>(</w:t>
            </w:r>
            <w:r w:rsidRPr="008742E0">
              <w:rPr>
                <w:lang w:val="en-US" w:eastAsia="en-US"/>
              </w:rPr>
              <w:t>n=</w:t>
            </w:r>
            <w:r w:rsidRPr="008742E0">
              <w:rPr>
                <w:lang w:val="uk-UA" w:eastAsia="en-US"/>
              </w:rPr>
              <w:t>81</w:t>
            </w:r>
            <w:r w:rsidRPr="008742E0">
              <w:rPr>
                <w:lang w:val="en-US" w:eastAsia="en-US"/>
              </w:rPr>
              <w:t>)</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жінки</w:t>
            </w:r>
          </w:p>
          <w:p w:rsidR="00E3259F" w:rsidRPr="008742E0" w:rsidRDefault="00E3259F" w:rsidP="008742E0">
            <w:pPr>
              <w:spacing w:line="360" w:lineRule="auto"/>
              <w:jc w:val="both"/>
              <w:rPr>
                <w:lang w:val="uk-UA" w:eastAsia="en-US"/>
              </w:rPr>
            </w:pPr>
            <w:r w:rsidRPr="008742E0">
              <w:rPr>
                <w:lang w:eastAsia="en-US"/>
              </w:rPr>
              <w:t>(</w:t>
            </w:r>
            <w:r w:rsidRPr="008742E0">
              <w:rPr>
                <w:lang w:val="en-US" w:eastAsia="en-US"/>
              </w:rPr>
              <w:t>n=</w:t>
            </w:r>
            <w:r w:rsidRPr="008742E0">
              <w:rPr>
                <w:lang w:val="uk-UA" w:eastAsia="en-US"/>
              </w:rPr>
              <w:t>81</w:t>
            </w:r>
            <w:r w:rsidRPr="008742E0">
              <w:rPr>
                <w:lang w:val="en-US" w:eastAsia="en-US"/>
              </w:rPr>
              <w:t>)</w:t>
            </w:r>
          </w:p>
        </w:tc>
        <w:tc>
          <w:tcPr>
            <w:tcW w:w="714"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val="uk-UA" w:eastAsia="en-US"/>
              </w:rPr>
              <w:t>чоловіки</w:t>
            </w:r>
          </w:p>
          <w:p w:rsidR="00E3259F" w:rsidRPr="008742E0" w:rsidRDefault="00E3259F" w:rsidP="008742E0">
            <w:pPr>
              <w:spacing w:line="360" w:lineRule="auto"/>
              <w:jc w:val="both"/>
              <w:rPr>
                <w:lang w:val="uk-UA" w:eastAsia="en-US"/>
              </w:rPr>
            </w:pPr>
            <w:r w:rsidRPr="008742E0">
              <w:rPr>
                <w:lang w:eastAsia="en-US"/>
              </w:rPr>
              <w:t>(</w:t>
            </w:r>
            <w:r w:rsidRPr="008742E0">
              <w:rPr>
                <w:lang w:val="en-US" w:eastAsia="en-US"/>
              </w:rPr>
              <w:t>n=</w:t>
            </w:r>
            <w:r w:rsidRPr="008742E0">
              <w:rPr>
                <w:lang w:val="uk-UA" w:eastAsia="en-US"/>
              </w:rPr>
              <w:t>12</w:t>
            </w:r>
            <w:r w:rsidRPr="008742E0">
              <w:rPr>
                <w:lang w:val="en-US" w:eastAsia="en-US"/>
              </w:rPr>
              <w:t>)</w:t>
            </w:r>
          </w:p>
        </w:tc>
      </w:tr>
      <w:tr w:rsidR="00E3259F" w:rsidRPr="008742E0" w:rsidTr="00E3259F">
        <w:tc>
          <w:tcPr>
            <w:tcW w:w="649"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en-US" w:eastAsia="en-US"/>
              </w:rPr>
            </w:pPr>
            <w:r w:rsidRPr="008742E0">
              <w:rPr>
                <w:lang w:val="uk-UA" w:eastAsia="en-US"/>
              </w:rPr>
              <w:t>ФНП-α,</w:t>
            </w:r>
            <w:r w:rsidRPr="008742E0">
              <w:rPr>
                <w:lang w:eastAsia="en-US"/>
              </w:rPr>
              <w:t xml:space="preserve"> пг/мл</w:t>
            </w:r>
          </w:p>
        </w:tc>
        <w:tc>
          <w:tcPr>
            <w:tcW w:w="740"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12,</w:t>
            </w:r>
            <w:r w:rsidRPr="008742E0">
              <w:rPr>
                <w:lang w:val="uk-UA" w:eastAsia="en-US"/>
              </w:rPr>
              <w:t>13</w:t>
            </w:r>
            <w:r w:rsidRPr="008742E0">
              <w:rPr>
                <w:lang w:eastAsia="en-US"/>
              </w:rPr>
              <w:t>±</w:t>
            </w:r>
            <w:r w:rsidRPr="008742E0">
              <w:rPr>
                <w:lang w:val="uk-UA" w:eastAsia="en-US"/>
              </w:rPr>
              <w:t>0</w:t>
            </w:r>
            <w:r w:rsidRPr="008742E0">
              <w:rPr>
                <w:lang w:eastAsia="en-US"/>
              </w:rPr>
              <w:t>,</w:t>
            </w:r>
            <w:r w:rsidRPr="008742E0">
              <w:rPr>
                <w:lang w:val="uk-UA" w:eastAsia="en-US"/>
              </w:rPr>
              <w:t>56</w:t>
            </w:r>
          </w:p>
        </w:tc>
        <w:tc>
          <w:tcPr>
            <w:tcW w:w="746"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12,</w:t>
            </w:r>
            <w:r w:rsidRPr="008742E0">
              <w:rPr>
                <w:lang w:val="uk-UA" w:eastAsia="en-US"/>
              </w:rPr>
              <w:t>46</w:t>
            </w:r>
            <w:r w:rsidRPr="008742E0">
              <w:rPr>
                <w:lang w:eastAsia="en-US"/>
              </w:rPr>
              <w:t>±</w:t>
            </w:r>
            <w:r w:rsidRPr="008742E0">
              <w:rPr>
                <w:lang w:val="uk-UA" w:eastAsia="en-US"/>
              </w:rPr>
              <w:t>0</w:t>
            </w:r>
            <w:r w:rsidRPr="008742E0">
              <w:rPr>
                <w:lang w:eastAsia="en-US"/>
              </w:rPr>
              <w:t>,</w:t>
            </w:r>
            <w:r w:rsidRPr="008742E0">
              <w:rPr>
                <w:lang w:val="uk-UA" w:eastAsia="en-US"/>
              </w:rPr>
              <w:t>9</w:t>
            </w:r>
            <w:r w:rsidRPr="008742E0">
              <w:rPr>
                <w:lang w:eastAsia="en-US"/>
              </w:rPr>
              <w:t>5</w:t>
            </w:r>
          </w:p>
          <w:p w:rsidR="00E3259F" w:rsidRPr="008742E0" w:rsidRDefault="00E3259F" w:rsidP="008742E0">
            <w:pPr>
              <w:spacing w:line="360" w:lineRule="auto"/>
              <w:jc w:val="both"/>
              <w:rPr>
                <w:lang w:val="uk-UA" w:eastAsia="en-US"/>
              </w:rPr>
            </w:pPr>
            <w:r w:rsidRPr="008742E0">
              <w:rPr>
                <w:shd w:val="clear" w:color="auto" w:fill="FFFFFF"/>
                <w:lang w:val="uk-UA" w:eastAsia="en-US"/>
              </w:rPr>
              <w:t>р&gt;0,05</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eastAsia="en-US"/>
              </w:rPr>
            </w:pPr>
            <w:r w:rsidRPr="008742E0">
              <w:rPr>
                <w:lang w:eastAsia="en-US"/>
              </w:rPr>
              <w:t>10,</w:t>
            </w:r>
            <w:r w:rsidRPr="008742E0">
              <w:rPr>
                <w:lang w:val="uk-UA" w:eastAsia="en-US"/>
              </w:rPr>
              <w:t>88</w:t>
            </w:r>
            <w:r w:rsidRPr="008742E0">
              <w:rPr>
                <w:lang w:eastAsia="en-US"/>
              </w:rPr>
              <w:t>±</w:t>
            </w:r>
            <w:r w:rsidRPr="008742E0">
              <w:rPr>
                <w:lang w:val="uk-UA" w:eastAsia="en-US"/>
              </w:rPr>
              <w:t>0</w:t>
            </w:r>
            <w:r w:rsidRPr="008742E0">
              <w:rPr>
                <w:lang w:eastAsia="en-US"/>
              </w:rPr>
              <w:t>,4</w:t>
            </w:r>
            <w:r w:rsidRPr="008742E0">
              <w:rPr>
                <w:lang w:val="uk-UA" w:eastAsia="en-US"/>
              </w:rPr>
              <w:t>1</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11,4</w:t>
            </w:r>
            <w:r w:rsidRPr="008742E0">
              <w:rPr>
                <w:lang w:val="uk-UA" w:eastAsia="en-US"/>
              </w:rPr>
              <w:t>8</w:t>
            </w:r>
            <w:r w:rsidRPr="008742E0">
              <w:rPr>
                <w:lang w:eastAsia="en-US"/>
              </w:rPr>
              <w:t>±</w:t>
            </w:r>
            <w:r w:rsidRPr="008742E0">
              <w:rPr>
                <w:lang w:val="uk-UA" w:eastAsia="en-US"/>
              </w:rPr>
              <w:t>0</w:t>
            </w:r>
            <w:r w:rsidRPr="008742E0">
              <w:rPr>
                <w:lang w:eastAsia="en-US"/>
              </w:rPr>
              <w:t>,5</w:t>
            </w:r>
            <w:r w:rsidRPr="008742E0">
              <w:rPr>
                <w:lang w:val="uk-UA" w:eastAsia="en-US"/>
              </w:rPr>
              <w:t>6</w:t>
            </w:r>
          </w:p>
          <w:p w:rsidR="00E3259F" w:rsidRPr="008742E0" w:rsidRDefault="00E3259F" w:rsidP="008742E0">
            <w:pPr>
              <w:spacing w:line="360" w:lineRule="auto"/>
              <w:jc w:val="both"/>
              <w:rPr>
                <w:lang w:val="uk-UA" w:eastAsia="en-US"/>
              </w:rPr>
            </w:pPr>
            <w:r w:rsidRPr="008742E0">
              <w:rPr>
                <w:shd w:val="clear" w:color="auto" w:fill="FFFFFF"/>
                <w:lang w:val="uk-UA" w:eastAsia="en-US"/>
              </w:rPr>
              <w:t>р&gt;0,05</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12,62±</w:t>
            </w:r>
            <w:r w:rsidRPr="008742E0">
              <w:rPr>
                <w:lang w:val="uk-UA" w:eastAsia="en-US"/>
              </w:rPr>
              <w:t>0</w:t>
            </w:r>
            <w:r w:rsidRPr="008742E0">
              <w:rPr>
                <w:lang w:eastAsia="en-US"/>
              </w:rPr>
              <w:t>,</w:t>
            </w:r>
            <w:r w:rsidRPr="008742E0">
              <w:rPr>
                <w:lang w:val="uk-UA" w:eastAsia="en-US"/>
              </w:rPr>
              <w:t>40</w:t>
            </w:r>
          </w:p>
        </w:tc>
        <w:tc>
          <w:tcPr>
            <w:tcW w:w="714"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12,5</w:t>
            </w:r>
            <w:r w:rsidRPr="008742E0">
              <w:rPr>
                <w:lang w:val="uk-UA" w:eastAsia="en-US"/>
              </w:rPr>
              <w:t>7</w:t>
            </w:r>
            <w:r w:rsidRPr="008742E0">
              <w:rPr>
                <w:lang w:eastAsia="en-US"/>
              </w:rPr>
              <w:t>±1,67</w:t>
            </w:r>
          </w:p>
          <w:p w:rsidR="00E3259F" w:rsidRPr="008742E0" w:rsidRDefault="00E3259F" w:rsidP="008742E0">
            <w:pPr>
              <w:spacing w:line="360" w:lineRule="auto"/>
              <w:jc w:val="both"/>
              <w:rPr>
                <w:lang w:val="uk-UA" w:eastAsia="en-US"/>
              </w:rPr>
            </w:pPr>
            <w:r w:rsidRPr="008742E0">
              <w:rPr>
                <w:shd w:val="clear" w:color="auto" w:fill="FFFFFF"/>
                <w:lang w:val="uk-UA" w:eastAsia="en-US"/>
              </w:rPr>
              <w:t>р&gt;0,05</w:t>
            </w:r>
          </w:p>
        </w:tc>
      </w:tr>
      <w:tr w:rsidR="00E3259F" w:rsidRPr="008742E0" w:rsidTr="00E3259F">
        <w:tc>
          <w:tcPr>
            <w:tcW w:w="649"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rStyle w:val="xfm65112403"/>
                <w:lang w:val="uk-UA"/>
              </w:rPr>
            </w:pPr>
            <w:r w:rsidRPr="008742E0">
              <w:rPr>
                <w:lang w:val="uk-UA" w:eastAsia="en-US"/>
              </w:rPr>
              <w:t xml:space="preserve">СРП, </w:t>
            </w:r>
            <w:r w:rsidRPr="008742E0">
              <w:rPr>
                <w:lang w:eastAsia="en-US"/>
              </w:rPr>
              <w:t>мг/л</w:t>
            </w:r>
          </w:p>
        </w:tc>
        <w:tc>
          <w:tcPr>
            <w:tcW w:w="740"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6,</w:t>
            </w:r>
            <w:r w:rsidRPr="008742E0">
              <w:rPr>
                <w:lang w:val="uk-UA" w:eastAsia="en-US"/>
              </w:rPr>
              <w:t>82</w:t>
            </w:r>
            <w:r w:rsidRPr="008742E0">
              <w:rPr>
                <w:lang w:eastAsia="en-US"/>
              </w:rPr>
              <w:t>±</w:t>
            </w:r>
            <w:r w:rsidRPr="008742E0">
              <w:rPr>
                <w:lang w:val="uk-UA" w:eastAsia="en-US"/>
              </w:rPr>
              <w:t>0</w:t>
            </w:r>
            <w:r w:rsidRPr="008742E0">
              <w:rPr>
                <w:lang w:eastAsia="en-US"/>
              </w:rPr>
              <w:t>,3</w:t>
            </w:r>
            <w:r w:rsidRPr="008742E0">
              <w:rPr>
                <w:lang w:val="uk-UA" w:eastAsia="en-US"/>
              </w:rPr>
              <w:t>5</w:t>
            </w:r>
          </w:p>
        </w:tc>
        <w:tc>
          <w:tcPr>
            <w:tcW w:w="746"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6,</w:t>
            </w:r>
            <w:r w:rsidRPr="008742E0">
              <w:rPr>
                <w:lang w:val="uk-UA" w:eastAsia="en-US"/>
              </w:rPr>
              <w:t>40±0</w:t>
            </w:r>
            <w:r w:rsidRPr="008742E0">
              <w:rPr>
                <w:lang w:eastAsia="en-US"/>
              </w:rPr>
              <w:t>,4</w:t>
            </w:r>
            <w:r w:rsidRPr="008742E0">
              <w:rPr>
                <w:lang w:val="uk-UA" w:eastAsia="en-US"/>
              </w:rPr>
              <w:t>5</w:t>
            </w:r>
          </w:p>
          <w:p w:rsidR="00E3259F" w:rsidRPr="008742E0" w:rsidRDefault="00E3259F" w:rsidP="008742E0">
            <w:pPr>
              <w:spacing w:line="360" w:lineRule="auto"/>
              <w:jc w:val="both"/>
              <w:rPr>
                <w:lang w:val="uk-UA" w:eastAsia="en-US"/>
              </w:rPr>
            </w:pPr>
            <w:r w:rsidRPr="008742E0">
              <w:rPr>
                <w:shd w:val="clear" w:color="auto" w:fill="FFFFFF"/>
                <w:lang w:val="uk-UA" w:eastAsia="en-US"/>
              </w:rPr>
              <w:t>р&gt;0,05</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eastAsia="en-US"/>
              </w:rPr>
            </w:pPr>
            <w:r w:rsidRPr="008742E0">
              <w:rPr>
                <w:lang w:eastAsia="en-US"/>
              </w:rPr>
              <w:t>8,</w:t>
            </w:r>
            <w:r w:rsidRPr="008742E0">
              <w:rPr>
                <w:lang w:val="uk-UA" w:eastAsia="en-US"/>
              </w:rPr>
              <w:t>24</w:t>
            </w:r>
            <w:r w:rsidRPr="008742E0">
              <w:rPr>
                <w:lang w:eastAsia="en-US"/>
              </w:rPr>
              <w:t>±</w:t>
            </w:r>
            <w:r w:rsidRPr="008742E0">
              <w:rPr>
                <w:lang w:val="uk-UA" w:eastAsia="en-US"/>
              </w:rPr>
              <w:t>0</w:t>
            </w:r>
            <w:r w:rsidRPr="008742E0">
              <w:rPr>
                <w:lang w:eastAsia="en-US"/>
              </w:rPr>
              <w:t>,3</w:t>
            </w:r>
            <w:r w:rsidRPr="008742E0">
              <w:rPr>
                <w:lang w:val="uk-UA" w:eastAsia="en-US"/>
              </w:rPr>
              <w:t>5</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8,</w:t>
            </w:r>
            <w:r w:rsidRPr="008742E0">
              <w:rPr>
                <w:lang w:val="uk-UA" w:eastAsia="en-US"/>
              </w:rPr>
              <w:t>79</w:t>
            </w:r>
            <w:r w:rsidRPr="008742E0">
              <w:rPr>
                <w:lang w:eastAsia="en-US"/>
              </w:rPr>
              <w:t>±</w:t>
            </w:r>
            <w:r w:rsidRPr="008742E0">
              <w:rPr>
                <w:lang w:val="uk-UA" w:eastAsia="en-US"/>
              </w:rPr>
              <w:t>0</w:t>
            </w:r>
            <w:r w:rsidRPr="008742E0">
              <w:rPr>
                <w:lang w:eastAsia="en-US"/>
              </w:rPr>
              <w:t>,4</w:t>
            </w:r>
            <w:r w:rsidRPr="008742E0">
              <w:rPr>
                <w:lang w:val="uk-UA" w:eastAsia="en-US"/>
              </w:rPr>
              <w:t>0</w:t>
            </w:r>
          </w:p>
          <w:p w:rsidR="00E3259F" w:rsidRPr="008742E0" w:rsidRDefault="00E3259F" w:rsidP="008742E0">
            <w:pPr>
              <w:spacing w:line="360" w:lineRule="auto"/>
              <w:jc w:val="both"/>
              <w:rPr>
                <w:lang w:val="uk-UA" w:eastAsia="en-US"/>
              </w:rPr>
            </w:pPr>
            <w:r w:rsidRPr="008742E0">
              <w:rPr>
                <w:shd w:val="clear" w:color="auto" w:fill="FFFFFF"/>
                <w:lang w:val="uk-UA" w:eastAsia="en-US"/>
              </w:rPr>
              <w:t>р&gt;0,05</w:t>
            </w:r>
          </w:p>
        </w:tc>
        <w:tc>
          <w:tcPr>
            <w:tcW w:w="717"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8,33±</w:t>
            </w:r>
            <w:r w:rsidRPr="008742E0">
              <w:rPr>
                <w:lang w:val="uk-UA" w:eastAsia="en-US"/>
              </w:rPr>
              <w:t>0</w:t>
            </w:r>
            <w:r w:rsidRPr="008742E0">
              <w:rPr>
                <w:lang w:eastAsia="en-US"/>
              </w:rPr>
              <w:t>,36</w:t>
            </w:r>
          </w:p>
        </w:tc>
        <w:tc>
          <w:tcPr>
            <w:tcW w:w="714" w:type="pct"/>
            <w:tcBorders>
              <w:top w:val="single" w:sz="4" w:space="0" w:color="auto"/>
              <w:left w:val="single" w:sz="4" w:space="0" w:color="auto"/>
              <w:bottom w:val="single" w:sz="4" w:space="0" w:color="auto"/>
              <w:right w:val="single" w:sz="4" w:space="0" w:color="auto"/>
            </w:tcBorders>
            <w:hideMark/>
          </w:tcPr>
          <w:p w:rsidR="00E3259F" w:rsidRPr="008742E0" w:rsidRDefault="00E3259F" w:rsidP="008742E0">
            <w:pPr>
              <w:spacing w:line="360" w:lineRule="auto"/>
              <w:jc w:val="both"/>
              <w:rPr>
                <w:lang w:val="uk-UA" w:eastAsia="en-US"/>
              </w:rPr>
            </w:pPr>
            <w:r w:rsidRPr="008742E0">
              <w:rPr>
                <w:lang w:eastAsia="en-US"/>
              </w:rPr>
              <w:t>8,50±</w:t>
            </w:r>
            <w:r w:rsidRPr="008742E0">
              <w:rPr>
                <w:lang w:val="uk-UA" w:eastAsia="en-US"/>
              </w:rPr>
              <w:t>0</w:t>
            </w:r>
            <w:r w:rsidRPr="008742E0">
              <w:rPr>
                <w:lang w:eastAsia="en-US"/>
              </w:rPr>
              <w:t>,</w:t>
            </w:r>
            <w:r w:rsidRPr="008742E0">
              <w:rPr>
                <w:lang w:val="uk-UA" w:eastAsia="en-US"/>
              </w:rPr>
              <w:t>80</w:t>
            </w:r>
          </w:p>
          <w:p w:rsidR="00E3259F" w:rsidRPr="008742E0" w:rsidRDefault="00E3259F" w:rsidP="008742E0">
            <w:pPr>
              <w:spacing w:line="360" w:lineRule="auto"/>
              <w:jc w:val="both"/>
              <w:rPr>
                <w:lang w:val="uk-UA" w:eastAsia="en-US"/>
              </w:rPr>
            </w:pPr>
            <w:r w:rsidRPr="008742E0">
              <w:rPr>
                <w:shd w:val="clear" w:color="auto" w:fill="FFFFFF"/>
                <w:lang w:val="uk-UA" w:eastAsia="en-US"/>
              </w:rPr>
              <w:t>р&gt;0,05</w:t>
            </w:r>
          </w:p>
        </w:tc>
      </w:tr>
    </w:tbl>
    <w:p w:rsidR="00E3259F" w:rsidRPr="008742E0" w:rsidRDefault="00E3259F" w:rsidP="008742E0">
      <w:pPr>
        <w:spacing w:line="360" w:lineRule="auto"/>
        <w:jc w:val="both"/>
        <w:rPr>
          <w:rStyle w:val="tlid-translation"/>
          <w:rFonts w:eastAsiaTheme="majorEastAsia"/>
          <w:sz w:val="26"/>
          <w:szCs w:val="26"/>
          <w:lang w:val="uk-UA" w:eastAsia="en-US"/>
        </w:rPr>
      </w:pPr>
      <w:r w:rsidRPr="008742E0">
        <w:rPr>
          <w:sz w:val="28"/>
          <w:szCs w:val="28"/>
          <w:lang w:val="uk-UA"/>
        </w:rPr>
        <w:t>Примітка: р</w:t>
      </w:r>
      <w:r w:rsidRPr="008742E0">
        <w:rPr>
          <w:sz w:val="28"/>
          <w:szCs w:val="28"/>
          <w:vertAlign w:val="subscript"/>
          <w:lang w:val="uk-UA"/>
        </w:rPr>
        <w:t xml:space="preserve"> -</w:t>
      </w:r>
      <w:r w:rsidRPr="008742E0">
        <w:rPr>
          <w:sz w:val="28"/>
          <w:szCs w:val="28"/>
          <w:lang w:val="uk-UA"/>
        </w:rPr>
        <w:t xml:space="preserve">  рівень значущості відмінностей при порівнянні чоловіків та жінок в групі </w:t>
      </w:r>
    </w:p>
    <w:p w:rsidR="008742E0" w:rsidRPr="008742E0" w:rsidRDefault="008742E0" w:rsidP="008742E0">
      <w:pPr>
        <w:spacing w:line="360" w:lineRule="auto"/>
        <w:ind w:firstLine="709"/>
        <w:jc w:val="both"/>
        <w:rPr>
          <w:sz w:val="28"/>
          <w:szCs w:val="28"/>
          <w:lang w:val="uk-UA"/>
        </w:rPr>
      </w:pPr>
      <w:r w:rsidRPr="008742E0">
        <w:rPr>
          <w:sz w:val="28"/>
          <w:szCs w:val="28"/>
          <w:lang w:val="uk-UA" w:eastAsia="en-US"/>
        </w:rPr>
        <w:t>Порівняльний аналіз рівнів СРП та ФНП-α з урахуванням не тільки гендерних відмінностей, але й групи пацієнтів, виявив наявність достовірних відмінностей рівня СРП між жінками групи 1 та 2 (р=0,005) та  групи 1 та 3 (р=0,003),  між чоловіками групи 1 та 3 (р=0,025) та групи 1 та 2 (р=0,001).  Рівні ФНП-α достовірно відрізнялися лише між жінками групи 2 та 3 (р=0,003).</w:t>
      </w:r>
    </w:p>
    <w:p w:rsidR="00E3259F" w:rsidRPr="008742E0" w:rsidRDefault="00E3259F" w:rsidP="00E3259F">
      <w:pPr>
        <w:spacing w:line="360" w:lineRule="auto"/>
        <w:ind w:firstLine="709"/>
        <w:jc w:val="both"/>
        <w:rPr>
          <w:rStyle w:val="tlid-translation"/>
          <w:b/>
          <w:lang w:val="uk-UA"/>
        </w:rPr>
      </w:pPr>
      <w:r w:rsidRPr="008742E0">
        <w:rPr>
          <w:sz w:val="28"/>
          <w:szCs w:val="28"/>
          <w:lang w:val="uk-UA" w:eastAsia="en-US"/>
        </w:rPr>
        <w:t xml:space="preserve">Отримані дані свідчать, що при наявності підвищених рівнів СРП та ФНП-α внаслідок патогенетично обумовлених патологічних процесів, при порівнянні з базовими рівнями, стать не є провідним фактором, який впливає на активність хронічного запалення, хоч наявність ЦД 2 типу у чоловіків супроводжується більшою активацією прозапальних процесів, </w:t>
      </w:r>
      <w:r w:rsidRPr="008742E0">
        <w:rPr>
          <w:sz w:val="28"/>
          <w:szCs w:val="28"/>
          <w:lang w:val="uk-UA"/>
        </w:rPr>
        <w:t>зокрема</w:t>
      </w:r>
      <w:r w:rsidRPr="008742E0">
        <w:rPr>
          <w:sz w:val="28"/>
          <w:szCs w:val="28"/>
          <w:lang w:val="uk-UA" w:eastAsia="en-US"/>
        </w:rPr>
        <w:t xml:space="preserve"> й при приєднанні СГТ, ніж у жінок.</w:t>
      </w:r>
    </w:p>
    <w:p w:rsidR="00E3259F" w:rsidRPr="008742E0" w:rsidRDefault="00E3259F" w:rsidP="00E3259F">
      <w:pPr>
        <w:spacing w:line="360" w:lineRule="auto"/>
        <w:ind w:firstLine="709"/>
        <w:jc w:val="both"/>
      </w:pPr>
      <w:r w:rsidRPr="008742E0">
        <w:rPr>
          <w:sz w:val="28"/>
          <w:szCs w:val="28"/>
          <w:lang w:val="uk-UA"/>
        </w:rPr>
        <w:t>Таким чином, дані цього дослідження свідчать, що активація хронічного запального процесу, зокрема підвищення рівня СРП  та цитокіну ФНП-</w:t>
      </w:r>
      <w:r w:rsidRPr="008742E0">
        <w:rPr>
          <w:sz w:val="28"/>
          <w:szCs w:val="28"/>
        </w:rPr>
        <w:t>α</w:t>
      </w:r>
      <w:r w:rsidRPr="008742E0">
        <w:rPr>
          <w:sz w:val="28"/>
          <w:szCs w:val="28"/>
          <w:lang w:val="uk-UA"/>
        </w:rPr>
        <w:t xml:space="preserve">, є значущим патологічним процесом, що сприяє розвитку та прогресуванню ЕД, ІР, ОС, поглибленню метаболічних порушень та є суттєвим щодо до такої поєднаної патології, як ГХ  та ЦД 2 типуу. Наявність гіпофункції ЩЗ на тлі коморбідного перебігу ГХ та ЦД 2 типу, навіть на субклінічному рівні, сприяла ще більший активації процесів запалення. З віком спостерігалося підвищення рівня маркерів хронічного запалення, незалежно від діагнозу, але не було отримано переконливих даних щодо значного впливу хронічного запалення на процеси прискореного старіння при цих патологічних процесах. </w:t>
      </w:r>
    </w:p>
    <w:p w:rsidR="00E3259F" w:rsidRPr="008742E0" w:rsidRDefault="00E3259F" w:rsidP="00E3259F"/>
    <w:p w:rsidR="00E3259F" w:rsidRPr="008742E0" w:rsidRDefault="00E3259F" w:rsidP="00E3259F">
      <w:pPr>
        <w:spacing w:line="360" w:lineRule="auto"/>
        <w:ind w:firstLine="709"/>
        <w:jc w:val="both"/>
        <w:rPr>
          <w:rFonts w:eastAsia="Calibri"/>
          <w:sz w:val="28"/>
          <w:szCs w:val="28"/>
          <w:lang w:eastAsia="en-US"/>
        </w:rPr>
      </w:pPr>
      <w:r w:rsidRPr="008742E0">
        <w:rPr>
          <w:rFonts w:eastAsia="Calibri"/>
          <w:sz w:val="28"/>
          <w:szCs w:val="28"/>
        </w:rPr>
        <w:t xml:space="preserve">Результати власних досліджень розділу 5 </w:t>
      </w:r>
      <w:r w:rsidRPr="008742E0">
        <w:rPr>
          <w:rFonts w:eastAsia="Calibri"/>
          <w:sz w:val="28"/>
          <w:szCs w:val="28"/>
          <w:lang w:val="uk-UA"/>
        </w:rPr>
        <w:t xml:space="preserve">викладено в статтях </w:t>
      </w:r>
      <w:r w:rsidRPr="008742E0">
        <w:rPr>
          <w:rFonts w:eastAsia="Calibri"/>
          <w:sz w:val="28"/>
          <w:szCs w:val="28"/>
        </w:rPr>
        <w:t>[</w:t>
      </w:r>
      <w:r w:rsidRPr="008742E0">
        <w:rPr>
          <w:rFonts w:eastAsia="Calibri"/>
          <w:sz w:val="28"/>
          <w:szCs w:val="28"/>
          <w:lang w:val="uk-UA"/>
        </w:rPr>
        <w:t>14,159,296</w:t>
      </w:r>
      <w:r w:rsidRPr="008742E0">
        <w:rPr>
          <w:rFonts w:eastAsia="Calibri"/>
          <w:sz w:val="28"/>
          <w:szCs w:val="28"/>
        </w:rPr>
        <w:t>], апробовані на наукових форумах [1</w:t>
      </w:r>
      <w:r w:rsidRPr="008742E0">
        <w:rPr>
          <w:rFonts w:eastAsia="Calibri"/>
          <w:sz w:val="28"/>
          <w:szCs w:val="28"/>
          <w:lang w:val="uk-UA"/>
        </w:rPr>
        <w:t>1</w:t>
      </w:r>
      <w:r w:rsidRPr="008742E0">
        <w:rPr>
          <w:rFonts w:eastAsia="Calibri"/>
          <w:sz w:val="28"/>
          <w:szCs w:val="28"/>
        </w:rPr>
        <w:t>,</w:t>
      </w:r>
      <w:r w:rsidRPr="008742E0">
        <w:rPr>
          <w:rFonts w:eastAsia="Calibri"/>
          <w:sz w:val="28"/>
          <w:szCs w:val="28"/>
          <w:lang w:val="uk-UA"/>
        </w:rPr>
        <w:t>13,158,295,299,301</w:t>
      </w:r>
      <w:r w:rsidRPr="008742E0">
        <w:rPr>
          <w:rFonts w:eastAsia="Calibri"/>
          <w:sz w:val="28"/>
          <w:szCs w:val="28"/>
        </w:rPr>
        <w:t>].</w:t>
      </w:r>
    </w:p>
    <w:p w:rsidR="00E3259F" w:rsidRPr="008742E0" w:rsidRDefault="00E3259F" w:rsidP="00E3259F">
      <w:pPr>
        <w:spacing w:after="200" w:line="276" w:lineRule="auto"/>
        <w:rPr>
          <w:lang w:val="uk-UA"/>
        </w:rPr>
      </w:pPr>
    </w:p>
    <w:p w:rsidR="00E3259F" w:rsidRDefault="00E3259F" w:rsidP="00E3259F">
      <w:pPr>
        <w:spacing w:after="200" w:line="276" w:lineRule="auto"/>
        <w:jc w:val="center"/>
        <w:rPr>
          <w:sz w:val="28"/>
          <w:szCs w:val="28"/>
          <w:lang w:val="uk-UA"/>
        </w:rPr>
      </w:pPr>
      <w:r>
        <w:rPr>
          <w:lang w:val="uk-UA"/>
        </w:rPr>
        <w:br w:type="page"/>
      </w:r>
      <w:r>
        <w:rPr>
          <w:sz w:val="28"/>
          <w:szCs w:val="28"/>
          <w:lang w:val="uk-UA"/>
        </w:rPr>
        <w:t>РОЗДІЛ 6</w:t>
      </w:r>
    </w:p>
    <w:p w:rsidR="00E3259F" w:rsidRDefault="00E3259F" w:rsidP="00E3259F">
      <w:pPr>
        <w:spacing w:line="360" w:lineRule="auto"/>
        <w:jc w:val="both"/>
        <w:rPr>
          <w:lang w:val="uk-UA"/>
        </w:rPr>
      </w:pPr>
      <w:r>
        <w:rPr>
          <w:sz w:val="28"/>
          <w:szCs w:val="28"/>
          <w:lang w:val="uk-UA"/>
        </w:rPr>
        <w:t>ОЦІНКА ДОВЖИНИ ТЕЛОМЕР ЯК МАРКЕРА РИЗИКУ РОЗВИТКУ СЕРЦЕВО-СУДИННИХ УСКЛАДНЕНЬ У ХВОРИХ НА  ГІПЕРТОНІЧНУ ХВОРОБУ В ПОЄДНАННІ З ЦУКРОВИМ ДІАБЕТОМ 2 ТИПУ БЕЗ  ПОРУШЕННЯ ФУНКЦІЇ ЩИТОПОДІБНОЇ ЗАЛОЗИ ТА З СУБКЛІНІЧНИМ ГІПОТИРЕОЗОМ</w:t>
      </w:r>
    </w:p>
    <w:p w:rsidR="00E3259F" w:rsidRDefault="00E3259F" w:rsidP="00E3259F">
      <w:pPr>
        <w:rPr>
          <w:lang w:val="uk-UA"/>
        </w:rPr>
      </w:pPr>
    </w:p>
    <w:p w:rsidR="00E3259F" w:rsidRDefault="00E3259F" w:rsidP="00E3259F">
      <w:pPr>
        <w:spacing w:line="360" w:lineRule="auto"/>
        <w:jc w:val="both"/>
        <w:rPr>
          <w:sz w:val="28"/>
          <w:szCs w:val="28"/>
          <w:lang w:val="uk-UA"/>
        </w:rPr>
      </w:pPr>
      <w:r>
        <w:rPr>
          <w:sz w:val="28"/>
          <w:szCs w:val="28"/>
          <w:lang w:val="uk-UA"/>
        </w:rPr>
        <w:t xml:space="preserve">6.1. </w:t>
      </w:r>
      <w:r w:rsidR="007C524D">
        <w:rPr>
          <w:sz w:val="28"/>
          <w:szCs w:val="28"/>
          <w:lang w:val="uk-UA" w:eastAsia="en-US"/>
        </w:rPr>
        <w:t>Оцінка довжини теломер у хворих з поєднаним перебігом гіпертонічної хвороби та цукрового діабету 2 типу без порушення функції щитоподібної залози та з субклінічним гіпотиреозом</w:t>
      </w:r>
    </w:p>
    <w:p w:rsidR="00E3259F" w:rsidRPr="00E3259F" w:rsidRDefault="00E3259F" w:rsidP="00E3259F">
      <w:pPr>
        <w:spacing w:line="360" w:lineRule="auto"/>
        <w:ind w:firstLine="709"/>
        <w:jc w:val="both"/>
        <w:rPr>
          <w:rStyle w:val="tlid-translation"/>
          <w:lang w:val="uk-UA"/>
        </w:rPr>
      </w:pPr>
    </w:p>
    <w:p w:rsidR="00E3259F" w:rsidRPr="00C078BE" w:rsidRDefault="00E3259F" w:rsidP="00C078BE">
      <w:pPr>
        <w:spacing w:line="360" w:lineRule="auto"/>
        <w:ind w:firstLine="709"/>
        <w:jc w:val="both"/>
        <w:rPr>
          <w:rStyle w:val="tlid-translation"/>
          <w:sz w:val="28"/>
          <w:szCs w:val="28"/>
          <w:lang w:val="uk-UA"/>
        </w:rPr>
      </w:pPr>
      <w:r w:rsidRPr="00C078BE">
        <w:rPr>
          <w:rStyle w:val="tlid-translation"/>
          <w:sz w:val="28"/>
          <w:szCs w:val="28"/>
          <w:lang w:val="uk-UA"/>
        </w:rPr>
        <w:t>Вважається, що зменшення довжини теломер з віком пов'язано також і з різними асоційованими зі старінням захворюваннями, до яких зокрема належать такі захворювання й пов'язані з ними ускладнення як ЦД, ГХ та інш. [154,</w:t>
      </w:r>
      <w:r w:rsidRPr="00C078BE">
        <w:rPr>
          <w:sz w:val="28"/>
          <w:szCs w:val="28"/>
          <w:lang w:val="uk-UA"/>
        </w:rPr>
        <w:t>414</w:t>
      </w:r>
      <w:r w:rsidRPr="00C078BE">
        <w:rPr>
          <w:rStyle w:val="tlid-translation"/>
          <w:sz w:val="28"/>
          <w:szCs w:val="28"/>
          <w:lang w:val="uk-UA"/>
        </w:rPr>
        <w:t>]. Незважаючи на те,що існує припущення щодо використання довжини теломер у якості не тільки маркера судинного старіння, але і як маркера серцево-судинного прогнозу [</w:t>
      </w:r>
      <w:r w:rsidRPr="00C078BE">
        <w:rPr>
          <w:rStyle w:val="xfmc3"/>
          <w:rFonts w:eastAsiaTheme="majorEastAsia"/>
          <w:sz w:val="28"/>
          <w:szCs w:val="28"/>
          <w:shd w:val="clear" w:color="auto" w:fill="FFFFFF"/>
          <w:lang w:val="uk-UA"/>
        </w:rPr>
        <w:t>205</w:t>
      </w:r>
      <w:r w:rsidRPr="00C078BE">
        <w:rPr>
          <w:rStyle w:val="tlid-translation"/>
          <w:sz w:val="28"/>
          <w:szCs w:val="28"/>
          <w:lang w:val="uk-UA"/>
        </w:rPr>
        <w:t>] та якості контролю перебігу захворювання, однак ці дані ще нечисленні й для з'ясування та уточнення вимагають подальших досліджень.</w:t>
      </w:r>
    </w:p>
    <w:p w:rsidR="00E3259F" w:rsidRPr="00C078BE" w:rsidRDefault="00E3259F" w:rsidP="00C078BE">
      <w:pPr>
        <w:pStyle w:val="12"/>
        <w:spacing w:after="0" w:line="360" w:lineRule="auto"/>
        <w:ind w:left="0" w:firstLine="709"/>
        <w:jc w:val="both"/>
        <w:rPr>
          <w:rFonts w:ascii="Times New Roman" w:hAnsi="Times New Roman"/>
        </w:rPr>
      </w:pPr>
      <w:r w:rsidRPr="00C078BE">
        <w:rPr>
          <w:rFonts w:ascii="Times New Roman" w:hAnsi="Times New Roman"/>
          <w:sz w:val="28"/>
          <w:szCs w:val="28"/>
        </w:rPr>
        <w:t>Для дослідження довжини теломер прийнято використовувати кров [</w:t>
      </w:r>
      <w:r w:rsidRPr="00C078BE">
        <w:rPr>
          <w:rFonts w:ascii="Times New Roman" w:hAnsi="Times New Roman"/>
          <w:sz w:val="28"/>
          <w:szCs w:val="28"/>
          <w:lang w:val="uk-UA"/>
        </w:rPr>
        <w:t>49</w:t>
      </w:r>
      <w:r w:rsidRPr="00C078BE">
        <w:rPr>
          <w:rFonts w:ascii="Times New Roman" w:hAnsi="Times New Roman"/>
          <w:sz w:val="28"/>
          <w:szCs w:val="28"/>
        </w:rPr>
        <w:t xml:space="preserve">], оскільки укорочення теломер </w:t>
      </w:r>
      <w:r w:rsidRPr="00C078BE">
        <w:rPr>
          <w:rFonts w:ascii="Times New Roman" w:hAnsi="Times New Roman"/>
          <w:sz w:val="28"/>
          <w:szCs w:val="28"/>
          <w:lang w:val="uk-UA"/>
        </w:rPr>
        <w:t>у</w:t>
      </w:r>
      <w:r w:rsidRPr="00C078BE">
        <w:rPr>
          <w:rFonts w:ascii="Times New Roman" w:hAnsi="Times New Roman"/>
          <w:sz w:val="28"/>
          <w:szCs w:val="28"/>
        </w:rPr>
        <w:t xml:space="preserve"> лейкоцитах периферичної крові може слу</w:t>
      </w:r>
      <w:r w:rsidRPr="00C078BE">
        <w:rPr>
          <w:rFonts w:ascii="Times New Roman" w:hAnsi="Times New Roman"/>
          <w:sz w:val="28"/>
          <w:szCs w:val="28"/>
          <w:lang w:val="uk-UA"/>
        </w:rPr>
        <w:t>гувати</w:t>
      </w:r>
      <w:r w:rsidRPr="00C078BE">
        <w:rPr>
          <w:rFonts w:ascii="Times New Roman" w:hAnsi="Times New Roman"/>
          <w:sz w:val="28"/>
          <w:szCs w:val="28"/>
        </w:rPr>
        <w:t xml:space="preserve"> маркером не тільки старіння, але </w:t>
      </w:r>
      <w:r w:rsidRPr="00C078BE">
        <w:rPr>
          <w:rFonts w:ascii="Times New Roman" w:hAnsi="Times New Roman"/>
          <w:sz w:val="28"/>
          <w:szCs w:val="28"/>
          <w:lang w:val="uk-UA"/>
        </w:rPr>
        <w:t>й</w:t>
      </w:r>
      <w:r w:rsidRPr="00C078BE">
        <w:rPr>
          <w:rFonts w:ascii="Times New Roman" w:hAnsi="Times New Roman"/>
          <w:sz w:val="28"/>
          <w:szCs w:val="28"/>
        </w:rPr>
        <w:t xml:space="preserve"> бути індикатором системного патологічного стресу. В останні роки все більше з'являється наукових </w:t>
      </w:r>
      <w:r w:rsidRPr="00C078BE">
        <w:rPr>
          <w:rFonts w:ascii="Times New Roman" w:hAnsi="Times New Roman"/>
          <w:sz w:val="28"/>
          <w:szCs w:val="28"/>
          <w:lang w:val="uk-UA"/>
        </w:rPr>
        <w:t>праць</w:t>
      </w:r>
      <w:r w:rsidRPr="00C078BE">
        <w:rPr>
          <w:rFonts w:ascii="Times New Roman" w:hAnsi="Times New Roman"/>
          <w:sz w:val="28"/>
          <w:szCs w:val="28"/>
        </w:rPr>
        <w:t xml:space="preserve">, </w:t>
      </w:r>
      <w:r w:rsidRPr="00C078BE">
        <w:rPr>
          <w:rFonts w:ascii="Times New Roman" w:hAnsi="Times New Roman"/>
          <w:sz w:val="28"/>
          <w:szCs w:val="28"/>
          <w:lang w:val="uk-UA"/>
        </w:rPr>
        <w:t>у</w:t>
      </w:r>
      <w:r w:rsidRPr="00C078BE">
        <w:rPr>
          <w:rFonts w:ascii="Times New Roman" w:hAnsi="Times New Roman"/>
          <w:sz w:val="28"/>
          <w:szCs w:val="28"/>
        </w:rPr>
        <w:t xml:space="preserve"> яких велика увага приділяється використанню букального епітелію в якості альтернативного джерела біологічного матеріалу для теломерно</w:t>
      </w:r>
      <w:r w:rsidRPr="00C078BE">
        <w:rPr>
          <w:rFonts w:ascii="Times New Roman" w:hAnsi="Times New Roman"/>
          <w:sz w:val="28"/>
          <w:szCs w:val="28"/>
          <w:lang w:val="uk-UA"/>
        </w:rPr>
        <w:t>го</w:t>
      </w:r>
      <w:r w:rsidRPr="00C078BE">
        <w:rPr>
          <w:rFonts w:ascii="Times New Roman" w:hAnsi="Times New Roman"/>
          <w:sz w:val="28"/>
          <w:szCs w:val="28"/>
        </w:rPr>
        <w:t xml:space="preserve"> тесту з огляду на неінвазивн</w:t>
      </w:r>
      <w:r w:rsidRPr="00C078BE">
        <w:rPr>
          <w:rFonts w:ascii="Times New Roman" w:hAnsi="Times New Roman"/>
          <w:sz w:val="28"/>
          <w:szCs w:val="28"/>
          <w:lang w:val="uk-UA"/>
        </w:rPr>
        <w:t>ість</w:t>
      </w:r>
      <w:r w:rsidRPr="00C078BE">
        <w:rPr>
          <w:rFonts w:ascii="Times New Roman" w:hAnsi="Times New Roman"/>
          <w:sz w:val="28"/>
          <w:szCs w:val="28"/>
        </w:rPr>
        <w:t xml:space="preserve"> процедури забору матеріалу [</w:t>
      </w:r>
      <w:r w:rsidRPr="00C078BE">
        <w:rPr>
          <w:rFonts w:ascii="Times New Roman" w:hAnsi="Times New Roman"/>
          <w:sz w:val="28"/>
          <w:szCs w:val="28"/>
          <w:lang w:val="uk-UA"/>
        </w:rPr>
        <w:t>55,259</w:t>
      </w:r>
      <w:r w:rsidRPr="00C078BE">
        <w:rPr>
          <w:rFonts w:ascii="Times New Roman" w:hAnsi="Times New Roman"/>
          <w:sz w:val="28"/>
          <w:szCs w:val="28"/>
        </w:rPr>
        <w:t xml:space="preserve">]. На </w:t>
      </w:r>
      <w:r w:rsidRPr="00C078BE">
        <w:rPr>
          <w:rFonts w:ascii="Times New Roman" w:hAnsi="Times New Roman"/>
          <w:sz w:val="28"/>
          <w:szCs w:val="28"/>
          <w:lang w:val="uk-UA"/>
        </w:rPr>
        <w:t>цей</w:t>
      </w:r>
      <w:r w:rsidRPr="00C078BE">
        <w:rPr>
          <w:rFonts w:ascii="Times New Roman" w:hAnsi="Times New Roman"/>
          <w:sz w:val="28"/>
          <w:szCs w:val="28"/>
        </w:rPr>
        <w:t xml:space="preserve"> момент недостатньо даних про довжину теломер, </w:t>
      </w:r>
      <w:r w:rsidRPr="00C078BE">
        <w:rPr>
          <w:rFonts w:ascii="Times New Roman" w:hAnsi="Times New Roman"/>
          <w:sz w:val="28"/>
          <w:szCs w:val="28"/>
          <w:lang w:val="uk-UA"/>
        </w:rPr>
        <w:t xml:space="preserve">зокрема й у </w:t>
      </w:r>
      <w:r w:rsidRPr="00C078BE">
        <w:rPr>
          <w:rFonts w:ascii="Times New Roman" w:hAnsi="Times New Roman"/>
          <w:sz w:val="28"/>
          <w:szCs w:val="28"/>
        </w:rPr>
        <w:t>букальном</w:t>
      </w:r>
      <w:r w:rsidRPr="00C078BE">
        <w:rPr>
          <w:rFonts w:ascii="Times New Roman" w:hAnsi="Times New Roman"/>
          <w:sz w:val="28"/>
          <w:szCs w:val="28"/>
          <w:lang w:val="uk-UA"/>
        </w:rPr>
        <w:t xml:space="preserve">у </w:t>
      </w:r>
      <w:r w:rsidRPr="00C078BE">
        <w:rPr>
          <w:rFonts w:ascii="Times New Roman" w:hAnsi="Times New Roman"/>
          <w:sz w:val="28"/>
          <w:szCs w:val="28"/>
        </w:rPr>
        <w:t>епітелії, при наявності поєднаної вік-асоційованої патології, про вплив різних чинників ризику, перш за все модифік</w:t>
      </w:r>
      <w:r w:rsidRPr="00C078BE">
        <w:rPr>
          <w:rFonts w:ascii="Times New Roman" w:hAnsi="Times New Roman"/>
          <w:sz w:val="28"/>
          <w:szCs w:val="28"/>
          <w:lang w:val="uk-UA"/>
        </w:rPr>
        <w:t>ованих</w:t>
      </w:r>
      <w:r w:rsidRPr="00C078BE">
        <w:rPr>
          <w:rFonts w:ascii="Times New Roman" w:hAnsi="Times New Roman"/>
          <w:sz w:val="28"/>
          <w:szCs w:val="28"/>
        </w:rPr>
        <w:t>, на відносну довжину теломер</w:t>
      </w:r>
      <w:r w:rsidRPr="00C078BE">
        <w:rPr>
          <w:rFonts w:ascii="Times New Roman" w:hAnsi="Times New Roman"/>
          <w:sz w:val="28"/>
          <w:szCs w:val="28"/>
          <w:lang w:val="uk-UA"/>
        </w:rPr>
        <w:t xml:space="preserve"> (ВДТ)</w:t>
      </w:r>
      <w:r w:rsidRPr="00C078BE">
        <w:rPr>
          <w:rFonts w:ascii="Times New Roman" w:hAnsi="Times New Roman"/>
          <w:sz w:val="28"/>
          <w:szCs w:val="28"/>
        </w:rPr>
        <w:t xml:space="preserve">, </w:t>
      </w:r>
      <w:r w:rsidRPr="00C078BE">
        <w:rPr>
          <w:rFonts w:ascii="Times New Roman" w:hAnsi="Times New Roman"/>
          <w:sz w:val="28"/>
          <w:szCs w:val="28"/>
          <w:lang w:val="uk-UA"/>
        </w:rPr>
        <w:t>зокрема й</w:t>
      </w:r>
      <w:r w:rsidRPr="00C078BE">
        <w:rPr>
          <w:rFonts w:ascii="Times New Roman" w:hAnsi="Times New Roman"/>
          <w:sz w:val="28"/>
          <w:szCs w:val="28"/>
        </w:rPr>
        <w:t xml:space="preserve"> для української популяції. У літературі є вкрай обмежене число даних про порівняльну характеристику </w:t>
      </w:r>
      <w:r w:rsidRPr="00C078BE">
        <w:rPr>
          <w:rFonts w:ascii="Times New Roman" w:hAnsi="Times New Roman"/>
          <w:sz w:val="28"/>
          <w:szCs w:val="28"/>
          <w:lang w:val="uk-UA"/>
        </w:rPr>
        <w:t>ВДТ</w:t>
      </w:r>
      <w:r w:rsidRPr="00C078BE">
        <w:rPr>
          <w:rFonts w:ascii="Times New Roman" w:hAnsi="Times New Roman"/>
          <w:sz w:val="28"/>
          <w:szCs w:val="28"/>
        </w:rPr>
        <w:t xml:space="preserve"> крові </w:t>
      </w:r>
      <w:r w:rsidRPr="00C078BE">
        <w:rPr>
          <w:rFonts w:ascii="Times New Roman" w:hAnsi="Times New Roman"/>
          <w:sz w:val="28"/>
          <w:szCs w:val="28"/>
          <w:lang w:val="uk-UA"/>
        </w:rPr>
        <w:t>та</w:t>
      </w:r>
      <w:r w:rsidRPr="00C078BE">
        <w:rPr>
          <w:rFonts w:ascii="Times New Roman" w:hAnsi="Times New Roman"/>
          <w:sz w:val="28"/>
          <w:szCs w:val="28"/>
        </w:rPr>
        <w:t xml:space="preserve"> клітин букального епітелію при поєднаному перебігу </w:t>
      </w:r>
      <w:r w:rsidRPr="00C078BE">
        <w:rPr>
          <w:rFonts w:ascii="Times New Roman" w:hAnsi="Times New Roman"/>
          <w:sz w:val="28"/>
          <w:szCs w:val="28"/>
          <w:lang w:val="uk-UA"/>
        </w:rPr>
        <w:t>ГХ</w:t>
      </w:r>
      <w:r w:rsidRPr="00C078BE">
        <w:rPr>
          <w:rFonts w:ascii="Times New Roman" w:hAnsi="Times New Roman"/>
          <w:sz w:val="28"/>
          <w:szCs w:val="28"/>
        </w:rPr>
        <w:t xml:space="preserve"> та </w:t>
      </w:r>
      <w:r w:rsidRPr="00C078BE">
        <w:rPr>
          <w:rFonts w:ascii="Times New Roman" w:hAnsi="Times New Roman"/>
          <w:sz w:val="28"/>
          <w:szCs w:val="28"/>
          <w:lang w:val="uk-UA"/>
        </w:rPr>
        <w:t>Ц</w:t>
      </w:r>
      <w:r w:rsidRPr="00C078BE">
        <w:rPr>
          <w:rFonts w:ascii="Times New Roman" w:hAnsi="Times New Roman"/>
          <w:sz w:val="28"/>
          <w:szCs w:val="28"/>
        </w:rPr>
        <w:t>Д</w:t>
      </w:r>
      <w:r w:rsidRPr="00C078BE">
        <w:rPr>
          <w:rFonts w:ascii="Times New Roman" w:hAnsi="Times New Roman"/>
          <w:sz w:val="28"/>
          <w:szCs w:val="28"/>
          <w:lang w:val="uk-UA"/>
        </w:rPr>
        <w:t xml:space="preserve"> </w:t>
      </w:r>
      <w:r w:rsidRPr="00C078BE">
        <w:rPr>
          <w:rFonts w:ascii="Times New Roman" w:hAnsi="Times New Roman"/>
          <w:sz w:val="28"/>
          <w:szCs w:val="28"/>
        </w:rPr>
        <w:t>2</w:t>
      </w:r>
      <w:r w:rsidRPr="00C078BE">
        <w:rPr>
          <w:rFonts w:ascii="Times New Roman" w:hAnsi="Times New Roman"/>
          <w:sz w:val="28"/>
          <w:szCs w:val="28"/>
          <w:lang w:val="uk-UA"/>
        </w:rPr>
        <w:t xml:space="preserve"> типу</w:t>
      </w:r>
      <w:r w:rsidRPr="00C078BE">
        <w:rPr>
          <w:rFonts w:ascii="Times New Roman" w:hAnsi="Times New Roman"/>
          <w:sz w:val="28"/>
          <w:szCs w:val="28"/>
        </w:rPr>
        <w:t xml:space="preserve">, як найбільш частих поєднаних патологій серед осіб старших вікових груп, </w:t>
      </w:r>
      <w:r w:rsidRPr="00C078BE">
        <w:rPr>
          <w:rFonts w:ascii="Times New Roman" w:hAnsi="Times New Roman"/>
          <w:sz w:val="28"/>
          <w:szCs w:val="28"/>
          <w:lang w:val="uk-UA"/>
        </w:rPr>
        <w:t>без порушення  функції ЩЗ та за наявності СГТ</w:t>
      </w:r>
      <w:r w:rsidRPr="00C078BE">
        <w:rPr>
          <w:rFonts w:ascii="Times New Roman" w:hAnsi="Times New Roman"/>
          <w:sz w:val="28"/>
          <w:szCs w:val="28"/>
        </w:rPr>
        <w:t>.</w:t>
      </w:r>
    </w:p>
    <w:p w:rsidR="00E3259F" w:rsidRPr="00C078BE" w:rsidRDefault="00E3259F" w:rsidP="00C078BE">
      <w:pPr>
        <w:pStyle w:val="12"/>
        <w:spacing w:after="0" w:line="360" w:lineRule="auto"/>
        <w:ind w:left="0" w:firstLine="709"/>
        <w:jc w:val="both"/>
        <w:rPr>
          <w:rFonts w:ascii="Times New Roman" w:hAnsi="Times New Roman"/>
          <w:sz w:val="28"/>
          <w:szCs w:val="28"/>
          <w:lang w:val="uk-UA"/>
        </w:rPr>
      </w:pPr>
      <w:r w:rsidRPr="00C078BE">
        <w:rPr>
          <w:rFonts w:ascii="Times New Roman" w:hAnsi="Times New Roman"/>
          <w:sz w:val="28"/>
          <w:szCs w:val="28"/>
          <w:lang w:val="uk-UA"/>
        </w:rPr>
        <w:t>Проведення порівняльного аналізу ВДТ у досліджуваних групах виявило, що  ВДТ у групі контролю була достовірно вище як у крові, так і в клітинах букального епітелію (р&lt;0,01) при порівнянні з усіма досліджуваними групами хворих (Таблиця 6.1).</w:t>
      </w:r>
    </w:p>
    <w:p w:rsidR="00E3259F" w:rsidRPr="00C078BE" w:rsidRDefault="00E3259F" w:rsidP="00C078BE">
      <w:pPr>
        <w:spacing w:line="360" w:lineRule="auto"/>
        <w:jc w:val="right"/>
        <w:rPr>
          <w:sz w:val="28"/>
          <w:szCs w:val="28"/>
          <w:lang w:val="uk-UA"/>
        </w:rPr>
      </w:pPr>
      <w:r w:rsidRPr="00C078BE">
        <w:rPr>
          <w:sz w:val="28"/>
          <w:szCs w:val="28"/>
          <w:lang w:val="uk-UA"/>
        </w:rPr>
        <w:t>Таблиця 6.1</w:t>
      </w:r>
    </w:p>
    <w:p w:rsidR="00E3259F" w:rsidRPr="00C078BE" w:rsidRDefault="00E3259F" w:rsidP="00C078BE">
      <w:pPr>
        <w:spacing w:line="360" w:lineRule="auto"/>
        <w:jc w:val="center"/>
        <w:rPr>
          <w:sz w:val="28"/>
          <w:szCs w:val="28"/>
        </w:rPr>
      </w:pPr>
      <w:r w:rsidRPr="00C078BE">
        <w:rPr>
          <w:sz w:val="28"/>
          <w:szCs w:val="28"/>
        </w:rPr>
        <w:t>Порівняльна характеристика відносної довжини теломер крові і клітин букального епітелію</w:t>
      </w:r>
      <w:r w:rsidRPr="00C078BE">
        <w:rPr>
          <w:sz w:val="28"/>
          <w:szCs w:val="28"/>
          <w:lang w:val="uk-UA"/>
        </w:rPr>
        <w:t>,</w:t>
      </w:r>
      <w:r w:rsidRPr="00C078BE">
        <w:rPr>
          <w:sz w:val="28"/>
          <w:szCs w:val="28"/>
        </w:rPr>
        <w:t xml:space="preserve"> (</w:t>
      </w:r>
      <w:r w:rsidRPr="00C078BE">
        <w:rPr>
          <w:sz w:val="28"/>
          <w:szCs w:val="28"/>
          <w:lang w:val="en-US"/>
        </w:rPr>
        <w:t>M</w:t>
      </w:r>
      <w:r w:rsidRPr="00C078BE">
        <w:rPr>
          <w:sz w:val="28"/>
          <w:szCs w:val="28"/>
        </w:rPr>
        <w:t>±</w:t>
      </w:r>
      <w:r w:rsidRPr="00C078BE">
        <w:rPr>
          <w:sz w:val="28"/>
          <w:szCs w:val="28"/>
          <w:lang w:val="en-US"/>
        </w:rPr>
        <w:t>m</w:t>
      </w:r>
      <w:r w:rsidRPr="00C078BE">
        <w:rPr>
          <w:sz w:val="28"/>
          <w:szCs w:val="28"/>
        </w:rPr>
        <w:t>)</w:t>
      </w:r>
    </w:p>
    <w:tbl>
      <w:tblPr>
        <w:tblW w:w="5000" w:type="pct"/>
        <w:tblLook w:val="04A0" w:firstRow="1" w:lastRow="0" w:firstColumn="1" w:lastColumn="0" w:noHBand="0" w:noVBand="1"/>
      </w:tblPr>
      <w:tblGrid>
        <w:gridCol w:w="1668"/>
        <w:gridCol w:w="1418"/>
        <w:gridCol w:w="1558"/>
        <w:gridCol w:w="1702"/>
        <w:gridCol w:w="1560"/>
        <w:gridCol w:w="1665"/>
      </w:tblGrid>
      <w:tr w:rsidR="00E3259F" w:rsidRPr="00C078BE" w:rsidTr="00E3259F">
        <w:tc>
          <w:tcPr>
            <w:tcW w:w="871"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center"/>
              <w:rPr>
                <w:sz w:val="28"/>
                <w:szCs w:val="28"/>
                <w:lang w:eastAsia="en-US"/>
              </w:rPr>
            </w:pPr>
            <w:r w:rsidRPr="00C078BE">
              <w:rPr>
                <w:sz w:val="28"/>
                <w:szCs w:val="28"/>
              </w:rPr>
              <w:br w:type="page"/>
            </w:r>
            <w:r w:rsidRPr="00C078BE">
              <w:rPr>
                <w:sz w:val="28"/>
                <w:szCs w:val="28"/>
                <w:lang w:eastAsia="en-US"/>
              </w:rPr>
              <w:t>Показ</w:t>
            </w:r>
            <w:r w:rsidRPr="00C078BE">
              <w:rPr>
                <w:sz w:val="28"/>
                <w:szCs w:val="28"/>
                <w:lang w:val="uk-UA" w:eastAsia="en-US"/>
              </w:rPr>
              <w:t>ник</w:t>
            </w:r>
          </w:p>
        </w:tc>
        <w:tc>
          <w:tcPr>
            <w:tcW w:w="740"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center"/>
              <w:rPr>
                <w:sz w:val="28"/>
                <w:szCs w:val="28"/>
                <w:lang w:val="uk-UA" w:eastAsia="en-US"/>
              </w:rPr>
            </w:pPr>
            <w:r w:rsidRPr="00C078BE">
              <w:rPr>
                <w:sz w:val="28"/>
                <w:szCs w:val="28"/>
                <w:lang w:val="uk-UA" w:eastAsia="en-US"/>
              </w:rPr>
              <w:t>Група к</w:t>
            </w:r>
            <w:r w:rsidRPr="00C078BE">
              <w:rPr>
                <w:sz w:val="28"/>
                <w:szCs w:val="28"/>
                <w:lang w:eastAsia="en-US"/>
              </w:rPr>
              <w:t>онтрол</w:t>
            </w:r>
            <w:r w:rsidRPr="00C078BE">
              <w:rPr>
                <w:sz w:val="28"/>
                <w:szCs w:val="28"/>
                <w:lang w:val="uk-UA" w:eastAsia="en-US"/>
              </w:rPr>
              <w:t>ю</w:t>
            </w:r>
          </w:p>
          <w:p w:rsidR="00E3259F" w:rsidRPr="00C078BE" w:rsidRDefault="00E3259F" w:rsidP="00C078BE">
            <w:pPr>
              <w:spacing w:line="360" w:lineRule="auto"/>
              <w:jc w:val="center"/>
              <w:rPr>
                <w:sz w:val="28"/>
                <w:szCs w:val="28"/>
                <w:lang w:val="en-US" w:eastAsia="en-US"/>
              </w:rPr>
            </w:pPr>
            <w:r w:rsidRPr="00C078BE">
              <w:rPr>
                <w:sz w:val="28"/>
                <w:szCs w:val="28"/>
                <w:lang w:val="en-US" w:eastAsia="en-US"/>
              </w:rPr>
              <w:t>(n=</w:t>
            </w:r>
            <w:r w:rsidRPr="00C078BE">
              <w:rPr>
                <w:sz w:val="28"/>
                <w:szCs w:val="28"/>
                <w:lang w:val="uk-UA" w:eastAsia="en-US"/>
              </w:rPr>
              <w:t>30</w:t>
            </w:r>
            <w:r w:rsidRPr="00C078BE">
              <w:rPr>
                <w:sz w:val="28"/>
                <w:szCs w:val="28"/>
                <w:lang w:val="en-US" w:eastAsia="en-US"/>
              </w:rPr>
              <w:t>)</w:t>
            </w:r>
          </w:p>
        </w:tc>
        <w:tc>
          <w:tcPr>
            <w:tcW w:w="814"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center"/>
              <w:rPr>
                <w:sz w:val="28"/>
                <w:szCs w:val="28"/>
                <w:lang w:eastAsia="en-US"/>
              </w:rPr>
            </w:pPr>
            <w:r w:rsidRPr="00C078BE">
              <w:rPr>
                <w:sz w:val="28"/>
                <w:szCs w:val="28"/>
                <w:lang w:eastAsia="en-US"/>
              </w:rPr>
              <w:t>Група</w:t>
            </w:r>
            <w:r w:rsidRPr="00C078BE">
              <w:rPr>
                <w:sz w:val="28"/>
                <w:szCs w:val="28"/>
                <w:lang w:val="uk-UA" w:eastAsia="en-US"/>
              </w:rPr>
              <w:t xml:space="preserve"> </w:t>
            </w:r>
            <w:r w:rsidRPr="00C078BE">
              <w:rPr>
                <w:sz w:val="28"/>
                <w:szCs w:val="28"/>
                <w:lang w:eastAsia="en-US"/>
              </w:rPr>
              <w:t>1</w:t>
            </w:r>
          </w:p>
          <w:p w:rsidR="00E3259F" w:rsidRPr="00C078BE" w:rsidRDefault="00E3259F" w:rsidP="00C078BE">
            <w:pPr>
              <w:spacing w:line="360" w:lineRule="auto"/>
              <w:jc w:val="center"/>
              <w:rPr>
                <w:sz w:val="28"/>
                <w:szCs w:val="28"/>
                <w:lang w:val="en-US" w:eastAsia="en-US"/>
              </w:rPr>
            </w:pPr>
            <w:r w:rsidRPr="00C078BE">
              <w:rPr>
                <w:sz w:val="28"/>
                <w:szCs w:val="28"/>
                <w:lang w:eastAsia="en-US"/>
              </w:rPr>
              <w:t>(</w:t>
            </w:r>
            <w:r w:rsidRPr="00C078BE">
              <w:rPr>
                <w:sz w:val="28"/>
                <w:szCs w:val="28"/>
                <w:lang w:val="en-US" w:eastAsia="en-US"/>
              </w:rPr>
              <w:t>n</w:t>
            </w:r>
            <w:r w:rsidRPr="00C078BE">
              <w:rPr>
                <w:sz w:val="28"/>
                <w:szCs w:val="28"/>
                <w:lang w:val="uk-UA" w:eastAsia="en-US"/>
              </w:rPr>
              <w:t>=106</w:t>
            </w:r>
            <w:r w:rsidRPr="00C078BE">
              <w:rPr>
                <w:sz w:val="28"/>
                <w:szCs w:val="28"/>
                <w:lang w:val="en-US" w:eastAsia="en-US"/>
              </w:rPr>
              <w:t>)</w:t>
            </w:r>
          </w:p>
        </w:tc>
        <w:tc>
          <w:tcPr>
            <w:tcW w:w="889"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center"/>
              <w:rPr>
                <w:sz w:val="28"/>
                <w:szCs w:val="28"/>
                <w:lang w:val="uk-UA" w:eastAsia="en-US"/>
              </w:rPr>
            </w:pPr>
            <w:r w:rsidRPr="00C078BE">
              <w:rPr>
                <w:sz w:val="28"/>
                <w:szCs w:val="28"/>
                <w:lang w:val="uk-UA" w:eastAsia="en-US"/>
              </w:rPr>
              <w:t>Г</w:t>
            </w:r>
            <w:r w:rsidRPr="00C078BE">
              <w:rPr>
                <w:sz w:val="28"/>
                <w:szCs w:val="28"/>
                <w:lang w:eastAsia="en-US"/>
              </w:rPr>
              <w:t>рупа</w:t>
            </w:r>
            <w:r w:rsidRPr="00C078BE">
              <w:rPr>
                <w:sz w:val="28"/>
                <w:szCs w:val="28"/>
                <w:lang w:val="uk-UA" w:eastAsia="en-US"/>
              </w:rPr>
              <w:t xml:space="preserve"> 2</w:t>
            </w:r>
          </w:p>
          <w:p w:rsidR="00E3259F" w:rsidRPr="00C078BE" w:rsidRDefault="00E3259F" w:rsidP="00C078BE">
            <w:pPr>
              <w:spacing w:line="360" w:lineRule="auto"/>
              <w:jc w:val="center"/>
              <w:rPr>
                <w:sz w:val="28"/>
                <w:szCs w:val="28"/>
                <w:lang w:val="en-US" w:eastAsia="en-US"/>
              </w:rPr>
            </w:pPr>
            <w:r w:rsidRPr="00C078BE">
              <w:rPr>
                <w:sz w:val="28"/>
                <w:szCs w:val="28"/>
                <w:lang w:val="uk-UA" w:eastAsia="en-US"/>
              </w:rPr>
              <w:t>(</w:t>
            </w:r>
            <w:r w:rsidRPr="00C078BE">
              <w:rPr>
                <w:sz w:val="28"/>
                <w:szCs w:val="28"/>
                <w:lang w:val="en-US" w:eastAsia="en-US"/>
              </w:rPr>
              <w:t>n-</w:t>
            </w:r>
            <w:r w:rsidRPr="00C078BE">
              <w:rPr>
                <w:sz w:val="28"/>
                <w:szCs w:val="28"/>
                <w:lang w:val="uk-UA" w:eastAsia="en-US"/>
              </w:rPr>
              <w:t>156</w:t>
            </w:r>
            <w:r w:rsidRPr="00C078BE">
              <w:rPr>
                <w:sz w:val="28"/>
                <w:szCs w:val="28"/>
                <w:lang w:val="en-US" w:eastAsia="en-US"/>
              </w:rPr>
              <w:t>)</w:t>
            </w:r>
          </w:p>
        </w:tc>
        <w:tc>
          <w:tcPr>
            <w:tcW w:w="81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center"/>
              <w:rPr>
                <w:sz w:val="28"/>
                <w:szCs w:val="28"/>
                <w:lang w:val="uk-UA" w:eastAsia="en-US"/>
              </w:rPr>
            </w:pPr>
            <w:r w:rsidRPr="00C078BE">
              <w:rPr>
                <w:sz w:val="28"/>
                <w:szCs w:val="28"/>
                <w:lang w:val="uk-UA" w:eastAsia="en-US"/>
              </w:rPr>
              <w:t>Г</w:t>
            </w:r>
            <w:r w:rsidRPr="00C078BE">
              <w:rPr>
                <w:sz w:val="28"/>
                <w:szCs w:val="28"/>
                <w:lang w:eastAsia="en-US"/>
              </w:rPr>
              <w:t>рупа</w:t>
            </w:r>
            <w:r w:rsidRPr="00C078BE">
              <w:rPr>
                <w:sz w:val="28"/>
                <w:szCs w:val="28"/>
                <w:lang w:val="uk-UA" w:eastAsia="en-US"/>
              </w:rPr>
              <w:t xml:space="preserve"> 3</w:t>
            </w:r>
          </w:p>
          <w:p w:rsidR="00E3259F" w:rsidRPr="00C078BE" w:rsidRDefault="00E3259F" w:rsidP="00C078BE">
            <w:pPr>
              <w:spacing w:line="360" w:lineRule="auto"/>
              <w:jc w:val="center"/>
              <w:rPr>
                <w:sz w:val="28"/>
                <w:szCs w:val="28"/>
                <w:lang w:eastAsia="en-US"/>
              </w:rPr>
            </w:pPr>
            <w:r w:rsidRPr="00C078BE">
              <w:rPr>
                <w:sz w:val="28"/>
                <w:szCs w:val="28"/>
                <w:lang w:val="uk-UA" w:eastAsia="en-US"/>
              </w:rPr>
              <w:t>(</w:t>
            </w:r>
            <w:r w:rsidRPr="00C078BE">
              <w:rPr>
                <w:sz w:val="28"/>
                <w:szCs w:val="28"/>
                <w:lang w:val="en-US" w:eastAsia="en-US"/>
              </w:rPr>
              <w:t>n</w:t>
            </w:r>
            <w:r w:rsidRPr="00C078BE">
              <w:rPr>
                <w:sz w:val="28"/>
                <w:szCs w:val="28"/>
                <w:lang w:eastAsia="en-US"/>
              </w:rPr>
              <w:t>=</w:t>
            </w:r>
            <w:r w:rsidRPr="00C078BE">
              <w:rPr>
                <w:sz w:val="28"/>
                <w:szCs w:val="28"/>
                <w:lang w:val="uk-UA" w:eastAsia="en-US"/>
              </w:rPr>
              <w:t>93</w:t>
            </w:r>
            <w:r w:rsidRPr="00C078BE">
              <w:rPr>
                <w:sz w:val="28"/>
                <w:szCs w:val="28"/>
                <w:lang w:eastAsia="en-US"/>
              </w:rPr>
              <w:t>)</w:t>
            </w:r>
          </w:p>
        </w:tc>
        <w:tc>
          <w:tcPr>
            <w:tcW w:w="870"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center"/>
              <w:rPr>
                <w:sz w:val="28"/>
                <w:szCs w:val="28"/>
                <w:lang w:val="uk-UA" w:eastAsia="en-US"/>
              </w:rPr>
            </w:pPr>
            <w:r w:rsidRPr="00C078BE">
              <w:rPr>
                <w:sz w:val="28"/>
                <w:szCs w:val="28"/>
                <w:lang w:val="uk-UA" w:eastAsia="en-US"/>
              </w:rPr>
              <w:t>Значимість, р</w:t>
            </w:r>
          </w:p>
        </w:tc>
      </w:tr>
      <w:tr w:rsidR="00E3259F" w:rsidRPr="00C078BE" w:rsidTr="00E3259F">
        <w:tc>
          <w:tcPr>
            <w:tcW w:w="871"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val="uk-UA" w:eastAsia="en-US"/>
              </w:rPr>
            </w:pPr>
            <w:r w:rsidRPr="00C078BE">
              <w:rPr>
                <w:sz w:val="28"/>
                <w:szCs w:val="28"/>
                <w:lang w:val="uk-UA" w:eastAsia="en-US"/>
              </w:rPr>
              <w:t>ВДТ крові</w:t>
            </w:r>
            <w:r w:rsidRPr="00C078BE">
              <w:rPr>
                <w:sz w:val="28"/>
                <w:szCs w:val="28"/>
                <w:lang w:eastAsia="en-US"/>
              </w:rPr>
              <w:t xml:space="preserve">, </w:t>
            </w:r>
            <w:r w:rsidRPr="00C078BE">
              <w:rPr>
                <w:sz w:val="28"/>
                <w:szCs w:val="28"/>
                <w:lang w:val="uk-UA" w:eastAsia="en-US"/>
              </w:rPr>
              <w:t>ум.од</w:t>
            </w:r>
          </w:p>
        </w:tc>
        <w:tc>
          <w:tcPr>
            <w:tcW w:w="740"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eastAsia="en-US"/>
              </w:rPr>
            </w:pPr>
            <w:r w:rsidRPr="00C078BE">
              <w:rPr>
                <w:sz w:val="28"/>
                <w:szCs w:val="28"/>
                <w:lang w:eastAsia="en-US"/>
              </w:rPr>
              <w:t>1,6</w:t>
            </w:r>
            <w:r w:rsidRPr="00C078BE">
              <w:rPr>
                <w:sz w:val="28"/>
                <w:szCs w:val="28"/>
                <w:lang w:val="uk-UA" w:eastAsia="en-US"/>
              </w:rPr>
              <w:t>1</w:t>
            </w:r>
            <w:r w:rsidRPr="00C078BE">
              <w:rPr>
                <w:sz w:val="28"/>
                <w:szCs w:val="28"/>
                <w:lang w:eastAsia="en-US"/>
              </w:rPr>
              <w:t>±0,</w:t>
            </w:r>
            <w:r w:rsidRPr="00C078BE">
              <w:rPr>
                <w:sz w:val="28"/>
                <w:szCs w:val="28"/>
                <w:lang w:val="uk-UA" w:eastAsia="en-US"/>
              </w:rPr>
              <w:t xml:space="preserve">09 </w:t>
            </w:r>
          </w:p>
        </w:tc>
        <w:tc>
          <w:tcPr>
            <w:tcW w:w="814"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b/>
                <w:sz w:val="28"/>
                <w:szCs w:val="28"/>
                <w:lang w:eastAsia="en-US"/>
              </w:rPr>
            </w:pPr>
            <w:r w:rsidRPr="00C078BE">
              <w:rPr>
                <w:sz w:val="28"/>
                <w:szCs w:val="28"/>
                <w:lang w:eastAsia="en-US"/>
              </w:rPr>
              <w:t>1,2</w:t>
            </w:r>
            <w:r w:rsidRPr="00C078BE">
              <w:rPr>
                <w:sz w:val="28"/>
                <w:szCs w:val="28"/>
                <w:lang w:val="uk-UA" w:eastAsia="en-US"/>
              </w:rPr>
              <w:t>9</w:t>
            </w:r>
            <w:r w:rsidRPr="00C078BE">
              <w:rPr>
                <w:b/>
                <w:sz w:val="28"/>
                <w:szCs w:val="28"/>
                <w:lang w:eastAsia="en-US"/>
              </w:rPr>
              <w:t>±0,</w:t>
            </w:r>
            <w:r w:rsidRPr="00C078BE">
              <w:rPr>
                <w:sz w:val="28"/>
                <w:szCs w:val="28"/>
                <w:lang w:eastAsia="en-US"/>
              </w:rPr>
              <w:t>0</w:t>
            </w:r>
            <w:r w:rsidRPr="00C078BE">
              <w:rPr>
                <w:sz w:val="28"/>
                <w:szCs w:val="28"/>
                <w:lang w:val="uk-UA" w:eastAsia="en-US"/>
              </w:rPr>
              <w:t>5</w:t>
            </w:r>
          </w:p>
        </w:tc>
        <w:tc>
          <w:tcPr>
            <w:tcW w:w="889"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eastAsia="en-US"/>
              </w:rPr>
            </w:pPr>
            <w:r w:rsidRPr="00C078BE">
              <w:rPr>
                <w:sz w:val="28"/>
                <w:szCs w:val="28"/>
                <w:lang w:eastAsia="en-US"/>
              </w:rPr>
              <w:t>0,95±0,04*</w:t>
            </w:r>
          </w:p>
        </w:tc>
        <w:tc>
          <w:tcPr>
            <w:tcW w:w="81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eastAsia="en-US"/>
              </w:rPr>
            </w:pPr>
            <w:r w:rsidRPr="00C078BE">
              <w:rPr>
                <w:sz w:val="28"/>
                <w:szCs w:val="28"/>
                <w:lang w:eastAsia="en-US"/>
              </w:rPr>
              <w:t>0,92±0,04*</w:t>
            </w:r>
          </w:p>
        </w:tc>
        <w:tc>
          <w:tcPr>
            <w:tcW w:w="870"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val="uk-UA" w:eastAsia="en-US"/>
              </w:rPr>
            </w:pPr>
            <w:r w:rsidRPr="00C078BE">
              <w:rPr>
                <w:sz w:val="28"/>
                <w:szCs w:val="28"/>
                <w:lang w:val="uk-UA" w:eastAsia="en-US"/>
              </w:rPr>
              <w:t>р</w:t>
            </w:r>
            <w:r w:rsidRPr="00C078BE">
              <w:rPr>
                <w:sz w:val="28"/>
                <w:szCs w:val="28"/>
                <w:vertAlign w:val="subscript"/>
                <w:lang w:val="uk-UA" w:eastAsia="en-US"/>
              </w:rPr>
              <w:t>1-2</w:t>
            </w:r>
            <w:r w:rsidRPr="00C078BE">
              <w:rPr>
                <w:sz w:val="28"/>
                <w:szCs w:val="28"/>
                <w:lang w:val="uk-UA" w:eastAsia="en-US"/>
              </w:rPr>
              <w:t>&lt;0</w:t>
            </w:r>
            <w:r w:rsidRPr="00C078BE">
              <w:rPr>
                <w:sz w:val="28"/>
                <w:szCs w:val="28"/>
                <w:lang w:eastAsia="en-US"/>
              </w:rPr>
              <w:t>,00</w:t>
            </w:r>
            <w:r w:rsidRPr="00C078BE">
              <w:rPr>
                <w:sz w:val="28"/>
                <w:szCs w:val="28"/>
                <w:lang w:val="uk-UA" w:eastAsia="en-US"/>
              </w:rPr>
              <w:t>1</w:t>
            </w:r>
          </w:p>
          <w:p w:rsidR="00E3259F" w:rsidRPr="00C078BE" w:rsidRDefault="00E3259F" w:rsidP="00C078BE">
            <w:pPr>
              <w:spacing w:line="360" w:lineRule="auto"/>
              <w:rPr>
                <w:sz w:val="28"/>
                <w:szCs w:val="28"/>
                <w:lang w:val="uk-UA" w:eastAsia="en-US"/>
              </w:rPr>
            </w:pPr>
            <w:r w:rsidRPr="00C078BE">
              <w:rPr>
                <w:sz w:val="28"/>
                <w:szCs w:val="28"/>
                <w:lang w:val="uk-UA" w:eastAsia="en-US"/>
              </w:rPr>
              <w:t>р</w:t>
            </w:r>
            <w:r w:rsidRPr="00C078BE">
              <w:rPr>
                <w:sz w:val="28"/>
                <w:szCs w:val="28"/>
                <w:vertAlign w:val="subscript"/>
                <w:lang w:val="uk-UA" w:eastAsia="en-US"/>
              </w:rPr>
              <w:t>1-3</w:t>
            </w:r>
            <w:r w:rsidRPr="00C078BE">
              <w:rPr>
                <w:sz w:val="28"/>
                <w:szCs w:val="28"/>
                <w:lang w:val="uk-UA" w:eastAsia="en-US"/>
              </w:rPr>
              <w:t>&lt;0</w:t>
            </w:r>
            <w:r w:rsidRPr="00C078BE">
              <w:rPr>
                <w:sz w:val="28"/>
                <w:szCs w:val="28"/>
                <w:lang w:eastAsia="en-US"/>
              </w:rPr>
              <w:t>,00</w:t>
            </w:r>
            <w:r w:rsidRPr="00C078BE">
              <w:rPr>
                <w:sz w:val="28"/>
                <w:szCs w:val="28"/>
                <w:lang w:val="uk-UA" w:eastAsia="en-US"/>
              </w:rPr>
              <w:t>1</w:t>
            </w:r>
          </w:p>
          <w:p w:rsidR="00E3259F" w:rsidRPr="00C078BE" w:rsidRDefault="00E3259F" w:rsidP="00C078BE">
            <w:pPr>
              <w:spacing w:line="360" w:lineRule="auto"/>
              <w:rPr>
                <w:sz w:val="28"/>
                <w:szCs w:val="28"/>
                <w:lang w:val="uk-UA" w:eastAsia="en-US"/>
              </w:rPr>
            </w:pPr>
            <w:r w:rsidRPr="00C078BE">
              <w:rPr>
                <w:sz w:val="28"/>
                <w:szCs w:val="28"/>
                <w:lang w:val="uk-UA" w:eastAsia="en-US"/>
              </w:rPr>
              <w:t>р</w:t>
            </w:r>
            <w:r w:rsidRPr="00C078BE">
              <w:rPr>
                <w:sz w:val="28"/>
                <w:szCs w:val="28"/>
                <w:vertAlign w:val="subscript"/>
                <w:lang w:val="uk-UA" w:eastAsia="en-US"/>
              </w:rPr>
              <w:t>2-3</w:t>
            </w:r>
            <w:r w:rsidRPr="00C078BE">
              <w:rPr>
                <w:sz w:val="28"/>
                <w:szCs w:val="28"/>
                <w:lang w:val="uk-UA" w:eastAsia="en-US"/>
              </w:rPr>
              <w:t>&gt;0,05</w:t>
            </w:r>
          </w:p>
        </w:tc>
      </w:tr>
      <w:tr w:rsidR="00E3259F" w:rsidRPr="00C078BE" w:rsidTr="00E3259F">
        <w:tc>
          <w:tcPr>
            <w:tcW w:w="871"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val="uk-UA" w:eastAsia="en-US"/>
              </w:rPr>
            </w:pPr>
            <w:r w:rsidRPr="00C078BE">
              <w:rPr>
                <w:sz w:val="28"/>
                <w:szCs w:val="28"/>
                <w:lang w:val="uk-UA" w:eastAsia="en-US"/>
              </w:rPr>
              <w:t>ВДТ</w:t>
            </w:r>
            <w:r w:rsidRPr="00C078BE">
              <w:rPr>
                <w:sz w:val="28"/>
                <w:szCs w:val="28"/>
                <w:lang w:eastAsia="en-US"/>
              </w:rPr>
              <w:t xml:space="preserve"> кл</w:t>
            </w:r>
            <w:r w:rsidRPr="00C078BE">
              <w:rPr>
                <w:sz w:val="28"/>
                <w:szCs w:val="28"/>
                <w:lang w:val="uk-UA" w:eastAsia="en-US"/>
              </w:rPr>
              <w:t>ітин</w:t>
            </w:r>
            <w:r w:rsidRPr="00C078BE">
              <w:rPr>
                <w:sz w:val="28"/>
                <w:szCs w:val="28"/>
                <w:lang w:eastAsia="en-US"/>
              </w:rPr>
              <w:t xml:space="preserve"> бук</w:t>
            </w:r>
            <w:r w:rsidRPr="00C078BE">
              <w:rPr>
                <w:sz w:val="28"/>
                <w:szCs w:val="28"/>
                <w:lang w:val="uk-UA" w:eastAsia="en-US"/>
              </w:rPr>
              <w:t>. е</w:t>
            </w:r>
            <w:r w:rsidRPr="00C078BE">
              <w:rPr>
                <w:sz w:val="28"/>
                <w:szCs w:val="28"/>
                <w:lang w:eastAsia="en-US"/>
              </w:rPr>
              <w:t>пител</w:t>
            </w:r>
            <w:r w:rsidRPr="00C078BE">
              <w:rPr>
                <w:sz w:val="28"/>
                <w:szCs w:val="28"/>
                <w:lang w:val="uk-UA" w:eastAsia="en-US"/>
              </w:rPr>
              <w:t>ію</w:t>
            </w:r>
            <w:r w:rsidRPr="00C078BE">
              <w:rPr>
                <w:sz w:val="28"/>
                <w:szCs w:val="28"/>
                <w:lang w:eastAsia="en-US"/>
              </w:rPr>
              <w:t xml:space="preserve">, </w:t>
            </w:r>
            <w:r w:rsidRPr="00C078BE">
              <w:rPr>
                <w:sz w:val="28"/>
                <w:szCs w:val="28"/>
                <w:lang w:val="uk-UA" w:eastAsia="en-US"/>
              </w:rPr>
              <w:t>ум.од.</w:t>
            </w:r>
          </w:p>
        </w:tc>
        <w:tc>
          <w:tcPr>
            <w:tcW w:w="740"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eastAsia="en-US"/>
              </w:rPr>
            </w:pPr>
            <w:r w:rsidRPr="00C078BE">
              <w:rPr>
                <w:sz w:val="28"/>
                <w:szCs w:val="28"/>
                <w:lang w:eastAsia="en-US"/>
              </w:rPr>
              <w:t>2,</w:t>
            </w:r>
            <w:r w:rsidRPr="00C078BE">
              <w:rPr>
                <w:sz w:val="28"/>
                <w:szCs w:val="28"/>
                <w:lang w:val="uk-UA" w:eastAsia="en-US"/>
              </w:rPr>
              <w:t>08</w:t>
            </w:r>
            <w:r w:rsidRPr="00C078BE">
              <w:rPr>
                <w:sz w:val="28"/>
                <w:szCs w:val="28"/>
                <w:lang w:eastAsia="en-US"/>
              </w:rPr>
              <w:t>±0,</w:t>
            </w:r>
            <w:r w:rsidRPr="00C078BE">
              <w:rPr>
                <w:sz w:val="28"/>
                <w:szCs w:val="28"/>
                <w:lang w:val="uk-UA" w:eastAsia="en-US"/>
              </w:rPr>
              <w:t>16</w:t>
            </w:r>
          </w:p>
        </w:tc>
        <w:tc>
          <w:tcPr>
            <w:tcW w:w="814"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b/>
                <w:sz w:val="28"/>
                <w:szCs w:val="28"/>
                <w:lang w:eastAsia="en-US"/>
              </w:rPr>
            </w:pPr>
            <w:r w:rsidRPr="00C078BE">
              <w:rPr>
                <w:sz w:val="28"/>
                <w:szCs w:val="28"/>
                <w:lang w:eastAsia="en-US"/>
              </w:rPr>
              <w:t>1,2</w:t>
            </w:r>
            <w:r w:rsidRPr="00C078BE">
              <w:rPr>
                <w:sz w:val="28"/>
                <w:szCs w:val="28"/>
                <w:lang w:val="uk-UA" w:eastAsia="en-US"/>
              </w:rPr>
              <w:t>7</w:t>
            </w:r>
            <w:r w:rsidRPr="00C078BE">
              <w:rPr>
                <w:b/>
                <w:sz w:val="28"/>
                <w:szCs w:val="28"/>
                <w:lang w:eastAsia="en-US"/>
              </w:rPr>
              <w:t>±0,</w:t>
            </w:r>
            <w:r w:rsidRPr="00C078BE">
              <w:rPr>
                <w:sz w:val="28"/>
                <w:szCs w:val="28"/>
                <w:lang w:eastAsia="en-US"/>
              </w:rPr>
              <w:t>0</w:t>
            </w:r>
            <w:r w:rsidRPr="00C078BE">
              <w:rPr>
                <w:sz w:val="28"/>
                <w:szCs w:val="28"/>
                <w:lang w:val="uk-UA" w:eastAsia="en-US"/>
              </w:rPr>
              <w:t>5</w:t>
            </w:r>
            <w:r w:rsidRPr="00C078BE">
              <w:rPr>
                <w:b/>
                <w:sz w:val="28"/>
                <w:szCs w:val="28"/>
                <w:lang w:eastAsia="en-US"/>
              </w:rPr>
              <w:t>*</w:t>
            </w:r>
          </w:p>
        </w:tc>
        <w:tc>
          <w:tcPr>
            <w:tcW w:w="889"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eastAsia="en-US"/>
              </w:rPr>
            </w:pPr>
            <w:r w:rsidRPr="00C078BE">
              <w:rPr>
                <w:sz w:val="28"/>
                <w:szCs w:val="28"/>
                <w:lang w:eastAsia="en-US"/>
              </w:rPr>
              <w:t>0,8</w:t>
            </w:r>
            <w:r w:rsidRPr="00C078BE">
              <w:rPr>
                <w:sz w:val="28"/>
                <w:szCs w:val="28"/>
                <w:lang w:val="uk-UA" w:eastAsia="en-US"/>
              </w:rPr>
              <w:t>9</w:t>
            </w:r>
            <w:r w:rsidRPr="00C078BE">
              <w:rPr>
                <w:sz w:val="28"/>
                <w:szCs w:val="28"/>
                <w:lang w:eastAsia="en-US"/>
              </w:rPr>
              <w:t>±0,</w:t>
            </w:r>
            <w:r w:rsidRPr="00C078BE">
              <w:rPr>
                <w:sz w:val="28"/>
                <w:szCs w:val="28"/>
                <w:lang w:val="uk-UA" w:eastAsia="en-US"/>
              </w:rPr>
              <w:t>04</w:t>
            </w:r>
            <w:r w:rsidRPr="00C078BE">
              <w:rPr>
                <w:sz w:val="28"/>
                <w:szCs w:val="28"/>
                <w:lang w:eastAsia="en-US"/>
              </w:rPr>
              <w:t>*</w:t>
            </w:r>
          </w:p>
        </w:tc>
        <w:tc>
          <w:tcPr>
            <w:tcW w:w="81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eastAsia="en-US"/>
              </w:rPr>
            </w:pPr>
            <w:r w:rsidRPr="00C078BE">
              <w:rPr>
                <w:sz w:val="28"/>
                <w:szCs w:val="28"/>
                <w:lang w:eastAsia="en-US"/>
              </w:rPr>
              <w:t>0,97±0,0</w:t>
            </w:r>
            <w:r w:rsidRPr="00C078BE">
              <w:rPr>
                <w:sz w:val="28"/>
                <w:szCs w:val="28"/>
                <w:lang w:val="uk-UA" w:eastAsia="en-US"/>
              </w:rPr>
              <w:t>3</w:t>
            </w:r>
            <w:r w:rsidRPr="00C078BE">
              <w:rPr>
                <w:sz w:val="28"/>
                <w:szCs w:val="28"/>
                <w:lang w:eastAsia="en-US"/>
              </w:rPr>
              <w:t>*</w:t>
            </w:r>
          </w:p>
        </w:tc>
        <w:tc>
          <w:tcPr>
            <w:tcW w:w="870"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8"/>
                <w:szCs w:val="28"/>
                <w:lang w:val="uk-UA" w:eastAsia="en-US"/>
              </w:rPr>
            </w:pPr>
            <w:r w:rsidRPr="00C078BE">
              <w:rPr>
                <w:sz w:val="28"/>
                <w:szCs w:val="28"/>
                <w:lang w:val="uk-UA" w:eastAsia="en-US"/>
              </w:rPr>
              <w:t>р</w:t>
            </w:r>
            <w:r w:rsidRPr="00C078BE">
              <w:rPr>
                <w:sz w:val="28"/>
                <w:szCs w:val="28"/>
                <w:vertAlign w:val="subscript"/>
                <w:lang w:val="uk-UA" w:eastAsia="en-US"/>
              </w:rPr>
              <w:t>1-2</w:t>
            </w:r>
            <w:r w:rsidRPr="00C078BE">
              <w:rPr>
                <w:sz w:val="28"/>
                <w:szCs w:val="28"/>
                <w:lang w:val="uk-UA" w:eastAsia="en-US"/>
              </w:rPr>
              <w:t>&lt; 0</w:t>
            </w:r>
            <w:r w:rsidRPr="00C078BE">
              <w:rPr>
                <w:sz w:val="28"/>
                <w:szCs w:val="28"/>
                <w:lang w:eastAsia="en-US"/>
              </w:rPr>
              <w:t>,00</w:t>
            </w:r>
            <w:r w:rsidRPr="00C078BE">
              <w:rPr>
                <w:sz w:val="28"/>
                <w:szCs w:val="28"/>
                <w:lang w:val="uk-UA" w:eastAsia="en-US"/>
              </w:rPr>
              <w:t>1</w:t>
            </w:r>
          </w:p>
          <w:p w:rsidR="00E3259F" w:rsidRPr="00C078BE" w:rsidRDefault="00E3259F" w:rsidP="00C078BE">
            <w:pPr>
              <w:spacing w:line="360" w:lineRule="auto"/>
              <w:rPr>
                <w:sz w:val="28"/>
                <w:szCs w:val="28"/>
                <w:lang w:val="uk-UA" w:eastAsia="en-US"/>
              </w:rPr>
            </w:pPr>
            <w:r w:rsidRPr="00C078BE">
              <w:rPr>
                <w:sz w:val="28"/>
                <w:szCs w:val="28"/>
                <w:lang w:val="uk-UA" w:eastAsia="en-US"/>
              </w:rPr>
              <w:t>р</w:t>
            </w:r>
            <w:r w:rsidRPr="00C078BE">
              <w:rPr>
                <w:sz w:val="28"/>
                <w:szCs w:val="28"/>
                <w:vertAlign w:val="subscript"/>
                <w:lang w:val="uk-UA" w:eastAsia="en-US"/>
              </w:rPr>
              <w:t>1-3</w:t>
            </w:r>
            <w:r w:rsidRPr="00C078BE">
              <w:rPr>
                <w:sz w:val="28"/>
                <w:szCs w:val="28"/>
                <w:lang w:val="uk-UA" w:eastAsia="en-US"/>
              </w:rPr>
              <w:t>&lt;0</w:t>
            </w:r>
            <w:r w:rsidRPr="00C078BE">
              <w:rPr>
                <w:sz w:val="28"/>
                <w:szCs w:val="28"/>
                <w:lang w:eastAsia="en-US"/>
              </w:rPr>
              <w:t>,00</w:t>
            </w:r>
            <w:r w:rsidRPr="00C078BE">
              <w:rPr>
                <w:sz w:val="28"/>
                <w:szCs w:val="28"/>
                <w:lang w:val="uk-UA" w:eastAsia="en-US"/>
              </w:rPr>
              <w:t>1</w:t>
            </w:r>
          </w:p>
          <w:p w:rsidR="00E3259F" w:rsidRPr="00C078BE" w:rsidRDefault="00E3259F" w:rsidP="00C078BE">
            <w:pPr>
              <w:spacing w:line="360" w:lineRule="auto"/>
              <w:rPr>
                <w:sz w:val="28"/>
                <w:szCs w:val="28"/>
                <w:lang w:val="uk-UA" w:eastAsia="en-US"/>
              </w:rPr>
            </w:pPr>
            <w:r w:rsidRPr="00C078BE">
              <w:rPr>
                <w:sz w:val="28"/>
                <w:szCs w:val="28"/>
                <w:lang w:val="uk-UA" w:eastAsia="en-US"/>
              </w:rPr>
              <w:t>р</w:t>
            </w:r>
            <w:r w:rsidRPr="00C078BE">
              <w:rPr>
                <w:sz w:val="28"/>
                <w:szCs w:val="28"/>
                <w:vertAlign w:val="subscript"/>
                <w:lang w:val="uk-UA" w:eastAsia="en-US"/>
              </w:rPr>
              <w:t>2-3</w:t>
            </w:r>
            <w:r w:rsidRPr="00C078BE">
              <w:rPr>
                <w:sz w:val="28"/>
                <w:szCs w:val="28"/>
                <w:lang w:val="uk-UA" w:eastAsia="en-US"/>
              </w:rPr>
              <w:t>&gt;0</w:t>
            </w:r>
            <w:r w:rsidRPr="00C078BE">
              <w:rPr>
                <w:sz w:val="28"/>
                <w:szCs w:val="28"/>
                <w:lang w:eastAsia="en-US"/>
              </w:rPr>
              <w:t>,</w:t>
            </w:r>
            <w:r w:rsidRPr="00C078BE">
              <w:rPr>
                <w:sz w:val="28"/>
                <w:szCs w:val="28"/>
                <w:lang w:val="uk-UA" w:eastAsia="en-US"/>
              </w:rPr>
              <w:t>05</w:t>
            </w:r>
          </w:p>
        </w:tc>
      </w:tr>
    </w:tbl>
    <w:p w:rsidR="00E3259F" w:rsidRPr="00C078BE" w:rsidRDefault="00E3259F" w:rsidP="00C078BE">
      <w:pPr>
        <w:spacing w:line="360" w:lineRule="auto"/>
        <w:jc w:val="both"/>
        <w:rPr>
          <w:rFonts w:asciiTheme="minorHAnsi" w:hAnsiTheme="minorHAnsi" w:cstheme="minorBidi"/>
          <w:sz w:val="28"/>
          <w:szCs w:val="28"/>
          <w:lang w:val="uk-UA" w:eastAsia="en-US"/>
        </w:rPr>
      </w:pPr>
      <w:r w:rsidRPr="00C078BE">
        <w:rPr>
          <w:sz w:val="28"/>
          <w:szCs w:val="28"/>
          <w:lang w:val="uk-UA"/>
        </w:rPr>
        <w:t>Примітка: * - р&lt;0,01</w:t>
      </w:r>
      <w:r w:rsidRPr="00C078BE">
        <w:rPr>
          <w:sz w:val="28"/>
          <w:szCs w:val="28"/>
        </w:rPr>
        <w:t xml:space="preserve"> – </w:t>
      </w:r>
      <w:r w:rsidRPr="00C078BE">
        <w:rPr>
          <w:sz w:val="28"/>
          <w:szCs w:val="28"/>
          <w:lang w:val="uk-UA"/>
        </w:rPr>
        <w:t>рівень значущості відмінностей у порівнянні з контрольною групою, р</w:t>
      </w:r>
      <w:r w:rsidRPr="00C078BE">
        <w:rPr>
          <w:sz w:val="28"/>
          <w:szCs w:val="28"/>
          <w:vertAlign w:val="subscript"/>
          <w:lang w:val="uk-UA"/>
        </w:rPr>
        <w:t>1-2 -</w:t>
      </w:r>
      <w:r w:rsidRPr="00C078BE">
        <w:rPr>
          <w:sz w:val="28"/>
          <w:szCs w:val="28"/>
          <w:lang w:val="uk-UA"/>
        </w:rPr>
        <w:t xml:space="preserve">  рівень значущості відмінностей при порівнянні  групи 1 та 2, р</w:t>
      </w:r>
      <w:r w:rsidRPr="00C078BE">
        <w:rPr>
          <w:sz w:val="28"/>
          <w:szCs w:val="28"/>
          <w:vertAlign w:val="subscript"/>
          <w:lang w:val="uk-UA"/>
        </w:rPr>
        <w:t xml:space="preserve">1-3 - </w:t>
      </w:r>
      <w:r w:rsidRPr="00C078BE">
        <w:rPr>
          <w:sz w:val="28"/>
          <w:szCs w:val="28"/>
          <w:lang w:val="uk-UA"/>
        </w:rPr>
        <w:t>рівень значущості відмінностей при порівнянні  групи 1 та 3, р</w:t>
      </w:r>
      <w:r w:rsidRPr="00C078BE">
        <w:rPr>
          <w:sz w:val="28"/>
          <w:szCs w:val="28"/>
          <w:vertAlign w:val="subscript"/>
          <w:lang w:val="uk-UA"/>
        </w:rPr>
        <w:t>2-3</w:t>
      </w:r>
      <w:r w:rsidRPr="00C078BE">
        <w:rPr>
          <w:sz w:val="28"/>
          <w:szCs w:val="28"/>
          <w:lang w:val="uk-UA"/>
        </w:rPr>
        <w:t xml:space="preserve"> - рівень значущості відмінностей при порівнянні  групи групи 2 та 3</w:t>
      </w:r>
    </w:p>
    <w:p w:rsidR="00E3259F" w:rsidRDefault="00E3259F" w:rsidP="00E3259F">
      <w:pPr>
        <w:spacing w:line="360" w:lineRule="auto"/>
        <w:ind w:firstLine="567"/>
        <w:jc w:val="both"/>
        <w:rPr>
          <w:sz w:val="28"/>
          <w:szCs w:val="28"/>
          <w:lang w:val="uk-UA"/>
        </w:rPr>
      </w:pPr>
    </w:p>
    <w:p w:rsidR="00E3259F" w:rsidRPr="00C078BE" w:rsidRDefault="00E3259F" w:rsidP="00E3259F">
      <w:pPr>
        <w:spacing w:line="360" w:lineRule="auto"/>
        <w:ind w:firstLine="567"/>
        <w:jc w:val="both"/>
        <w:rPr>
          <w:sz w:val="28"/>
          <w:szCs w:val="28"/>
          <w:lang w:val="uk-UA"/>
        </w:rPr>
      </w:pPr>
      <w:r w:rsidRPr="00C078BE">
        <w:rPr>
          <w:sz w:val="28"/>
          <w:szCs w:val="28"/>
          <w:lang w:val="uk-UA"/>
        </w:rPr>
        <w:t>Наявність значно коротшої ВДТ при одночасному перебігу ГХ та ЦД 2 типу порівняно з ізольованою ГХ, що досягає достовірних відмінностей як в клітинах букального епітелію (р&lt;0,001), так і в крові (р&lt;0,001), підтверджує припущення про взаємопідсилювальний негативний вплив ГХ та ЦД 2 типу на процеси біологічного старіння. У пацієнтів групи 3 порівняно з пацієнтами  групи 1 були виявлені достовірно більш короткі теломери як крові (р&lt;0,001), так і клітин букального епітелію (р&lt;0,001). Порівняльний аналіз між групами 2 та 3 не виявив достовірних відмінностей ВДТ як крові (</w:t>
      </w:r>
      <w:r w:rsidRPr="00C078BE">
        <w:rPr>
          <w:sz w:val="28"/>
          <w:szCs w:val="28"/>
          <w:shd w:val="clear" w:color="auto" w:fill="FFFFFF"/>
          <w:lang w:val="uk-UA"/>
        </w:rPr>
        <w:t>р&gt;0,05),</w:t>
      </w:r>
      <w:r w:rsidRPr="00C078BE">
        <w:rPr>
          <w:sz w:val="28"/>
          <w:szCs w:val="28"/>
          <w:lang w:val="uk-UA"/>
        </w:rPr>
        <w:t xml:space="preserve"> так  і клітин букального епітелію (</w:t>
      </w:r>
      <w:r w:rsidRPr="00C078BE">
        <w:rPr>
          <w:sz w:val="28"/>
          <w:szCs w:val="28"/>
          <w:shd w:val="clear" w:color="auto" w:fill="FFFFFF"/>
          <w:lang w:val="uk-UA"/>
        </w:rPr>
        <w:t xml:space="preserve">р&gt;0,05). </w:t>
      </w:r>
      <w:r w:rsidRPr="00C078BE">
        <w:rPr>
          <w:sz w:val="28"/>
          <w:szCs w:val="28"/>
          <w:lang w:val="uk-UA"/>
        </w:rPr>
        <w:t xml:space="preserve"> </w:t>
      </w:r>
    </w:p>
    <w:p w:rsidR="00E3259F" w:rsidRPr="00C078BE" w:rsidRDefault="00E3259F" w:rsidP="00E3259F">
      <w:pPr>
        <w:shd w:val="clear" w:color="auto" w:fill="FFFFFF"/>
        <w:spacing w:line="360" w:lineRule="auto"/>
        <w:ind w:firstLine="709"/>
        <w:jc w:val="both"/>
        <w:rPr>
          <w:sz w:val="28"/>
          <w:szCs w:val="28"/>
          <w:lang w:val="uk-UA"/>
        </w:rPr>
      </w:pPr>
      <w:r w:rsidRPr="00C078BE">
        <w:rPr>
          <w:rStyle w:val="tlid-translation"/>
          <w:sz w:val="28"/>
          <w:szCs w:val="28"/>
          <w:lang w:val="uk-UA"/>
        </w:rPr>
        <w:t xml:space="preserve">Для більш повного розуміння впливу </w:t>
      </w:r>
      <w:r w:rsidRPr="00C078BE">
        <w:rPr>
          <w:rStyle w:val="tlid-translation"/>
          <w:rFonts w:eastAsiaTheme="majorEastAsia"/>
          <w:sz w:val="28"/>
          <w:szCs w:val="28"/>
          <w:lang w:val="uk-UA"/>
        </w:rPr>
        <w:t>поєднаного перебігу ГХ та ЦД 2 типу залежно від функціонального стану ЩЗ</w:t>
      </w:r>
      <w:r w:rsidRPr="00C078BE">
        <w:rPr>
          <w:rStyle w:val="tlid-translation"/>
          <w:sz w:val="28"/>
          <w:szCs w:val="28"/>
          <w:lang w:val="uk-UA"/>
        </w:rPr>
        <w:t xml:space="preserve"> на ВДТ нами було проведено додатковий розподіл пацієнтів усіх груп на підгрупи з оглядуна значення параметра. </w:t>
      </w:r>
      <w:r w:rsidRPr="00C078BE">
        <w:rPr>
          <w:rStyle w:val="tlid-translation"/>
          <w:rFonts w:eastAsiaTheme="majorEastAsia"/>
          <w:sz w:val="28"/>
          <w:szCs w:val="28"/>
          <w:lang w:val="uk-UA"/>
        </w:rPr>
        <w:t xml:space="preserve">До першої  підгрупи – квартиль 1 </w:t>
      </w:r>
      <w:r w:rsidRPr="00C078BE">
        <w:rPr>
          <w:rFonts w:eastAsiaTheme="majorEastAsia"/>
          <w:sz w:val="28"/>
          <w:szCs w:val="28"/>
          <w:lang w:val="uk-UA"/>
        </w:rPr>
        <w:t xml:space="preserve">– </w:t>
      </w:r>
      <w:r w:rsidRPr="00C078BE">
        <w:rPr>
          <w:rStyle w:val="tlid-translation"/>
          <w:rFonts w:eastAsiaTheme="majorEastAsia"/>
          <w:sz w:val="28"/>
          <w:szCs w:val="28"/>
          <w:lang w:val="uk-UA"/>
        </w:rPr>
        <w:t xml:space="preserve">увійшли пацієнти з дуже короткою ВДТ: від мінімального значення в групі до верхньої межі першого квартиля (тобто нижче 25% межі розподілу). </w:t>
      </w:r>
      <w:r w:rsidRPr="00C078BE">
        <w:rPr>
          <w:rStyle w:val="tlid-translation"/>
          <w:rFonts w:eastAsiaTheme="majorEastAsia"/>
          <w:sz w:val="28"/>
          <w:szCs w:val="28"/>
        </w:rPr>
        <w:t xml:space="preserve">До другої підгрупи – квартиль 2 </w:t>
      </w:r>
      <w:r w:rsidRPr="00C078BE">
        <w:rPr>
          <w:rFonts w:eastAsiaTheme="majorEastAsia"/>
          <w:sz w:val="28"/>
          <w:szCs w:val="28"/>
          <w:lang w:val="uk-UA"/>
        </w:rPr>
        <w:t>–</w:t>
      </w:r>
      <w:r w:rsidRPr="00C078BE">
        <w:rPr>
          <w:rStyle w:val="tlid-translation"/>
          <w:rFonts w:eastAsiaTheme="majorEastAsia"/>
          <w:sz w:val="28"/>
          <w:szCs w:val="28"/>
        </w:rPr>
        <w:t xml:space="preserve"> увійшли пацієнти з ВДТ від медіани розподілу до верхньої  межи нижнього квартиля. До  третьої підгрупи – квартиль 3 </w:t>
      </w:r>
      <w:r w:rsidRPr="00C078BE">
        <w:rPr>
          <w:rFonts w:eastAsiaTheme="majorEastAsia"/>
          <w:sz w:val="28"/>
          <w:szCs w:val="28"/>
          <w:lang w:val="uk-UA"/>
        </w:rPr>
        <w:t>–</w:t>
      </w:r>
      <w:r w:rsidRPr="00C078BE">
        <w:rPr>
          <w:rStyle w:val="tlid-translation"/>
          <w:rFonts w:eastAsiaTheme="majorEastAsia"/>
          <w:sz w:val="28"/>
          <w:szCs w:val="28"/>
        </w:rPr>
        <w:t xml:space="preserve"> увійшли особи  з ВДТ від медіани розподілу до 75% межі розподілу. До четвертої підгрупи – квартиль 4 </w:t>
      </w:r>
      <w:r w:rsidRPr="00C078BE">
        <w:rPr>
          <w:rFonts w:eastAsiaTheme="majorEastAsia"/>
          <w:sz w:val="28"/>
          <w:szCs w:val="28"/>
          <w:lang w:val="uk-UA"/>
        </w:rPr>
        <w:t>–</w:t>
      </w:r>
      <w:r w:rsidRPr="00C078BE">
        <w:rPr>
          <w:rStyle w:val="tlid-translation"/>
          <w:rFonts w:eastAsiaTheme="majorEastAsia"/>
          <w:sz w:val="28"/>
          <w:szCs w:val="28"/>
        </w:rPr>
        <w:t xml:space="preserve"> були віднесені особи з найбільшою в групі ВДТ, що становить верхній квартиль розподілу</w:t>
      </w:r>
      <w:r w:rsidRPr="00C078BE">
        <w:rPr>
          <w:rStyle w:val="tlid-translation"/>
          <w:sz w:val="28"/>
          <w:szCs w:val="28"/>
          <w:lang w:val="uk-UA"/>
        </w:rPr>
        <w:t xml:space="preserve"> (Рис 6.1)</w:t>
      </w:r>
      <w:r w:rsidRPr="00C078BE">
        <w:rPr>
          <w:rStyle w:val="tlid-translation"/>
          <w:sz w:val="28"/>
          <w:szCs w:val="28"/>
        </w:rPr>
        <w:t>.</w:t>
      </w:r>
      <w:r w:rsidRPr="00C078BE">
        <w:rPr>
          <w:rStyle w:val="tlid-translation"/>
          <w:sz w:val="28"/>
          <w:szCs w:val="28"/>
          <w:lang w:val="uk-UA"/>
        </w:rPr>
        <w:t xml:space="preserve"> </w:t>
      </w:r>
      <w:r w:rsidRPr="00C078BE">
        <w:rPr>
          <w:sz w:val="28"/>
          <w:szCs w:val="28"/>
          <w:lang w:val="uk-UA"/>
        </w:rPr>
        <w:t xml:space="preserve">З рисунка 6.1 видно, що коморбідна патологія, на відміну від групи з ізольованою ГХ, характеризується наявністю коротких теломер (пацієнти квартилів 1 та 2 разом) як крові так, і клітин букального епітелію у переважної кількості пацієнтів (група 1: коротка ВДТ крові виявлена у 24,39±4,18% пацієнтів, ВДТ букального епітелію - у 34,14±4,63%, група 2: коротка ВДТ крові - у 50,0±4,00% пацієнтів, ВДТ букального епітелію – у 63,83±3,85% пацієнтів, група 3: коротка ВДТ крові -  у 59,2±5,09% пацієнтів, ВДТ букального епітелію – у 52,54±5,18%). Були виявлені </w:t>
      </w:r>
      <w:r w:rsidRPr="00C078BE">
        <w:rPr>
          <w:sz w:val="28"/>
          <w:szCs w:val="28"/>
          <w:shd w:val="clear" w:color="auto" w:fill="FFFFFF"/>
          <w:lang w:val="uk-UA"/>
        </w:rPr>
        <w:t>достовірні відмінності розподілу за квартилями  згідно ВДТ</w:t>
      </w:r>
      <w:r w:rsidRPr="00C078BE">
        <w:rPr>
          <w:sz w:val="28"/>
          <w:szCs w:val="28"/>
          <w:lang w:val="uk-UA"/>
        </w:rPr>
        <w:t xml:space="preserve">  між групами 1 і 2 пацієнтів (крові (</w:t>
      </w:r>
      <w:r w:rsidRPr="00C078BE">
        <w:rPr>
          <w:sz w:val="28"/>
          <w:szCs w:val="28"/>
          <w:shd w:val="clear" w:color="auto" w:fill="FFFFFF"/>
        </w:rPr>
        <w:t>χ</w:t>
      </w:r>
      <w:r w:rsidRPr="00C078BE">
        <w:rPr>
          <w:sz w:val="28"/>
          <w:szCs w:val="28"/>
          <w:shd w:val="clear" w:color="auto" w:fill="FFFFFF"/>
          <w:vertAlign w:val="superscript"/>
          <w:lang w:val="uk-UA"/>
        </w:rPr>
        <w:t>2</w:t>
      </w:r>
      <w:r w:rsidRPr="00C078BE">
        <w:rPr>
          <w:sz w:val="28"/>
          <w:szCs w:val="28"/>
          <w:lang w:val="uk-UA"/>
        </w:rPr>
        <w:t xml:space="preserve"> = 24.397, p&lt;0,001) та клітин букального епітелію (</w:t>
      </w:r>
      <w:r w:rsidRPr="00C078BE">
        <w:rPr>
          <w:sz w:val="28"/>
          <w:szCs w:val="28"/>
          <w:shd w:val="clear" w:color="auto" w:fill="FFFFFF"/>
        </w:rPr>
        <w:t>χ</w:t>
      </w:r>
      <w:r w:rsidRPr="00C078BE">
        <w:rPr>
          <w:sz w:val="28"/>
          <w:szCs w:val="28"/>
          <w:shd w:val="clear" w:color="auto" w:fill="FFFFFF"/>
          <w:vertAlign w:val="superscript"/>
          <w:lang w:val="uk-UA"/>
        </w:rPr>
        <w:t>2</w:t>
      </w:r>
      <w:r w:rsidRPr="00C078BE">
        <w:rPr>
          <w:sz w:val="28"/>
          <w:szCs w:val="28"/>
          <w:lang w:val="uk-UA"/>
        </w:rPr>
        <w:t xml:space="preserve"> = 21.201, p &lt;0,001) та між </w:t>
      </w:r>
      <w:r w:rsidRPr="00C078BE">
        <w:rPr>
          <w:sz w:val="28"/>
          <w:szCs w:val="28"/>
          <w:shd w:val="clear" w:color="auto" w:fill="FFFFFF"/>
          <w:lang w:val="uk-UA"/>
        </w:rPr>
        <w:t>групами 1 і 3 пацієнтів (крові  - (</w:t>
      </w:r>
      <w:r w:rsidRPr="00C078BE">
        <w:rPr>
          <w:sz w:val="28"/>
          <w:szCs w:val="28"/>
          <w:shd w:val="clear" w:color="auto" w:fill="FFFFFF"/>
        </w:rPr>
        <w:t>χ</w:t>
      </w:r>
      <w:r w:rsidRPr="00C078BE">
        <w:rPr>
          <w:sz w:val="28"/>
          <w:szCs w:val="28"/>
          <w:shd w:val="clear" w:color="auto" w:fill="FFFFFF"/>
          <w:vertAlign w:val="superscript"/>
          <w:lang w:val="uk-UA"/>
        </w:rPr>
        <w:t>2</w:t>
      </w:r>
      <w:r w:rsidRPr="00C078BE">
        <w:rPr>
          <w:sz w:val="28"/>
          <w:szCs w:val="28"/>
          <w:shd w:val="clear" w:color="auto" w:fill="FFFFFF"/>
          <w:lang w:val="uk-UA"/>
        </w:rPr>
        <w:t> =12.154, p=0,002), букального епітелію -(</w:t>
      </w:r>
      <w:r w:rsidRPr="00C078BE">
        <w:rPr>
          <w:sz w:val="28"/>
          <w:szCs w:val="28"/>
          <w:shd w:val="clear" w:color="auto" w:fill="FFFFFF"/>
        </w:rPr>
        <w:t>χ</w:t>
      </w:r>
      <w:r w:rsidRPr="00C078BE">
        <w:rPr>
          <w:sz w:val="28"/>
          <w:szCs w:val="28"/>
          <w:shd w:val="clear" w:color="auto" w:fill="FFFFFF"/>
          <w:vertAlign w:val="superscript"/>
          <w:lang w:val="uk-UA"/>
        </w:rPr>
        <w:t>2</w:t>
      </w:r>
      <w:r w:rsidRPr="00C078BE">
        <w:rPr>
          <w:sz w:val="28"/>
          <w:szCs w:val="28"/>
          <w:shd w:val="clear" w:color="auto" w:fill="FFFFFF"/>
          <w:lang w:val="uk-UA"/>
        </w:rPr>
        <w:t> = 7.769, p =0,021)).  Між групами 2 та 3 достовірних відмінностей не виявлено</w:t>
      </w:r>
      <w:r w:rsidRPr="00C078BE">
        <w:rPr>
          <w:sz w:val="28"/>
          <w:szCs w:val="28"/>
          <w:lang w:val="uk-UA"/>
        </w:rPr>
        <w:t>. Звертає на себе увагу, що серед осіб групи 2 коротка ВДТ крові (1 і 2 квартилі) зустрічається частіше, ніж у групі 3 (в 2 групі у -50,0±4,00% пацієнтів і у 59,3±5,09% пацієнтів групи 3), а коротка ВДТ клітин букального епітелію (1 і 2 квартилі), навпаки, частіше спостерігалася в осіб без порушення функції ЩЗ (у 63,83±3,85% пацієнтів - у 2 групі та 52,54±5,18% у 3 групі) ніж при наявності СГТ.</w:t>
      </w:r>
    </w:p>
    <w:p w:rsidR="00E3259F" w:rsidRDefault="00E3259F" w:rsidP="00E3259F">
      <w:pPr>
        <w:spacing w:line="360" w:lineRule="auto"/>
        <w:jc w:val="both"/>
        <w:rPr>
          <w:rFonts w:asciiTheme="minorHAnsi" w:hAnsiTheme="minorHAnsi" w:cstheme="minorBidi"/>
        </w:rPr>
      </w:pPr>
      <w:r>
        <w:rPr>
          <w:noProof/>
        </w:rPr>
        <w:drawing>
          <wp:inline distT="0" distB="0" distL="0" distR="0">
            <wp:extent cx="5667375" cy="2924175"/>
            <wp:effectExtent l="0" t="0" r="9525" b="9525"/>
            <wp:docPr id="84" name="Диаграмма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E3259F" w:rsidRDefault="00E3259F" w:rsidP="00E3259F">
      <w:pPr>
        <w:spacing w:line="360" w:lineRule="auto"/>
        <w:ind w:firstLine="567"/>
        <w:rPr>
          <w:sz w:val="28"/>
          <w:szCs w:val="28"/>
          <w:lang w:val="uk-UA"/>
        </w:rPr>
      </w:pPr>
      <w:r>
        <w:rPr>
          <w:sz w:val="28"/>
          <w:szCs w:val="28"/>
        </w:rPr>
        <w:t xml:space="preserve">а) </w:t>
      </w:r>
    </w:p>
    <w:p w:rsidR="00E3259F" w:rsidRDefault="00E3259F" w:rsidP="00E3259F">
      <w:pPr>
        <w:spacing w:line="360" w:lineRule="auto"/>
        <w:rPr>
          <w:sz w:val="28"/>
          <w:szCs w:val="28"/>
          <w:lang w:val="uk-UA"/>
        </w:rPr>
      </w:pPr>
      <w:r>
        <w:rPr>
          <w:noProof/>
        </w:rPr>
        <w:drawing>
          <wp:inline distT="0" distB="0" distL="0" distR="0">
            <wp:extent cx="5743575" cy="3200400"/>
            <wp:effectExtent l="38100" t="57150" r="47625" b="38100"/>
            <wp:docPr id="85" name="Диаграмма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E3259F" w:rsidRDefault="00E3259F" w:rsidP="00E3259F">
      <w:pPr>
        <w:spacing w:line="360" w:lineRule="auto"/>
        <w:ind w:firstLine="567"/>
        <w:rPr>
          <w:sz w:val="28"/>
          <w:szCs w:val="28"/>
        </w:rPr>
      </w:pPr>
      <w:r>
        <w:rPr>
          <w:sz w:val="28"/>
          <w:szCs w:val="28"/>
        </w:rPr>
        <w:t>б)</w:t>
      </w:r>
    </w:p>
    <w:p w:rsidR="00E3259F" w:rsidRDefault="00E3259F" w:rsidP="00E3259F">
      <w:pPr>
        <w:pStyle w:val="a4"/>
        <w:spacing w:line="360" w:lineRule="auto"/>
        <w:ind w:left="0" w:firstLine="567"/>
        <w:jc w:val="both"/>
        <w:rPr>
          <w:rStyle w:val="tlid-translation"/>
          <w:rFonts w:eastAsiaTheme="minorHAnsi"/>
          <w:lang w:val="uk-UA" w:eastAsia="en-US"/>
        </w:rPr>
      </w:pPr>
      <w:r>
        <w:rPr>
          <w:rStyle w:val="tlid-translation"/>
          <w:rFonts w:eastAsiaTheme="minorHAnsi"/>
          <w:sz w:val="28"/>
          <w:szCs w:val="28"/>
          <w:lang w:eastAsia="en-US"/>
        </w:rPr>
        <w:t>Рис.</w:t>
      </w:r>
      <w:r>
        <w:rPr>
          <w:rStyle w:val="tlid-translation"/>
          <w:rFonts w:eastAsiaTheme="minorHAnsi"/>
          <w:sz w:val="28"/>
          <w:szCs w:val="28"/>
          <w:lang w:val="uk-UA" w:eastAsia="en-US"/>
        </w:rPr>
        <w:t>6.1</w:t>
      </w:r>
      <w:r>
        <w:rPr>
          <w:rStyle w:val="tlid-translation"/>
          <w:rFonts w:eastAsiaTheme="minorHAnsi"/>
          <w:sz w:val="28"/>
          <w:szCs w:val="28"/>
          <w:lang w:eastAsia="en-US"/>
        </w:rPr>
        <w:t xml:space="preserve"> Розподіл пацієнтів</w:t>
      </w:r>
      <w:r>
        <w:rPr>
          <w:rStyle w:val="tlid-translation"/>
          <w:rFonts w:eastAsiaTheme="minorHAnsi"/>
          <w:sz w:val="28"/>
          <w:szCs w:val="28"/>
          <w:lang w:val="uk-UA" w:eastAsia="en-US"/>
        </w:rPr>
        <w:t xml:space="preserve"> за к</w:t>
      </w:r>
      <w:r>
        <w:rPr>
          <w:rStyle w:val="tlid-translation"/>
          <w:rFonts w:eastAsiaTheme="minorHAnsi"/>
          <w:sz w:val="28"/>
          <w:szCs w:val="28"/>
          <w:lang w:eastAsia="en-US"/>
        </w:rPr>
        <w:t>вартил</w:t>
      </w:r>
      <w:r>
        <w:rPr>
          <w:rStyle w:val="tlid-translation"/>
          <w:rFonts w:eastAsiaTheme="minorHAnsi"/>
          <w:sz w:val="28"/>
          <w:szCs w:val="28"/>
          <w:lang w:val="uk-UA" w:eastAsia="en-US"/>
        </w:rPr>
        <w:t>ями</w:t>
      </w:r>
      <w:r>
        <w:rPr>
          <w:rStyle w:val="tlid-translation"/>
          <w:rFonts w:eastAsiaTheme="minorHAnsi"/>
          <w:sz w:val="28"/>
          <w:szCs w:val="28"/>
          <w:lang w:eastAsia="en-US"/>
        </w:rPr>
        <w:t xml:space="preserve"> в залежності від відносної довжини теломер </w:t>
      </w:r>
      <w:r>
        <w:rPr>
          <w:rStyle w:val="tlid-translation"/>
          <w:rFonts w:eastAsiaTheme="minorHAnsi"/>
          <w:sz w:val="28"/>
          <w:szCs w:val="28"/>
          <w:lang w:val="uk-UA" w:eastAsia="en-US"/>
        </w:rPr>
        <w:t>крові</w:t>
      </w:r>
      <w:r>
        <w:rPr>
          <w:rStyle w:val="tlid-translation"/>
          <w:rFonts w:eastAsiaTheme="minorHAnsi"/>
          <w:sz w:val="28"/>
          <w:szCs w:val="28"/>
          <w:lang w:eastAsia="en-US"/>
        </w:rPr>
        <w:t xml:space="preserve"> (а) </w:t>
      </w:r>
      <w:r>
        <w:rPr>
          <w:rStyle w:val="tlid-translation"/>
          <w:rFonts w:eastAsiaTheme="minorHAnsi"/>
          <w:sz w:val="28"/>
          <w:szCs w:val="28"/>
          <w:lang w:val="uk-UA" w:eastAsia="en-US"/>
        </w:rPr>
        <w:t>та</w:t>
      </w:r>
      <w:r>
        <w:rPr>
          <w:rStyle w:val="tlid-translation"/>
          <w:rFonts w:eastAsiaTheme="minorHAnsi"/>
          <w:sz w:val="28"/>
          <w:szCs w:val="28"/>
          <w:lang w:eastAsia="en-US"/>
        </w:rPr>
        <w:t xml:space="preserve"> буккального епітелію (б)</w:t>
      </w:r>
    </w:p>
    <w:p w:rsidR="00E3259F" w:rsidRDefault="00E3259F" w:rsidP="00E3259F">
      <w:pPr>
        <w:pStyle w:val="12"/>
        <w:spacing w:after="0" w:line="360" w:lineRule="auto"/>
        <w:ind w:left="0"/>
        <w:jc w:val="both"/>
        <w:textAlignment w:val="top"/>
        <w:rPr>
          <w:rFonts w:ascii="Times New Roman" w:hAnsi="Times New Roman"/>
        </w:rPr>
      </w:pPr>
    </w:p>
    <w:p w:rsidR="00E3259F" w:rsidRPr="00C078BE" w:rsidRDefault="00E3259F" w:rsidP="00C078BE">
      <w:pPr>
        <w:pStyle w:val="12"/>
        <w:spacing w:after="0" w:line="360" w:lineRule="auto"/>
        <w:ind w:left="0"/>
        <w:jc w:val="both"/>
        <w:textAlignment w:val="top"/>
        <w:rPr>
          <w:rFonts w:ascii="Times New Roman" w:hAnsi="Times New Roman"/>
          <w:sz w:val="28"/>
          <w:szCs w:val="28"/>
          <w:lang w:val="uk-UA"/>
        </w:rPr>
      </w:pPr>
      <w:r w:rsidRPr="00C078BE">
        <w:rPr>
          <w:rFonts w:ascii="Times New Roman" w:hAnsi="Times New Roman"/>
          <w:sz w:val="28"/>
          <w:szCs w:val="28"/>
          <w:lang w:val="uk-UA"/>
        </w:rPr>
        <w:t>Оскільки результати порівняльного аналізу між групами 2 та 3 мали недостовірний характер, для уточнення впливу субклінічного підвищення рівня ТТГ на ВДТ було проведено аналіз ВДТ при різних рівнях ТТГ, які можуть мати велике значення для певних категорій хворих. Так, багато авторів сходяться на думці, що навіть мінімальне підвищення концентрації ТТГ може привести до значних відхилень в роботі серцево-судинної системи та можє впливати на прогноз [</w:t>
      </w:r>
      <w:bookmarkStart w:id="24" w:name="_Hlk43670605"/>
      <w:r w:rsidRPr="00C078BE">
        <w:rPr>
          <w:rFonts w:ascii="Times New Roman" w:hAnsi="Times New Roman"/>
          <w:sz w:val="28"/>
          <w:szCs w:val="28"/>
          <w:shd w:val="clear" w:color="auto" w:fill="FFFFFF"/>
          <w:lang w:val="uk-UA"/>
        </w:rPr>
        <w:t>1</w:t>
      </w:r>
      <w:bookmarkEnd w:id="24"/>
      <w:r w:rsidRPr="00C078BE">
        <w:rPr>
          <w:rFonts w:ascii="Times New Roman" w:hAnsi="Times New Roman"/>
          <w:sz w:val="28"/>
          <w:szCs w:val="28"/>
          <w:shd w:val="clear" w:color="auto" w:fill="FFFFFF"/>
          <w:lang w:val="uk-UA"/>
        </w:rPr>
        <w:t>29</w:t>
      </w:r>
      <w:r w:rsidRPr="00C078BE">
        <w:rPr>
          <w:rFonts w:ascii="Times New Roman" w:hAnsi="Times New Roman"/>
          <w:sz w:val="28"/>
          <w:szCs w:val="28"/>
          <w:lang w:val="uk-UA"/>
        </w:rPr>
        <w:t>].У метааналізі N. Rodondi, що об'єднав дані більш 55тис. хворих, виявлено, що ризик ССЗ і смертності корелював з рівнем ТТГ, ризик підвищувався у хворих з ТТГ&gt; 7 мкОД/мл, а при рівнях ТТГ 10,0-19,9 мкОД/мл ризик розвитку ССЗ підвищувався в 1,89 рази [336]. У роботі Baumgartner C та співавт. (2014 року) також було відзначено, що при СГТ ризики розвитку ускладнень і смертності від ІХС збільшувалися тільки при рівні ТТГ&gt; 7 мкОД/мл [151]. Беручи до уваги той факт, що низка авторів виділяють рівні ТТГ 6-7 як порогові для оцінки КВР [</w:t>
      </w:r>
      <w:bookmarkStart w:id="25" w:name="_Hlk43670805"/>
      <w:r w:rsidRPr="00C078BE">
        <w:rPr>
          <w:rFonts w:ascii="Times New Roman" w:hAnsi="Times New Roman"/>
          <w:sz w:val="28"/>
          <w:szCs w:val="28"/>
          <w:lang w:val="uk-UA"/>
        </w:rPr>
        <w:t>2</w:t>
      </w:r>
      <w:bookmarkEnd w:id="25"/>
      <w:r w:rsidRPr="00C078BE">
        <w:rPr>
          <w:rFonts w:ascii="Times New Roman" w:hAnsi="Times New Roman"/>
          <w:sz w:val="28"/>
          <w:szCs w:val="28"/>
          <w:lang w:val="uk-UA"/>
        </w:rPr>
        <w:t>79],  була оцінена відносна довжина теломер при рівнях ТТГ від 4,1 до 6,0 мкМОд/мл і від 6,1 до 10,0 мкМОд/мл, а також від 4,1 до 7,0 мкМОд/мл і від 7,1 до 10,0 мкМОд/мл (Рис. 6.2).</w:t>
      </w:r>
    </w:p>
    <w:tbl>
      <w:tblPr>
        <w:tblW w:w="0" w:type="auto"/>
        <w:tblLook w:val="04A0" w:firstRow="1" w:lastRow="0" w:firstColumn="1" w:lastColumn="0" w:noHBand="0" w:noVBand="1"/>
      </w:tblPr>
      <w:tblGrid>
        <w:gridCol w:w="4562"/>
        <w:gridCol w:w="5009"/>
      </w:tblGrid>
      <w:tr w:rsidR="00E3259F" w:rsidTr="00C078BE">
        <w:tc>
          <w:tcPr>
            <w:tcW w:w="4546" w:type="dxa"/>
            <w:hideMark/>
          </w:tcPr>
          <w:p w:rsidR="00E3259F" w:rsidRDefault="00E3259F">
            <w:pPr>
              <w:spacing w:line="360" w:lineRule="auto"/>
              <w:rPr>
                <w:sz w:val="28"/>
                <w:szCs w:val="28"/>
                <w:lang w:val="uk-UA" w:eastAsia="en-US"/>
              </w:rPr>
            </w:pPr>
            <w:r>
              <w:rPr>
                <w:noProof/>
              </w:rPr>
              <w:drawing>
                <wp:inline distT="0" distB="0" distL="0" distR="0" wp14:anchorId="0F19158A" wp14:editId="505C0E4C">
                  <wp:extent cx="2762250" cy="2733675"/>
                  <wp:effectExtent l="0" t="0" r="19050" b="9525"/>
                  <wp:docPr id="228" name="Диаграмма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tc>
        <w:tc>
          <w:tcPr>
            <w:tcW w:w="5024" w:type="dxa"/>
            <w:hideMark/>
          </w:tcPr>
          <w:p w:rsidR="00E3259F" w:rsidRDefault="00E3259F">
            <w:pPr>
              <w:spacing w:line="360" w:lineRule="auto"/>
              <w:rPr>
                <w:sz w:val="28"/>
                <w:szCs w:val="28"/>
                <w:lang w:val="uk-UA" w:eastAsia="en-US"/>
              </w:rPr>
            </w:pPr>
            <w:r>
              <w:rPr>
                <w:noProof/>
              </w:rPr>
              <w:drawing>
                <wp:inline distT="0" distB="0" distL="0" distR="0" wp14:anchorId="769D582A" wp14:editId="0D4C4C4E">
                  <wp:extent cx="3057525" cy="2733675"/>
                  <wp:effectExtent l="0" t="0" r="9525" b="9525"/>
                  <wp:docPr id="229" name="Диаграмма 2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tc>
      </w:tr>
    </w:tbl>
    <w:p w:rsidR="00C078BE" w:rsidRDefault="00C078BE" w:rsidP="00E3259F">
      <w:pPr>
        <w:spacing w:line="360" w:lineRule="auto"/>
        <w:ind w:firstLine="567"/>
        <w:rPr>
          <w:sz w:val="28"/>
          <w:szCs w:val="28"/>
          <w:lang w:val="uk-UA"/>
        </w:rPr>
      </w:pPr>
    </w:p>
    <w:p w:rsidR="00E3259F" w:rsidRDefault="00E3259F" w:rsidP="00E3259F">
      <w:pPr>
        <w:spacing w:line="360" w:lineRule="auto"/>
        <w:ind w:firstLine="567"/>
        <w:rPr>
          <w:sz w:val="28"/>
          <w:szCs w:val="28"/>
          <w:lang w:val="uk-UA" w:eastAsia="en-US"/>
        </w:rPr>
      </w:pPr>
      <w:r>
        <w:rPr>
          <w:sz w:val="28"/>
          <w:szCs w:val="28"/>
          <w:lang w:val="uk-UA"/>
        </w:rPr>
        <w:t xml:space="preserve">Рисунок. 6.2 </w:t>
      </w:r>
      <w:r>
        <w:rPr>
          <w:b/>
          <w:sz w:val="28"/>
          <w:szCs w:val="28"/>
          <w:lang w:val="uk-UA"/>
        </w:rPr>
        <w:t xml:space="preserve"> </w:t>
      </w:r>
      <w:r>
        <w:rPr>
          <w:sz w:val="28"/>
          <w:szCs w:val="28"/>
          <w:lang w:val="uk-UA"/>
        </w:rPr>
        <w:t xml:space="preserve">Порівняльна характеристика відносної довжини теломер в крові та в клітинах букального епітелію пацієнтів з поєднаним перебігом ГХ, ЦД 2 типу та СГТ </w:t>
      </w:r>
      <w:r>
        <w:rPr>
          <w:sz w:val="28"/>
          <w:szCs w:val="28"/>
          <w:lang w:val="uk-UA" w:eastAsia="en-US"/>
        </w:rPr>
        <w:t xml:space="preserve">залежно </w:t>
      </w:r>
      <w:r>
        <w:rPr>
          <w:sz w:val="28"/>
          <w:szCs w:val="28"/>
          <w:lang w:val="uk-UA"/>
        </w:rPr>
        <w:t xml:space="preserve">від рівня ТТГ </w:t>
      </w:r>
    </w:p>
    <w:p w:rsidR="00E3259F" w:rsidRPr="00C078BE" w:rsidRDefault="00E3259F" w:rsidP="00C078BE">
      <w:pPr>
        <w:spacing w:line="360" w:lineRule="auto"/>
        <w:ind w:firstLine="567"/>
        <w:jc w:val="both"/>
        <w:rPr>
          <w:sz w:val="28"/>
          <w:szCs w:val="28"/>
          <w:lang w:val="uk-UA"/>
        </w:rPr>
      </w:pPr>
      <w:r w:rsidRPr="00C078BE">
        <w:rPr>
          <w:sz w:val="28"/>
          <w:szCs w:val="28"/>
          <w:lang w:val="uk-UA"/>
        </w:rPr>
        <w:t xml:space="preserve">При цьому розподілі було виявлено, що ВДТ крові була коротшою при більш високих рівнях ТТГ, при пороговому рівні 7,0 мкМОд/мл ця різниця була більш вираженою, хоча достовірні відмінності не спостерігались ( ВДТ крові при  рівнях ТТГ 4,1-7,0 </w:t>
      </w:r>
      <w:r w:rsidRPr="00C078BE">
        <w:rPr>
          <w:sz w:val="28"/>
          <w:szCs w:val="28"/>
          <w:shd w:val="clear" w:color="auto" w:fill="FFFFFF"/>
          <w:lang w:val="uk-UA"/>
        </w:rPr>
        <w:t xml:space="preserve"> мкМОд/мл -</w:t>
      </w:r>
      <w:r w:rsidRPr="00C078BE">
        <w:rPr>
          <w:sz w:val="28"/>
          <w:szCs w:val="28"/>
          <w:lang w:val="uk-UA"/>
        </w:rPr>
        <w:t xml:space="preserve">0,95±0,05,  при рівнях ТТГ 7,1-10,0 </w:t>
      </w:r>
      <w:r w:rsidRPr="00C078BE">
        <w:rPr>
          <w:sz w:val="28"/>
          <w:szCs w:val="28"/>
          <w:shd w:val="clear" w:color="auto" w:fill="FFFFFF"/>
          <w:lang w:val="uk-UA"/>
        </w:rPr>
        <w:t xml:space="preserve"> мкОд/мл - </w:t>
      </w:r>
      <w:r w:rsidRPr="00C078BE">
        <w:rPr>
          <w:sz w:val="28"/>
          <w:szCs w:val="28"/>
          <w:lang w:val="uk-UA"/>
        </w:rPr>
        <w:t xml:space="preserve">0,85±0,06, </w:t>
      </w:r>
      <w:r w:rsidRPr="00C078BE">
        <w:rPr>
          <w:sz w:val="28"/>
          <w:szCs w:val="28"/>
          <w:shd w:val="clear" w:color="auto" w:fill="FFFFFF"/>
          <w:lang w:val="uk-UA"/>
        </w:rPr>
        <w:t>р&gt;0,05</w:t>
      </w:r>
      <w:r w:rsidRPr="00C078BE">
        <w:rPr>
          <w:sz w:val="28"/>
          <w:szCs w:val="28"/>
          <w:lang w:val="uk-UA"/>
        </w:rPr>
        <w:t xml:space="preserve">; ВДТ крові при рівнях ТТГ 4,1-6,0 </w:t>
      </w:r>
      <w:r w:rsidRPr="00C078BE">
        <w:rPr>
          <w:sz w:val="28"/>
          <w:szCs w:val="28"/>
          <w:shd w:val="clear" w:color="auto" w:fill="FFFFFF"/>
          <w:lang w:val="uk-UA"/>
        </w:rPr>
        <w:t xml:space="preserve"> мкОд/ мл  - </w:t>
      </w:r>
      <w:r w:rsidRPr="00C078BE">
        <w:rPr>
          <w:sz w:val="28"/>
          <w:szCs w:val="28"/>
          <w:lang w:val="uk-UA"/>
        </w:rPr>
        <w:t xml:space="preserve">0,96±0,06, при рівнях ТТГ 6,1-10,0 </w:t>
      </w:r>
      <w:r w:rsidRPr="00C078BE">
        <w:rPr>
          <w:sz w:val="28"/>
          <w:szCs w:val="28"/>
          <w:shd w:val="clear" w:color="auto" w:fill="FFFFFF"/>
          <w:lang w:val="uk-UA"/>
        </w:rPr>
        <w:t>мкОд/ мл -</w:t>
      </w:r>
      <w:r w:rsidRPr="00C078BE">
        <w:rPr>
          <w:sz w:val="28"/>
          <w:szCs w:val="28"/>
          <w:lang w:val="uk-UA"/>
        </w:rPr>
        <w:t>0,88±0,06,</w:t>
      </w:r>
      <w:r w:rsidRPr="00C078BE">
        <w:rPr>
          <w:sz w:val="28"/>
          <w:szCs w:val="28"/>
          <w:shd w:val="clear" w:color="auto" w:fill="FFFFFF"/>
          <w:lang w:val="uk-UA"/>
        </w:rPr>
        <w:t xml:space="preserve"> р&gt;0,05). П</w:t>
      </w:r>
      <w:r w:rsidRPr="00C078BE">
        <w:rPr>
          <w:sz w:val="28"/>
          <w:szCs w:val="28"/>
          <w:lang w:val="uk-UA"/>
        </w:rPr>
        <w:t xml:space="preserve">ри розподілі по пороговому рівню ТТГ - 7 </w:t>
      </w:r>
      <w:r w:rsidRPr="00C078BE">
        <w:rPr>
          <w:sz w:val="28"/>
          <w:szCs w:val="28"/>
          <w:shd w:val="clear" w:color="auto" w:fill="FFFFFF"/>
          <w:lang w:val="uk-UA"/>
        </w:rPr>
        <w:t xml:space="preserve"> мкОд/ мл наявність довшої ВДТ при рівнях ТТГ 7,1-10,0 мкМО/мл порівняно з ВДТ при більш низьких рівнях ТТГ була статистично не значимою  (</w:t>
      </w:r>
      <w:r w:rsidRPr="00C078BE">
        <w:rPr>
          <w:sz w:val="28"/>
          <w:szCs w:val="28"/>
          <w:lang w:val="uk-UA"/>
        </w:rPr>
        <w:t>ВДТ клітин букального епітелію</w:t>
      </w:r>
      <w:r w:rsidRPr="00C078BE">
        <w:rPr>
          <w:i/>
          <w:sz w:val="28"/>
          <w:szCs w:val="28"/>
          <w:lang w:val="uk-UA"/>
        </w:rPr>
        <w:t xml:space="preserve"> </w:t>
      </w:r>
      <w:r w:rsidRPr="00C078BE">
        <w:rPr>
          <w:sz w:val="28"/>
          <w:szCs w:val="28"/>
          <w:lang w:val="uk-UA"/>
        </w:rPr>
        <w:t xml:space="preserve">при  рівнях ТТГ 4,1-7,0 </w:t>
      </w:r>
      <w:r w:rsidRPr="00C078BE">
        <w:rPr>
          <w:sz w:val="28"/>
          <w:szCs w:val="28"/>
          <w:shd w:val="clear" w:color="auto" w:fill="FFFFFF"/>
          <w:lang w:val="uk-UA"/>
        </w:rPr>
        <w:t xml:space="preserve">мкОд/мл - </w:t>
      </w:r>
      <w:r w:rsidRPr="00C078BE">
        <w:rPr>
          <w:sz w:val="28"/>
          <w:szCs w:val="28"/>
          <w:lang w:val="uk-UA"/>
        </w:rPr>
        <w:t xml:space="preserve">0,96±0,03, при рівнях ТТГ 7,1-10,0 </w:t>
      </w:r>
      <w:r w:rsidRPr="00C078BE">
        <w:rPr>
          <w:sz w:val="28"/>
          <w:szCs w:val="28"/>
          <w:shd w:val="clear" w:color="auto" w:fill="FFFFFF"/>
          <w:lang w:val="uk-UA"/>
        </w:rPr>
        <w:t xml:space="preserve">мкОд/мл - </w:t>
      </w:r>
      <w:r w:rsidRPr="00C078BE">
        <w:rPr>
          <w:sz w:val="28"/>
          <w:szCs w:val="28"/>
          <w:lang w:val="uk-UA"/>
        </w:rPr>
        <w:t xml:space="preserve">1,01±0,05, </w:t>
      </w:r>
      <w:r w:rsidRPr="00C078BE">
        <w:rPr>
          <w:sz w:val="28"/>
          <w:szCs w:val="28"/>
          <w:shd w:val="clear" w:color="auto" w:fill="FFFFFF"/>
          <w:lang w:val="uk-UA"/>
        </w:rPr>
        <w:t>р&gt;0,05</w:t>
      </w:r>
      <w:r w:rsidRPr="00C078BE">
        <w:rPr>
          <w:sz w:val="28"/>
          <w:szCs w:val="28"/>
          <w:lang w:val="uk-UA"/>
        </w:rPr>
        <w:t xml:space="preserve">), навпаки, при розподілі по рівню ТТГ 6,0 мкМО/мл спостерігалася коротша ВДТ клітин букального епителію  при більш високих рівнях ТТГ (ВДТ клітин букального епителію при рівнях ТТГ 4,1- 6,0 </w:t>
      </w:r>
      <w:r w:rsidRPr="00C078BE">
        <w:rPr>
          <w:sz w:val="28"/>
          <w:szCs w:val="28"/>
          <w:shd w:val="clear" w:color="auto" w:fill="FFFFFF"/>
          <w:lang w:val="uk-UA"/>
        </w:rPr>
        <w:t xml:space="preserve"> мкОд/ мл</w:t>
      </w:r>
      <w:r w:rsidRPr="00C078BE">
        <w:rPr>
          <w:sz w:val="28"/>
          <w:szCs w:val="28"/>
          <w:lang w:val="uk-UA"/>
        </w:rPr>
        <w:t xml:space="preserve">  - 0,98±0,04, при рівняхТТГ 6,1-10,0 </w:t>
      </w:r>
      <w:r w:rsidRPr="00C078BE">
        <w:rPr>
          <w:sz w:val="28"/>
          <w:szCs w:val="28"/>
          <w:shd w:val="clear" w:color="auto" w:fill="FFFFFF"/>
          <w:lang w:val="uk-UA"/>
        </w:rPr>
        <w:t xml:space="preserve">мкОд/ мл  - </w:t>
      </w:r>
      <w:r w:rsidRPr="00C078BE">
        <w:rPr>
          <w:sz w:val="28"/>
          <w:szCs w:val="28"/>
          <w:lang w:val="uk-UA"/>
        </w:rPr>
        <w:t xml:space="preserve"> 0,95±0,04, </w:t>
      </w:r>
      <w:r w:rsidRPr="00C078BE">
        <w:rPr>
          <w:sz w:val="28"/>
          <w:szCs w:val="28"/>
          <w:shd w:val="clear" w:color="auto" w:fill="FFFFFF"/>
          <w:lang w:val="uk-UA"/>
        </w:rPr>
        <w:t>р&gt;0,05</w:t>
      </w:r>
      <w:r w:rsidRPr="00C078BE">
        <w:rPr>
          <w:sz w:val="28"/>
          <w:szCs w:val="28"/>
          <w:lang w:val="uk-UA"/>
        </w:rPr>
        <w:t xml:space="preserve">), проте відмінності були статистично не значимі. Така неоднозначна зміна ВДТ букального епітелію може частково пояснюватися впливом додаткових факторів (наприклад, куріння), які не враховувалися в цьому дослідженні. </w:t>
      </w:r>
    </w:p>
    <w:p w:rsidR="00E3259F" w:rsidRPr="00C078BE" w:rsidRDefault="00E3259F" w:rsidP="00C078BE">
      <w:pPr>
        <w:spacing w:line="360" w:lineRule="auto"/>
        <w:ind w:firstLine="567"/>
        <w:jc w:val="both"/>
        <w:rPr>
          <w:sz w:val="28"/>
          <w:szCs w:val="28"/>
          <w:lang w:val="uk-UA"/>
        </w:rPr>
      </w:pPr>
      <w:r w:rsidRPr="00C078BE">
        <w:rPr>
          <w:sz w:val="28"/>
          <w:szCs w:val="28"/>
          <w:lang w:val="uk-UA"/>
        </w:rPr>
        <w:t>Таким чином, наявність коморбідної патології супроводжується наявністю достовірно більш коротких теломер, ніж при ізольованій ГХ, наявність СГТ на тлі поєднаного перебігу ГХ та ЦД 2 типу порівняно з особами з ГХ та ЦД 2 типу без порушення функції ЩЖ не супроводжується достовірними відмінностями ВДТ. Наявність більш вираженого укорочення ВДТ крові при рівні ТТГ понад 7,0 мкОД/мл дозволяє розцінювати цей рівень як пороговий, який  має більш суттєвий вплив на процеси судинного старіння в осіб з коморбідним перебігом ГХ, ЦД 2 типу та СГТ.</w:t>
      </w:r>
    </w:p>
    <w:p w:rsidR="00E3259F" w:rsidRPr="00C078BE" w:rsidRDefault="00E3259F" w:rsidP="00C078BE">
      <w:pPr>
        <w:spacing w:line="360" w:lineRule="auto"/>
        <w:ind w:firstLine="567"/>
        <w:jc w:val="both"/>
        <w:rPr>
          <w:sz w:val="28"/>
          <w:szCs w:val="28"/>
          <w:lang w:val="uk-UA"/>
        </w:rPr>
      </w:pPr>
      <w:r w:rsidRPr="00C078BE">
        <w:rPr>
          <w:sz w:val="28"/>
          <w:szCs w:val="28"/>
          <w:lang w:val="uk-UA"/>
        </w:rPr>
        <w:t>Порівняльний аналіз ВДТ з урахуванням вікової групи виявив наявність більш короткої ВДТ крові та клітин букального епітелію в підгрупах пацієнтів старше 60 років при наявності коморбідної патології незалежно від функціонального стану ЩЗ, однак достовірні відмінності були отримані тільки при порівнянні ВДТ клітин букального епітелію в  групі 3 (підгрупа 3а ВДТ - 1,06±0,05 ум.од, підгрупа 3б  - 0,91±0,03 ум.од., р=0,008) (Таблиця.6.2).</w:t>
      </w:r>
    </w:p>
    <w:p w:rsidR="00E3259F" w:rsidRDefault="00E3259F" w:rsidP="00E3259F">
      <w:pPr>
        <w:jc w:val="right"/>
        <w:rPr>
          <w:color w:val="000000"/>
          <w:sz w:val="28"/>
          <w:szCs w:val="28"/>
          <w:lang w:val="uk-UA"/>
        </w:rPr>
      </w:pPr>
    </w:p>
    <w:p w:rsidR="00E3259F" w:rsidRDefault="00E3259F" w:rsidP="00E3259F">
      <w:pPr>
        <w:jc w:val="right"/>
        <w:rPr>
          <w:color w:val="000000"/>
          <w:sz w:val="28"/>
          <w:szCs w:val="28"/>
          <w:lang w:val="uk-UA"/>
        </w:rPr>
      </w:pPr>
      <w:r>
        <w:rPr>
          <w:color w:val="000000"/>
          <w:sz w:val="28"/>
          <w:szCs w:val="28"/>
          <w:lang w:val="uk-UA"/>
        </w:rPr>
        <w:t>Таблиця 6.2</w:t>
      </w:r>
    </w:p>
    <w:p w:rsidR="00E3259F" w:rsidRDefault="00E3259F" w:rsidP="00E3259F">
      <w:pPr>
        <w:spacing w:line="360" w:lineRule="auto"/>
        <w:ind w:firstLine="709"/>
        <w:jc w:val="center"/>
        <w:rPr>
          <w:sz w:val="28"/>
          <w:szCs w:val="28"/>
          <w:lang w:val="uk-UA"/>
        </w:rPr>
      </w:pPr>
      <w:r>
        <w:rPr>
          <w:sz w:val="28"/>
          <w:szCs w:val="28"/>
          <w:lang w:val="uk-UA"/>
        </w:rPr>
        <w:t xml:space="preserve">Порівняльна характеристика відносної довжини теломер крові і клітин букального епітелію </w:t>
      </w:r>
      <w:r>
        <w:rPr>
          <w:color w:val="000000"/>
          <w:sz w:val="28"/>
          <w:szCs w:val="28"/>
          <w:lang w:val="uk-UA"/>
        </w:rPr>
        <w:t xml:space="preserve">залежно від вікової групи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p>
    <w:p w:rsidR="00E3259F" w:rsidRDefault="00E3259F" w:rsidP="00E3259F">
      <w:pPr>
        <w:spacing w:line="360" w:lineRule="auto"/>
        <w:ind w:firstLine="567"/>
        <w:jc w:val="both"/>
        <w:rPr>
          <w:sz w:val="28"/>
          <w:szCs w:val="28"/>
          <w:lang w:val="uk-UA"/>
        </w:rPr>
      </w:pPr>
    </w:p>
    <w:tbl>
      <w:tblPr>
        <w:tblW w:w="9570" w:type="dxa"/>
        <w:tblLayout w:type="fixed"/>
        <w:tblLook w:val="04A0" w:firstRow="1" w:lastRow="0" w:firstColumn="1" w:lastColumn="0" w:noHBand="0" w:noVBand="1"/>
      </w:tblPr>
      <w:tblGrid>
        <w:gridCol w:w="1383"/>
        <w:gridCol w:w="1276"/>
        <w:gridCol w:w="1417"/>
        <w:gridCol w:w="1418"/>
        <w:gridCol w:w="1417"/>
        <w:gridCol w:w="1276"/>
        <w:gridCol w:w="1383"/>
      </w:tblGrid>
      <w:tr w:rsidR="00E3259F" w:rsidRPr="00C078BE" w:rsidTr="00E3259F">
        <w:tc>
          <w:tcPr>
            <w:tcW w:w="1384" w:type="dxa"/>
            <w:vMerge w:val="restart"/>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rPr>
                <w:lang w:val="uk-UA" w:eastAsia="en-US"/>
              </w:rPr>
            </w:pPr>
            <w:r w:rsidRPr="00C078BE">
              <w:rPr>
                <w:lang w:val="uk-UA" w:eastAsia="en-US"/>
              </w:rPr>
              <w:t>Показник/підгрупа</w:t>
            </w:r>
          </w:p>
        </w:tc>
        <w:tc>
          <w:tcPr>
            <w:tcW w:w="2693" w:type="dxa"/>
            <w:gridSpan w:val="2"/>
            <w:tcBorders>
              <w:top w:val="single" w:sz="4" w:space="0" w:color="auto"/>
              <w:left w:val="single" w:sz="4" w:space="0" w:color="auto"/>
              <w:bottom w:val="single" w:sz="4" w:space="0" w:color="auto"/>
              <w:right w:val="single" w:sz="4" w:space="0" w:color="auto"/>
            </w:tcBorders>
            <w:hideMark/>
          </w:tcPr>
          <w:p w:rsidR="00E3259F" w:rsidRPr="00C078BE" w:rsidRDefault="00E3259F">
            <w:pPr>
              <w:pStyle w:val="1"/>
              <w:spacing w:before="0" w:beforeAutospacing="0" w:after="0" w:afterAutospacing="0" w:line="276" w:lineRule="auto"/>
              <w:jc w:val="center"/>
              <w:rPr>
                <w:b w:val="0"/>
                <w:sz w:val="24"/>
                <w:szCs w:val="24"/>
                <w:lang w:val="en-US" w:eastAsia="en-US"/>
              </w:rPr>
            </w:pPr>
            <w:r w:rsidRPr="00C078BE">
              <w:rPr>
                <w:b w:val="0"/>
                <w:sz w:val="24"/>
                <w:szCs w:val="24"/>
                <w:lang w:val="uk-UA" w:eastAsia="en-US"/>
              </w:rPr>
              <w:t>Група 1</w:t>
            </w:r>
          </w:p>
          <w:p w:rsidR="00E3259F" w:rsidRPr="00C078BE" w:rsidRDefault="00E3259F">
            <w:pPr>
              <w:pStyle w:val="1"/>
              <w:spacing w:before="0" w:beforeAutospacing="0" w:after="0" w:afterAutospacing="0" w:line="276" w:lineRule="auto"/>
              <w:jc w:val="center"/>
              <w:rPr>
                <w:b w:val="0"/>
                <w:sz w:val="24"/>
                <w:szCs w:val="24"/>
                <w:lang w:val="en-US" w:eastAsia="en-US"/>
              </w:rPr>
            </w:pPr>
            <w:r w:rsidRPr="00C078BE">
              <w:rPr>
                <w:b w:val="0"/>
                <w:sz w:val="24"/>
                <w:szCs w:val="24"/>
                <w:lang w:val="en-US" w:eastAsia="en-US"/>
              </w:rPr>
              <w:t>(n=</w:t>
            </w:r>
            <w:r w:rsidRPr="00C078BE">
              <w:rPr>
                <w:b w:val="0"/>
                <w:sz w:val="24"/>
                <w:szCs w:val="24"/>
                <w:lang w:val="uk-UA" w:eastAsia="en-US"/>
              </w:rPr>
              <w:t>106</w:t>
            </w:r>
            <w:r w:rsidRPr="00C078BE">
              <w:rPr>
                <w:b w:val="0"/>
                <w:sz w:val="24"/>
                <w:szCs w:val="24"/>
                <w:lang w:val="en-US" w:eastAsia="en-US"/>
              </w:rPr>
              <w:t>)</w:t>
            </w:r>
          </w:p>
        </w:tc>
        <w:tc>
          <w:tcPr>
            <w:tcW w:w="2835" w:type="dxa"/>
            <w:gridSpan w:val="2"/>
            <w:tcBorders>
              <w:top w:val="single" w:sz="4" w:space="0" w:color="auto"/>
              <w:left w:val="single" w:sz="4" w:space="0" w:color="auto"/>
              <w:bottom w:val="single" w:sz="4" w:space="0" w:color="auto"/>
              <w:right w:val="single" w:sz="4" w:space="0" w:color="auto"/>
            </w:tcBorders>
            <w:hideMark/>
          </w:tcPr>
          <w:p w:rsidR="00E3259F" w:rsidRPr="00C078BE" w:rsidRDefault="00E3259F">
            <w:pPr>
              <w:pStyle w:val="1"/>
              <w:spacing w:before="0" w:beforeAutospacing="0" w:after="0" w:afterAutospacing="0" w:line="276" w:lineRule="auto"/>
              <w:jc w:val="center"/>
              <w:rPr>
                <w:b w:val="0"/>
                <w:sz w:val="24"/>
                <w:szCs w:val="24"/>
                <w:lang w:val="en-US" w:eastAsia="en-US"/>
              </w:rPr>
            </w:pPr>
            <w:r w:rsidRPr="00C078BE">
              <w:rPr>
                <w:b w:val="0"/>
                <w:sz w:val="24"/>
                <w:szCs w:val="24"/>
                <w:lang w:val="uk-UA" w:eastAsia="en-US"/>
              </w:rPr>
              <w:t>Група 2</w:t>
            </w:r>
          </w:p>
          <w:p w:rsidR="00E3259F" w:rsidRPr="00C078BE" w:rsidRDefault="00E3259F">
            <w:pPr>
              <w:pStyle w:val="1"/>
              <w:spacing w:before="0" w:beforeAutospacing="0" w:after="0" w:afterAutospacing="0" w:line="276" w:lineRule="auto"/>
              <w:jc w:val="center"/>
              <w:rPr>
                <w:b w:val="0"/>
                <w:sz w:val="24"/>
                <w:szCs w:val="24"/>
                <w:lang w:val="en-US" w:eastAsia="en-US"/>
              </w:rPr>
            </w:pPr>
            <w:r w:rsidRPr="00C078BE">
              <w:rPr>
                <w:b w:val="0"/>
                <w:sz w:val="24"/>
                <w:szCs w:val="24"/>
                <w:lang w:val="en-US" w:eastAsia="en-US"/>
              </w:rPr>
              <w:t>(n=</w:t>
            </w:r>
            <w:r w:rsidRPr="00C078BE">
              <w:rPr>
                <w:b w:val="0"/>
                <w:sz w:val="24"/>
                <w:szCs w:val="24"/>
                <w:lang w:val="uk-UA" w:eastAsia="en-US"/>
              </w:rPr>
              <w:t>15</w:t>
            </w:r>
            <w:r w:rsidRPr="00C078BE">
              <w:rPr>
                <w:b w:val="0"/>
                <w:sz w:val="24"/>
                <w:szCs w:val="24"/>
                <w:lang w:val="en-US" w:eastAsia="en-US"/>
              </w:rPr>
              <w:t>6)</w:t>
            </w:r>
          </w:p>
        </w:tc>
        <w:tc>
          <w:tcPr>
            <w:tcW w:w="2659" w:type="dxa"/>
            <w:gridSpan w:val="2"/>
            <w:tcBorders>
              <w:top w:val="single" w:sz="4" w:space="0" w:color="auto"/>
              <w:left w:val="single" w:sz="4" w:space="0" w:color="auto"/>
              <w:bottom w:val="single" w:sz="4" w:space="0" w:color="auto"/>
              <w:right w:val="single" w:sz="4" w:space="0" w:color="auto"/>
            </w:tcBorders>
            <w:hideMark/>
          </w:tcPr>
          <w:p w:rsidR="00E3259F" w:rsidRPr="00C078BE" w:rsidRDefault="00E3259F">
            <w:pPr>
              <w:pStyle w:val="1"/>
              <w:spacing w:before="0" w:beforeAutospacing="0" w:after="0" w:afterAutospacing="0" w:line="276" w:lineRule="auto"/>
              <w:jc w:val="center"/>
              <w:rPr>
                <w:b w:val="0"/>
                <w:sz w:val="24"/>
                <w:szCs w:val="24"/>
                <w:lang w:eastAsia="en-US"/>
              </w:rPr>
            </w:pPr>
            <w:r w:rsidRPr="00C078BE">
              <w:rPr>
                <w:b w:val="0"/>
                <w:sz w:val="24"/>
                <w:szCs w:val="24"/>
                <w:lang w:val="uk-UA" w:eastAsia="en-US"/>
              </w:rPr>
              <w:t>Група 3</w:t>
            </w:r>
          </w:p>
          <w:p w:rsidR="00E3259F" w:rsidRPr="00C078BE" w:rsidRDefault="00E3259F">
            <w:pPr>
              <w:pStyle w:val="1"/>
              <w:spacing w:before="0" w:beforeAutospacing="0" w:after="0" w:afterAutospacing="0" w:line="276" w:lineRule="auto"/>
              <w:jc w:val="center"/>
              <w:rPr>
                <w:b w:val="0"/>
                <w:sz w:val="24"/>
                <w:szCs w:val="24"/>
                <w:lang w:eastAsia="en-US"/>
              </w:rPr>
            </w:pPr>
            <w:r w:rsidRPr="00C078BE">
              <w:rPr>
                <w:b w:val="0"/>
                <w:sz w:val="24"/>
                <w:szCs w:val="24"/>
                <w:lang w:eastAsia="en-US"/>
              </w:rPr>
              <w:t>(</w:t>
            </w:r>
            <w:r w:rsidRPr="00C078BE">
              <w:rPr>
                <w:b w:val="0"/>
                <w:sz w:val="24"/>
                <w:szCs w:val="24"/>
                <w:lang w:val="en-US" w:eastAsia="en-US"/>
              </w:rPr>
              <w:t>n</w:t>
            </w:r>
            <w:r w:rsidRPr="00C078BE">
              <w:rPr>
                <w:b w:val="0"/>
                <w:sz w:val="24"/>
                <w:szCs w:val="24"/>
                <w:lang w:eastAsia="en-US"/>
              </w:rPr>
              <w:t>=</w:t>
            </w:r>
            <w:r w:rsidRPr="00C078BE">
              <w:rPr>
                <w:b w:val="0"/>
                <w:sz w:val="24"/>
                <w:szCs w:val="24"/>
                <w:lang w:val="uk-UA" w:eastAsia="en-US"/>
              </w:rPr>
              <w:t>93</w:t>
            </w:r>
            <w:r w:rsidRPr="00C078BE">
              <w:rPr>
                <w:b w:val="0"/>
                <w:sz w:val="24"/>
                <w:szCs w:val="24"/>
                <w:lang w:eastAsia="en-US"/>
              </w:rPr>
              <w:t>)</w:t>
            </w:r>
          </w:p>
        </w:tc>
      </w:tr>
      <w:tr w:rsidR="00E3259F" w:rsidRPr="00C078BE" w:rsidTr="00E3259F">
        <w:tc>
          <w:tcPr>
            <w:tcW w:w="1384" w:type="dxa"/>
            <w:vMerge/>
            <w:tcBorders>
              <w:top w:val="single" w:sz="4" w:space="0" w:color="auto"/>
              <w:left w:val="single" w:sz="4" w:space="0" w:color="auto"/>
              <w:bottom w:val="single" w:sz="4" w:space="0" w:color="auto"/>
              <w:right w:val="single" w:sz="4" w:space="0" w:color="auto"/>
            </w:tcBorders>
            <w:vAlign w:val="center"/>
            <w:hideMark/>
          </w:tcPr>
          <w:p w:rsidR="00E3259F" w:rsidRPr="00C078BE" w:rsidRDefault="00E3259F">
            <w:pPr>
              <w:rPr>
                <w:lang w:val="uk-UA" w:eastAsia="en-US"/>
              </w:rPr>
            </w:pPr>
          </w:p>
        </w:tc>
        <w:tc>
          <w:tcPr>
            <w:tcW w:w="1276"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jc w:val="center"/>
              <w:rPr>
                <w:lang w:val="uk-UA" w:eastAsia="en-US"/>
              </w:rPr>
            </w:pPr>
            <w:r w:rsidRPr="00C078BE">
              <w:rPr>
                <w:lang w:val="uk-UA" w:eastAsia="en-US"/>
              </w:rPr>
              <w:t>Підгрупа 1-І</w:t>
            </w:r>
          </w:p>
          <w:p w:rsidR="00E3259F" w:rsidRPr="00C078BE" w:rsidRDefault="00E3259F">
            <w:pPr>
              <w:spacing w:line="276" w:lineRule="auto"/>
              <w:jc w:val="center"/>
              <w:rPr>
                <w:lang w:val="uk-UA" w:eastAsia="en-US"/>
              </w:rPr>
            </w:pPr>
            <w:r w:rsidRPr="00C078BE">
              <w:rPr>
                <w:lang w:val="uk-UA" w:eastAsia="en-US"/>
              </w:rPr>
              <w:t>(44-</w:t>
            </w:r>
            <w:r w:rsidRPr="00C078BE">
              <w:rPr>
                <w:lang w:eastAsia="en-US"/>
              </w:rPr>
              <w:t xml:space="preserve"> 60 </w:t>
            </w:r>
            <w:r w:rsidRPr="00C078BE">
              <w:rPr>
                <w:lang w:val="uk-UA" w:eastAsia="en-US"/>
              </w:rPr>
              <w:t>років,</w:t>
            </w:r>
          </w:p>
          <w:p w:rsidR="00E3259F" w:rsidRPr="00C078BE" w:rsidRDefault="00E3259F">
            <w:pPr>
              <w:spacing w:line="276" w:lineRule="auto"/>
              <w:jc w:val="center"/>
              <w:rPr>
                <w:lang w:eastAsia="en-US"/>
              </w:rPr>
            </w:pPr>
            <w:r w:rsidRPr="00C078BE">
              <w:rPr>
                <w:lang w:val="en-US" w:eastAsia="en-US"/>
              </w:rPr>
              <w:t>n</w:t>
            </w:r>
            <w:r w:rsidRPr="00C078BE">
              <w:rPr>
                <w:lang w:eastAsia="en-US"/>
              </w:rPr>
              <w:t>=</w:t>
            </w:r>
            <w:r w:rsidRPr="00C078BE">
              <w:rPr>
                <w:lang w:val="uk-UA" w:eastAsia="en-US"/>
              </w:rPr>
              <w:t>49</w:t>
            </w:r>
            <w:r w:rsidRPr="00C078BE">
              <w:rPr>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jc w:val="center"/>
              <w:rPr>
                <w:lang w:val="uk-UA" w:eastAsia="en-US"/>
              </w:rPr>
            </w:pPr>
            <w:r w:rsidRPr="00C078BE">
              <w:rPr>
                <w:lang w:val="uk-UA" w:eastAsia="en-US"/>
              </w:rPr>
              <w:t xml:space="preserve">Підгрупа </w:t>
            </w:r>
          </w:p>
          <w:p w:rsidR="00E3259F" w:rsidRPr="00C078BE" w:rsidRDefault="00E3259F">
            <w:pPr>
              <w:spacing w:line="276" w:lineRule="auto"/>
              <w:jc w:val="center"/>
              <w:rPr>
                <w:lang w:val="uk-UA" w:eastAsia="en-US"/>
              </w:rPr>
            </w:pPr>
            <w:r w:rsidRPr="00C078BE">
              <w:rPr>
                <w:lang w:val="uk-UA" w:eastAsia="en-US"/>
              </w:rPr>
              <w:t>1-ІІ</w:t>
            </w:r>
          </w:p>
          <w:p w:rsidR="00E3259F" w:rsidRPr="00C078BE" w:rsidRDefault="00E3259F">
            <w:pPr>
              <w:spacing w:line="276" w:lineRule="auto"/>
              <w:jc w:val="center"/>
              <w:rPr>
                <w:lang w:eastAsia="en-US"/>
              </w:rPr>
            </w:pPr>
            <w:r w:rsidRPr="00C078BE">
              <w:rPr>
                <w:lang w:val="uk-UA" w:eastAsia="en-US"/>
              </w:rPr>
              <w:t>(</w:t>
            </w:r>
            <w:r w:rsidRPr="00C078BE">
              <w:rPr>
                <w:lang w:eastAsia="en-US"/>
              </w:rPr>
              <w:t>6</w:t>
            </w:r>
            <w:r w:rsidRPr="00C078BE">
              <w:rPr>
                <w:lang w:val="uk-UA" w:eastAsia="en-US"/>
              </w:rPr>
              <w:t xml:space="preserve">1-75 років, </w:t>
            </w:r>
            <w:r w:rsidRPr="00C078BE">
              <w:rPr>
                <w:lang w:val="en-US" w:eastAsia="en-US"/>
              </w:rPr>
              <w:t>n</w:t>
            </w:r>
            <w:r w:rsidRPr="00C078BE">
              <w:rPr>
                <w:lang w:eastAsia="en-US"/>
              </w:rPr>
              <w:t>=</w:t>
            </w:r>
            <w:r w:rsidRPr="00C078BE">
              <w:rPr>
                <w:lang w:val="uk-UA" w:eastAsia="en-US"/>
              </w:rPr>
              <w:t>57</w:t>
            </w:r>
            <w:r w:rsidRPr="00C078BE">
              <w:rPr>
                <w:lang w:eastAsia="en-US"/>
              </w:rPr>
              <w:t>)</w:t>
            </w:r>
          </w:p>
        </w:tc>
        <w:tc>
          <w:tcPr>
            <w:tcW w:w="1418"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jc w:val="center"/>
              <w:rPr>
                <w:lang w:val="uk-UA" w:eastAsia="en-US"/>
              </w:rPr>
            </w:pPr>
            <w:r w:rsidRPr="00C078BE">
              <w:rPr>
                <w:lang w:val="uk-UA" w:eastAsia="en-US"/>
              </w:rPr>
              <w:t xml:space="preserve">Підгрупа </w:t>
            </w:r>
          </w:p>
          <w:p w:rsidR="00E3259F" w:rsidRPr="00C078BE" w:rsidRDefault="00E3259F">
            <w:pPr>
              <w:spacing w:line="276" w:lineRule="auto"/>
              <w:jc w:val="center"/>
              <w:rPr>
                <w:lang w:val="uk-UA" w:eastAsia="en-US"/>
              </w:rPr>
            </w:pPr>
            <w:r w:rsidRPr="00C078BE">
              <w:rPr>
                <w:lang w:val="uk-UA" w:eastAsia="en-US"/>
              </w:rPr>
              <w:t>2-І</w:t>
            </w:r>
          </w:p>
          <w:p w:rsidR="00E3259F" w:rsidRPr="00C078BE" w:rsidRDefault="00E3259F">
            <w:pPr>
              <w:spacing w:line="276" w:lineRule="auto"/>
              <w:jc w:val="center"/>
              <w:rPr>
                <w:lang w:eastAsia="en-US"/>
              </w:rPr>
            </w:pPr>
            <w:r w:rsidRPr="00C078BE">
              <w:rPr>
                <w:lang w:val="uk-UA" w:eastAsia="en-US"/>
              </w:rPr>
              <w:t>(44-</w:t>
            </w:r>
            <w:r w:rsidRPr="00C078BE">
              <w:rPr>
                <w:lang w:eastAsia="en-US"/>
              </w:rPr>
              <w:t xml:space="preserve"> 60 </w:t>
            </w:r>
            <w:r w:rsidRPr="00C078BE">
              <w:rPr>
                <w:lang w:val="uk-UA" w:eastAsia="en-US"/>
              </w:rPr>
              <w:t xml:space="preserve">років, </w:t>
            </w:r>
            <w:r w:rsidRPr="00C078BE">
              <w:rPr>
                <w:lang w:val="en-US" w:eastAsia="en-US"/>
              </w:rPr>
              <w:t>n</w:t>
            </w:r>
            <w:r w:rsidRPr="00C078BE">
              <w:rPr>
                <w:lang w:eastAsia="en-US"/>
              </w:rPr>
              <w:t>=</w:t>
            </w:r>
            <w:r w:rsidRPr="00C078BE">
              <w:rPr>
                <w:lang w:val="uk-UA" w:eastAsia="en-US"/>
              </w:rPr>
              <w:t>56</w:t>
            </w:r>
            <w:r w:rsidRPr="00C078BE">
              <w:rPr>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jc w:val="center"/>
              <w:rPr>
                <w:lang w:val="uk-UA" w:eastAsia="en-US"/>
              </w:rPr>
            </w:pPr>
            <w:r w:rsidRPr="00C078BE">
              <w:rPr>
                <w:lang w:val="uk-UA" w:eastAsia="en-US"/>
              </w:rPr>
              <w:t xml:space="preserve">Підгрупа </w:t>
            </w:r>
          </w:p>
          <w:p w:rsidR="00E3259F" w:rsidRPr="00C078BE" w:rsidRDefault="00E3259F">
            <w:pPr>
              <w:spacing w:line="276" w:lineRule="auto"/>
              <w:jc w:val="center"/>
              <w:rPr>
                <w:lang w:val="uk-UA" w:eastAsia="en-US"/>
              </w:rPr>
            </w:pPr>
            <w:r w:rsidRPr="00C078BE">
              <w:rPr>
                <w:lang w:val="uk-UA" w:eastAsia="en-US"/>
              </w:rPr>
              <w:t>2-ІІ</w:t>
            </w:r>
          </w:p>
          <w:p w:rsidR="00E3259F" w:rsidRPr="00C078BE" w:rsidRDefault="00E3259F">
            <w:pPr>
              <w:spacing w:line="276" w:lineRule="auto"/>
              <w:jc w:val="center"/>
              <w:rPr>
                <w:lang w:val="uk-UA" w:eastAsia="en-US"/>
              </w:rPr>
            </w:pPr>
            <w:r w:rsidRPr="00C078BE">
              <w:rPr>
                <w:lang w:val="uk-UA" w:eastAsia="en-US"/>
              </w:rPr>
              <w:t>(</w:t>
            </w:r>
            <w:r w:rsidRPr="00C078BE">
              <w:rPr>
                <w:lang w:eastAsia="en-US"/>
              </w:rPr>
              <w:t>6</w:t>
            </w:r>
            <w:r w:rsidRPr="00C078BE">
              <w:rPr>
                <w:lang w:val="uk-UA" w:eastAsia="en-US"/>
              </w:rPr>
              <w:t>1-75 рокв,</w:t>
            </w:r>
          </w:p>
          <w:p w:rsidR="00E3259F" w:rsidRPr="00C078BE" w:rsidRDefault="00E3259F">
            <w:pPr>
              <w:spacing w:line="276" w:lineRule="auto"/>
              <w:jc w:val="center"/>
              <w:rPr>
                <w:lang w:eastAsia="en-US"/>
              </w:rPr>
            </w:pPr>
            <w:r w:rsidRPr="00C078BE">
              <w:rPr>
                <w:lang w:val="en-US" w:eastAsia="en-US"/>
              </w:rPr>
              <w:t>n</w:t>
            </w:r>
            <w:r w:rsidRPr="00C078BE">
              <w:rPr>
                <w:lang w:eastAsia="en-US"/>
              </w:rPr>
              <w:t>=</w:t>
            </w:r>
            <w:r w:rsidRPr="00C078BE">
              <w:rPr>
                <w:lang w:val="uk-UA" w:eastAsia="en-US"/>
              </w:rPr>
              <w:t>100</w:t>
            </w:r>
            <w:r w:rsidRPr="00C078BE">
              <w:rPr>
                <w:lang w:eastAsia="en-US"/>
              </w:rPr>
              <w:t>)</w:t>
            </w:r>
          </w:p>
        </w:tc>
        <w:tc>
          <w:tcPr>
            <w:tcW w:w="1276"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jc w:val="center"/>
              <w:rPr>
                <w:lang w:val="uk-UA" w:eastAsia="en-US"/>
              </w:rPr>
            </w:pPr>
            <w:r w:rsidRPr="00C078BE">
              <w:rPr>
                <w:lang w:val="uk-UA" w:eastAsia="en-US"/>
              </w:rPr>
              <w:t>Підгрупа 3-І</w:t>
            </w:r>
          </w:p>
          <w:p w:rsidR="00E3259F" w:rsidRPr="00C078BE" w:rsidRDefault="00E3259F">
            <w:pPr>
              <w:spacing w:line="276" w:lineRule="auto"/>
              <w:jc w:val="center"/>
              <w:rPr>
                <w:lang w:val="uk-UA" w:eastAsia="en-US"/>
              </w:rPr>
            </w:pPr>
            <w:r w:rsidRPr="00C078BE">
              <w:rPr>
                <w:lang w:val="uk-UA" w:eastAsia="en-US"/>
              </w:rPr>
              <w:t>(44-</w:t>
            </w:r>
            <w:r w:rsidRPr="00C078BE">
              <w:rPr>
                <w:lang w:eastAsia="en-US"/>
              </w:rPr>
              <w:t xml:space="preserve"> 60 </w:t>
            </w:r>
            <w:r w:rsidRPr="00C078BE">
              <w:rPr>
                <w:lang w:val="uk-UA" w:eastAsia="en-US"/>
              </w:rPr>
              <w:t>років,</w:t>
            </w:r>
          </w:p>
          <w:p w:rsidR="00E3259F" w:rsidRPr="00C078BE" w:rsidRDefault="00E3259F">
            <w:pPr>
              <w:spacing w:line="276" w:lineRule="auto"/>
              <w:jc w:val="center"/>
              <w:rPr>
                <w:lang w:eastAsia="en-US"/>
              </w:rPr>
            </w:pPr>
            <w:r w:rsidRPr="00C078BE">
              <w:rPr>
                <w:lang w:val="en-US" w:eastAsia="en-US"/>
              </w:rPr>
              <w:t>n</w:t>
            </w:r>
            <w:r w:rsidRPr="00C078BE">
              <w:rPr>
                <w:lang w:eastAsia="en-US"/>
              </w:rPr>
              <w:t>=</w:t>
            </w:r>
            <w:r w:rsidRPr="00C078BE">
              <w:rPr>
                <w:lang w:val="uk-UA" w:eastAsia="en-US"/>
              </w:rPr>
              <w:t>37</w:t>
            </w:r>
            <w:r w:rsidRPr="00C078BE">
              <w:rPr>
                <w:lang w:eastAsia="en-US"/>
              </w:rPr>
              <w:t>)</w:t>
            </w:r>
          </w:p>
        </w:tc>
        <w:tc>
          <w:tcPr>
            <w:tcW w:w="1383"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276" w:lineRule="auto"/>
              <w:jc w:val="center"/>
              <w:rPr>
                <w:lang w:val="uk-UA" w:eastAsia="en-US"/>
              </w:rPr>
            </w:pPr>
            <w:r w:rsidRPr="00C078BE">
              <w:rPr>
                <w:lang w:val="uk-UA" w:eastAsia="en-US"/>
              </w:rPr>
              <w:t>Підгрупа 3-ІІ</w:t>
            </w:r>
          </w:p>
          <w:p w:rsidR="00E3259F" w:rsidRPr="00C078BE" w:rsidRDefault="00E3259F">
            <w:pPr>
              <w:spacing w:line="276" w:lineRule="auto"/>
              <w:jc w:val="center"/>
              <w:rPr>
                <w:lang w:val="uk-UA" w:eastAsia="en-US"/>
              </w:rPr>
            </w:pPr>
            <w:r w:rsidRPr="00C078BE">
              <w:rPr>
                <w:lang w:val="uk-UA" w:eastAsia="en-US"/>
              </w:rPr>
              <w:t>(</w:t>
            </w:r>
            <w:r w:rsidRPr="00C078BE">
              <w:rPr>
                <w:lang w:eastAsia="en-US"/>
              </w:rPr>
              <w:t>6</w:t>
            </w:r>
            <w:r w:rsidRPr="00C078BE">
              <w:rPr>
                <w:lang w:val="uk-UA" w:eastAsia="en-US"/>
              </w:rPr>
              <w:t>1-75 рокв,</w:t>
            </w:r>
          </w:p>
          <w:p w:rsidR="00E3259F" w:rsidRPr="00C078BE" w:rsidRDefault="00E3259F">
            <w:pPr>
              <w:spacing w:line="276" w:lineRule="auto"/>
              <w:jc w:val="center"/>
              <w:rPr>
                <w:lang w:eastAsia="en-US"/>
              </w:rPr>
            </w:pPr>
            <w:r w:rsidRPr="00C078BE">
              <w:rPr>
                <w:lang w:val="en-US" w:eastAsia="en-US"/>
              </w:rPr>
              <w:t>n</w:t>
            </w:r>
            <w:r w:rsidRPr="00C078BE">
              <w:rPr>
                <w:lang w:eastAsia="en-US"/>
              </w:rPr>
              <w:t>=</w:t>
            </w:r>
            <w:r w:rsidRPr="00C078BE">
              <w:rPr>
                <w:lang w:val="uk-UA" w:eastAsia="en-US"/>
              </w:rPr>
              <w:t>56</w:t>
            </w:r>
            <w:r w:rsidRPr="00C078BE">
              <w:rPr>
                <w:lang w:eastAsia="en-US"/>
              </w:rPr>
              <w:t>)</w:t>
            </w:r>
          </w:p>
        </w:tc>
      </w:tr>
      <w:tr w:rsidR="00E3259F" w:rsidRPr="00C078BE"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ВДТ крові</w:t>
            </w:r>
            <w:r w:rsidRPr="00C078BE">
              <w:rPr>
                <w:lang w:eastAsia="en-US"/>
              </w:rPr>
              <w:t xml:space="preserve">, </w:t>
            </w:r>
            <w:r w:rsidRPr="00C078BE">
              <w:rPr>
                <w:lang w:val="uk-UA" w:eastAsia="en-US"/>
              </w:rPr>
              <w:t>ум.од</w:t>
            </w:r>
          </w:p>
        </w:tc>
        <w:tc>
          <w:tcPr>
            <w:tcW w:w="1276"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eastAsia="en-US"/>
              </w:rPr>
              <w:t>1,24±</w:t>
            </w:r>
            <w:r w:rsidRPr="00C078BE">
              <w:rPr>
                <w:lang w:val="uk-UA" w:eastAsia="en-US"/>
              </w:rPr>
              <w:t>0</w:t>
            </w:r>
            <w:r w:rsidRPr="00C078BE">
              <w:rPr>
                <w:lang w:eastAsia="en-US"/>
              </w:rPr>
              <w:t>,05</w:t>
            </w:r>
          </w:p>
        </w:tc>
        <w:tc>
          <w:tcPr>
            <w:tcW w:w="1417"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eastAsia="en-US"/>
              </w:rPr>
              <w:t>1,3</w:t>
            </w:r>
            <w:r w:rsidRPr="00C078BE">
              <w:rPr>
                <w:lang w:val="uk-UA" w:eastAsia="en-US"/>
              </w:rPr>
              <w:t>3</w:t>
            </w:r>
            <w:r w:rsidRPr="00C078BE">
              <w:rPr>
                <w:lang w:eastAsia="en-US"/>
              </w:rPr>
              <w:t>±</w:t>
            </w:r>
            <w:r w:rsidRPr="00C078BE">
              <w:rPr>
                <w:lang w:val="uk-UA" w:eastAsia="en-US"/>
              </w:rPr>
              <w:t>0</w:t>
            </w:r>
            <w:r w:rsidRPr="00C078BE">
              <w:rPr>
                <w:lang w:eastAsia="en-US"/>
              </w:rPr>
              <w:t>,07</w:t>
            </w:r>
          </w:p>
          <w:p w:rsidR="00E3259F" w:rsidRPr="00C078BE" w:rsidRDefault="00E3259F">
            <w:pPr>
              <w:spacing w:line="360" w:lineRule="auto"/>
              <w:rPr>
                <w:lang w:val="uk-UA" w:eastAsia="en-US"/>
              </w:rPr>
            </w:pPr>
            <w:r w:rsidRPr="00C078BE">
              <w:rPr>
                <w:shd w:val="clear" w:color="auto" w:fill="FFFFFF"/>
                <w:lang w:val="uk-UA" w:eastAsia="en-US"/>
              </w:rPr>
              <w:t>р&gt;0,05</w:t>
            </w:r>
          </w:p>
        </w:tc>
        <w:tc>
          <w:tcPr>
            <w:tcW w:w="1418"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eastAsia="en-US"/>
              </w:rPr>
              <w:t>1,0</w:t>
            </w:r>
            <w:r w:rsidRPr="00C078BE">
              <w:rPr>
                <w:lang w:val="uk-UA" w:eastAsia="en-US"/>
              </w:rPr>
              <w:t>4</w:t>
            </w:r>
            <w:r w:rsidRPr="00C078BE">
              <w:rPr>
                <w:lang w:eastAsia="en-US"/>
              </w:rPr>
              <w:t>±</w:t>
            </w:r>
            <w:r w:rsidRPr="00C078BE">
              <w:rPr>
                <w:lang w:val="uk-UA" w:eastAsia="en-US"/>
              </w:rPr>
              <w:t>0</w:t>
            </w:r>
            <w:r w:rsidRPr="00C078BE">
              <w:rPr>
                <w:lang w:eastAsia="en-US"/>
              </w:rPr>
              <w:t>,0</w:t>
            </w:r>
            <w:r w:rsidRPr="00C078BE">
              <w:rPr>
                <w:lang w:val="uk-UA" w:eastAsia="en-US"/>
              </w:rPr>
              <w:t>8</w:t>
            </w:r>
          </w:p>
        </w:tc>
        <w:tc>
          <w:tcPr>
            <w:tcW w:w="1417"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0</w:t>
            </w:r>
            <w:r w:rsidRPr="00C078BE">
              <w:rPr>
                <w:lang w:eastAsia="en-US"/>
              </w:rPr>
              <w:t>,90±</w:t>
            </w:r>
            <w:r w:rsidRPr="00C078BE">
              <w:rPr>
                <w:lang w:val="uk-UA" w:eastAsia="en-US"/>
              </w:rPr>
              <w:t>0</w:t>
            </w:r>
            <w:r w:rsidRPr="00C078BE">
              <w:rPr>
                <w:lang w:eastAsia="en-US"/>
              </w:rPr>
              <w:t>,05</w:t>
            </w:r>
          </w:p>
          <w:p w:rsidR="00E3259F" w:rsidRPr="00C078BE" w:rsidRDefault="00E3259F">
            <w:pPr>
              <w:spacing w:line="360" w:lineRule="auto"/>
              <w:rPr>
                <w:lang w:eastAsia="en-US"/>
              </w:rPr>
            </w:pPr>
            <w:r w:rsidRPr="00C078BE">
              <w:rPr>
                <w:shd w:val="clear" w:color="auto" w:fill="FFFFFF"/>
                <w:lang w:val="uk-UA" w:eastAsia="en-US"/>
              </w:rPr>
              <w:t>р&gt;0,05</w:t>
            </w:r>
          </w:p>
        </w:tc>
        <w:tc>
          <w:tcPr>
            <w:tcW w:w="1276"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eastAsia="en-US"/>
              </w:rPr>
            </w:pPr>
            <w:r w:rsidRPr="00C078BE">
              <w:rPr>
                <w:lang w:val="uk-UA" w:eastAsia="en-US"/>
              </w:rPr>
              <w:t>0</w:t>
            </w:r>
            <w:r w:rsidRPr="00C078BE">
              <w:rPr>
                <w:lang w:eastAsia="en-US"/>
              </w:rPr>
              <w:t>,9</w:t>
            </w:r>
            <w:r w:rsidRPr="00C078BE">
              <w:rPr>
                <w:lang w:val="uk-UA" w:eastAsia="en-US"/>
              </w:rPr>
              <w:t>8</w:t>
            </w:r>
            <w:r w:rsidRPr="00C078BE">
              <w:rPr>
                <w:lang w:eastAsia="en-US"/>
              </w:rPr>
              <w:t>±</w:t>
            </w:r>
            <w:r w:rsidRPr="00C078BE">
              <w:rPr>
                <w:lang w:val="uk-UA" w:eastAsia="en-US"/>
              </w:rPr>
              <w:t>0</w:t>
            </w:r>
            <w:r w:rsidRPr="00C078BE">
              <w:rPr>
                <w:lang w:eastAsia="en-US"/>
              </w:rPr>
              <w:t>,0</w:t>
            </w:r>
            <w:r w:rsidRPr="00C078BE">
              <w:rPr>
                <w:lang w:val="uk-UA" w:eastAsia="en-US"/>
              </w:rPr>
              <w:t>5</w:t>
            </w:r>
          </w:p>
        </w:tc>
        <w:tc>
          <w:tcPr>
            <w:tcW w:w="1383"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0</w:t>
            </w:r>
            <w:r w:rsidRPr="00C078BE">
              <w:rPr>
                <w:lang w:eastAsia="en-US"/>
              </w:rPr>
              <w:t>,89±</w:t>
            </w:r>
            <w:r w:rsidRPr="00C078BE">
              <w:rPr>
                <w:lang w:val="uk-UA" w:eastAsia="en-US"/>
              </w:rPr>
              <w:t>0</w:t>
            </w:r>
            <w:r w:rsidRPr="00C078BE">
              <w:rPr>
                <w:lang w:eastAsia="en-US"/>
              </w:rPr>
              <w:t>,06</w:t>
            </w:r>
          </w:p>
          <w:p w:rsidR="00E3259F" w:rsidRPr="00C078BE" w:rsidRDefault="00E3259F">
            <w:pPr>
              <w:spacing w:line="360" w:lineRule="auto"/>
              <w:rPr>
                <w:lang w:val="uk-UA" w:eastAsia="en-US"/>
              </w:rPr>
            </w:pPr>
            <w:r w:rsidRPr="00C078BE">
              <w:rPr>
                <w:shd w:val="clear" w:color="auto" w:fill="FFFFFF"/>
                <w:lang w:val="uk-UA" w:eastAsia="en-US"/>
              </w:rPr>
              <w:t>р&gt;0,05</w:t>
            </w:r>
          </w:p>
        </w:tc>
      </w:tr>
      <w:tr w:rsidR="00E3259F" w:rsidRPr="00C078BE"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 xml:space="preserve">ВДТ </w:t>
            </w:r>
            <w:r w:rsidRPr="00C078BE">
              <w:rPr>
                <w:lang w:eastAsia="en-US"/>
              </w:rPr>
              <w:t>кл</w:t>
            </w:r>
            <w:r w:rsidRPr="00C078BE">
              <w:rPr>
                <w:lang w:val="uk-UA" w:eastAsia="en-US"/>
              </w:rPr>
              <w:t>ітин</w:t>
            </w:r>
            <w:r w:rsidRPr="00C078BE">
              <w:rPr>
                <w:lang w:eastAsia="en-US"/>
              </w:rPr>
              <w:t xml:space="preserve"> букального </w:t>
            </w:r>
            <w:r w:rsidRPr="00C078BE">
              <w:rPr>
                <w:lang w:val="uk-UA" w:eastAsia="en-US"/>
              </w:rPr>
              <w:t>е</w:t>
            </w:r>
            <w:r w:rsidRPr="00C078BE">
              <w:rPr>
                <w:lang w:eastAsia="en-US"/>
              </w:rPr>
              <w:t>пител</w:t>
            </w:r>
            <w:r w:rsidRPr="00C078BE">
              <w:rPr>
                <w:lang w:val="uk-UA" w:eastAsia="en-US"/>
              </w:rPr>
              <w:t>ію</w:t>
            </w:r>
            <w:r w:rsidRPr="00C078BE">
              <w:rPr>
                <w:lang w:eastAsia="en-US"/>
              </w:rPr>
              <w:t xml:space="preserve">, </w:t>
            </w:r>
            <w:r w:rsidRPr="00C078BE">
              <w:rPr>
                <w:lang w:val="uk-UA" w:eastAsia="en-US"/>
              </w:rPr>
              <w:t>ум.од.</w:t>
            </w:r>
          </w:p>
        </w:tc>
        <w:tc>
          <w:tcPr>
            <w:tcW w:w="1276"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eastAsia="en-US"/>
              </w:rPr>
              <w:t>1,2</w:t>
            </w:r>
            <w:r w:rsidRPr="00C078BE">
              <w:rPr>
                <w:lang w:val="uk-UA" w:eastAsia="en-US"/>
              </w:rPr>
              <w:t>9</w:t>
            </w:r>
            <w:r w:rsidRPr="00C078BE">
              <w:rPr>
                <w:lang w:eastAsia="en-US"/>
              </w:rPr>
              <w:t>±</w:t>
            </w:r>
            <w:r w:rsidRPr="00C078BE">
              <w:rPr>
                <w:lang w:val="uk-UA" w:eastAsia="en-US"/>
              </w:rPr>
              <w:t>0</w:t>
            </w:r>
            <w:r w:rsidRPr="00C078BE">
              <w:rPr>
                <w:lang w:eastAsia="en-US"/>
              </w:rPr>
              <w:t>,07</w:t>
            </w:r>
          </w:p>
        </w:tc>
        <w:tc>
          <w:tcPr>
            <w:tcW w:w="1417"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eastAsia="en-US"/>
              </w:rPr>
              <w:t>1,2</w:t>
            </w:r>
            <w:r w:rsidRPr="00C078BE">
              <w:rPr>
                <w:lang w:val="uk-UA" w:eastAsia="en-US"/>
              </w:rPr>
              <w:t>5</w:t>
            </w:r>
            <w:r w:rsidRPr="00C078BE">
              <w:rPr>
                <w:lang w:eastAsia="en-US"/>
              </w:rPr>
              <w:t>±</w:t>
            </w:r>
            <w:r w:rsidRPr="00C078BE">
              <w:rPr>
                <w:lang w:val="uk-UA" w:eastAsia="en-US"/>
              </w:rPr>
              <w:t>0</w:t>
            </w:r>
            <w:r w:rsidRPr="00C078BE">
              <w:rPr>
                <w:lang w:eastAsia="en-US"/>
              </w:rPr>
              <w:t>,06</w:t>
            </w:r>
          </w:p>
          <w:p w:rsidR="00E3259F" w:rsidRPr="00C078BE" w:rsidRDefault="00E3259F">
            <w:pPr>
              <w:spacing w:line="360" w:lineRule="auto"/>
              <w:rPr>
                <w:lang w:eastAsia="en-US"/>
              </w:rPr>
            </w:pPr>
            <w:r w:rsidRPr="00C078BE">
              <w:rPr>
                <w:shd w:val="clear" w:color="auto" w:fill="FFFFFF"/>
                <w:lang w:val="uk-UA" w:eastAsia="en-US"/>
              </w:rPr>
              <w:t>р&gt;0,05</w:t>
            </w:r>
          </w:p>
        </w:tc>
        <w:tc>
          <w:tcPr>
            <w:tcW w:w="1418"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0</w:t>
            </w:r>
            <w:r w:rsidRPr="00C078BE">
              <w:rPr>
                <w:lang w:eastAsia="en-US"/>
              </w:rPr>
              <w:t>,96±</w:t>
            </w:r>
            <w:r w:rsidRPr="00C078BE">
              <w:rPr>
                <w:lang w:val="uk-UA" w:eastAsia="en-US"/>
              </w:rPr>
              <w:t>0</w:t>
            </w:r>
            <w:r w:rsidRPr="00C078BE">
              <w:rPr>
                <w:lang w:eastAsia="en-US"/>
              </w:rPr>
              <w:t>,0</w:t>
            </w:r>
            <w:r w:rsidRPr="00C078BE">
              <w:rPr>
                <w:lang w:val="uk-UA" w:eastAsia="en-US"/>
              </w:rPr>
              <w:t>9</w:t>
            </w:r>
          </w:p>
        </w:tc>
        <w:tc>
          <w:tcPr>
            <w:tcW w:w="1417"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0</w:t>
            </w:r>
            <w:r w:rsidRPr="00C078BE">
              <w:rPr>
                <w:lang w:eastAsia="en-US"/>
              </w:rPr>
              <w:t>,84±</w:t>
            </w:r>
            <w:r w:rsidRPr="00C078BE">
              <w:rPr>
                <w:lang w:val="uk-UA" w:eastAsia="en-US"/>
              </w:rPr>
              <w:t>0</w:t>
            </w:r>
            <w:r w:rsidRPr="00C078BE">
              <w:rPr>
                <w:lang w:eastAsia="en-US"/>
              </w:rPr>
              <w:t>,0</w:t>
            </w:r>
            <w:r w:rsidRPr="00C078BE">
              <w:rPr>
                <w:lang w:val="uk-UA" w:eastAsia="en-US"/>
              </w:rPr>
              <w:t>4</w:t>
            </w:r>
          </w:p>
          <w:p w:rsidR="00E3259F" w:rsidRPr="00C078BE" w:rsidRDefault="00E3259F">
            <w:pPr>
              <w:spacing w:line="360" w:lineRule="auto"/>
              <w:rPr>
                <w:lang w:val="uk-UA" w:eastAsia="en-US"/>
              </w:rPr>
            </w:pPr>
            <w:r w:rsidRPr="00C078BE">
              <w:rPr>
                <w:shd w:val="clear" w:color="auto" w:fill="FFFFFF"/>
                <w:lang w:val="uk-UA" w:eastAsia="en-US"/>
              </w:rPr>
              <w:t>р&gt;0,05</w:t>
            </w:r>
          </w:p>
        </w:tc>
        <w:tc>
          <w:tcPr>
            <w:tcW w:w="1276"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eastAsia="en-US"/>
              </w:rPr>
              <w:t>1,06±</w:t>
            </w:r>
            <w:r w:rsidRPr="00C078BE">
              <w:rPr>
                <w:lang w:val="uk-UA" w:eastAsia="en-US"/>
              </w:rPr>
              <w:t>0</w:t>
            </w:r>
            <w:r w:rsidRPr="00C078BE">
              <w:rPr>
                <w:lang w:eastAsia="en-US"/>
              </w:rPr>
              <w:t>,0</w:t>
            </w:r>
            <w:r w:rsidRPr="00C078BE">
              <w:rPr>
                <w:lang w:val="uk-UA" w:eastAsia="en-US"/>
              </w:rPr>
              <w:t>5</w:t>
            </w:r>
          </w:p>
        </w:tc>
        <w:tc>
          <w:tcPr>
            <w:tcW w:w="1383" w:type="dxa"/>
            <w:tcBorders>
              <w:top w:val="single" w:sz="4" w:space="0" w:color="auto"/>
              <w:left w:val="single" w:sz="4" w:space="0" w:color="auto"/>
              <w:bottom w:val="single" w:sz="4" w:space="0" w:color="auto"/>
              <w:right w:val="single" w:sz="4" w:space="0" w:color="auto"/>
            </w:tcBorders>
            <w:hideMark/>
          </w:tcPr>
          <w:p w:rsidR="00E3259F" w:rsidRPr="00C078BE" w:rsidRDefault="00E3259F">
            <w:pPr>
              <w:spacing w:line="360" w:lineRule="auto"/>
              <w:rPr>
                <w:lang w:val="uk-UA" w:eastAsia="en-US"/>
              </w:rPr>
            </w:pPr>
            <w:r w:rsidRPr="00C078BE">
              <w:rPr>
                <w:lang w:val="uk-UA" w:eastAsia="en-US"/>
              </w:rPr>
              <w:t>0</w:t>
            </w:r>
            <w:r w:rsidRPr="00C078BE">
              <w:rPr>
                <w:lang w:eastAsia="en-US"/>
              </w:rPr>
              <w:t>,91±</w:t>
            </w:r>
            <w:r w:rsidRPr="00C078BE">
              <w:rPr>
                <w:lang w:val="uk-UA" w:eastAsia="en-US"/>
              </w:rPr>
              <w:t>0</w:t>
            </w:r>
            <w:r w:rsidRPr="00C078BE">
              <w:rPr>
                <w:lang w:eastAsia="en-US"/>
              </w:rPr>
              <w:t>,03</w:t>
            </w:r>
          </w:p>
          <w:p w:rsidR="00E3259F" w:rsidRPr="00C078BE" w:rsidRDefault="00E3259F">
            <w:pPr>
              <w:spacing w:line="360" w:lineRule="auto"/>
              <w:rPr>
                <w:lang w:val="uk-UA" w:eastAsia="en-US"/>
              </w:rPr>
            </w:pPr>
            <w:r w:rsidRPr="00C078BE">
              <w:rPr>
                <w:lang w:val="uk-UA" w:eastAsia="en-US"/>
              </w:rPr>
              <w:t>р=0</w:t>
            </w:r>
            <w:r w:rsidRPr="00C078BE">
              <w:rPr>
                <w:lang w:eastAsia="en-US"/>
              </w:rPr>
              <w:t>,008</w:t>
            </w:r>
          </w:p>
        </w:tc>
      </w:tr>
    </w:tbl>
    <w:p w:rsidR="00C078BE" w:rsidRDefault="00C078BE" w:rsidP="00C078BE">
      <w:pPr>
        <w:jc w:val="both"/>
        <w:rPr>
          <w:sz w:val="28"/>
          <w:szCs w:val="28"/>
          <w:highlight w:val="green"/>
          <w:lang w:val="uk-UA"/>
        </w:rPr>
      </w:pPr>
    </w:p>
    <w:p w:rsidR="00E3259F" w:rsidRDefault="00E3259F" w:rsidP="00C078BE">
      <w:pPr>
        <w:spacing w:line="360" w:lineRule="auto"/>
        <w:jc w:val="both"/>
        <w:rPr>
          <w:rStyle w:val="tlid-translation"/>
          <w:rFonts w:eastAsiaTheme="majorEastAsia"/>
          <w:sz w:val="26"/>
          <w:szCs w:val="26"/>
          <w:lang w:val="uk-UA" w:eastAsia="en-US"/>
        </w:rPr>
      </w:pPr>
      <w:r w:rsidRPr="00C078BE">
        <w:rPr>
          <w:sz w:val="28"/>
          <w:szCs w:val="28"/>
          <w:lang w:val="uk-UA"/>
        </w:rPr>
        <w:t>Примітка: р</w:t>
      </w:r>
      <w:r w:rsidRPr="00C078BE">
        <w:rPr>
          <w:sz w:val="28"/>
          <w:szCs w:val="28"/>
          <w:vertAlign w:val="subscript"/>
          <w:lang w:val="uk-UA"/>
        </w:rPr>
        <w:t xml:space="preserve"> -</w:t>
      </w:r>
      <w:r w:rsidRPr="00C078BE">
        <w:rPr>
          <w:sz w:val="28"/>
          <w:szCs w:val="28"/>
          <w:lang w:val="uk-UA"/>
        </w:rPr>
        <w:t xml:space="preserve">  рівень значущості відмінностей при порівнянні І та ІІ вікових підгруп в групі </w:t>
      </w:r>
    </w:p>
    <w:p w:rsidR="00E3259F" w:rsidRPr="00C078BE" w:rsidRDefault="00E3259F" w:rsidP="00E3259F">
      <w:pPr>
        <w:spacing w:line="360" w:lineRule="auto"/>
        <w:ind w:firstLine="709"/>
        <w:jc w:val="both"/>
        <w:rPr>
          <w:sz w:val="28"/>
          <w:szCs w:val="28"/>
          <w:lang w:val="uk-UA"/>
        </w:rPr>
      </w:pPr>
    </w:p>
    <w:p w:rsidR="00E3259F" w:rsidRPr="00C078BE" w:rsidRDefault="00E3259F" w:rsidP="00E3259F">
      <w:pPr>
        <w:spacing w:line="360" w:lineRule="auto"/>
        <w:ind w:firstLine="709"/>
        <w:jc w:val="both"/>
        <w:rPr>
          <w:sz w:val="28"/>
          <w:szCs w:val="28"/>
          <w:lang w:val="uk-UA"/>
        </w:rPr>
      </w:pPr>
      <w:r w:rsidRPr="00C078BE">
        <w:rPr>
          <w:sz w:val="28"/>
          <w:szCs w:val="28"/>
          <w:lang w:val="uk-UA"/>
        </w:rPr>
        <w:t>Порівняльний аналіз ВДТ пацієнтів однієї вікової підгрупи між групами виявив значні достовірні відмінності між пацієнтами різних груп однієї вікової категорії. Так у пацієнтів групи 1 віком від 44 до 60 років спостерігалась достовірно довша ВДТ крові (р=0,037) та клітин букального епітелію (р=0,006) порівняно з пацієнтами групи 2 та групи 3 (ВДТ крові (р=0,001), ВДТ клітин букального епітелію (р=0,008)) відповідного віку. Пацієнти групи 1 віком від 61 до 75 років мали достовірно довшу ВДТ крові (р=0,006) та ВДТ клітин букального епітелію (р=0,001), ніж у пацієнтів  групи 2 та пацієнтів групи 3 (ВДТ крові - р=0,001, ВДТ клітин букального епітелію – р=0,001) відповідної вікової категорії. Між ВДТ пацієнтів 2-ї та 3-ї груп при даному віковому аналізі достовірних відмінностей виявлено не було.</w:t>
      </w:r>
    </w:p>
    <w:p w:rsidR="00E3259F" w:rsidRPr="00C078BE" w:rsidRDefault="00E3259F" w:rsidP="00E3259F">
      <w:pPr>
        <w:spacing w:line="360" w:lineRule="auto"/>
        <w:ind w:firstLine="709"/>
        <w:jc w:val="both"/>
        <w:rPr>
          <w:sz w:val="28"/>
          <w:szCs w:val="28"/>
          <w:lang w:val="uk-UA"/>
        </w:rPr>
      </w:pPr>
      <w:r w:rsidRPr="00C078BE">
        <w:rPr>
          <w:sz w:val="28"/>
          <w:szCs w:val="28"/>
          <w:lang w:val="uk-UA"/>
        </w:rPr>
        <w:t>З метою встановлення взаємозв`язку між ВДТ та віковими показниками, що характеризують темп старіння, був проведений кореляційний аналіз, який виявив наявність негативного кореляційного зв`язку між НБВ та ВДТ крові (</w:t>
      </w:r>
      <w:r w:rsidRPr="00C078BE">
        <w:rPr>
          <w:sz w:val="28"/>
          <w:szCs w:val="28"/>
          <w:lang w:val="en-US"/>
        </w:rPr>
        <w:t>r</w:t>
      </w:r>
      <w:r w:rsidRPr="00C078BE">
        <w:rPr>
          <w:sz w:val="28"/>
          <w:szCs w:val="28"/>
          <w:lang w:val="uk-UA"/>
        </w:rPr>
        <w:t>=- 0,259, р=0,004) і НБВ та ВДТ клітин букального епітелію (</w:t>
      </w:r>
      <w:r w:rsidRPr="00C078BE">
        <w:rPr>
          <w:sz w:val="28"/>
          <w:szCs w:val="28"/>
          <w:lang w:val="en-US"/>
        </w:rPr>
        <w:t>r</w:t>
      </w:r>
      <w:r w:rsidRPr="00C078BE">
        <w:rPr>
          <w:sz w:val="28"/>
          <w:szCs w:val="28"/>
          <w:lang w:val="uk-UA"/>
        </w:rPr>
        <w:t>= - 0,208, р=0,021) у  групі 2. У  групі 3були виявлені зв`язки  між ВДТ крові та КВ (</w:t>
      </w:r>
      <w:r w:rsidRPr="00C078BE">
        <w:rPr>
          <w:sz w:val="28"/>
          <w:szCs w:val="28"/>
          <w:lang w:val="en-US"/>
        </w:rPr>
        <w:t>r</w:t>
      </w:r>
      <w:r w:rsidRPr="00C078BE">
        <w:rPr>
          <w:sz w:val="28"/>
          <w:szCs w:val="28"/>
          <w:lang w:val="uk-UA"/>
        </w:rPr>
        <w:t>=- 0,230, р=0,026), коефіцієнтом старіння        (</w:t>
      </w:r>
      <w:r w:rsidRPr="00C078BE">
        <w:rPr>
          <w:sz w:val="28"/>
          <w:szCs w:val="28"/>
          <w:lang w:val="en-US"/>
        </w:rPr>
        <w:t>r</w:t>
      </w:r>
      <w:r w:rsidRPr="00C078BE">
        <w:rPr>
          <w:sz w:val="28"/>
          <w:szCs w:val="28"/>
          <w:lang w:val="uk-UA"/>
        </w:rPr>
        <w:t>= 0,258, р= 0,046), між ВДТ клітин букального епітелію та КВ (</w:t>
      </w:r>
      <w:r w:rsidRPr="00C078BE">
        <w:rPr>
          <w:sz w:val="28"/>
          <w:szCs w:val="28"/>
          <w:lang w:val="en-US"/>
        </w:rPr>
        <w:t>r</w:t>
      </w:r>
      <w:r w:rsidRPr="00C078BE">
        <w:rPr>
          <w:sz w:val="28"/>
          <w:szCs w:val="28"/>
          <w:lang w:val="uk-UA"/>
        </w:rPr>
        <w:t>=- 0,299,            р=0,004), НБВ (</w:t>
      </w:r>
      <w:r w:rsidRPr="00C078BE">
        <w:rPr>
          <w:sz w:val="28"/>
          <w:szCs w:val="28"/>
          <w:lang w:val="en-US"/>
        </w:rPr>
        <w:t>r</w:t>
      </w:r>
      <w:r w:rsidRPr="00C078BE">
        <w:rPr>
          <w:sz w:val="28"/>
          <w:szCs w:val="28"/>
          <w:lang w:val="uk-UA"/>
        </w:rPr>
        <w:t>=- 0,316, р=0,014), коефіцієнтом старіння (</w:t>
      </w:r>
      <w:r w:rsidRPr="00C078BE">
        <w:rPr>
          <w:sz w:val="28"/>
          <w:szCs w:val="28"/>
          <w:lang w:val="en-US"/>
        </w:rPr>
        <w:t>r</w:t>
      </w:r>
      <w:r w:rsidRPr="00C078BE">
        <w:rPr>
          <w:sz w:val="28"/>
          <w:szCs w:val="28"/>
          <w:lang w:val="uk-UA"/>
        </w:rPr>
        <w:t>= 0,338, р= 0,008) і індексом швидкості старіння (</w:t>
      </w:r>
      <w:r w:rsidRPr="00C078BE">
        <w:rPr>
          <w:sz w:val="28"/>
          <w:szCs w:val="28"/>
          <w:lang w:val="en-US"/>
        </w:rPr>
        <w:t>r</w:t>
      </w:r>
      <w:r w:rsidRPr="00C078BE">
        <w:rPr>
          <w:sz w:val="28"/>
          <w:szCs w:val="28"/>
          <w:lang w:val="uk-UA"/>
        </w:rPr>
        <w:t>=0,267, р=0,040). У групі ізольованої ГХ кореляційних зв</w:t>
      </w:r>
      <w:r w:rsidRPr="00C078BE">
        <w:rPr>
          <w:sz w:val="28"/>
          <w:szCs w:val="28"/>
        </w:rPr>
        <w:t>`</w:t>
      </w:r>
      <w:r w:rsidRPr="00C078BE">
        <w:rPr>
          <w:sz w:val="28"/>
          <w:szCs w:val="28"/>
          <w:lang w:val="uk-UA"/>
        </w:rPr>
        <w:t>язків між віковими показниками та ВДТ знайдено не було.</w:t>
      </w:r>
    </w:p>
    <w:p w:rsidR="00E3259F" w:rsidRPr="00C078BE" w:rsidRDefault="00E3259F" w:rsidP="00E3259F">
      <w:pPr>
        <w:spacing w:line="360" w:lineRule="auto"/>
        <w:ind w:firstLine="709"/>
        <w:jc w:val="both"/>
        <w:rPr>
          <w:rFonts w:eastAsiaTheme="minorHAnsi"/>
          <w:sz w:val="28"/>
          <w:szCs w:val="28"/>
          <w:lang w:val="uk-UA" w:eastAsia="en-US"/>
        </w:rPr>
      </w:pPr>
      <w:r w:rsidRPr="00C078BE">
        <w:rPr>
          <w:sz w:val="28"/>
          <w:szCs w:val="28"/>
          <w:lang w:val="uk-UA"/>
        </w:rPr>
        <w:t xml:space="preserve">Отримані дані підтверджують значний вплив ЦД 2 типу на процеси судинного старіння, що характеризується достовірно коротшою ВДТ, ніж при ізольованій ГХ, перевішуючи такий  важливий чинник як вік. Наявність СГТ надає посилюючий негативний ефект на ВДТ незалежно від віку хворих. </w:t>
      </w:r>
    </w:p>
    <w:p w:rsidR="00E3259F" w:rsidRPr="00C078BE" w:rsidRDefault="00E3259F" w:rsidP="00E3259F">
      <w:pPr>
        <w:spacing w:line="360" w:lineRule="auto"/>
        <w:ind w:firstLine="709"/>
        <w:jc w:val="both"/>
        <w:rPr>
          <w:sz w:val="28"/>
          <w:szCs w:val="28"/>
          <w:lang w:val="uk-UA"/>
        </w:rPr>
      </w:pPr>
      <w:r w:rsidRPr="00C078BE">
        <w:rPr>
          <w:sz w:val="28"/>
          <w:szCs w:val="28"/>
          <w:lang w:val="uk-UA"/>
        </w:rPr>
        <w:t>Визначення гендерних відмінностей ВДТ в досліджуваних групах проводилось за допомогою  порівняльного аналізу, в результаті якого було виявлено відсутність достовірного впливу статі на ВДТ в групах (таблиця 6.3).  Незалежно від діагнозу, чоловіки  мали довшу ВДТ крові та клітин букального епітелію (за винятком ВДТ букального епітелію в 2-ї групі), але ці відмінності не досягали достовірних значень. Проведення міжгрупового аналізу ВДТ з урахуванням статі виявив достовірні відмінності ВДТ крові при порівнянні жінок 1-ї та 2-ї групи (р=0,003), групи 1 та 3 (р=0,001), чоловіків 1 та 2 групи (р=0,001), 1 та 3 групи (р=0,012), достовірні відмінності ВДТ клітин букального епітелію - при порівнянні жінок групи 1 та 2 (р=0,001), групи 1 та 3 (р=0,004), чоловіків групи 1 та 2 (р=0,001), групи 1 та 3 (р=0,030) групи 2 та 3 (р=0,027).</w:t>
      </w:r>
    </w:p>
    <w:p w:rsidR="00E3259F" w:rsidRPr="00E3259F" w:rsidRDefault="00E3259F" w:rsidP="00E3259F">
      <w:pPr>
        <w:spacing w:line="360" w:lineRule="auto"/>
        <w:ind w:firstLine="709"/>
        <w:jc w:val="right"/>
        <w:rPr>
          <w:rStyle w:val="tlid-translation"/>
          <w:lang w:val="uk-UA"/>
        </w:rPr>
      </w:pPr>
    </w:p>
    <w:p w:rsidR="00E3259F" w:rsidRDefault="00E3259F" w:rsidP="00E3259F">
      <w:pPr>
        <w:spacing w:line="360" w:lineRule="auto"/>
        <w:ind w:firstLine="709"/>
        <w:jc w:val="right"/>
        <w:rPr>
          <w:rStyle w:val="tlid-translation"/>
          <w:sz w:val="28"/>
          <w:szCs w:val="28"/>
          <w:lang w:val="uk-UA"/>
        </w:rPr>
      </w:pPr>
      <w:r>
        <w:rPr>
          <w:rStyle w:val="tlid-translation"/>
          <w:sz w:val="28"/>
          <w:szCs w:val="28"/>
          <w:lang w:val="uk-UA"/>
        </w:rPr>
        <w:t>Таблиця 6.3</w:t>
      </w:r>
    </w:p>
    <w:p w:rsidR="00E3259F" w:rsidRPr="00E3259F" w:rsidRDefault="00E3259F" w:rsidP="00E3259F">
      <w:pPr>
        <w:spacing w:line="360" w:lineRule="auto"/>
        <w:ind w:firstLine="709"/>
        <w:jc w:val="center"/>
        <w:rPr>
          <w:lang w:val="uk-UA"/>
        </w:rPr>
      </w:pPr>
      <w:r>
        <w:rPr>
          <w:rStyle w:val="tlid-translation"/>
          <w:sz w:val="28"/>
          <w:szCs w:val="28"/>
          <w:lang w:val="uk-UA"/>
        </w:rPr>
        <w:t xml:space="preserve">Порівняльний аналіз </w:t>
      </w:r>
      <w:r>
        <w:rPr>
          <w:sz w:val="28"/>
          <w:szCs w:val="28"/>
          <w:lang w:val="uk-UA"/>
        </w:rPr>
        <w:t>відносної довжини теломер крові і клітин букального епітелію</w:t>
      </w:r>
      <w:r>
        <w:rPr>
          <w:rStyle w:val="tlid-translation"/>
          <w:sz w:val="28"/>
          <w:szCs w:val="28"/>
          <w:lang w:val="uk-UA"/>
        </w:rPr>
        <w:t xml:space="preserve"> в групах пацієнтів залежно від статі, </w:t>
      </w:r>
      <w:r>
        <w:rPr>
          <w:sz w:val="28"/>
          <w:szCs w:val="28"/>
          <w:lang w:val="uk-UA"/>
        </w:rPr>
        <w:t>(</w:t>
      </w:r>
      <w:r>
        <w:rPr>
          <w:sz w:val="28"/>
          <w:szCs w:val="28"/>
          <w:lang w:val="en-US"/>
        </w:rPr>
        <w:t>M</w:t>
      </w:r>
      <w:r>
        <w:rPr>
          <w:sz w:val="28"/>
          <w:szCs w:val="28"/>
          <w:lang w:val="uk-UA"/>
        </w:rPr>
        <w:t>±</w:t>
      </w:r>
      <w:r>
        <w:rPr>
          <w:sz w:val="28"/>
          <w:szCs w:val="28"/>
          <w:lang w:val="en-US"/>
        </w:rPr>
        <w:t>m</w:t>
      </w:r>
      <w:r>
        <w:rPr>
          <w:sz w:val="28"/>
          <w:szCs w:val="28"/>
          <w:lang w:val="uk-UA"/>
        </w:rPr>
        <w:t>)</w:t>
      </w:r>
    </w:p>
    <w:tbl>
      <w:tblPr>
        <w:tblW w:w="5000" w:type="pct"/>
        <w:tblLook w:val="04A0" w:firstRow="1" w:lastRow="0" w:firstColumn="1" w:lastColumn="0" w:noHBand="0" w:noVBand="1"/>
      </w:tblPr>
      <w:tblGrid>
        <w:gridCol w:w="1528"/>
        <w:gridCol w:w="1269"/>
        <w:gridCol w:w="1350"/>
        <w:gridCol w:w="1269"/>
        <w:gridCol w:w="1350"/>
        <w:gridCol w:w="1459"/>
        <w:gridCol w:w="1346"/>
      </w:tblGrid>
      <w:tr w:rsidR="00C078BE" w:rsidRPr="00C078BE" w:rsidTr="00C078BE">
        <w:tc>
          <w:tcPr>
            <w:tcW w:w="798"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Показник</w:t>
            </w:r>
          </w:p>
        </w:tc>
        <w:tc>
          <w:tcPr>
            <w:tcW w:w="1368" w:type="pct"/>
            <w:gridSpan w:val="2"/>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pStyle w:val="1"/>
              <w:spacing w:before="0" w:beforeAutospacing="0" w:after="0" w:afterAutospacing="0" w:line="360" w:lineRule="auto"/>
              <w:jc w:val="center"/>
              <w:rPr>
                <w:b w:val="0"/>
                <w:sz w:val="26"/>
                <w:szCs w:val="26"/>
                <w:lang w:val="en-US" w:eastAsia="en-US"/>
              </w:rPr>
            </w:pPr>
            <w:r w:rsidRPr="00C078BE">
              <w:rPr>
                <w:b w:val="0"/>
                <w:sz w:val="26"/>
                <w:szCs w:val="26"/>
                <w:lang w:val="uk-UA" w:eastAsia="en-US"/>
              </w:rPr>
              <w:t>Група 1</w:t>
            </w:r>
          </w:p>
          <w:p w:rsidR="00E3259F" w:rsidRPr="00C078BE" w:rsidRDefault="00E3259F" w:rsidP="00C078BE">
            <w:pPr>
              <w:pStyle w:val="1"/>
              <w:spacing w:before="0" w:beforeAutospacing="0" w:after="0" w:afterAutospacing="0" w:line="360" w:lineRule="auto"/>
              <w:jc w:val="center"/>
              <w:rPr>
                <w:b w:val="0"/>
                <w:sz w:val="26"/>
                <w:szCs w:val="26"/>
                <w:lang w:val="en-US" w:eastAsia="en-US"/>
              </w:rPr>
            </w:pPr>
            <w:r w:rsidRPr="00C078BE">
              <w:rPr>
                <w:b w:val="0"/>
                <w:sz w:val="26"/>
                <w:szCs w:val="26"/>
                <w:lang w:val="en-US" w:eastAsia="en-US"/>
              </w:rPr>
              <w:t>(n=</w:t>
            </w:r>
            <w:r w:rsidRPr="00C078BE">
              <w:rPr>
                <w:b w:val="0"/>
                <w:sz w:val="26"/>
                <w:szCs w:val="26"/>
                <w:lang w:val="uk-UA" w:eastAsia="en-US"/>
              </w:rPr>
              <w:t>106</w:t>
            </w:r>
            <w:r w:rsidRPr="00C078BE">
              <w:rPr>
                <w:b w:val="0"/>
                <w:sz w:val="26"/>
                <w:szCs w:val="26"/>
                <w:lang w:val="en-US" w:eastAsia="en-US"/>
              </w:rPr>
              <w:t>)</w:t>
            </w:r>
          </w:p>
        </w:tc>
        <w:tc>
          <w:tcPr>
            <w:tcW w:w="1368" w:type="pct"/>
            <w:gridSpan w:val="2"/>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pStyle w:val="1"/>
              <w:spacing w:before="0" w:beforeAutospacing="0" w:after="0" w:afterAutospacing="0" w:line="360" w:lineRule="auto"/>
              <w:jc w:val="center"/>
              <w:rPr>
                <w:b w:val="0"/>
                <w:sz w:val="26"/>
                <w:szCs w:val="26"/>
                <w:lang w:val="en-US" w:eastAsia="en-US"/>
              </w:rPr>
            </w:pPr>
            <w:r w:rsidRPr="00C078BE">
              <w:rPr>
                <w:b w:val="0"/>
                <w:sz w:val="26"/>
                <w:szCs w:val="26"/>
                <w:lang w:val="uk-UA" w:eastAsia="en-US"/>
              </w:rPr>
              <w:t>Група 2</w:t>
            </w:r>
          </w:p>
          <w:p w:rsidR="00E3259F" w:rsidRPr="00C078BE" w:rsidRDefault="00E3259F" w:rsidP="00C078BE">
            <w:pPr>
              <w:pStyle w:val="1"/>
              <w:spacing w:before="0" w:beforeAutospacing="0" w:after="0" w:afterAutospacing="0" w:line="360" w:lineRule="auto"/>
              <w:jc w:val="center"/>
              <w:rPr>
                <w:b w:val="0"/>
                <w:sz w:val="26"/>
                <w:szCs w:val="26"/>
                <w:lang w:val="en-US" w:eastAsia="en-US"/>
              </w:rPr>
            </w:pPr>
            <w:r w:rsidRPr="00C078BE">
              <w:rPr>
                <w:b w:val="0"/>
                <w:sz w:val="26"/>
                <w:szCs w:val="26"/>
                <w:lang w:val="en-US" w:eastAsia="en-US"/>
              </w:rPr>
              <w:t>(n=</w:t>
            </w:r>
            <w:r w:rsidRPr="00C078BE">
              <w:rPr>
                <w:b w:val="0"/>
                <w:sz w:val="26"/>
                <w:szCs w:val="26"/>
                <w:lang w:val="uk-UA" w:eastAsia="en-US"/>
              </w:rPr>
              <w:t>15</w:t>
            </w:r>
            <w:r w:rsidRPr="00C078BE">
              <w:rPr>
                <w:b w:val="0"/>
                <w:sz w:val="26"/>
                <w:szCs w:val="26"/>
                <w:lang w:val="en-US" w:eastAsia="en-US"/>
              </w:rPr>
              <w:t>6)</w:t>
            </w:r>
          </w:p>
        </w:tc>
        <w:tc>
          <w:tcPr>
            <w:tcW w:w="1465" w:type="pct"/>
            <w:gridSpan w:val="2"/>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pStyle w:val="1"/>
              <w:spacing w:before="0" w:beforeAutospacing="0" w:after="0" w:afterAutospacing="0" w:line="360" w:lineRule="auto"/>
              <w:jc w:val="center"/>
              <w:rPr>
                <w:b w:val="0"/>
                <w:sz w:val="26"/>
                <w:szCs w:val="26"/>
                <w:lang w:eastAsia="en-US"/>
              </w:rPr>
            </w:pPr>
            <w:r w:rsidRPr="00C078BE">
              <w:rPr>
                <w:b w:val="0"/>
                <w:sz w:val="26"/>
                <w:szCs w:val="26"/>
                <w:lang w:val="uk-UA" w:eastAsia="en-US"/>
              </w:rPr>
              <w:t>Група 3</w:t>
            </w:r>
          </w:p>
          <w:p w:rsidR="00E3259F" w:rsidRPr="00C078BE" w:rsidRDefault="00E3259F" w:rsidP="00C078BE">
            <w:pPr>
              <w:pStyle w:val="1"/>
              <w:spacing w:before="0" w:beforeAutospacing="0" w:after="0" w:afterAutospacing="0" w:line="360" w:lineRule="auto"/>
              <w:jc w:val="center"/>
              <w:rPr>
                <w:b w:val="0"/>
                <w:sz w:val="26"/>
                <w:szCs w:val="26"/>
                <w:lang w:eastAsia="en-US"/>
              </w:rPr>
            </w:pPr>
            <w:r w:rsidRPr="00C078BE">
              <w:rPr>
                <w:b w:val="0"/>
                <w:sz w:val="26"/>
                <w:szCs w:val="26"/>
                <w:lang w:eastAsia="en-US"/>
              </w:rPr>
              <w:t>(</w:t>
            </w:r>
            <w:r w:rsidRPr="00C078BE">
              <w:rPr>
                <w:b w:val="0"/>
                <w:sz w:val="26"/>
                <w:szCs w:val="26"/>
                <w:lang w:val="en-US" w:eastAsia="en-US"/>
              </w:rPr>
              <w:t>n</w:t>
            </w:r>
            <w:r w:rsidRPr="00C078BE">
              <w:rPr>
                <w:b w:val="0"/>
                <w:sz w:val="26"/>
                <w:szCs w:val="26"/>
                <w:lang w:eastAsia="en-US"/>
              </w:rPr>
              <w:t>=</w:t>
            </w:r>
            <w:r w:rsidRPr="00C078BE">
              <w:rPr>
                <w:b w:val="0"/>
                <w:sz w:val="26"/>
                <w:szCs w:val="26"/>
                <w:lang w:val="uk-UA" w:eastAsia="en-US"/>
              </w:rPr>
              <w:t>93</w:t>
            </w:r>
            <w:r w:rsidRPr="00C078BE">
              <w:rPr>
                <w:b w:val="0"/>
                <w:sz w:val="26"/>
                <w:szCs w:val="26"/>
                <w:lang w:eastAsia="en-US"/>
              </w:rPr>
              <w:t>)</w:t>
            </w:r>
          </w:p>
        </w:tc>
      </w:tr>
      <w:tr w:rsidR="00C078BE" w:rsidRPr="00C078BE" w:rsidTr="00C078BE">
        <w:tc>
          <w:tcPr>
            <w:tcW w:w="798"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Стать</w:t>
            </w:r>
          </w:p>
        </w:tc>
        <w:tc>
          <w:tcPr>
            <w:tcW w:w="66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жінки</w:t>
            </w:r>
          </w:p>
          <w:p w:rsidR="00E3259F" w:rsidRPr="00C078BE" w:rsidRDefault="00E3259F" w:rsidP="00C078BE">
            <w:pPr>
              <w:spacing w:line="360" w:lineRule="auto"/>
              <w:jc w:val="both"/>
              <w:rPr>
                <w:sz w:val="26"/>
                <w:szCs w:val="26"/>
                <w:lang w:val="uk-UA" w:eastAsia="en-US"/>
              </w:rPr>
            </w:pPr>
            <w:r w:rsidRPr="00C078BE">
              <w:rPr>
                <w:sz w:val="26"/>
                <w:szCs w:val="26"/>
                <w:lang w:eastAsia="en-US"/>
              </w:rPr>
              <w:t>(</w:t>
            </w:r>
            <w:r w:rsidRPr="00C078BE">
              <w:rPr>
                <w:sz w:val="26"/>
                <w:szCs w:val="26"/>
                <w:lang w:val="en-US" w:eastAsia="en-US"/>
              </w:rPr>
              <w:t>n=</w:t>
            </w:r>
            <w:r w:rsidRPr="00C078BE">
              <w:rPr>
                <w:sz w:val="26"/>
                <w:szCs w:val="26"/>
                <w:lang w:val="uk-UA" w:eastAsia="en-US"/>
              </w:rPr>
              <w:t>71</w:t>
            </w:r>
            <w:r w:rsidRPr="00C078BE">
              <w:rPr>
                <w:sz w:val="26"/>
                <w:szCs w:val="26"/>
                <w:lang w:val="en-US" w:eastAsia="en-US"/>
              </w:rPr>
              <w:t>)</w:t>
            </w:r>
          </w:p>
        </w:tc>
        <w:tc>
          <w:tcPr>
            <w:tcW w:w="70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чоловіки</w:t>
            </w:r>
          </w:p>
          <w:p w:rsidR="00E3259F" w:rsidRPr="00C078BE" w:rsidRDefault="00E3259F" w:rsidP="00C078BE">
            <w:pPr>
              <w:spacing w:line="360" w:lineRule="auto"/>
              <w:jc w:val="both"/>
              <w:rPr>
                <w:sz w:val="26"/>
                <w:szCs w:val="26"/>
                <w:lang w:val="uk-UA" w:eastAsia="en-US"/>
              </w:rPr>
            </w:pPr>
            <w:r w:rsidRPr="00C078BE">
              <w:rPr>
                <w:sz w:val="26"/>
                <w:szCs w:val="26"/>
                <w:lang w:eastAsia="en-US"/>
              </w:rPr>
              <w:t>(</w:t>
            </w:r>
            <w:r w:rsidRPr="00C078BE">
              <w:rPr>
                <w:sz w:val="26"/>
                <w:szCs w:val="26"/>
                <w:lang w:val="en-US" w:eastAsia="en-US"/>
              </w:rPr>
              <w:t>n=</w:t>
            </w:r>
            <w:r w:rsidRPr="00C078BE">
              <w:rPr>
                <w:sz w:val="26"/>
                <w:szCs w:val="26"/>
                <w:lang w:val="uk-UA" w:eastAsia="en-US"/>
              </w:rPr>
              <w:t>35</w:t>
            </w:r>
            <w:r w:rsidRPr="00C078BE">
              <w:rPr>
                <w:sz w:val="26"/>
                <w:szCs w:val="26"/>
                <w:lang w:val="en-US" w:eastAsia="en-US"/>
              </w:rPr>
              <w:t>)</w:t>
            </w:r>
          </w:p>
        </w:tc>
        <w:tc>
          <w:tcPr>
            <w:tcW w:w="66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жінки</w:t>
            </w:r>
          </w:p>
          <w:p w:rsidR="00E3259F" w:rsidRPr="00C078BE" w:rsidRDefault="00E3259F" w:rsidP="00C078BE">
            <w:pPr>
              <w:spacing w:line="360" w:lineRule="auto"/>
              <w:jc w:val="both"/>
              <w:rPr>
                <w:sz w:val="26"/>
                <w:szCs w:val="26"/>
                <w:lang w:val="uk-UA" w:eastAsia="en-US"/>
              </w:rPr>
            </w:pPr>
            <w:r w:rsidRPr="00C078BE">
              <w:rPr>
                <w:sz w:val="26"/>
                <w:szCs w:val="26"/>
                <w:lang w:eastAsia="en-US"/>
              </w:rPr>
              <w:t>(</w:t>
            </w:r>
            <w:r w:rsidRPr="00C078BE">
              <w:rPr>
                <w:sz w:val="26"/>
                <w:szCs w:val="26"/>
                <w:lang w:val="en-US" w:eastAsia="en-US"/>
              </w:rPr>
              <w:t>n=</w:t>
            </w:r>
            <w:r w:rsidRPr="00C078BE">
              <w:rPr>
                <w:sz w:val="26"/>
                <w:szCs w:val="26"/>
                <w:lang w:val="uk-UA" w:eastAsia="en-US"/>
              </w:rPr>
              <w:t>75</w:t>
            </w:r>
            <w:r w:rsidRPr="00C078BE">
              <w:rPr>
                <w:sz w:val="26"/>
                <w:szCs w:val="26"/>
                <w:lang w:val="en-US" w:eastAsia="en-US"/>
              </w:rPr>
              <w:t>)</w:t>
            </w:r>
          </w:p>
        </w:tc>
        <w:tc>
          <w:tcPr>
            <w:tcW w:w="70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чоловіки</w:t>
            </w:r>
          </w:p>
          <w:p w:rsidR="00E3259F" w:rsidRPr="00C078BE" w:rsidRDefault="00E3259F" w:rsidP="00C078BE">
            <w:pPr>
              <w:spacing w:line="360" w:lineRule="auto"/>
              <w:jc w:val="both"/>
              <w:rPr>
                <w:sz w:val="26"/>
                <w:szCs w:val="26"/>
                <w:lang w:val="uk-UA" w:eastAsia="en-US"/>
              </w:rPr>
            </w:pPr>
            <w:r w:rsidRPr="00C078BE">
              <w:rPr>
                <w:sz w:val="26"/>
                <w:szCs w:val="26"/>
                <w:lang w:eastAsia="en-US"/>
              </w:rPr>
              <w:t>(</w:t>
            </w:r>
            <w:r w:rsidRPr="00C078BE">
              <w:rPr>
                <w:sz w:val="26"/>
                <w:szCs w:val="26"/>
                <w:lang w:val="en-US" w:eastAsia="en-US"/>
              </w:rPr>
              <w:t>n=</w:t>
            </w:r>
            <w:r w:rsidRPr="00C078BE">
              <w:rPr>
                <w:sz w:val="26"/>
                <w:szCs w:val="26"/>
                <w:lang w:val="uk-UA" w:eastAsia="en-US"/>
              </w:rPr>
              <w:t>81</w:t>
            </w:r>
            <w:r w:rsidRPr="00C078BE">
              <w:rPr>
                <w:sz w:val="26"/>
                <w:szCs w:val="26"/>
                <w:lang w:val="en-US" w:eastAsia="en-US"/>
              </w:rPr>
              <w:t>)</w:t>
            </w:r>
          </w:p>
        </w:tc>
        <w:tc>
          <w:tcPr>
            <w:tcW w:w="762"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жінки</w:t>
            </w:r>
          </w:p>
          <w:p w:rsidR="00E3259F" w:rsidRPr="00C078BE" w:rsidRDefault="00E3259F" w:rsidP="00C078BE">
            <w:pPr>
              <w:spacing w:line="360" w:lineRule="auto"/>
              <w:jc w:val="both"/>
              <w:rPr>
                <w:sz w:val="26"/>
                <w:szCs w:val="26"/>
                <w:lang w:val="uk-UA" w:eastAsia="en-US"/>
              </w:rPr>
            </w:pPr>
            <w:r w:rsidRPr="00C078BE">
              <w:rPr>
                <w:sz w:val="26"/>
                <w:szCs w:val="26"/>
                <w:lang w:eastAsia="en-US"/>
              </w:rPr>
              <w:t>(</w:t>
            </w:r>
            <w:r w:rsidRPr="00C078BE">
              <w:rPr>
                <w:sz w:val="26"/>
                <w:szCs w:val="26"/>
                <w:lang w:val="en-US" w:eastAsia="en-US"/>
              </w:rPr>
              <w:t>n=</w:t>
            </w:r>
            <w:r w:rsidRPr="00C078BE">
              <w:rPr>
                <w:sz w:val="26"/>
                <w:szCs w:val="26"/>
                <w:lang w:val="uk-UA" w:eastAsia="en-US"/>
              </w:rPr>
              <w:t>81</w:t>
            </w:r>
            <w:r w:rsidRPr="00C078BE">
              <w:rPr>
                <w:sz w:val="26"/>
                <w:szCs w:val="26"/>
                <w:lang w:val="en-US" w:eastAsia="en-US"/>
              </w:rPr>
              <w:t>)</w:t>
            </w:r>
          </w:p>
        </w:tc>
        <w:tc>
          <w:tcPr>
            <w:tcW w:w="70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чоловіки</w:t>
            </w:r>
          </w:p>
          <w:p w:rsidR="00E3259F" w:rsidRPr="00C078BE" w:rsidRDefault="00E3259F" w:rsidP="00C078BE">
            <w:pPr>
              <w:spacing w:line="360" w:lineRule="auto"/>
              <w:jc w:val="both"/>
              <w:rPr>
                <w:sz w:val="26"/>
                <w:szCs w:val="26"/>
                <w:lang w:val="uk-UA" w:eastAsia="en-US"/>
              </w:rPr>
            </w:pPr>
            <w:r w:rsidRPr="00C078BE">
              <w:rPr>
                <w:sz w:val="26"/>
                <w:szCs w:val="26"/>
                <w:lang w:eastAsia="en-US"/>
              </w:rPr>
              <w:t>(</w:t>
            </w:r>
            <w:r w:rsidRPr="00C078BE">
              <w:rPr>
                <w:sz w:val="26"/>
                <w:szCs w:val="26"/>
                <w:lang w:val="en-US" w:eastAsia="en-US"/>
              </w:rPr>
              <w:t>n=</w:t>
            </w:r>
            <w:r w:rsidRPr="00C078BE">
              <w:rPr>
                <w:sz w:val="26"/>
                <w:szCs w:val="26"/>
                <w:lang w:val="uk-UA" w:eastAsia="en-US"/>
              </w:rPr>
              <w:t>12</w:t>
            </w:r>
            <w:r w:rsidRPr="00C078BE">
              <w:rPr>
                <w:sz w:val="26"/>
                <w:szCs w:val="26"/>
                <w:lang w:val="en-US" w:eastAsia="en-US"/>
              </w:rPr>
              <w:t>)</w:t>
            </w:r>
          </w:p>
        </w:tc>
      </w:tr>
      <w:tr w:rsidR="00C078BE" w:rsidRPr="00C078BE" w:rsidTr="00C078BE">
        <w:tc>
          <w:tcPr>
            <w:tcW w:w="798"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6"/>
                <w:szCs w:val="26"/>
                <w:lang w:val="uk-UA" w:eastAsia="en-US"/>
              </w:rPr>
            </w:pPr>
            <w:r w:rsidRPr="00C078BE">
              <w:rPr>
                <w:sz w:val="26"/>
                <w:szCs w:val="26"/>
                <w:lang w:val="uk-UA" w:eastAsia="en-US"/>
              </w:rPr>
              <w:t>ВДТ крові</w:t>
            </w:r>
            <w:r w:rsidRPr="00C078BE">
              <w:rPr>
                <w:sz w:val="26"/>
                <w:szCs w:val="26"/>
                <w:lang w:eastAsia="en-US"/>
              </w:rPr>
              <w:t xml:space="preserve">, </w:t>
            </w:r>
            <w:r w:rsidRPr="00C078BE">
              <w:rPr>
                <w:sz w:val="26"/>
                <w:szCs w:val="26"/>
                <w:lang w:val="uk-UA" w:eastAsia="en-US"/>
              </w:rPr>
              <w:t>ум.од</w:t>
            </w:r>
          </w:p>
        </w:tc>
        <w:tc>
          <w:tcPr>
            <w:tcW w:w="66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eastAsia="en-US"/>
              </w:rPr>
              <w:t>1,2</w:t>
            </w:r>
            <w:r w:rsidRPr="00C078BE">
              <w:rPr>
                <w:sz w:val="26"/>
                <w:szCs w:val="26"/>
                <w:lang w:val="uk-UA" w:eastAsia="en-US"/>
              </w:rPr>
              <w:t>8</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6</w:t>
            </w:r>
          </w:p>
        </w:tc>
        <w:tc>
          <w:tcPr>
            <w:tcW w:w="70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eastAsia="en-US"/>
              </w:rPr>
              <w:t>1,</w:t>
            </w:r>
            <w:r w:rsidRPr="00C078BE">
              <w:rPr>
                <w:sz w:val="26"/>
                <w:szCs w:val="26"/>
                <w:lang w:val="uk-UA" w:eastAsia="en-US"/>
              </w:rPr>
              <w:t>29</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8</w:t>
            </w:r>
          </w:p>
          <w:p w:rsidR="00E3259F" w:rsidRPr="00C078BE" w:rsidRDefault="00E3259F" w:rsidP="00C078BE">
            <w:pPr>
              <w:spacing w:line="360" w:lineRule="auto"/>
              <w:jc w:val="both"/>
              <w:rPr>
                <w:sz w:val="26"/>
                <w:szCs w:val="26"/>
                <w:lang w:val="uk-UA" w:eastAsia="en-US"/>
              </w:rPr>
            </w:pPr>
            <w:r w:rsidRPr="00C078BE">
              <w:rPr>
                <w:sz w:val="26"/>
                <w:szCs w:val="26"/>
                <w:shd w:val="clear" w:color="auto" w:fill="FFFFFF"/>
                <w:lang w:val="uk-UA" w:eastAsia="en-US"/>
              </w:rPr>
              <w:t>р&gt;0,05</w:t>
            </w:r>
          </w:p>
        </w:tc>
        <w:tc>
          <w:tcPr>
            <w:tcW w:w="66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0</w:t>
            </w:r>
            <w:r w:rsidRPr="00C078BE">
              <w:rPr>
                <w:sz w:val="26"/>
                <w:szCs w:val="26"/>
                <w:lang w:eastAsia="en-US"/>
              </w:rPr>
              <w:t>,9</w:t>
            </w:r>
            <w:r w:rsidRPr="00C078BE">
              <w:rPr>
                <w:sz w:val="26"/>
                <w:szCs w:val="26"/>
                <w:lang w:val="uk-UA" w:eastAsia="en-US"/>
              </w:rPr>
              <w:t>1</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5</w:t>
            </w:r>
          </w:p>
        </w:tc>
        <w:tc>
          <w:tcPr>
            <w:tcW w:w="70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0</w:t>
            </w:r>
            <w:r w:rsidRPr="00C078BE">
              <w:rPr>
                <w:sz w:val="26"/>
                <w:szCs w:val="26"/>
                <w:lang w:eastAsia="en-US"/>
              </w:rPr>
              <w:t>,9</w:t>
            </w:r>
            <w:r w:rsidRPr="00C078BE">
              <w:rPr>
                <w:sz w:val="26"/>
                <w:szCs w:val="26"/>
                <w:lang w:val="uk-UA" w:eastAsia="en-US"/>
              </w:rPr>
              <w:t>9</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7</w:t>
            </w:r>
          </w:p>
          <w:p w:rsidR="00E3259F" w:rsidRPr="00C078BE" w:rsidRDefault="00E3259F" w:rsidP="00C078BE">
            <w:pPr>
              <w:spacing w:line="360" w:lineRule="auto"/>
              <w:jc w:val="both"/>
              <w:rPr>
                <w:sz w:val="26"/>
                <w:szCs w:val="26"/>
                <w:lang w:val="uk-UA" w:eastAsia="en-US"/>
              </w:rPr>
            </w:pPr>
            <w:r w:rsidRPr="00C078BE">
              <w:rPr>
                <w:sz w:val="26"/>
                <w:szCs w:val="26"/>
                <w:shd w:val="clear" w:color="auto" w:fill="FFFFFF"/>
                <w:lang w:val="uk-UA" w:eastAsia="en-US"/>
              </w:rPr>
              <w:t>р&gt;0,05</w:t>
            </w:r>
          </w:p>
        </w:tc>
        <w:tc>
          <w:tcPr>
            <w:tcW w:w="762"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0</w:t>
            </w:r>
            <w:r w:rsidRPr="00C078BE">
              <w:rPr>
                <w:sz w:val="26"/>
                <w:szCs w:val="26"/>
                <w:lang w:eastAsia="en-US"/>
              </w:rPr>
              <w:t>,92±</w:t>
            </w:r>
            <w:r w:rsidRPr="00C078BE">
              <w:rPr>
                <w:sz w:val="26"/>
                <w:szCs w:val="26"/>
                <w:lang w:val="uk-UA" w:eastAsia="en-US"/>
              </w:rPr>
              <w:t>0</w:t>
            </w:r>
            <w:r w:rsidRPr="00C078BE">
              <w:rPr>
                <w:sz w:val="26"/>
                <w:szCs w:val="26"/>
                <w:lang w:eastAsia="en-US"/>
              </w:rPr>
              <w:t>,0</w:t>
            </w:r>
            <w:r w:rsidRPr="00C078BE">
              <w:rPr>
                <w:sz w:val="26"/>
                <w:szCs w:val="26"/>
                <w:lang w:val="uk-UA" w:eastAsia="en-US"/>
              </w:rPr>
              <w:t>5</w:t>
            </w:r>
          </w:p>
        </w:tc>
        <w:tc>
          <w:tcPr>
            <w:tcW w:w="70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0</w:t>
            </w:r>
            <w:r w:rsidRPr="00C078BE">
              <w:rPr>
                <w:sz w:val="26"/>
                <w:szCs w:val="26"/>
                <w:lang w:eastAsia="en-US"/>
              </w:rPr>
              <w:t>,9</w:t>
            </w:r>
            <w:r w:rsidRPr="00C078BE">
              <w:rPr>
                <w:sz w:val="26"/>
                <w:szCs w:val="26"/>
                <w:lang w:val="uk-UA" w:eastAsia="en-US"/>
              </w:rPr>
              <w:t>6</w:t>
            </w:r>
            <w:r w:rsidRPr="00C078BE">
              <w:rPr>
                <w:sz w:val="26"/>
                <w:szCs w:val="26"/>
                <w:lang w:eastAsia="en-US"/>
              </w:rPr>
              <w:t>±</w:t>
            </w:r>
            <w:r w:rsidRPr="00C078BE">
              <w:rPr>
                <w:sz w:val="26"/>
                <w:szCs w:val="26"/>
                <w:lang w:val="uk-UA" w:eastAsia="en-US"/>
              </w:rPr>
              <w:t>0</w:t>
            </w:r>
            <w:r w:rsidRPr="00C078BE">
              <w:rPr>
                <w:sz w:val="26"/>
                <w:szCs w:val="26"/>
                <w:lang w:eastAsia="en-US"/>
              </w:rPr>
              <w:t>,</w:t>
            </w:r>
            <w:r w:rsidRPr="00C078BE">
              <w:rPr>
                <w:sz w:val="26"/>
                <w:szCs w:val="26"/>
                <w:lang w:val="uk-UA" w:eastAsia="en-US"/>
              </w:rPr>
              <w:t>10</w:t>
            </w:r>
          </w:p>
          <w:p w:rsidR="00E3259F" w:rsidRPr="00C078BE" w:rsidRDefault="00E3259F" w:rsidP="00C078BE">
            <w:pPr>
              <w:spacing w:line="360" w:lineRule="auto"/>
              <w:jc w:val="both"/>
              <w:rPr>
                <w:sz w:val="26"/>
                <w:szCs w:val="26"/>
                <w:lang w:val="uk-UA" w:eastAsia="en-US"/>
              </w:rPr>
            </w:pPr>
            <w:r w:rsidRPr="00C078BE">
              <w:rPr>
                <w:sz w:val="26"/>
                <w:szCs w:val="26"/>
                <w:shd w:val="clear" w:color="auto" w:fill="FFFFFF"/>
                <w:lang w:val="uk-UA" w:eastAsia="en-US"/>
              </w:rPr>
              <w:t>р&gt;0,05</w:t>
            </w:r>
          </w:p>
        </w:tc>
      </w:tr>
      <w:tr w:rsidR="00C078BE" w:rsidRPr="00C078BE" w:rsidTr="00C078BE">
        <w:tc>
          <w:tcPr>
            <w:tcW w:w="798"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rPr>
                <w:sz w:val="26"/>
                <w:szCs w:val="26"/>
                <w:lang w:val="uk-UA" w:eastAsia="en-US"/>
              </w:rPr>
            </w:pPr>
            <w:r w:rsidRPr="00C078BE">
              <w:rPr>
                <w:sz w:val="26"/>
                <w:szCs w:val="26"/>
                <w:lang w:val="uk-UA" w:eastAsia="en-US"/>
              </w:rPr>
              <w:t xml:space="preserve">ВДТ </w:t>
            </w:r>
            <w:r w:rsidRPr="00C078BE">
              <w:rPr>
                <w:sz w:val="26"/>
                <w:szCs w:val="26"/>
                <w:lang w:eastAsia="en-US"/>
              </w:rPr>
              <w:t>кл</w:t>
            </w:r>
            <w:r w:rsidRPr="00C078BE">
              <w:rPr>
                <w:sz w:val="26"/>
                <w:szCs w:val="26"/>
                <w:lang w:val="uk-UA" w:eastAsia="en-US"/>
              </w:rPr>
              <w:t>ітин</w:t>
            </w:r>
            <w:r w:rsidRPr="00C078BE">
              <w:rPr>
                <w:sz w:val="26"/>
                <w:szCs w:val="26"/>
                <w:lang w:eastAsia="en-US"/>
              </w:rPr>
              <w:t xml:space="preserve"> букального </w:t>
            </w:r>
            <w:r w:rsidRPr="00C078BE">
              <w:rPr>
                <w:sz w:val="26"/>
                <w:szCs w:val="26"/>
                <w:lang w:val="uk-UA" w:eastAsia="en-US"/>
              </w:rPr>
              <w:t>е</w:t>
            </w:r>
            <w:r w:rsidRPr="00C078BE">
              <w:rPr>
                <w:sz w:val="26"/>
                <w:szCs w:val="26"/>
                <w:lang w:eastAsia="en-US"/>
              </w:rPr>
              <w:t>пител</w:t>
            </w:r>
            <w:r w:rsidRPr="00C078BE">
              <w:rPr>
                <w:sz w:val="26"/>
                <w:szCs w:val="26"/>
                <w:lang w:val="uk-UA" w:eastAsia="en-US"/>
              </w:rPr>
              <w:t>ію</w:t>
            </w:r>
            <w:r w:rsidRPr="00C078BE">
              <w:rPr>
                <w:sz w:val="26"/>
                <w:szCs w:val="26"/>
                <w:lang w:eastAsia="en-US"/>
              </w:rPr>
              <w:t xml:space="preserve">, </w:t>
            </w:r>
            <w:r w:rsidRPr="00C078BE">
              <w:rPr>
                <w:sz w:val="26"/>
                <w:szCs w:val="26"/>
                <w:lang w:val="uk-UA" w:eastAsia="en-US"/>
              </w:rPr>
              <w:t>ум.од.</w:t>
            </w:r>
          </w:p>
        </w:tc>
        <w:tc>
          <w:tcPr>
            <w:tcW w:w="66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eastAsia="en-US"/>
              </w:rPr>
            </w:pPr>
            <w:r w:rsidRPr="00C078BE">
              <w:rPr>
                <w:sz w:val="26"/>
                <w:szCs w:val="26"/>
                <w:lang w:eastAsia="en-US"/>
              </w:rPr>
              <w:t>1,2</w:t>
            </w:r>
            <w:r w:rsidRPr="00C078BE">
              <w:rPr>
                <w:sz w:val="26"/>
                <w:szCs w:val="26"/>
                <w:lang w:val="uk-UA" w:eastAsia="en-US"/>
              </w:rPr>
              <w:t>5</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6</w:t>
            </w:r>
          </w:p>
        </w:tc>
        <w:tc>
          <w:tcPr>
            <w:tcW w:w="70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eastAsia="en-US"/>
              </w:rPr>
              <w:t>1,3</w:t>
            </w:r>
            <w:r w:rsidRPr="00C078BE">
              <w:rPr>
                <w:sz w:val="26"/>
                <w:szCs w:val="26"/>
                <w:lang w:val="uk-UA" w:eastAsia="en-US"/>
              </w:rPr>
              <w:t>1±0</w:t>
            </w:r>
            <w:r w:rsidRPr="00C078BE">
              <w:rPr>
                <w:sz w:val="26"/>
                <w:szCs w:val="26"/>
                <w:lang w:eastAsia="en-US"/>
              </w:rPr>
              <w:t>,0</w:t>
            </w:r>
            <w:r w:rsidRPr="00C078BE">
              <w:rPr>
                <w:sz w:val="26"/>
                <w:szCs w:val="26"/>
                <w:lang w:val="uk-UA" w:eastAsia="en-US"/>
              </w:rPr>
              <w:t>8</w:t>
            </w:r>
          </w:p>
          <w:p w:rsidR="00E3259F" w:rsidRPr="00C078BE" w:rsidRDefault="00E3259F" w:rsidP="00C078BE">
            <w:pPr>
              <w:spacing w:line="360" w:lineRule="auto"/>
              <w:jc w:val="both"/>
              <w:rPr>
                <w:sz w:val="26"/>
                <w:szCs w:val="26"/>
                <w:lang w:val="uk-UA" w:eastAsia="en-US"/>
              </w:rPr>
            </w:pPr>
            <w:r w:rsidRPr="00C078BE">
              <w:rPr>
                <w:sz w:val="26"/>
                <w:szCs w:val="26"/>
                <w:shd w:val="clear" w:color="auto" w:fill="FFFFFF"/>
                <w:lang w:val="uk-UA" w:eastAsia="en-US"/>
              </w:rPr>
              <w:t>р&gt;0,05</w:t>
            </w:r>
          </w:p>
        </w:tc>
        <w:tc>
          <w:tcPr>
            <w:tcW w:w="66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eastAsia="en-US"/>
              </w:rPr>
            </w:pPr>
            <w:r w:rsidRPr="00C078BE">
              <w:rPr>
                <w:sz w:val="26"/>
                <w:szCs w:val="26"/>
                <w:lang w:val="uk-UA" w:eastAsia="en-US"/>
              </w:rPr>
              <w:t>0</w:t>
            </w:r>
            <w:r w:rsidRPr="00C078BE">
              <w:rPr>
                <w:sz w:val="26"/>
                <w:szCs w:val="26"/>
                <w:lang w:eastAsia="en-US"/>
              </w:rPr>
              <w:t>,9</w:t>
            </w:r>
            <w:r w:rsidRPr="00C078BE">
              <w:rPr>
                <w:sz w:val="26"/>
                <w:szCs w:val="26"/>
                <w:lang w:val="uk-UA" w:eastAsia="en-US"/>
              </w:rPr>
              <w:t>1</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6</w:t>
            </w:r>
          </w:p>
        </w:tc>
        <w:tc>
          <w:tcPr>
            <w:tcW w:w="705"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0</w:t>
            </w:r>
            <w:r w:rsidRPr="00C078BE">
              <w:rPr>
                <w:sz w:val="26"/>
                <w:szCs w:val="26"/>
                <w:lang w:eastAsia="en-US"/>
              </w:rPr>
              <w:t>,</w:t>
            </w:r>
            <w:r w:rsidRPr="00C078BE">
              <w:rPr>
                <w:sz w:val="26"/>
                <w:szCs w:val="26"/>
                <w:lang w:val="uk-UA" w:eastAsia="en-US"/>
              </w:rPr>
              <w:t>87</w:t>
            </w:r>
            <w:r w:rsidRPr="00C078BE">
              <w:rPr>
                <w:sz w:val="26"/>
                <w:szCs w:val="26"/>
                <w:lang w:eastAsia="en-US"/>
              </w:rPr>
              <w:t>±</w:t>
            </w:r>
            <w:r w:rsidRPr="00C078BE">
              <w:rPr>
                <w:sz w:val="26"/>
                <w:szCs w:val="26"/>
                <w:lang w:val="uk-UA" w:eastAsia="en-US"/>
              </w:rPr>
              <w:t>0</w:t>
            </w:r>
            <w:r w:rsidRPr="00C078BE">
              <w:rPr>
                <w:sz w:val="26"/>
                <w:szCs w:val="26"/>
                <w:lang w:eastAsia="en-US"/>
              </w:rPr>
              <w:t>,0</w:t>
            </w:r>
            <w:r w:rsidRPr="00C078BE">
              <w:rPr>
                <w:sz w:val="26"/>
                <w:szCs w:val="26"/>
                <w:lang w:val="uk-UA" w:eastAsia="en-US"/>
              </w:rPr>
              <w:t>5</w:t>
            </w:r>
          </w:p>
          <w:p w:rsidR="00E3259F" w:rsidRPr="00C078BE" w:rsidRDefault="00E3259F" w:rsidP="00C078BE">
            <w:pPr>
              <w:spacing w:line="360" w:lineRule="auto"/>
              <w:jc w:val="both"/>
              <w:rPr>
                <w:sz w:val="26"/>
                <w:szCs w:val="26"/>
                <w:lang w:val="uk-UA" w:eastAsia="en-US"/>
              </w:rPr>
            </w:pPr>
            <w:r w:rsidRPr="00C078BE">
              <w:rPr>
                <w:sz w:val="26"/>
                <w:szCs w:val="26"/>
                <w:shd w:val="clear" w:color="auto" w:fill="FFFFFF"/>
                <w:lang w:val="uk-UA" w:eastAsia="en-US"/>
              </w:rPr>
              <w:t>р&gt;0,05</w:t>
            </w:r>
          </w:p>
        </w:tc>
        <w:tc>
          <w:tcPr>
            <w:tcW w:w="762"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val="uk-UA" w:eastAsia="en-US"/>
              </w:rPr>
              <w:t>0</w:t>
            </w:r>
            <w:r w:rsidRPr="00C078BE">
              <w:rPr>
                <w:sz w:val="26"/>
                <w:szCs w:val="26"/>
                <w:lang w:eastAsia="en-US"/>
              </w:rPr>
              <w:t>,96±</w:t>
            </w:r>
            <w:r w:rsidRPr="00C078BE">
              <w:rPr>
                <w:sz w:val="26"/>
                <w:szCs w:val="26"/>
                <w:lang w:val="uk-UA" w:eastAsia="en-US"/>
              </w:rPr>
              <w:t>0</w:t>
            </w:r>
            <w:r w:rsidRPr="00C078BE">
              <w:rPr>
                <w:sz w:val="26"/>
                <w:szCs w:val="26"/>
                <w:lang w:eastAsia="en-US"/>
              </w:rPr>
              <w:t>,0</w:t>
            </w:r>
            <w:r w:rsidRPr="00C078BE">
              <w:rPr>
                <w:sz w:val="26"/>
                <w:szCs w:val="26"/>
                <w:lang w:val="uk-UA" w:eastAsia="en-US"/>
              </w:rPr>
              <w:t>3</w:t>
            </w:r>
          </w:p>
        </w:tc>
        <w:tc>
          <w:tcPr>
            <w:tcW w:w="703" w:type="pct"/>
            <w:tcBorders>
              <w:top w:val="single" w:sz="4" w:space="0" w:color="auto"/>
              <w:left w:val="single" w:sz="4" w:space="0" w:color="auto"/>
              <w:bottom w:val="single" w:sz="4" w:space="0" w:color="auto"/>
              <w:right w:val="single" w:sz="4" w:space="0" w:color="auto"/>
            </w:tcBorders>
            <w:hideMark/>
          </w:tcPr>
          <w:p w:rsidR="00E3259F" w:rsidRPr="00C078BE" w:rsidRDefault="00E3259F" w:rsidP="00C078BE">
            <w:pPr>
              <w:spacing w:line="360" w:lineRule="auto"/>
              <w:jc w:val="both"/>
              <w:rPr>
                <w:sz w:val="26"/>
                <w:szCs w:val="26"/>
                <w:lang w:val="uk-UA" w:eastAsia="en-US"/>
              </w:rPr>
            </w:pPr>
            <w:r w:rsidRPr="00C078BE">
              <w:rPr>
                <w:sz w:val="26"/>
                <w:szCs w:val="26"/>
                <w:lang w:eastAsia="en-US"/>
              </w:rPr>
              <w:t>1,0</w:t>
            </w:r>
            <w:r w:rsidRPr="00C078BE">
              <w:rPr>
                <w:sz w:val="26"/>
                <w:szCs w:val="26"/>
                <w:lang w:val="uk-UA" w:eastAsia="en-US"/>
              </w:rPr>
              <w:t>2</w:t>
            </w:r>
            <w:r w:rsidRPr="00C078BE">
              <w:rPr>
                <w:sz w:val="26"/>
                <w:szCs w:val="26"/>
                <w:lang w:eastAsia="en-US"/>
              </w:rPr>
              <w:t>±</w:t>
            </w:r>
            <w:r w:rsidRPr="00C078BE">
              <w:rPr>
                <w:sz w:val="26"/>
                <w:szCs w:val="26"/>
                <w:lang w:val="uk-UA" w:eastAsia="en-US"/>
              </w:rPr>
              <w:t>0</w:t>
            </w:r>
            <w:r w:rsidRPr="00C078BE">
              <w:rPr>
                <w:sz w:val="26"/>
                <w:szCs w:val="26"/>
                <w:lang w:eastAsia="en-US"/>
              </w:rPr>
              <w:t>,</w:t>
            </w:r>
            <w:r w:rsidRPr="00C078BE">
              <w:rPr>
                <w:sz w:val="26"/>
                <w:szCs w:val="26"/>
                <w:lang w:val="uk-UA" w:eastAsia="en-US"/>
              </w:rPr>
              <w:t>10</w:t>
            </w:r>
          </w:p>
          <w:p w:rsidR="00E3259F" w:rsidRPr="00C078BE" w:rsidRDefault="00E3259F" w:rsidP="00C078BE">
            <w:pPr>
              <w:spacing w:line="360" w:lineRule="auto"/>
              <w:jc w:val="both"/>
              <w:rPr>
                <w:sz w:val="26"/>
                <w:szCs w:val="26"/>
                <w:lang w:val="uk-UA" w:eastAsia="en-US"/>
              </w:rPr>
            </w:pPr>
            <w:r w:rsidRPr="00C078BE">
              <w:rPr>
                <w:sz w:val="26"/>
                <w:szCs w:val="26"/>
                <w:shd w:val="clear" w:color="auto" w:fill="FFFFFF"/>
                <w:lang w:val="uk-UA" w:eastAsia="en-US"/>
              </w:rPr>
              <w:t>р&gt;0,05</w:t>
            </w:r>
          </w:p>
        </w:tc>
      </w:tr>
    </w:tbl>
    <w:p w:rsidR="00E3259F" w:rsidRPr="00C078BE" w:rsidRDefault="00E3259F" w:rsidP="00C078BE">
      <w:pPr>
        <w:spacing w:line="360" w:lineRule="auto"/>
        <w:rPr>
          <w:sz w:val="28"/>
          <w:szCs w:val="28"/>
          <w:lang w:val="uk-UA" w:eastAsia="en-US"/>
        </w:rPr>
      </w:pPr>
      <w:r w:rsidRPr="00C078BE">
        <w:rPr>
          <w:sz w:val="28"/>
          <w:szCs w:val="28"/>
          <w:lang w:val="uk-UA"/>
        </w:rPr>
        <w:t>Примітка: р</w:t>
      </w:r>
      <w:r w:rsidRPr="00C078BE">
        <w:rPr>
          <w:sz w:val="28"/>
          <w:szCs w:val="28"/>
          <w:vertAlign w:val="subscript"/>
          <w:lang w:val="uk-UA"/>
        </w:rPr>
        <w:t xml:space="preserve"> </w:t>
      </w:r>
      <w:r w:rsidRPr="00C078BE">
        <w:rPr>
          <w:sz w:val="28"/>
          <w:szCs w:val="28"/>
          <w:lang w:val="uk-UA"/>
        </w:rPr>
        <w:t>- рівень значущості відмінностей при порівнянні жінок та чоловіків в групах</w:t>
      </w:r>
    </w:p>
    <w:p w:rsidR="00E3259F" w:rsidRDefault="00E3259F" w:rsidP="00E3259F">
      <w:pPr>
        <w:spacing w:line="360" w:lineRule="auto"/>
        <w:ind w:firstLine="709"/>
        <w:jc w:val="both"/>
        <w:rPr>
          <w:sz w:val="28"/>
          <w:szCs w:val="28"/>
          <w:lang w:val="uk-UA"/>
        </w:rPr>
      </w:pPr>
    </w:p>
    <w:p w:rsidR="00E3259F" w:rsidRPr="00C078BE" w:rsidRDefault="00E3259F" w:rsidP="00E3259F">
      <w:pPr>
        <w:spacing w:line="360" w:lineRule="auto"/>
        <w:ind w:firstLine="709"/>
        <w:jc w:val="both"/>
        <w:rPr>
          <w:sz w:val="28"/>
          <w:szCs w:val="28"/>
          <w:lang w:val="uk-UA"/>
        </w:rPr>
      </w:pPr>
      <w:r w:rsidRPr="00C078BE">
        <w:rPr>
          <w:sz w:val="28"/>
          <w:szCs w:val="28"/>
          <w:lang w:val="uk-UA"/>
        </w:rPr>
        <w:t xml:space="preserve">Таким чином, у пацієнтів з коморбідною патологією незалежно від функціонального стану ЩЗ ВДТ достовірно коротша, ніж при ізольованій ГХ. Наявність СГТ не мала суттєвого впливу на ВДТ крові та ВДТ клітин букального епітелію порівняно  з пацієнтами з поєднаним перебігом ГХ та ЦД 2 типу без порушення функції ЩЗ. У групах пацієнтів з коморбідною патологією була виявлена вік-асоційована тенденція до вкорочення ВДТ з віком. Не було виявлено суттєвого гендерного впливу на ВДТ при досліджувальних патологічних станах, проте у чоловіків спостерігалась незначно довша ВДТ. </w:t>
      </w:r>
    </w:p>
    <w:p w:rsidR="00E3259F" w:rsidRPr="00C078BE" w:rsidRDefault="00E3259F" w:rsidP="00E3259F">
      <w:pPr>
        <w:rPr>
          <w:lang w:val="uk-UA"/>
        </w:rPr>
      </w:pPr>
    </w:p>
    <w:p w:rsidR="00E3259F" w:rsidRDefault="00E3259F" w:rsidP="00E3259F">
      <w:pPr>
        <w:rPr>
          <w:lang w:val="uk-UA"/>
        </w:rPr>
      </w:pPr>
    </w:p>
    <w:p w:rsidR="00E3259F" w:rsidRDefault="00E3259F" w:rsidP="00E3259F">
      <w:pPr>
        <w:rPr>
          <w:lang w:val="uk-UA"/>
        </w:rPr>
      </w:pPr>
    </w:p>
    <w:p w:rsidR="00E3259F" w:rsidRDefault="00E3259F" w:rsidP="00E3259F">
      <w:pPr>
        <w:rPr>
          <w:lang w:val="uk-UA"/>
        </w:rPr>
      </w:pPr>
    </w:p>
    <w:p w:rsidR="00E3259F" w:rsidRDefault="00E3259F" w:rsidP="00E3259F">
      <w:pPr>
        <w:rPr>
          <w:lang w:val="uk-UA"/>
        </w:rPr>
      </w:pPr>
    </w:p>
    <w:p w:rsidR="00E3259F" w:rsidRDefault="00E3259F" w:rsidP="00E3259F">
      <w:pPr>
        <w:rPr>
          <w:lang w:val="uk-UA"/>
        </w:rPr>
      </w:pPr>
    </w:p>
    <w:p w:rsidR="00E3259F" w:rsidRDefault="00E3259F" w:rsidP="00E3259F">
      <w:pPr>
        <w:rPr>
          <w:lang w:val="uk-UA"/>
        </w:rPr>
      </w:pPr>
    </w:p>
    <w:p w:rsidR="00E3259F" w:rsidRDefault="00E3259F" w:rsidP="00E3259F">
      <w:pPr>
        <w:spacing w:line="360" w:lineRule="auto"/>
        <w:jc w:val="both"/>
        <w:rPr>
          <w:sz w:val="28"/>
          <w:szCs w:val="28"/>
          <w:lang w:val="uk-UA"/>
        </w:rPr>
      </w:pPr>
      <w:r>
        <w:rPr>
          <w:lang w:val="uk-UA"/>
        </w:rPr>
        <w:t xml:space="preserve">6.2. </w:t>
      </w:r>
      <w:r>
        <w:rPr>
          <w:sz w:val="28"/>
          <w:szCs w:val="28"/>
          <w:lang w:val="uk-UA"/>
        </w:rPr>
        <w:t>Оцінка довжини теломер залежно від гормонально-метаболічного профілю та різного рівня факторів кардіоваскулярного ризику  у хворих</w:t>
      </w:r>
      <w:r>
        <w:rPr>
          <w:lang w:val="uk-UA"/>
        </w:rPr>
        <w:t xml:space="preserve"> </w:t>
      </w:r>
      <w:r>
        <w:rPr>
          <w:sz w:val="28"/>
          <w:szCs w:val="28"/>
          <w:lang w:val="uk-UA"/>
        </w:rPr>
        <w:t>на гіпертонічну хворобу у поєднанні з цукровим діабетом 2 типу без порушення функції щитоподібної залози та з субклінічним гіпотиреозом</w:t>
      </w:r>
    </w:p>
    <w:p w:rsidR="00E3259F" w:rsidRDefault="00E3259F" w:rsidP="00E3259F">
      <w:pPr>
        <w:rPr>
          <w:b/>
          <w:color w:val="FF0000"/>
          <w:sz w:val="28"/>
          <w:szCs w:val="28"/>
          <w:lang w:val="uk-UA"/>
        </w:rPr>
      </w:pPr>
    </w:p>
    <w:p w:rsidR="00E3259F" w:rsidRPr="00BB402D" w:rsidRDefault="00E3259F" w:rsidP="00BB402D">
      <w:pPr>
        <w:spacing w:line="360" w:lineRule="auto"/>
        <w:ind w:firstLine="709"/>
        <w:jc w:val="both"/>
        <w:rPr>
          <w:rStyle w:val="tlid-translation"/>
          <w:lang w:val="uk-UA"/>
        </w:rPr>
      </w:pPr>
      <w:r w:rsidRPr="00BB402D">
        <w:rPr>
          <w:rStyle w:val="tlid-translation"/>
          <w:sz w:val="28"/>
          <w:szCs w:val="28"/>
          <w:lang w:val="uk-UA"/>
        </w:rPr>
        <w:t xml:space="preserve">Вплив на модифіковані фактори КВР, найбільш значущими з яких вважаються рівні АТ, наявність дисліпідемії, надлишкова МТ, порушення вуглеводного обміну, ТКІМ, є одним із стратегічних завдань ведення пацієнтів, що мають серцево-судинне захворювання, </w:t>
      </w:r>
      <w:r w:rsidRPr="00BB402D">
        <w:rPr>
          <w:sz w:val="28"/>
          <w:szCs w:val="28"/>
          <w:lang w:val="uk-UA"/>
        </w:rPr>
        <w:t xml:space="preserve">зокрема </w:t>
      </w:r>
      <w:r w:rsidRPr="00BB402D">
        <w:rPr>
          <w:rStyle w:val="tlid-translation"/>
          <w:sz w:val="28"/>
          <w:szCs w:val="28"/>
          <w:lang w:val="uk-UA"/>
        </w:rPr>
        <w:t xml:space="preserve">ГХ. Дослідження спрямоване на визначення того, чи є передчасне біологічне старіння, що оцінюється за зменшенням ВДТ, додатковим фактором, що збільшує КВР у осіб, які страждають на ГХ, </w:t>
      </w:r>
      <w:r w:rsidRPr="00BB402D">
        <w:rPr>
          <w:sz w:val="28"/>
          <w:szCs w:val="28"/>
          <w:lang w:val="uk-UA"/>
        </w:rPr>
        <w:t xml:space="preserve">зокрема </w:t>
      </w:r>
      <w:r w:rsidRPr="00BB402D">
        <w:rPr>
          <w:rStyle w:val="tlid-translation"/>
          <w:sz w:val="28"/>
          <w:szCs w:val="28"/>
          <w:lang w:val="uk-UA"/>
        </w:rPr>
        <w:t xml:space="preserve">при наявності коморбідного перебігу з  ЦД 2 типу та СГТ, та має велике клінічне значення. </w:t>
      </w:r>
    </w:p>
    <w:p w:rsidR="00E3259F" w:rsidRPr="00BB402D" w:rsidRDefault="00E3259F" w:rsidP="00BB402D">
      <w:pPr>
        <w:spacing w:line="360" w:lineRule="auto"/>
        <w:ind w:firstLine="709"/>
        <w:jc w:val="both"/>
        <w:rPr>
          <w:rStyle w:val="tlid-translation"/>
          <w:rFonts w:eastAsiaTheme="majorEastAsia"/>
          <w:lang w:val="uk-UA"/>
        </w:rPr>
      </w:pPr>
      <w:r w:rsidRPr="00BB402D">
        <w:rPr>
          <w:sz w:val="28"/>
          <w:szCs w:val="28"/>
          <w:lang w:val="uk-UA"/>
        </w:rPr>
        <w:t xml:space="preserve">Було проведено аналіз значень показників, які використовуються як визначені маркери КВР, </w:t>
      </w:r>
      <w:r w:rsidRPr="00BB402D">
        <w:rPr>
          <w:sz w:val="28"/>
          <w:szCs w:val="28"/>
          <w:lang w:val="uk-UA" w:eastAsia="en-US"/>
        </w:rPr>
        <w:t xml:space="preserve">залежно </w:t>
      </w:r>
      <w:r w:rsidRPr="00BB402D">
        <w:rPr>
          <w:sz w:val="28"/>
          <w:szCs w:val="28"/>
          <w:lang w:val="uk-UA"/>
        </w:rPr>
        <w:t>від ВДТ.  Так в</w:t>
      </w:r>
      <w:r w:rsidRPr="00BB402D">
        <w:rPr>
          <w:rStyle w:val="tlid-translation"/>
          <w:sz w:val="28"/>
          <w:szCs w:val="28"/>
          <w:lang w:val="uk-UA"/>
        </w:rPr>
        <w:t xml:space="preserve">  групі 1 при розподілі пацієнтів за квартилями при збільшенні ВДТ ІМТ практично не змінювався (</w:t>
      </w:r>
      <w:r w:rsidRPr="00BB402D">
        <w:rPr>
          <w:sz w:val="28"/>
          <w:szCs w:val="28"/>
          <w:shd w:val="clear" w:color="auto" w:fill="FFFFFF"/>
          <w:lang w:val="uk-UA"/>
        </w:rPr>
        <w:t>р&gt;0,05)</w:t>
      </w:r>
      <w:r w:rsidRPr="00BB402D">
        <w:rPr>
          <w:rStyle w:val="tlid-translation"/>
          <w:sz w:val="28"/>
          <w:szCs w:val="28"/>
          <w:lang w:val="uk-UA"/>
        </w:rPr>
        <w:t>. Наявність коморбідного перебігу ГХ та ЦД 2 типу також супроводжувалася зниженням ІМТ при ранговому збільшенні ВДТ, проте достовірні відмінності ВДТ крові були отримані тільки при порівнянні ІМТ між пацієнтами, які потрапили в квартиль 1 і 2 (</w:t>
      </w:r>
      <w:r w:rsidRPr="00BB402D">
        <w:rPr>
          <w:sz w:val="28"/>
          <w:szCs w:val="28"/>
          <w:lang w:val="uk-UA"/>
        </w:rPr>
        <w:t xml:space="preserve">31,58±0,64 та 29,83±0,55, відповідно, </w:t>
      </w:r>
      <w:r w:rsidRPr="00BB402D">
        <w:rPr>
          <w:rStyle w:val="tlid-translation"/>
          <w:sz w:val="28"/>
          <w:szCs w:val="28"/>
          <w:lang w:val="uk-UA"/>
        </w:rPr>
        <w:t>р=0,042) та між пацієнтами квартилів 1 та 4 (</w:t>
      </w:r>
      <w:r w:rsidRPr="00BB402D">
        <w:rPr>
          <w:sz w:val="28"/>
          <w:szCs w:val="28"/>
          <w:lang w:val="uk-UA"/>
        </w:rPr>
        <w:t xml:space="preserve">31,58±0,64 та 29,88±0,71, відповідно, </w:t>
      </w:r>
      <w:r w:rsidRPr="00BB402D">
        <w:rPr>
          <w:rStyle w:val="tlid-translation"/>
          <w:sz w:val="28"/>
          <w:szCs w:val="28"/>
          <w:lang w:val="uk-UA"/>
        </w:rPr>
        <w:t>р=0,049). При поєднаному перебігу ГХ, ЦД 2 типу та СГТ зниження ІМТ при збільшенні ВДТ також було не суттєвим, досягаючи достовірних відмінностей тільки при порівнянні між пацієнтами квартилів 2 та 3 ВДТ крові (</w:t>
      </w:r>
      <w:r w:rsidRPr="00BB402D">
        <w:rPr>
          <w:sz w:val="28"/>
          <w:szCs w:val="28"/>
          <w:lang w:val="uk-UA"/>
        </w:rPr>
        <w:t xml:space="preserve">29,42±0,67 та 27,58±0,55, відповідно, </w:t>
      </w:r>
      <w:r w:rsidRPr="00BB402D">
        <w:rPr>
          <w:rStyle w:val="tlid-translation"/>
          <w:sz w:val="28"/>
          <w:szCs w:val="28"/>
          <w:lang w:val="uk-UA"/>
        </w:rPr>
        <w:t xml:space="preserve">р=0,038).  </w:t>
      </w:r>
      <w:r w:rsidRPr="00BB402D">
        <w:rPr>
          <w:rStyle w:val="tlid-translation"/>
          <w:rFonts w:eastAsiaTheme="majorEastAsia"/>
          <w:sz w:val="28"/>
          <w:szCs w:val="28"/>
          <w:lang w:val="uk-UA"/>
        </w:rPr>
        <w:t>Після розподілу пацієнтів усіх груп за квартилями ВДТ клітин букального епітелію не було виявлено достовірних відмінностей ІМТ залежно від ВДТ.</w:t>
      </w:r>
    </w:p>
    <w:p w:rsidR="00E3259F" w:rsidRPr="00BB402D" w:rsidRDefault="00E3259F" w:rsidP="00BB402D">
      <w:pPr>
        <w:spacing w:line="360" w:lineRule="auto"/>
        <w:ind w:firstLine="709"/>
        <w:jc w:val="both"/>
        <w:rPr>
          <w:lang w:val="uk-UA"/>
        </w:rPr>
      </w:pPr>
      <w:r w:rsidRPr="00BB402D">
        <w:rPr>
          <w:sz w:val="28"/>
          <w:szCs w:val="28"/>
          <w:lang w:val="uk-UA"/>
        </w:rPr>
        <w:t>Рівні АТ при розподілі пацієнтів за квартилями теломер у групах змінювалися неоднаково: так при ізольованій  ГХ наявність коротких теломер асоціювалась з більш низькими рівнями САТ, ДАТ і ПАТ ніж при довгих теломерах, досягаючи достовірних відмінностей при порівнянні пацієнтів, що потрапили в квартиль 1 та квартиль 4 ВДТ клітин букального епітелію (САТ: 136,07±2,14 мм.рт.ст. проти 148,83±2,04 мм.рт.ст., відповідно, р&lt;0,001, ДАТ: 86,22±1,63 мм.рт.ст. проти 91,50±0,87, відповідно, р=0,007, ПАТ: 49,85±0,78 мм.рт.ст. проти 57,33±1,82 мм.рт.ст., відповідно, р=0,001). У пацієнтів з коморбідною патологією незалежно від функціонального стану ЩЗ, навпаки, спостерігалися більш низькі рівні САТ, ДАТ і ПАТ при більш довгих теломерах, проте достовірні відмінності спостерігалися лише в групі пацієнтів з ГХ та ЦД 2 типу при порівнянні рівнів</w:t>
      </w:r>
      <w:r w:rsidRPr="00BB402D">
        <w:rPr>
          <w:sz w:val="40"/>
          <w:szCs w:val="40"/>
          <w:lang w:val="uk-UA"/>
        </w:rPr>
        <w:t xml:space="preserve"> </w:t>
      </w:r>
      <w:r w:rsidRPr="00BB402D">
        <w:rPr>
          <w:sz w:val="28"/>
          <w:szCs w:val="28"/>
          <w:lang w:val="uk-UA"/>
        </w:rPr>
        <w:t>ПАТ у пацієнтів, які потрапили до квартилю 1 та квартилю 4 як ВДТ крові (61,28±1,20мм.рт.ст. проти 54,85±1,94 мм.рт.ст., відповідно, р=0,005), так і клітин букального епітелію (60,39±1,24 мм.рт.ст. проти 54,05±1,41, відповідно, р=0,001), рівнів САТ між пацієнтами квартилю 1 та квартилю 2 ВДТ крові (149,23±1,53 мм.рт.ст. проти 144,13±1,35 мм.рт.ст., відповідно, р=0,014) та рівнів ДАТ між пацієнтами квартиля 1 та квартиля 3 ВДТ букального епітелію (93,06±1,03 мм.рт.ст. проти 88,24±1,36мм.рт.ст., відповідно, р=0,006).</w:t>
      </w:r>
    </w:p>
    <w:p w:rsidR="00E3259F" w:rsidRPr="00BB402D" w:rsidRDefault="00E3259F" w:rsidP="00BB402D">
      <w:pPr>
        <w:spacing w:line="360" w:lineRule="auto"/>
        <w:ind w:firstLine="709"/>
        <w:jc w:val="both"/>
        <w:rPr>
          <w:sz w:val="28"/>
          <w:szCs w:val="28"/>
          <w:lang w:val="uk-UA"/>
        </w:rPr>
      </w:pPr>
      <w:r w:rsidRPr="00BB402D">
        <w:rPr>
          <w:sz w:val="28"/>
          <w:szCs w:val="28"/>
          <w:lang w:val="uk-UA"/>
        </w:rPr>
        <w:t xml:space="preserve"> Серед показників ліпідного обміну при ізольованій ГХ рівні ЗХС були достовірно вищі при короткої ВДТ крові (6,31±0,22 ммоль/л проти 5,57±0,16 ммоль/л, відповідно, р=0,007) і клітин букального епітелію (6,25±0,22 ммоль/л проти 5,68±0,18 ммоль/л, відповідно, р=0,049), рівні ХС ЛПНЩ були вище при короткої ВДТ крові (4,13±0,22 ммоль/л проти 3,38±0,16 ммоль/л, відповідно, р=0,008) та клітин букального епітелію (4,07±0,23 ммоль/л проти 3,49±0,18 ммоль/л, відповідно, р=0,046) ніж при довгої ВДТ. При наявності загальної тенденції до зниження рівня ТГ з подовженням ВДТ, достовірно більш низькі рівні ТГ спостерігались при порівнянні пацієнтів з ВДТ крові квартиля 2 і квартиля 3 (1,81±0,12 ммоль/л проти 1,16±0,11 ммоль/л, відповідно, р&lt;0,001) та квартиля 1 і квартиля 2 ВДТ клітин букального епітелію (1,79±0,14 ммоль/л проти 1,37±0,14 ммоль/л, р=0,041). Рівні ХС ЛПДНЩ достовірно були вище у пацієнтів з ВДТ крові квартиля 2 ніж квартиля 3 (0,79±0,05 ммоль/л проти 0,52±0,054 ммоль/л, відповідно, р=0,001).</w:t>
      </w:r>
    </w:p>
    <w:p w:rsidR="00E3259F" w:rsidRPr="00BB402D" w:rsidRDefault="00E3259F" w:rsidP="00BB402D">
      <w:pPr>
        <w:spacing w:line="360" w:lineRule="auto"/>
        <w:ind w:firstLine="709"/>
        <w:jc w:val="both"/>
        <w:rPr>
          <w:sz w:val="28"/>
          <w:szCs w:val="28"/>
          <w:lang w:val="uk-UA"/>
        </w:rPr>
      </w:pPr>
      <w:r w:rsidRPr="00BB402D">
        <w:rPr>
          <w:sz w:val="28"/>
          <w:szCs w:val="28"/>
          <w:lang w:val="uk-UA"/>
        </w:rPr>
        <w:t>Рангове подовження довжини теломер у групі пацієнтів з поєднаним перебігом ГХ та ЦД 2 типу без порушення функції ЩЗ супроводжувалось зменшенням ступеня атерогенної дисліпідемії. Так,  у пацієнтів з ВДТ  крові відповідно квартиля 1 відзначалися достовірно більш високі рівні ЗХС ніж у пацієнтів з довжиною теломер відповідно квартиля 3 (5,62±0,20 ммоль/л проти 5,01±0,18 ммоль/л, р=0,026) та достовірно вищі рівні ХС ЛПДНЩ, ніж у пацієнтів з ВДТ  відповідно квартиля 4 (1,13±0,16 ммоль/л проти 0,72±0,06 ммоль/л, р=0,021). При порівнянні пацієнтів з ВДТ клітин букального епітелію відповідно квартилю 1 було виявлено достовірно більш високі рівні ЗХС (5,57±0,20 ммоль/л проти 4,86±0,21 ммоль/л, р=0,016) і рівня ХС ЛПНЩ (3,42±0,21 ммоль/л проти 2,65±0,16 ммоль/л, р=0,006) ніж у пацієнтів з ВДТ відповідно квартиля 3 та достовірно більш високі рівні ТГ (2,29±0,18 ммоль/л проти 1,62±0,09 ммоль/л, р=0,002) і рівня ХС ЛПДНЩ (0,91±0,05 ммоль/л проти 0,69±0,06 ммоль/л, р=0,012) ніж при ВДТ відповідно квартиля 4.  Достовірних відмінностей рівнів ХС ЛПВЩ у результаті порівняння пацієнтів з довгою та короткою ВДТ крові або клітин букального епітелію виявлено не було. При поєднаному перебігу ГХ, ЦД 2 типу та СГТ після розподілу пацієнтів за квартилями зміни ВДТ крові та клітин букального епітелію не супроводжувалися суттєвими відмінностями показників ліпідного обміну.</w:t>
      </w:r>
    </w:p>
    <w:p w:rsidR="00E3259F" w:rsidRPr="00BB402D" w:rsidRDefault="00E3259F" w:rsidP="00BB402D">
      <w:pPr>
        <w:spacing w:line="360" w:lineRule="auto"/>
        <w:ind w:firstLine="709"/>
        <w:jc w:val="both"/>
        <w:rPr>
          <w:sz w:val="28"/>
          <w:szCs w:val="28"/>
          <w:lang w:val="uk-UA"/>
        </w:rPr>
      </w:pPr>
      <w:r w:rsidRPr="00BB402D">
        <w:rPr>
          <w:sz w:val="28"/>
          <w:szCs w:val="28"/>
          <w:lang w:val="uk-UA"/>
        </w:rPr>
        <w:t>Особливості вуглеводного обміну характеризувались тенденцією до зниження рівня глюкози натще при довшої ВДТ при розподілі за квартилями в усіх досліджуваних групах пацієнтів незалежно від діагнозу, однак достовірні відмінності цього показника спостерігалися тільки при порівнянні пацієнтів з ВДТ крові відповідно квартиля 1 та квартиля 3 (9,22±0,58 ммоль/л проти 7,02±0,28 ммоль/л відповідно, р=0,001) при ГХ та ЦД 2 типу, пацієнтів з ВДТ клітин букального епітелію відповідно квартиля 1 та квартиля 3 в групі ізольованої ГХ (5,52±0,11 ммоль/л проти 5,20±0,09 ммоль/л, відповідно, р=0,033) та в групі поєднаного перебігу ГХ та ЦД 2 типу (10,32±0,47 ммоль/л проти 7,59±0,24 ммоль/л, відповідно, р&lt;0,001).</w:t>
      </w:r>
    </w:p>
    <w:p w:rsidR="00E3259F" w:rsidRDefault="00E3259F" w:rsidP="00BB402D">
      <w:pPr>
        <w:spacing w:line="360" w:lineRule="auto"/>
        <w:ind w:firstLine="709"/>
        <w:jc w:val="both"/>
        <w:rPr>
          <w:sz w:val="28"/>
          <w:szCs w:val="28"/>
          <w:lang w:val="uk-UA"/>
        </w:rPr>
      </w:pPr>
      <w:r w:rsidRPr="00BB402D">
        <w:rPr>
          <w:sz w:val="28"/>
          <w:szCs w:val="28"/>
          <w:lang w:val="uk-UA"/>
        </w:rPr>
        <w:t xml:space="preserve">При аналізі ТКІМ </w:t>
      </w:r>
      <w:r w:rsidRPr="00BB402D">
        <w:rPr>
          <w:sz w:val="28"/>
          <w:szCs w:val="28"/>
          <w:lang w:val="uk-UA" w:eastAsia="en-US"/>
        </w:rPr>
        <w:t xml:space="preserve">залежно </w:t>
      </w:r>
      <w:r w:rsidRPr="00BB402D">
        <w:rPr>
          <w:sz w:val="28"/>
          <w:szCs w:val="28"/>
          <w:lang w:val="uk-UA"/>
        </w:rPr>
        <w:t>від ВДТ було виявлено, що наявність коротшої ВДТ асоціювалась з більшою ТКІМ,  ніж при довгій ВДТ в усіх групах пацієнтів цього дослідження. Так, у групі ГХ, ЦД 2 типу та СГТ у пацієнтів з ВДТ крові відповідно квартиля 1 спостерігалося достовірно більше значення ТКІМ при зіставленні з пацієнтами з ВДТ крові відповідно квартиля 4 (0,084±0,004 мм проти 0,076±0,003 мм, відповідно, р=0,037). Значення ТКІМ при зіставленні пацієнтів з ВДТ клітин букального епітелію відповідно квртиля 1 було достовірно більше, ніж у пацієнтів з ВДТ відповідно квартиля 3 в групі ізольованої ГХ (0,076±0,004 мм проти 0,067±0,002 мм, відповідно, р=0,046), у групі поєднаного перебігу ГХ та ЦД 2 типу (0,086±0,003 мм проти 0,070±0,002 мм, відповідно, р=0,033) та в групі  пацієнтів з ГХ, ЦД 2 типу та СГТ (0,083±0,004 мм проти 0,078±0,003 мм, відповідно, р=0,003).</w:t>
      </w:r>
    </w:p>
    <w:p w:rsidR="007174AE" w:rsidRDefault="007174AE" w:rsidP="007174AE">
      <w:pPr>
        <w:shd w:val="clear" w:color="auto" w:fill="FFFFFF"/>
        <w:spacing w:line="360" w:lineRule="auto"/>
        <w:ind w:firstLine="709"/>
        <w:jc w:val="both"/>
        <w:rPr>
          <w:sz w:val="28"/>
          <w:szCs w:val="28"/>
          <w:shd w:val="clear" w:color="auto" w:fill="FFFFFF"/>
          <w:lang w:val="uk-UA" w:eastAsia="en-US"/>
        </w:rPr>
      </w:pPr>
      <w:r>
        <w:rPr>
          <w:sz w:val="28"/>
          <w:szCs w:val="28"/>
          <w:lang w:val="uk-UA"/>
        </w:rPr>
        <w:t>Виявлено в  групі 1 значущий вплив ДАТ (р=0,046), рівнів ЗХС (р=0,036), ХСЛПНЩ (р=0,036) на розподіл ВДТ букального епітелію по квартилях; ІМТ (р =0,001) на розподіл ВДТ крові по квартилях. Також</w:t>
      </w:r>
      <w:r w:rsidRPr="007174AE">
        <w:rPr>
          <w:sz w:val="28"/>
          <w:szCs w:val="28"/>
          <w:lang w:val="uk-UA"/>
        </w:rPr>
        <w:t xml:space="preserve"> </w:t>
      </w:r>
      <w:r>
        <w:rPr>
          <w:sz w:val="28"/>
          <w:szCs w:val="28"/>
          <w:lang w:val="uk-UA"/>
        </w:rPr>
        <w:t xml:space="preserve">дисперсійний аналіз, проведений у групі 2, виявив наявність достовірно значимого впливу рівня глюкози  натще (р = 0,029), ТГ (р = 0,049) на ВДТ букального епітелію, рівнів ЗХС (р=0,019), ХС ЛПВЩ (р=0,032), ІМТ (р=0,029) на ВДТ. Було виявлено значимий вплив рівня ХС ЛПНЩ (р=0,001) і глікозильованого гемоглобіну (р=0,034) на розподіл ВДТ букального епітелію по квартилях у цій групі. </w:t>
      </w:r>
      <w:r>
        <w:rPr>
          <w:sz w:val="28"/>
          <w:szCs w:val="28"/>
          <w:shd w:val="clear" w:color="auto" w:fill="FFFFFF"/>
          <w:lang w:val="uk-UA"/>
        </w:rPr>
        <w:t xml:space="preserve">У 3 групі </w:t>
      </w:r>
      <w:r w:rsidR="00F450D9">
        <w:rPr>
          <w:sz w:val="28"/>
          <w:szCs w:val="28"/>
          <w:shd w:val="clear" w:color="auto" w:fill="FFFFFF"/>
          <w:lang w:val="uk-UA"/>
        </w:rPr>
        <w:t>в</w:t>
      </w:r>
      <w:r>
        <w:rPr>
          <w:sz w:val="28"/>
          <w:szCs w:val="28"/>
          <w:shd w:val="clear" w:color="auto" w:fill="FFFFFF"/>
          <w:lang w:val="uk-UA"/>
        </w:rPr>
        <w:t xml:space="preserve"> результаті дисперсійного аналізу було виявлено достовірно значимий вплив рівня ХС ЛПНЩ на ВДТ крові (р=0,042),  значущий вплив ДАТ (р=0,032) на розподіл ВДТ клітин букального епітелію за квартилями, значущий вплив КВ (р=0,029) на наявність довшої ВДТ клітин букального епітелію та  ІМТ (р = 0,015) на  наявність коротшої ВДТ клітин букального епітелію. </w:t>
      </w:r>
    </w:p>
    <w:p w:rsidR="007174AE" w:rsidRPr="00BB402D" w:rsidRDefault="007174AE" w:rsidP="00BB402D">
      <w:pPr>
        <w:spacing w:line="360" w:lineRule="auto"/>
        <w:ind w:firstLine="709"/>
        <w:jc w:val="both"/>
        <w:rPr>
          <w:sz w:val="28"/>
          <w:szCs w:val="28"/>
          <w:lang w:val="uk-UA"/>
        </w:rPr>
      </w:pPr>
    </w:p>
    <w:p w:rsidR="00E3259F" w:rsidRPr="00BB402D" w:rsidRDefault="00E3259F" w:rsidP="00BB402D">
      <w:pPr>
        <w:spacing w:line="360" w:lineRule="auto"/>
        <w:ind w:firstLine="709"/>
        <w:jc w:val="both"/>
        <w:rPr>
          <w:sz w:val="28"/>
          <w:szCs w:val="28"/>
          <w:lang w:val="uk-UA" w:eastAsia="uk-UA"/>
        </w:rPr>
      </w:pPr>
      <w:r w:rsidRPr="00BB402D">
        <w:rPr>
          <w:sz w:val="28"/>
          <w:szCs w:val="28"/>
          <w:lang w:val="uk-UA"/>
        </w:rPr>
        <w:t xml:space="preserve">Відомо, що досягнення цільових значень АТ у хворих на ЦД не менш важливо для прогнозу подальшого перебігу захворювання та розвитку його ускладнень, ніж досягнення цільового рівня контролю глікемії [38]. </w:t>
      </w:r>
      <w:r w:rsidRPr="00BB402D">
        <w:rPr>
          <w:sz w:val="28"/>
          <w:szCs w:val="28"/>
          <w:lang w:val="uk-UA" w:eastAsia="uk-UA"/>
        </w:rPr>
        <w:t>Крім того, рівні АТ є не тільки одним з найважливіших факторів КВР, а й існує думка, що рівень АТ, що входить до всіх формул розрахунку БВ, є одним з найважливіших показників старіння [</w:t>
      </w:r>
      <w:r w:rsidRPr="00BB402D">
        <w:rPr>
          <w:sz w:val="28"/>
          <w:szCs w:val="28"/>
          <w:lang w:val="uk-UA" w:eastAsia="en-US"/>
        </w:rPr>
        <w:t>93</w:t>
      </w:r>
      <w:r w:rsidRPr="00BB402D">
        <w:rPr>
          <w:sz w:val="28"/>
          <w:szCs w:val="28"/>
          <w:lang w:val="uk-UA" w:eastAsia="uk-UA"/>
        </w:rPr>
        <w:t>]. Так, незважаючи на тривалу стабільну антигіпертензивну терапію й стабільний контроль АТ, що було критерієм залучення до дослідження, цільових рівнів (відповідно до рекомендацій ЕТК, 2018)</w:t>
      </w:r>
      <w:r w:rsidRPr="00BB402D">
        <w:rPr>
          <w:rStyle w:val="10"/>
          <w:rFonts w:eastAsiaTheme="majorEastAsia"/>
          <w:sz w:val="28"/>
          <w:szCs w:val="28"/>
          <w:lang w:val="uk-UA"/>
        </w:rPr>
        <w:t xml:space="preserve"> </w:t>
      </w:r>
      <w:r w:rsidRPr="00BB402D">
        <w:rPr>
          <w:rStyle w:val="tlid-translation"/>
          <w:sz w:val="28"/>
          <w:szCs w:val="28"/>
          <w:lang w:val="uk-UA"/>
        </w:rPr>
        <w:t>[</w:t>
      </w:r>
      <w:r w:rsidRPr="00BB402D">
        <w:rPr>
          <w:sz w:val="28"/>
          <w:szCs w:val="28"/>
          <w:lang w:val="uk-UA"/>
        </w:rPr>
        <w:t>397</w:t>
      </w:r>
      <w:r w:rsidRPr="00BB402D">
        <w:rPr>
          <w:rStyle w:val="tlid-translation"/>
          <w:sz w:val="28"/>
          <w:szCs w:val="28"/>
          <w:lang w:val="uk-UA"/>
        </w:rPr>
        <w:t xml:space="preserve">] </w:t>
      </w:r>
      <w:r w:rsidRPr="00BB402D">
        <w:rPr>
          <w:sz w:val="28"/>
          <w:szCs w:val="28"/>
          <w:lang w:val="uk-UA" w:eastAsia="uk-UA"/>
        </w:rPr>
        <w:t>САТ у групі 1 недосягли  38,68</w:t>
      </w:r>
      <w:r w:rsidRPr="00BB402D">
        <w:rPr>
          <w:sz w:val="28"/>
          <w:szCs w:val="28"/>
          <w:lang w:val="uk-UA"/>
        </w:rPr>
        <w:t>±4,73</w:t>
      </w:r>
      <w:r w:rsidRPr="00BB402D">
        <w:rPr>
          <w:sz w:val="28"/>
          <w:szCs w:val="28"/>
          <w:lang w:val="uk-UA" w:eastAsia="uk-UA"/>
        </w:rPr>
        <w:t>% пацієнтів, в  групі 2 - 59,62</w:t>
      </w:r>
      <w:r w:rsidRPr="00BB402D">
        <w:rPr>
          <w:sz w:val="28"/>
          <w:szCs w:val="28"/>
          <w:lang w:val="uk-UA"/>
        </w:rPr>
        <w:t>±3,93</w:t>
      </w:r>
      <w:r w:rsidRPr="00BB402D">
        <w:rPr>
          <w:sz w:val="28"/>
          <w:szCs w:val="28"/>
          <w:lang w:val="uk-UA" w:eastAsia="uk-UA"/>
        </w:rPr>
        <w:t>% пацієнтів, в групі 3 –  53,76</w:t>
      </w:r>
      <w:r w:rsidRPr="00BB402D">
        <w:rPr>
          <w:sz w:val="28"/>
          <w:szCs w:val="28"/>
          <w:lang w:val="uk-UA"/>
        </w:rPr>
        <w:t>±5,17</w:t>
      </w:r>
      <w:r w:rsidRPr="00BB402D">
        <w:rPr>
          <w:sz w:val="28"/>
          <w:szCs w:val="28"/>
          <w:lang w:val="uk-UA" w:eastAsia="uk-UA"/>
        </w:rPr>
        <w:t>%.  Не досягли цільових рівнів ДАТ 58,49</w:t>
      </w:r>
      <w:r w:rsidRPr="00BB402D">
        <w:rPr>
          <w:sz w:val="28"/>
          <w:szCs w:val="28"/>
          <w:lang w:val="uk-UA"/>
        </w:rPr>
        <w:t xml:space="preserve">±4,78 </w:t>
      </w:r>
      <w:r w:rsidRPr="00BB402D">
        <w:rPr>
          <w:sz w:val="28"/>
          <w:szCs w:val="28"/>
          <w:lang w:val="uk-UA" w:eastAsia="uk-UA"/>
        </w:rPr>
        <w:t>%  пацієнтів у групі 1, 80,13</w:t>
      </w:r>
      <w:r w:rsidRPr="00BB402D">
        <w:rPr>
          <w:sz w:val="28"/>
          <w:szCs w:val="28"/>
          <w:lang w:val="uk-UA"/>
        </w:rPr>
        <w:t xml:space="preserve">±3,19 </w:t>
      </w:r>
      <w:r w:rsidRPr="00BB402D">
        <w:rPr>
          <w:sz w:val="28"/>
          <w:szCs w:val="28"/>
          <w:lang w:val="uk-UA" w:eastAsia="uk-UA"/>
        </w:rPr>
        <w:t>% пацієнтів у групі 2, 69,89</w:t>
      </w:r>
      <w:r w:rsidRPr="00BB402D">
        <w:rPr>
          <w:sz w:val="28"/>
          <w:szCs w:val="28"/>
          <w:lang w:val="uk-UA"/>
        </w:rPr>
        <w:t>±4,75</w:t>
      </w:r>
      <w:r w:rsidRPr="00BB402D">
        <w:rPr>
          <w:sz w:val="28"/>
          <w:szCs w:val="28"/>
          <w:lang w:val="uk-UA" w:eastAsia="uk-UA"/>
        </w:rPr>
        <w:t>% – в групі 3. Не досягли цільових рівнів як САТ, так і ДАТ – 58,49</w:t>
      </w:r>
      <w:r w:rsidRPr="00BB402D">
        <w:rPr>
          <w:sz w:val="28"/>
          <w:szCs w:val="28"/>
          <w:lang w:val="uk-UA"/>
        </w:rPr>
        <w:t>±4,78</w:t>
      </w:r>
      <w:r w:rsidRPr="00BB402D">
        <w:rPr>
          <w:sz w:val="28"/>
          <w:szCs w:val="28"/>
          <w:lang w:val="uk-UA" w:eastAsia="uk-UA"/>
        </w:rPr>
        <w:t>% пацієнтів у групі 1,  59,62</w:t>
      </w:r>
      <w:r w:rsidRPr="00BB402D">
        <w:rPr>
          <w:sz w:val="28"/>
          <w:szCs w:val="28"/>
          <w:lang w:val="uk-UA"/>
        </w:rPr>
        <w:t xml:space="preserve">±3,93 </w:t>
      </w:r>
      <w:r w:rsidRPr="00BB402D">
        <w:rPr>
          <w:sz w:val="28"/>
          <w:szCs w:val="28"/>
          <w:lang w:val="uk-UA" w:eastAsia="uk-UA"/>
        </w:rPr>
        <w:t>% пацієнтів - у групі 2 та 48,39</w:t>
      </w:r>
      <w:r w:rsidRPr="00BB402D">
        <w:rPr>
          <w:sz w:val="28"/>
          <w:szCs w:val="28"/>
          <w:lang w:val="uk-UA"/>
        </w:rPr>
        <w:t>±5,18</w:t>
      </w:r>
      <w:r w:rsidRPr="00BB402D">
        <w:rPr>
          <w:sz w:val="28"/>
          <w:szCs w:val="28"/>
          <w:lang w:val="uk-UA" w:eastAsia="uk-UA"/>
        </w:rPr>
        <w:t>% пацієнтів у групі 3.</w:t>
      </w:r>
    </w:p>
    <w:p w:rsidR="00F450D9" w:rsidRDefault="00E3259F" w:rsidP="00F450D9">
      <w:pPr>
        <w:pStyle w:val="xfmc1"/>
        <w:spacing w:before="0" w:beforeAutospacing="0" w:after="0" w:afterAutospacing="0" w:line="360" w:lineRule="auto"/>
        <w:ind w:firstLine="709"/>
        <w:jc w:val="both"/>
        <w:rPr>
          <w:sz w:val="28"/>
          <w:szCs w:val="28"/>
          <w:lang w:val="uk-UA"/>
        </w:rPr>
      </w:pPr>
      <w:r w:rsidRPr="00BB402D">
        <w:rPr>
          <w:rStyle w:val="tlid-translation"/>
          <w:sz w:val="28"/>
          <w:szCs w:val="28"/>
          <w:lang w:val="uk-UA"/>
        </w:rPr>
        <w:t xml:space="preserve">Для уточнення значення рівня АТ для </w:t>
      </w:r>
      <w:r w:rsidRPr="00BB402D">
        <w:rPr>
          <w:sz w:val="28"/>
          <w:szCs w:val="28"/>
          <w:lang w:val="uk-UA"/>
        </w:rPr>
        <w:t>ВДТ</w:t>
      </w:r>
      <w:r w:rsidRPr="00BB402D">
        <w:rPr>
          <w:rStyle w:val="tlid-translation"/>
          <w:sz w:val="28"/>
          <w:szCs w:val="28"/>
          <w:lang w:val="uk-UA"/>
        </w:rPr>
        <w:t>було проведено порівняння ВДТ при різних рівнях досягнення цільових значень  АТ (відповідно до рекомендацій ЕТК 2018) [</w:t>
      </w:r>
      <w:r w:rsidRPr="00BB402D">
        <w:rPr>
          <w:sz w:val="28"/>
          <w:szCs w:val="28"/>
          <w:lang w:val="uk-UA"/>
        </w:rPr>
        <w:t>397</w:t>
      </w:r>
      <w:r w:rsidRPr="00BB402D">
        <w:rPr>
          <w:rStyle w:val="tlid-translation"/>
          <w:sz w:val="28"/>
          <w:szCs w:val="28"/>
          <w:lang w:val="uk-UA"/>
        </w:rPr>
        <w:t xml:space="preserve">] в групах пацієнтів. </w:t>
      </w:r>
      <w:r w:rsidRPr="00BB402D">
        <w:rPr>
          <w:sz w:val="28"/>
          <w:szCs w:val="28"/>
          <w:lang w:val="uk-UA"/>
        </w:rPr>
        <w:t xml:space="preserve">Визначено, що в пацієнтів з ізольованою ГХ не спостерігалося значної відмінності ВДТ теломер як крові, так клітин букального епітелію (Таблиця 6.4) </w:t>
      </w:r>
      <w:r w:rsidRPr="00BB402D">
        <w:rPr>
          <w:sz w:val="28"/>
          <w:szCs w:val="28"/>
          <w:lang w:val="uk-UA" w:eastAsia="en-US"/>
        </w:rPr>
        <w:t>залежно</w:t>
      </w:r>
      <w:r w:rsidRPr="00BB402D">
        <w:rPr>
          <w:sz w:val="28"/>
          <w:szCs w:val="28"/>
          <w:lang w:val="uk-UA"/>
        </w:rPr>
        <w:t xml:space="preserve"> від наявності цільових або нецільових рівней АТ (як САТ, так і ДАТ). </w:t>
      </w:r>
    </w:p>
    <w:p w:rsidR="00F450D9" w:rsidRPr="00E734AB" w:rsidRDefault="00F450D9" w:rsidP="00F450D9">
      <w:pPr>
        <w:pStyle w:val="xfmc1"/>
        <w:spacing w:before="0" w:beforeAutospacing="0" w:after="0" w:afterAutospacing="0" w:line="360" w:lineRule="auto"/>
        <w:ind w:firstLine="709"/>
        <w:jc w:val="both"/>
        <w:rPr>
          <w:sz w:val="28"/>
          <w:szCs w:val="28"/>
          <w:lang w:val="uk-UA"/>
        </w:rPr>
      </w:pPr>
      <w:r w:rsidRPr="00E734AB">
        <w:rPr>
          <w:sz w:val="28"/>
          <w:szCs w:val="28"/>
          <w:lang w:val="uk-UA"/>
        </w:rPr>
        <w:t>Можливе пояснення може полягати в тому, що суб'єкти з ГХ уже відчували надмірне виснаження теломер на ранніх етапах захворювання (середня тривалість ГХ у нашому дослідженні 10,2 ± 3,7 років), що робить додаткову зміну довжини теломер при відносному контролю АТ менш очевидним.</w:t>
      </w:r>
    </w:p>
    <w:p w:rsidR="00E3259F" w:rsidRPr="00BB402D" w:rsidRDefault="00E3259F" w:rsidP="00BB402D">
      <w:pPr>
        <w:spacing w:line="360" w:lineRule="auto"/>
        <w:ind w:firstLine="709"/>
        <w:jc w:val="both"/>
        <w:rPr>
          <w:sz w:val="28"/>
          <w:szCs w:val="28"/>
          <w:lang w:val="uk-UA"/>
        </w:rPr>
      </w:pPr>
    </w:p>
    <w:p w:rsidR="00F450D9" w:rsidRDefault="00F450D9" w:rsidP="00E3259F">
      <w:pPr>
        <w:pStyle w:val="a4"/>
        <w:spacing w:line="360" w:lineRule="auto"/>
        <w:ind w:left="0" w:firstLine="709"/>
        <w:jc w:val="right"/>
        <w:textAlignment w:val="top"/>
        <w:rPr>
          <w:color w:val="000000"/>
          <w:sz w:val="28"/>
          <w:szCs w:val="28"/>
          <w:lang w:val="uk-UA" w:eastAsia="uk-UA"/>
        </w:rPr>
      </w:pPr>
    </w:p>
    <w:p w:rsidR="00F450D9" w:rsidRDefault="00F450D9" w:rsidP="00E3259F">
      <w:pPr>
        <w:pStyle w:val="a4"/>
        <w:spacing w:line="360" w:lineRule="auto"/>
        <w:ind w:left="0" w:firstLine="709"/>
        <w:jc w:val="right"/>
        <w:textAlignment w:val="top"/>
        <w:rPr>
          <w:color w:val="000000"/>
          <w:sz w:val="28"/>
          <w:szCs w:val="28"/>
          <w:lang w:val="uk-UA" w:eastAsia="uk-UA"/>
        </w:rPr>
      </w:pPr>
    </w:p>
    <w:p w:rsidR="00F450D9" w:rsidRDefault="00F450D9" w:rsidP="00E3259F">
      <w:pPr>
        <w:pStyle w:val="a4"/>
        <w:spacing w:line="360" w:lineRule="auto"/>
        <w:ind w:left="0" w:firstLine="709"/>
        <w:jc w:val="right"/>
        <w:textAlignment w:val="top"/>
        <w:rPr>
          <w:color w:val="000000"/>
          <w:sz w:val="28"/>
          <w:szCs w:val="28"/>
          <w:lang w:val="uk-UA" w:eastAsia="uk-UA"/>
        </w:rPr>
      </w:pPr>
    </w:p>
    <w:p w:rsidR="00F450D9" w:rsidRDefault="00F450D9" w:rsidP="00E3259F">
      <w:pPr>
        <w:pStyle w:val="a4"/>
        <w:spacing w:line="360" w:lineRule="auto"/>
        <w:ind w:left="0" w:firstLine="709"/>
        <w:jc w:val="right"/>
        <w:textAlignment w:val="top"/>
        <w:rPr>
          <w:color w:val="000000"/>
          <w:sz w:val="28"/>
          <w:szCs w:val="28"/>
          <w:lang w:val="uk-UA" w:eastAsia="uk-UA"/>
        </w:rPr>
      </w:pPr>
    </w:p>
    <w:p w:rsidR="00E3259F" w:rsidRDefault="00E3259F" w:rsidP="00E3259F">
      <w:pPr>
        <w:pStyle w:val="a4"/>
        <w:spacing w:line="360" w:lineRule="auto"/>
        <w:ind w:left="0" w:firstLine="709"/>
        <w:jc w:val="right"/>
        <w:textAlignment w:val="top"/>
        <w:rPr>
          <w:color w:val="000000"/>
          <w:sz w:val="28"/>
          <w:szCs w:val="28"/>
          <w:lang w:val="uk-UA" w:eastAsia="uk-UA"/>
        </w:rPr>
      </w:pPr>
      <w:r>
        <w:rPr>
          <w:color w:val="000000"/>
          <w:sz w:val="28"/>
          <w:szCs w:val="28"/>
          <w:lang w:val="uk-UA" w:eastAsia="uk-UA"/>
        </w:rPr>
        <w:t>Таблиця 6.4</w:t>
      </w:r>
    </w:p>
    <w:p w:rsidR="00E3259F" w:rsidRDefault="00E3259F" w:rsidP="00E3259F">
      <w:pPr>
        <w:spacing w:line="360" w:lineRule="auto"/>
        <w:ind w:firstLine="709"/>
        <w:jc w:val="center"/>
        <w:rPr>
          <w:sz w:val="28"/>
          <w:szCs w:val="28"/>
          <w:lang w:val="uk-UA"/>
        </w:rPr>
      </w:pPr>
      <w:r>
        <w:rPr>
          <w:sz w:val="28"/>
          <w:szCs w:val="28"/>
          <w:lang w:val="uk-UA"/>
        </w:rPr>
        <w:t>Порівняльна характеристика відносної довжини теломер в залежності від досягнення  цільових рівнів артеріального тиску</w:t>
      </w:r>
      <w:r w:rsidR="00BB402D">
        <w:rPr>
          <w:sz w:val="28"/>
          <w:szCs w:val="28"/>
          <w:lang w:val="uk-UA"/>
        </w:rPr>
        <w:t>,</w:t>
      </w:r>
      <w:r>
        <w:rPr>
          <w:sz w:val="28"/>
          <w:szCs w:val="28"/>
          <w:lang w:val="uk-UA"/>
        </w:rPr>
        <w:t xml:space="preserve"> (</w:t>
      </w:r>
      <w:r>
        <w:rPr>
          <w:sz w:val="28"/>
          <w:szCs w:val="28"/>
          <w:lang w:val="en-US"/>
        </w:rPr>
        <w:t>M</w:t>
      </w:r>
      <w:r>
        <w:rPr>
          <w:sz w:val="28"/>
          <w:szCs w:val="28"/>
          <w:lang w:val="uk-UA"/>
        </w:rPr>
        <w:t>±</w:t>
      </w:r>
      <w:r>
        <w:rPr>
          <w:sz w:val="28"/>
          <w:szCs w:val="28"/>
          <w:lang w:val="en-US"/>
        </w:rPr>
        <w:t>m</w:t>
      </w:r>
      <w:r>
        <w:rPr>
          <w:sz w:val="28"/>
          <w:szCs w:val="28"/>
          <w:lang w:val="uk-UA"/>
        </w:rPr>
        <w:t>)</w:t>
      </w:r>
    </w:p>
    <w:tbl>
      <w:tblPr>
        <w:tblW w:w="0" w:type="auto"/>
        <w:tblLook w:val="04A0" w:firstRow="1" w:lastRow="0" w:firstColumn="1" w:lastColumn="0" w:noHBand="0" w:noVBand="1"/>
      </w:tblPr>
      <w:tblGrid>
        <w:gridCol w:w="1761"/>
        <w:gridCol w:w="1385"/>
        <w:gridCol w:w="1316"/>
        <w:gridCol w:w="1277"/>
        <w:gridCol w:w="1277"/>
        <w:gridCol w:w="1277"/>
        <w:gridCol w:w="1277"/>
      </w:tblGrid>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АТ,мм.рт.ст</w:t>
            </w:r>
          </w:p>
        </w:tc>
        <w:tc>
          <w:tcPr>
            <w:tcW w:w="2701" w:type="dxa"/>
            <w:gridSpan w:val="2"/>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САТ, мм.рт.ст..</w:t>
            </w:r>
          </w:p>
        </w:tc>
        <w:tc>
          <w:tcPr>
            <w:tcW w:w="2554" w:type="dxa"/>
            <w:gridSpan w:val="2"/>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ДАТ, мм.рт.ст</w:t>
            </w:r>
          </w:p>
        </w:tc>
        <w:tc>
          <w:tcPr>
            <w:tcW w:w="2554" w:type="dxa"/>
            <w:gridSpan w:val="2"/>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ПАТ, мм.рт.ст.</w:t>
            </w:r>
          </w:p>
        </w:tc>
      </w:tr>
      <w:tr w:rsidR="00BB402D"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Досягнення цільових значень</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spacing w:after="200" w:line="480" w:lineRule="auto"/>
              <w:jc w:val="both"/>
              <w:rPr>
                <w:sz w:val="26"/>
                <w:szCs w:val="26"/>
                <w:lang w:val="en-US" w:eastAsia="en-US"/>
              </w:rPr>
            </w:pPr>
            <w:r w:rsidRPr="00BB402D">
              <w:rPr>
                <w:sz w:val="26"/>
                <w:szCs w:val="26"/>
                <w:lang w:val="uk-UA" w:eastAsia="en-US"/>
              </w:rPr>
              <w:t>Так</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spacing w:after="200" w:line="480" w:lineRule="auto"/>
              <w:jc w:val="both"/>
              <w:rPr>
                <w:sz w:val="26"/>
                <w:szCs w:val="26"/>
                <w:lang w:val="uk-UA" w:eastAsia="en-US"/>
              </w:rPr>
            </w:pPr>
            <w:r w:rsidRPr="00BB402D">
              <w:rPr>
                <w:sz w:val="26"/>
                <w:szCs w:val="26"/>
                <w:lang w:val="uk-UA" w:eastAsia="en-US"/>
              </w:rPr>
              <w:t>Ні</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spacing w:after="200" w:line="480" w:lineRule="auto"/>
              <w:jc w:val="both"/>
              <w:rPr>
                <w:sz w:val="26"/>
                <w:szCs w:val="26"/>
                <w:lang w:val="en-US" w:eastAsia="en-US"/>
              </w:rPr>
            </w:pPr>
            <w:r w:rsidRPr="00BB402D">
              <w:rPr>
                <w:sz w:val="26"/>
                <w:szCs w:val="26"/>
                <w:lang w:val="uk-UA" w:eastAsia="en-US"/>
              </w:rPr>
              <w:t>Так</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spacing w:after="200" w:line="480" w:lineRule="auto"/>
              <w:jc w:val="both"/>
              <w:rPr>
                <w:sz w:val="26"/>
                <w:szCs w:val="26"/>
                <w:lang w:val="uk-UA" w:eastAsia="en-US"/>
              </w:rPr>
            </w:pPr>
            <w:r w:rsidRPr="00BB402D">
              <w:rPr>
                <w:sz w:val="26"/>
                <w:szCs w:val="26"/>
                <w:lang w:val="uk-UA" w:eastAsia="en-US"/>
              </w:rPr>
              <w:t>Ні</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spacing w:after="200" w:line="480" w:lineRule="auto"/>
              <w:jc w:val="both"/>
              <w:rPr>
                <w:sz w:val="26"/>
                <w:szCs w:val="26"/>
                <w:lang w:val="en-US" w:eastAsia="en-US"/>
              </w:rPr>
            </w:pPr>
            <w:r w:rsidRPr="00BB402D">
              <w:rPr>
                <w:sz w:val="26"/>
                <w:szCs w:val="26"/>
                <w:lang w:val="uk-UA" w:eastAsia="en-US"/>
              </w:rPr>
              <w:t>Так</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spacing w:after="200" w:line="480" w:lineRule="auto"/>
              <w:jc w:val="both"/>
              <w:rPr>
                <w:sz w:val="26"/>
                <w:szCs w:val="26"/>
                <w:lang w:val="uk-UA" w:eastAsia="en-US"/>
              </w:rPr>
            </w:pPr>
            <w:r w:rsidRPr="00BB402D">
              <w:rPr>
                <w:sz w:val="26"/>
                <w:szCs w:val="26"/>
                <w:lang w:val="uk-UA" w:eastAsia="en-US"/>
              </w:rPr>
              <w:t>Ні</w:t>
            </w:r>
          </w:p>
        </w:tc>
      </w:tr>
      <w:tr w:rsidR="00E3259F" w:rsidRPr="00BB402D" w:rsidTr="00E3259F">
        <w:tc>
          <w:tcPr>
            <w:tcW w:w="9570" w:type="dxa"/>
            <w:gridSpan w:val="7"/>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lang w:val="uk-UA" w:eastAsia="en-US"/>
              </w:rPr>
            </w:pPr>
            <w:r w:rsidRPr="00BB402D">
              <w:rPr>
                <w:lang w:val="uk-UA" w:eastAsia="en-US"/>
              </w:rPr>
              <w:t>1 група</w:t>
            </w:r>
          </w:p>
        </w:tc>
      </w:tr>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ВДТ крові</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1,28±</w:t>
            </w:r>
            <w:r w:rsidRPr="00BB402D">
              <w:rPr>
                <w:sz w:val="26"/>
                <w:szCs w:val="26"/>
                <w:lang w:val="uk-UA" w:eastAsia="en-US"/>
              </w:rPr>
              <w:t>0</w:t>
            </w:r>
            <w:r w:rsidRPr="00BB402D">
              <w:rPr>
                <w:sz w:val="26"/>
                <w:szCs w:val="26"/>
                <w:lang w:eastAsia="en-US"/>
              </w:rPr>
              <w:t>,</w:t>
            </w:r>
            <w:r w:rsidRPr="00BB402D">
              <w:rPr>
                <w:sz w:val="26"/>
                <w:szCs w:val="26"/>
                <w:lang w:val="uk-UA" w:eastAsia="en-US"/>
              </w:rPr>
              <w:t>10</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1,28±</w:t>
            </w:r>
            <w:r w:rsidRPr="00BB402D">
              <w:rPr>
                <w:sz w:val="26"/>
                <w:szCs w:val="26"/>
                <w:lang w:val="uk-UA" w:eastAsia="en-US"/>
              </w:rPr>
              <w:t>0</w:t>
            </w:r>
            <w:r w:rsidRPr="00BB402D">
              <w:rPr>
                <w:sz w:val="26"/>
                <w:szCs w:val="26"/>
                <w:lang w:eastAsia="en-US"/>
              </w:rPr>
              <w:t>,04</w:t>
            </w:r>
            <w:r w:rsidRPr="00BB402D">
              <w:rPr>
                <w:sz w:val="26"/>
                <w:szCs w:val="26"/>
                <w:lang w:val="uk-UA" w:eastAsia="en-US"/>
              </w:rPr>
              <w:t xml:space="preserve"> </w:t>
            </w: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1,27±</w:t>
            </w:r>
            <w:r w:rsidRPr="00BB402D">
              <w:rPr>
                <w:sz w:val="26"/>
                <w:szCs w:val="26"/>
                <w:lang w:val="uk-UA" w:eastAsia="en-US"/>
              </w:rPr>
              <w:t>0</w:t>
            </w:r>
            <w:r w:rsidRPr="00BB402D">
              <w:rPr>
                <w:sz w:val="26"/>
                <w:szCs w:val="26"/>
                <w:lang w:eastAsia="en-US"/>
              </w:rPr>
              <w:t>,0</w:t>
            </w:r>
            <w:r w:rsidRPr="00BB402D">
              <w:rPr>
                <w:sz w:val="26"/>
                <w:szCs w:val="26"/>
                <w:lang w:val="uk-UA" w:eastAsia="en-US"/>
              </w:rPr>
              <w:t>6</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w:t>
            </w:r>
            <w:r w:rsidRPr="00BB402D">
              <w:rPr>
                <w:sz w:val="26"/>
                <w:szCs w:val="26"/>
                <w:lang w:val="uk-UA" w:eastAsia="en-US"/>
              </w:rPr>
              <w:t>9</w:t>
            </w:r>
            <w:r w:rsidRPr="00BB402D">
              <w:rPr>
                <w:sz w:val="26"/>
                <w:szCs w:val="26"/>
                <w:lang w:eastAsia="en-US"/>
              </w:rPr>
              <w:t>±</w:t>
            </w:r>
            <w:r w:rsidRPr="00BB402D">
              <w:rPr>
                <w:sz w:val="26"/>
                <w:szCs w:val="26"/>
                <w:lang w:val="uk-UA" w:eastAsia="en-US"/>
              </w:rPr>
              <w:t>0</w:t>
            </w:r>
            <w:r w:rsidRPr="00BB402D">
              <w:rPr>
                <w:sz w:val="26"/>
                <w:szCs w:val="26"/>
                <w:lang w:eastAsia="en-US"/>
              </w:rPr>
              <w:t>,05</w:t>
            </w:r>
            <w:r w:rsidRPr="00BB402D">
              <w:rPr>
                <w:sz w:val="26"/>
                <w:szCs w:val="26"/>
                <w:lang w:val="uk-UA" w:eastAsia="en-US"/>
              </w:rPr>
              <w:t xml:space="preserve"> </w:t>
            </w: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1,3</w:t>
            </w:r>
            <w:r w:rsidRPr="00BB402D">
              <w:rPr>
                <w:sz w:val="26"/>
                <w:szCs w:val="26"/>
                <w:lang w:val="uk-UA" w:eastAsia="en-US"/>
              </w:rPr>
              <w:t>6</w:t>
            </w:r>
            <w:r w:rsidRPr="00BB402D">
              <w:rPr>
                <w:sz w:val="26"/>
                <w:szCs w:val="26"/>
                <w:lang w:eastAsia="en-US"/>
              </w:rPr>
              <w:t>±</w:t>
            </w:r>
            <w:r w:rsidRPr="00BB402D">
              <w:rPr>
                <w:sz w:val="26"/>
                <w:szCs w:val="26"/>
                <w:lang w:val="uk-UA" w:eastAsia="en-US"/>
              </w:rPr>
              <w:t>0</w:t>
            </w:r>
            <w:r w:rsidRPr="00BB402D">
              <w:rPr>
                <w:sz w:val="26"/>
                <w:szCs w:val="26"/>
                <w:lang w:eastAsia="en-US"/>
              </w:rPr>
              <w:t>,2</w:t>
            </w:r>
            <w:r w:rsidRPr="00BB402D">
              <w:rPr>
                <w:sz w:val="26"/>
                <w:szCs w:val="26"/>
                <w:lang w:val="uk-UA" w:eastAsia="en-US"/>
              </w:rPr>
              <w:t xml:space="preserve">4 </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w:t>
            </w:r>
            <w:r w:rsidRPr="00BB402D">
              <w:rPr>
                <w:sz w:val="26"/>
                <w:szCs w:val="26"/>
                <w:lang w:val="uk-UA" w:eastAsia="en-US"/>
              </w:rPr>
              <w:t>9</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 xml:space="preserve">5 </w:t>
            </w:r>
            <w:r w:rsidRPr="00BB402D">
              <w:rPr>
                <w:sz w:val="26"/>
                <w:szCs w:val="26"/>
                <w:shd w:val="clear" w:color="auto" w:fill="FFFFFF"/>
                <w:lang w:val="uk-UA" w:eastAsia="en-US"/>
              </w:rPr>
              <w:t>р&gt;0,05</w:t>
            </w:r>
          </w:p>
        </w:tc>
      </w:tr>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ВДТ бук.епіт.</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1,0</w:t>
            </w:r>
            <w:r w:rsidRPr="00BB402D">
              <w:rPr>
                <w:sz w:val="26"/>
                <w:szCs w:val="26"/>
                <w:lang w:val="uk-UA" w:eastAsia="en-US"/>
              </w:rPr>
              <w:t>7</w:t>
            </w:r>
            <w:r w:rsidRPr="00BB402D">
              <w:rPr>
                <w:sz w:val="26"/>
                <w:szCs w:val="26"/>
                <w:lang w:eastAsia="en-US"/>
              </w:rPr>
              <w:t>±</w:t>
            </w:r>
            <w:r w:rsidRPr="00BB402D">
              <w:rPr>
                <w:sz w:val="26"/>
                <w:szCs w:val="26"/>
                <w:lang w:val="uk-UA" w:eastAsia="en-US"/>
              </w:rPr>
              <w:t>0</w:t>
            </w:r>
            <w:r w:rsidRPr="00BB402D">
              <w:rPr>
                <w:sz w:val="26"/>
                <w:szCs w:val="26"/>
                <w:lang w:eastAsia="en-US"/>
              </w:rPr>
              <w:t>,1</w:t>
            </w:r>
            <w:r w:rsidRPr="00BB402D">
              <w:rPr>
                <w:sz w:val="26"/>
                <w:szCs w:val="26"/>
                <w:lang w:val="uk-UA" w:eastAsia="en-US"/>
              </w:rPr>
              <w:t>6</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w:t>
            </w:r>
            <w:r w:rsidRPr="00BB402D">
              <w:rPr>
                <w:sz w:val="26"/>
                <w:szCs w:val="26"/>
                <w:lang w:val="uk-UA" w:eastAsia="en-US"/>
              </w:rPr>
              <w:t>8</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 xml:space="preserve">5 </w:t>
            </w: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1,1</w:t>
            </w:r>
            <w:r w:rsidRPr="00BB402D">
              <w:rPr>
                <w:sz w:val="26"/>
                <w:szCs w:val="26"/>
                <w:lang w:val="uk-UA" w:eastAsia="en-US"/>
              </w:rPr>
              <w:t>2</w:t>
            </w:r>
            <w:r w:rsidRPr="00BB402D">
              <w:rPr>
                <w:sz w:val="26"/>
                <w:szCs w:val="26"/>
                <w:lang w:eastAsia="en-US"/>
              </w:rPr>
              <w:t>±</w:t>
            </w:r>
            <w:r w:rsidRPr="00BB402D">
              <w:rPr>
                <w:sz w:val="26"/>
                <w:szCs w:val="26"/>
                <w:lang w:val="uk-UA" w:eastAsia="en-US"/>
              </w:rPr>
              <w:t>0</w:t>
            </w:r>
            <w:r w:rsidRPr="00BB402D">
              <w:rPr>
                <w:sz w:val="26"/>
                <w:szCs w:val="26"/>
                <w:lang w:eastAsia="en-US"/>
              </w:rPr>
              <w:t>,10</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w:t>
            </w:r>
            <w:r w:rsidRPr="00BB402D">
              <w:rPr>
                <w:sz w:val="26"/>
                <w:szCs w:val="26"/>
                <w:lang w:val="uk-UA" w:eastAsia="en-US"/>
              </w:rPr>
              <w:t>9</w:t>
            </w:r>
            <w:r w:rsidRPr="00BB402D">
              <w:rPr>
                <w:sz w:val="26"/>
                <w:szCs w:val="26"/>
                <w:lang w:eastAsia="en-US"/>
              </w:rPr>
              <w:t>±</w:t>
            </w:r>
            <w:r w:rsidRPr="00BB402D">
              <w:rPr>
                <w:sz w:val="26"/>
                <w:szCs w:val="26"/>
                <w:lang w:val="uk-UA" w:eastAsia="en-US"/>
              </w:rPr>
              <w:t>0</w:t>
            </w:r>
            <w:r w:rsidRPr="00BB402D">
              <w:rPr>
                <w:sz w:val="26"/>
                <w:szCs w:val="26"/>
                <w:lang w:eastAsia="en-US"/>
              </w:rPr>
              <w:t>,05</w:t>
            </w:r>
            <w:r w:rsidRPr="00BB402D">
              <w:rPr>
                <w:sz w:val="26"/>
                <w:szCs w:val="26"/>
                <w:lang w:val="uk-UA" w:eastAsia="en-US"/>
              </w:rPr>
              <w:t xml:space="preserve"> </w:t>
            </w: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w:t>
            </w:r>
            <w:r w:rsidRPr="00BB402D">
              <w:rPr>
                <w:sz w:val="26"/>
                <w:szCs w:val="26"/>
                <w:lang w:val="uk-UA" w:eastAsia="en-US"/>
              </w:rPr>
              <w:t>7</w:t>
            </w:r>
            <w:r w:rsidRPr="00BB402D">
              <w:rPr>
                <w:sz w:val="26"/>
                <w:szCs w:val="26"/>
                <w:lang w:eastAsia="en-US"/>
              </w:rPr>
              <w:t>±</w:t>
            </w:r>
            <w:r w:rsidRPr="00BB402D">
              <w:rPr>
                <w:sz w:val="26"/>
                <w:szCs w:val="26"/>
                <w:lang w:val="uk-UA" w:eastAsia="en-US"/>
              </w:rPr>
              <w:t>0</w:t>
            </w:r>
            <w:r w:rsidRPr="00BB402D">
              <w:rPr>
                <w:sz w:val="26"/>
                <w:szCs w:val="26"/>
                <w:lang w:eastAsia="en-US"/>
              </w:rPr>
              <w:t>,1</w:t>
            </w:r>
            <w:r w:rsidRPr="00BB402D">
              <w:rPr>
                <w:sz w:val="26"/>
                <w:szCs w:val="26"/>
                <w:lang w:val="uk-UA" w:eastAsia="en-US"/>
              </w:rPr>
              <w:t>3</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1,2</w:t>
            </w:r>
            <w:r w:rsidRPr="00BB402D">
              <w:rPr>
                <w:sz w:val="26"/>
                <w:szCs w:val="26"/>
                <w:lang w:val="uk-UA" w:eastAsia="en-US"/>
              </w:rPr>
              <w:t>7</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 xml:space="preserve">5 </w:t>
            </w:r>
            <w:r w:rsidRPr="00BB402D">
              <w:rPr>
                <w:sz w:val="26"/>
                <w:szCs w:val="26"/>
                <w:shd w:val="clear" w:color="auto" w:fill="FFFFFF"/>
                <w:lang w:val="uk-UA" w:eastAsia="en-US"/>
              </w:rPr>
              <w:t>р&gt;0,05</w:t>
            </w:r>
          </w:p>
        </w:tc>
      </w:tr>
      <w:tr w:rsidR="00E3259F" w:rsidRPr="00BB402D" w:rsidTr="00E3259F">
        <w:tc>
          <w:tcPr>
            <w:tcW w:w="9570" w:type="dxa"/>
            <w:gridSpan w:val="7"/>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2 група</w:t>
            </w:r>
          </w:p>
        </w:tc>
      </w:tr>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ВДТ крові</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1,4</w:t>
            </w:r>
            <w:r w:rsidRPr="00BB402D">
              <w:rPr>
                <w:sz w:val="26"/>
                <w:szCs w:val="26"/>
                <w:lang w:val="uk-UA" w:eastAsia="en-US"/>
              </w:rPr>
              <w:t>5</w:t>
            </w:r>
            <w:r w:rsidRPr="00BB402D">
              <w:rPr>
                <w:sz w:val="26"/>
                <w:szCs w:val="26"/>
                <w:lang w:eastAsia="en-US"/>
              </w:rPr>
              <w:t>±</w:t>
            </w:r>
            <w:r w:rsidRPr="00BB402D">
              <w:rPr>
                <w:sz w:val="26"/>
                <w:szCs w:val="26"/>
                <w:lang w:val="uk-UA" w:eastAsia="en-US"/>
              </w:rPr>
              <w:t>0</w:t>
            </w:r>
            <w:r w:rsidRPr="00BB402D">
              <w:rPr>
                <w:sz w:val="26"/>
                <w:szCs w:val="26"/>
                <w:lang w:eastAsia="en-US"/>
              </w:rPr>
              <w:t>,19</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,8</w:t>
            </w:r>
            <w:r w:rsidRPr="00BB402D">
              <w:rPr>
                <w:sz w:val="26"/>
                <w:szCs w:val="26"/>
                <w:lang w:val="uk-UA" w:eastAsia="en-US"/>
              </w:rPr>
              <w:t>9</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4 р=0</w:t>
            </w:r>
            <w:r w:rsidRPr="00BB402D">
              <w:rPr>
                <w:sz w:val="26"/>
                <w:szCs w:val="26"/>
                <w:lang w:eastAsia="en-US"/>
              </w:rPr>
              <w:t>,011</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1,43±</w:t>
            </w:r>
            <w:r w:rsidRPr="00BB402D">
              <w:rPr>
                <w:sz w:val="26"/>
                <w:szCs w:val="26"/>
                <w:lang w:val="uk-UA" w:eastAsia="en-US"/>
              </w:rPr>
              <w:t>0</w:t>
            </w:r>
            <w:r w:rsidRPr="00BB402D">
              <w:rPr>
                <w:sz w:val="26"/>
                <w:szCs w:val="26"/>
                <w:lang w:eastAsia="en-US"/>
              </w:rPr>
              <w:t>,0</w:t>
            </w:r>
            <w:r w:rsidRPr="00BB402D">
              <w:rPr>
                <w:sz w:val="26"/>
                <w:szCs w:val="26"/>
                <w:lang w:val="uk-UA" w:eastAsia="en-US"/>
              </w:rPr>
              <w:t>1</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4</w:t>
            </w:r>
            <w:r w:rsidRPr="00BB402D">
              <w:rPr>
                <w:sz w:val="26"/>
                <w:szCs w:val="26"/>
                <w:lang w:eastAsia="en-US"/>
              </w:rPr>
              <w:t>±</w:t>
            </w:r>
            <w:r w:rsidRPr="00BB402D">
              <w:rPr>
                <w:sz w:val="26"/>
                <w:szCs w:val="26"/>
                <w:lang w:val="uk-UA" w:eastAsia="en-US"/>
              </w:rPr>
              <w:t>0</w:t>
            </w:r>
            <w:r w:rsidRPr="00BB402D">
              <w:rPr>
                <w:sz w:val="26"/>
                <w:szCs w:val="26"/>
                <w:lang w:eastAsia="en-US"/>
              </w:rPr>
              <w:t>,04</w:t>
            </w:r>
            <w:r w:rsidRPr="00BB402D">
              <w:rPr>
                <w:sz w:val="26"/>
                <w:szCs w:val="26"/>
                <w:lang w:val="uk-UA" w:eastAsia="en-US"/>
              </w:rPr>
              <w:t xml:space="preserve"> р&lt;0</w:t>
            </w:r>
            <w:r w:rsidRPr="00BB402D">
              <w:rPr>
                <w:sz w:val="26"/>
                <w:szCs w:val="26"/>
                <w:lang w:eastAsia="en-US"/>
              </w:rPr>
              <w:t>,00</w:t>
            </w:r>
            <w:r w:rsidRPr="00BB402D">
              <w:rPr>
                <w:sz w:val="26"/>
                <w:szCs w:val="26"/>
                <w:lang w:val="uk-UA" w:eastAsia="en-US"/>
              </w:rPr>
              <w:t>1</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1,1</w:t>
            </w:r>
            <w:r w:rsidRPr="00BB402D">
              <w:rPr>
                <w:sz w:val="26"/>
                <w:szCs w:val="26"/>
                <w:lang w:val="uk-UA" w:eastAsia="en-US"/>
              </w:rPr>
              <w:t>9</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9</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2</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5 р=0</w:t>
            </w:r>
            <w:r w:rsidRPr="00BB402D">
              <w:rPr>
                <w:sz w:val="26"/>
                <w:szCs w:val="26"/>
                <w:lang w:eastAsia="en-US"/>
              </w:rPr>
              <w:t>,013</w:t>
            </w:r>
          </w:p>
        </w:tc>
      </w:tr>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ВДТ бук.епіт.</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,99±</w:t>
            </w:r>
            <w:r w:rsidRPr="00BB402D">
              <w:rPr>
                <w:sz w:val="26"/>
                <w:szCs w:val="26"/>
                <w:lang w:val="uk-UA" w:eastAsia="en-US"/>
              </w:rPr>
              <w:t>0</w:t>
            </w:r>
            <w:r w:rsidRPr="00BB402D">
              <w:rPr>
                <w:sz w:val="26"/>
                <w:szCs w:val="26"/>
                <w:lang w:eastAsia="en-US"/>
              </w:rPr>
              <w:t>,0</w:t>
            </w:r>
            <w:r w:rsidRPr="00BB402D">
              <w:rPr>
                <w:sz w:val="26"/>
                <w:szCs w:val="26"/>
                <w:lang w:val="uk-UA" w:eastAsia="en-US"/>
              </w:rPr>
              <w:t>9</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,87±</w:t>
            </w:r>
            <w:r w:rsidRPr="00BB402D">
              <w:rPr>
                <w:sz w:val="26"/>
                <w:szCs w:val="26"/>
                <w:lang w:val="uk-UA" w:eastAsia="en-US"/>
              </w:rPr>
              <w:t>0</w:t>
            </w:r>
            <w:r w:rsidRPr="00BB402D">
              <w:rPr>
                <w:sz w:val="26"/>
                <w:szCs w:val="26"/>
                <w:lang w:eastAsia="en-US"/>
              </w:rPr>
              <w:t>,04</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tcPr>
          <w:p w:rsidR="00E3259F" w:rsidRPr="00BB402D" w:rsidRDefault="00E3259F">
            <w:pPr>
              <w:pStyle w:val="xfmc1"/>
              <w:spacing w:line="360" w:lineRule="auto"/>
              <w:rPr>
                <w:sz w:val="26"/>
                <w:szCs w:val="26"/>
                <w:lang w:val="uk-UA" w:eastAsia="en-US"/>
              </w:rPr>
            </w:pPr>
            <w:r w:rsidRPr="00BB402D">
              <w:rPr>
                <w:sz w:val="26"/>
                <w:szCs w:val="26"/>
                <w:lang w:eastAsia="en-US"/>
              </w:rPr>
              <w:t>1,27±</w:t>
            </w:r>
            <w:r w:rsidRPr="00BB402D">
              <w:rPr>
                <w:sz w:val="26"/>
                <w:szCs w:val="26"/>
                <w:lang w:val="uk-UA" w:eastAsia="en-US"/>
              </w:rPr>
              <w:t>0</w:t>
            </w:r>
            <w:r w:rsidRPr="00BB402D">
              <w:rPr>
                <w:sz w:val="26"/>
                <w:szCs w:val="26"/>
                <w:lang w:eastAsia="en-US"/>
              </w:rPr>
              <w:t>,0</w:t>
            </w:r>
            <w:r w:rsidRPr="00BB402D">
              <w:rPr>
                <w:sz w:val="26"/>
                <w:szCs w:val="26"/>
                <w:lang w:val="uk-UA" w:eastAsia="en-US"/>
              </w:rPr>
              <w:t>1</w:t>
            </w:r>
          </w:p>
          <w:p w:rsidR="00E3259F" w:rsidRPr="00BB402D" w:rsidRDefault="00E3259F">
            <w:pPr>
              <w:pStyle w:val="xfmc1"/>
              <w:spacing w:line="360" w:lineRule="auto"/>
              <w:rPr>
                <w:sz w:val="26"/>
                <w:szCs w:val="26"/>
                <w:lang w:val="uk-UA" w:eastAsia="en-US"/>
              </w:rPr>
            </w:pP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,8</w:t>
            </w:r>
            <w:r w:rsidRPr="00BB402D">
              <w:rPr>
                <w:sz w:val="26"/>
                <w:szCs w:val="26"/>
                <w:lang w:val="uk-UA" w:eastAsia="en-US"/>
              </w:rPr>
              <w:t>8</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4</w:t>
            </w:r>
          </w:p>
          <w:p w:rsidR="00E3259F" w:rsidRPr="00BB402D" w:rsidRDefault="00E3259F">
            <w:pPr>
              <w:pStyle w:val="xfmc1"/>
              <w:spacing w:line="360" w:lineRule="auto"/>
              <w:rPr>
                <w:sz w:val="26"/>
                <w:szCs w:val="26"/>
                <w:lang w:val="uk-UA" w:eastAsia="en-US"/>
              </w:rPr>
            </w:pPr>
            <w:r w:rsidRPr="00BB402D">
              <w:rPr>
                <w:sz w:val="26"/>
                <w:szCs w:val="26"/>
                <w:lang w:val="uk-UA" w:eastAsia="en-US"/>
              </w:rPr>
              <w:t>р&lt;0</w:t>
            </w:r>
            <w:r w:rsidRPr="00BB402D">
              <w:rPr>
                <w:sz w:val="26"/>
                <w:szCs w:val="26"/>
                <w:lang w:eastAsia="en-US"/>
              </w:rPr>
              <w:t>,00</w:t>
            </w:r>
            <w:r w:rsidRPr="00BB402D">
              <w:rPr>
                <w:sz w:val="26"/>
                <w:szCs w:val="26"/>
                <w:lang w:val="uk-UA" w:eastAsia="en-US"/>
              </w:rPr>
              <w:t>1</w:t>
            </w:r>
          </w:p>
        </w:tc>
        <w:tc>
          <w:tcPr>
            <w:tcW w:w="1277" w:type="dxa"/>
            <w:tcBorders>
              <w:top w:val="single" w:sz="4" w:space="0" w:color="auto"/>
              <w:left w:val="single" w:sz="4" w:space="0" w:color="auto"/>
              <w:bottom w:val="single" w:sz="4" w:space="0" w:color="auto"/>
              <w:right w:val="single" w:sz="4" w:space="0" w:color="auto"/>
            </w:tcBorders>
          </w:tcPr>
          <w:p w:rsidR="00E3259F" w:rsidRPr="00BB402D" w:rsidRDefault="00E3259F">
            <w:pPr>
              <w:pStyle w:val="xfmc1"/>
              <w:spacing w:line="360" w:lineRule="auto"/>
              <w:rPr>
                <w:sz w:val="26"/>
                <w:szCs w:val="26"/>
                <w:lang w:val="uk-UA" w:eastAsia="en-US"/>
              </w:rPr>
            </w:pPr>
            <w:r w:rsidRPr="00BB402D">
              <w:rPr>
                <w:sz w:val="26"/>
                <w:szCs w:val="26"/>
                <w:lang w:eastAsia="en-US"/>
              </w:rPr>
              <w:t>1,0</w:t>
            </w:r>
            <w:r w:rsidRPr="00BB402D">
              <w:rPr>
                <w:sz w:val="26"/>
                <w:szCs w:val="26"/>
                <w:lang w:val="uk-UA" w:eastAsia="en-US"/>
              </w:rPr>
              <w:t>6</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5</w:t>
            </w:r>
          </w:p>
          <w:p w:rsidR="00E3259F" w:rsidRPr="00BB402D" w:rsidRDefault="00E3259F">
            <w:pPr>
              <w:pStyle w:val="xfmc1"/>
              <w:spacing w:line="360" w:lineRule="auto"/>
              <w:rPr>
                <w:sz w:val="26"/>
                <w:szCs w:val="26"/>
                <w:lang w:val="uk-UA" w:eastAsia="en-US"/>
              </w:rPr>
            </w:pP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,86±</w:t>
            </w:r>
            <w:r w:rsidRPr="00BB402D">
              <w:rPr>
                <w:sz w:val="26"/>
                <w:szCs w:val="26"/>
                <w:lang w:val="uk-UA" w:eastAsia="en-US"/>
              </w:rPr>
              <w:t>0</w:t>
            </w:r>
            <w:r w:rsidRPr="00BB402D">
              <w:rPr>
                <w:sz w:val="26"/>
                <w:szCs w:val="26"/>
                <w:lang w:eastAsia="en-US"/>
              </w:rPr>
              <w:t>,04</w:t>
            </w:r>
          </w:p>
          <w:p w:rsidR="00E3259F" w:rsidRPr="00BB402D" w:rsidRDefault="00E3259F">
            <w:pPr>
              <w:pStyle w:val="xfmc1"/>
              <w:spacing w:line="360" w:lineRule="auto"/>
              <w:rPr>
                <w:sz w:val="26"/>
                <w:szCs w:val="26"/>
                <w:lang w:val="uk-UA" w:eastAsia="en-US"/>
              </w:rPr>
            </w:pPr>
            <w:r w:rsidRPr="00BB402D">
              <w:rPr>
                <w:sz w:val="26"/>
                <w:szCs w:val="26"/>
                <w:lang w:val="uk-UA" w:eastAsia="en-US"/>
              </w:rPr>
              <w:t>р=0</w:t>
            </w:r>
            <w:r w:rsidRPr="00BB402D">
              <w:rPr>
                <w:sz w:val="26"/>
                <w:szCs w:val="26"/>
                <w:lang w:eastAsia="en-US"/>
              </w:rPr>
              <w:t>,004</w:t>
            </w:r>
          </w:p>
        </w:tc>
      </w:tr>
      <w:tr w:rsidR="00E3259F" w:rsidRPr="00BB402D" w:rsidTr="00E3259F">
        <w:tc>
          <w:tcPr>
            <w:tcW w:w="9570" w:type="dxa"/>
            <w:gridSpan w:val="7"/>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3 група</w:t>
            </w:r>
          </w:p>
        </w:tc>
      </w:tr>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ВДТ крові</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eastAsia="en-US"/>
              </w:rPr>
              <w:t>1,0</w:t>
            </w:r>
            <w:r w:rsidRPr="00BB402D">
              <w:rPr>
                <w:sz w:val="26"/>
                <w:szCs w:val="26"/>
                <w:lang w:val="uk-UA" w:eastAsia="en-US"/>
              </w:rPr>
              <w:t>2</w:t>
            </w:r>
            <w:r w:rsidRPr="00BB402D">
              <w:rPr>
                <w:sz w:val="26"/>
                <w:szCs w:val="26"/>
                <w:lang w:eastAsia="en-US"/>
              </w:rPr>
              <w:t>±</w:t>
            </w:r>
            <w:r w:rsidRPr="00BB402D">
              <w:rPr>
                <w:sz w:val="26"/>
                <w:szCs w:val="26"/>
                <w:lang w:val="uk-UA" w:eastAsia="en-US"/>
              </w:rPr>
              <w:t>0</w:t>
            </w:r>
            <w:r w:rsidRPr="00BB402D">
              <w:rPr>
                <w:sz w:val="26"/>
                <w:szCs w:val="26"/>
                <w:lang w:eastAsia="en-US"/>
              </w:rPr>
              <w:t>,09</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,91±</w:t>
            </w:r>
            <w:r w:rsidRPr="00BB402D">
              <w:rPr>
                <w:sz w:val="26"/>
                <w:szCs w:val="26"/>
                <w:lang w:val="uk-UA" w:eastAsia="en-US"/>
              </w:rPr>
              <w:t>0</w:t>
            </w:r>
            <w:r w:rsidRPr="00BB402D">
              <w:rPr>
                <w:sz w:val="26"/>
                <w:szCs w:val="26"/>
                <w:lang w:eastAsia="en-US"/>
              </w:rPr>
              <w:t>,0</w:t>
            </w:r>
            <w:r w:rsidRPr="00BB402D">
              <w:rPr>
                <w:sz w:val="26"/>
                <w:szCs w:val="26"/>
                <w:lang w:val="uk-UA" w:eastAsia="en-US"/>
              </w:rPr>
              <w:t>5</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3</w:t>
            </w:r>
            <w:r w:rsidRPr="00BB402D">
              <w:rPr>
                <w:sz w:val="26"/>
                <w:szCs w:val="26"/>
                <w:lang w:eastAsia="en-US"/>
              </w:rPr>
              <w:t>±</w:t>
            </w:r>
            <w:r w:rsidRPr="00BB402D">
              <w:rPr>
                <w:sz w:val="26"/>
                <w:szCs w:val="26"/>
                <w:lang w:val="uk-UA" w:eastAsia="en-US"/>
              </w:rPr>
              <w:t>0</w:t>
            </w:r>
            <w:r w:rsidRPr="00BB402D">
              <w:rPr>
                <w:sz w:val="26"/>
                <w:szCs w:val="26"/>
                <w:lang w:eastAsia="en-US"/>
              </w:rPr>
              <w:t>,15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,92±</w:t>
            </w:r>
            <w:r w:rsidRPr="00BB402D">
              <w:rPr>
                <w:sz w:val="26"/>
                <w:szCs w:val="26"/>
                <w:lang w:val="uk-UA" w:eastAsia="en-US"/>
              </w:rPr>
              <w:t>0</w:t>
            </w:r>
            <w:r w:rsidRPr="00BB402D">
              <w:rPr>
                <w:sz w:val="26"/>
                <w:szCs w:val="26"/>
                <w:lang w:eastAsia="en-US"/>
              </w:rPr>
              <w:t>,04</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9</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6</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1</w:t>
            </w:r>
            <w:r w:rsidRPr="00BB402D">
              <w:rPr>
                <w:sz w:val="26"/>
                <w:szCs w:val="26"/>
                <w:lang w:eastAsia="en-US"/>
              </w:rPr>
              <w:t>±</w:t>
            </w:r>
            <w:r w:rsidRPr="00BB402D">
              <w:rPr>
                <w:sz w:val="26"/>
                <w:szCs w:val="26"/>
                <w:lang w:val="uk-UA" w:eastAsia="en-US"/>
              </w:rPr>
              <w:t>0</w:t>
            </w:r>
            <w:r w:rsidRPr="00BB402D">
              <w:rPr>
                <w:sz w:val="26"/>
                <w:szCs w:val="26"/>
                <w:lang w:eastAsia="en-US"/>
              </w:rPr>
              <w:t>,05</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r>
      <w:tr w:rsidR="00E3259F" w:rsidRPr="00BB402D" w:rsidTr="00E3259F">
        <w:tc>
          <w:tcPr>
            <w:tcW w:w="1761"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ВДТ бук.епіт.</w:t>
            </w:r>
          </w:p>
        </w:tc>
        <w:tc>
          <w:tcPr>
            <w:tcW w:w="1385"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,95±</w:t>
            </w:r>
            <w:r w:rsidRPr="00BB402D">
              <w:rPr>
                <w:sz w:val="26"/>
                <w:szCs w:val="26"/>
                <w:lang w:val="uk-UA" w:eastAsia="en-US"/>
              </w:rPr>
              <w:t>0</w:t>
            </w:r>
            <w:r w:rsidRPr="00BB402D">
              <w:rPr>
                <w:sz w:val="26"/>
                <w:szCs w:val="26"/>
                <w:lang w:eastAsia="en-US"/>
              </w:rPr>
              <w:t>,08</w:t>
            </w:r>
          </w:p>
        </w:tc>
        <w:tc>
          <w:tcPr>
            <w:tcW w:w="1316"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,97±</w:t>
            </w:r>
            <w:r w:rsidRPr="00BB402D">
              <w:rPr>
                <w:sz w:val="26"/>
                <w:szCs w:val="26"/>
                <w:lang w:val="uk-UA" w:eastAsia="en-US"/>
              </w:rPr>
              <w:t>0</w:t>
            </w:r>
            <w:r w:rsidRPr="00BB402D">
              <w:rPr>
                <w:sz w:val="26"/>
                <w:szCs w:val="26"/>
                <w:lang w:eastAsia="en-US"/>
              </w:rPr>
              <w:t>,03</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6</w:t>
            </w:r>
            <w:r w:rsidRPr="00BB402D">
              <w:rPr>
                <w:sz w:val="26"/>
                <w:szCs w:val="26"/>
                <w:lang w:eastAsia="en-US"/>
              </w:rPr>
              <w:t>±</w:t>
            </w:r>
            <w:r w:rsidRPr="00BB402D">
              <w:rPr>
                <w:sz w:val="26"/>
                <w:szCs w:val="26"/>
                <w:lang w:val="uk-UA" w:eastAsia="en-US"/>
              </w:rPr>
              <w:t>0</w:t>
            </w:r>
            <w:r w:rsidRPr="00BB402D">
              <w:rPr>
                <w:sz w:val="26"/>
                <w:szCs w:val="26"/>
                <w:lang w:eastAsia="en-US"/>
              </w:rPr>
              <w:t>,1</w:t>
            </w:r>
            <w:r w:rsidRPr="00BB402D">
              <w:rPr>
                <w:sz w:val="26"/>
                <w:szCs w:val="26"/>
                <w:lang w:val="uk-UA" w:eastAsia="en-US"/>
              </w:rPr>
              <w:t>3</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,97±</w:t>
            </w:r>
            <w:r w:rsidRPr="00BB402D">
              <w:rPr>
                <w:sz w:val="26"/>
                <w:szCs w:val="26"/>
                <w:lang w:val="uk-UA" w:eastAsia="en-US"/>
              </w:rPr>
              <w:t>0</w:t>
            </w:r>
            <w:r w:rsidRPr="00BB402D">
              <w:rPr>
                <w:sz w:val="26"/>
                <w:szCs w:val="26"/>
                <w:lang w:eastAsia="en-US"/>
              </w:rPr>
              <w:t>,0</w:t>
            </w:r>
            <w:r w:rsidRPr="00BB402D">
              <w:rPr>
                <w:sz w:val="26"/>
                <w:szCs w:val="26"/>
                <w:lang w:val="uk-UA" w:eastAsia="en-US"/>
              </w:rPr>
              <w:t>3</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5</w:t>
            </w:r>
            <w:r w:rsidRPr="00BB402D">
              <w:rPr>
                <w:sz w:val="26"/>
                <w:szCs w:val="26"/>
                <w:lang w:eastAsia="en-US"/>
              </w:rPr>
              <w:t>±</w:t>
            </w:r>
            <w:r w:rsidRPr="00BB402D">
              <w:rPr>
                <w:sz w:val="26"/>
                <w:szCs w:val="26"/>
                <w:lang w:val="uk-UA" w:eastAsia="en-US"/>
              </w:rPr>
              <w:t>0</w:t>
            </w:r>
            <w:r w:rsidRPr="00BB402D">
              <w:rPr>
                <w:sz w:val="26"/>
                <w:szCs w:val="26"/>
                <w:lang w:eastAsia="en-US"/>
              </w:rPr>
              <w:t>,0</w:t>
            </w:r>
            <w:r w:rsidRPr="00BB402D">
              <w:rPr>
                <w:sz w:val="26"/>
                <w:szCs w:val="26"/>
                <w:lang w:val="uk-UA" w:eastAsia="en-US"/>
              </w:rPr>
              <w:t>5</w:t>
            </w:r>
          </w:p>
        </w:tc>
        <w:tc>
          <w:tcPr>
            <w:tcW w:w="1277" w:type="dxa"/>
            <w:tcBorders>
              <w:top w:val="single" w:sz="4" w:space="0" w:color="auto"/>
              <w:left w:val="single" w:sz="4" w:space="0" w:color="auto"/>
              <w:bottom w:val="single" w:sz="4" w:space="0" w:color="auto"/>
              <w:right w:val="single" w:sz="4" w:space="0" w:color="auto"/>
            </w:tcBorders>
            <w:hideMark/>
          </w:tcPr>
          <w:p w:rsidR="00E3259F" w:rsidRPr="00BB402D" w:rsidRDefault="00E3259F">
            <w:pPr>
              <w:pStyle w:val="xfmc1"/>
              <w:spacing w:line="360" w:lineRule="auto"/>
              <w:rPr>
                <w:sz w:val="26"/>
                <w:szCs w:val="26"/>
                <w:lang w:val="uk-UA" w:eastAsia="en-US"/>
              </w:rPr>
            </w:pPr>
            <w:r w:rsidRPr="00BB402D">
              <w:rPr>
                <w:sz w:val="26"/>
                <w:szCs w:val="26"/>
                <w:lang w:val="uk-UA" w:eastAsia="en-US"/>
              </w:rPr>
              <w:t>0</w:t>
            </w:r>
            <w:r w:rsidRPr="00BB402D">
              <w:rPr>
                <w:sz w:val="26"/>
                <w:szCs w:val="26"/>
                <w:lang w:eastAsia="en-US"/>
              </w:rPr>
              <w:t>,9</w:t>
            </w:r>
            <w:r w:rsidRPr="00BB402D">
              <w:rPr>
                <w:sz w:val="26"/>
                <w:szCs w:val="26"/>
                <w:lang w:val="uk-UA" w:eastAsia="en-US"/>
              </w:rPr>
              <w:t>8</w:t>
            </w:r>
            <w:r w:rsidRPr="00BB402D">
              <w:rPr>
                <w:sz w:val="26"/>
                <w:szCs w:val="26"/>
                <w:lang w:eastAsia="en-US"/>
              </w:rPr>
              <w:t>±</w:t>
            </w:r>
            <w:r w:rsidRPr="00BB402D">
              <w:rPr>
                <w:sz w:val="26"/>
                <w:szCs w:val="26"/>
                <w:lang w:val="uk-UA" w:eastAsia="en-US"/>
              </w:rPr>
              <w:t>0</w:t>
            </w:r>
            <w:r w:rsidRPr="00BB402D">
              <w:rPr>
                <w:sz w:val="26"/>
                <w:szCs w:val="26"/>
                <w:lang w:eastAsia="en-US"/>
              </w:rPr>
              <w:t>,03</w:t>
            </w:r>
          </w:p>
          <w:p w:rsidR="00E3259F" w:rsidRPr="00BB402D" w:rsidRDefault="00E3259F">
            <w:pPr>
              <w:pStyle w:val="xfmc1"/>
              <w:spacing w:line="360" w:lineRule="auto"/>
              <w:rPr>
                <w:sz w:val="26"/>
                <w:szCs w:val="26"/>
                <w:lang w:val="uk-UA" w:eastAsia="en-US"/>
              </w:rPr>
            </w:pPr>
            <w:r w:rsidRPr="00BB402D">
              <w:rPr>
                <w:sz w:val="26"/>
                <w:szCs w:val="26"/>
                <w:shd w:val="clear" w:color="auto" w:fill="FFFFFF"/>
                <w:lang w:val="uk-UA" w:eastAsia="en-US"/>
              </w:rPr>
              <w:t>р&gt;0,05</w:t>
            </w:r>
          </w:p>
        </w:tc>
      </w:tr>
    </w:tbl>
    <w:p w:rsidR="00E3259F" w:rsidRPr="00BB402D" w:rsidRDefault="00E3259F" w:rsidP="00BB402D">
      <w:pPr>
        <w:spacing w:line="360" w:lineRule="auto"/>
        <w:jc w:val="both"/>
        <w:rPr>
          <w:sz w:val="28"/>
          <w:szCs w:val="28"/>
          <w:lang w:val="uk-UA"/>
        </w:rPr>
      </w:pPr>
      <w:r w:rsidRPr="00BB402D">
        <w:rPr>
          <w:sz w:val="28"/>
          <w:szCs w:val="28"/>
          <w:lang w:val="uk-UA"/>
        </w:rPr>
        <w:t>Примітка: р</w:t>
      </w:r>
      <w:r w:rsidRPr="00BB402D">
        <w:rPr>
          <w:sz w:val="28"/>
          <w:szCs w:val="28"/>
          <w:vertAlign w:val="subscript"/>
          <w:lang w:val="uk-UA"/>
        </w:rPr>
        <w:t xml:space="preserve"> -</w:t>
      </w:r>
      <w:r w:rsidRPr="00BB402D">
        <w:rPr>
          <w:sz w:val="28"/>
          <w:szCs w:val="28"/>
          <w:lang w:val="uk-UA"/>
        </w:rPr>
        <w:t xml:space="preserve">  рівень значущості відмінностей при порівнянні </w:t>
      </w:r>
      <w:r w:rsidRPr="00BB402D">
        <w:rPr>
          <w:sz w:val="28"/>
          <w:szCs w:val="28"/>
          <w:lang w:val="uk-UA" w:eastAsia="uk-UA"/>
        </w:rPr>
        <w:t>ВДТ при наявності цільового рівня показника та нецільового рівня показника в групі</w:t>
      </w:r>
    </w:p>
    <w:p w:rsidR="00F450D9" w:rsidRDefault="00F450D9" w:rsidP="00E734AB">
      <w:pPr>
        <w:pStyle w:val="xfmc1"/>
        <w:spacing w:before="0" w:beforeAutospacing="0" w:after="0" w:afterAutospacing="0" w:line="360" w:lineRule="auto"/>
        <w:ind w:firstLine="709"/>
        <w:jc w:val="both"/>
        <w:rPr>
          <w:sz w:val="28"/>
          <w:szCs w:val="28"/>
          <w:lang w:val="uk-UA"/>
        </w:rPr>
      </w:pPr>
    </w:p>
    <w:p w:rsidR="00E3259F" w:rsidRPr="00E734AB" w:rsidRDefault="00E3259F" w:rsidP="00E734AB">
      <w:pPr>
        <w:pStyle w:val="xfmc1"/>
        <w:spacing w:before="0" w:beforeAutospacing="0" w:after="0" w:afterAutospacing="0" w:line="360" w:lineRule="auto"/>
        <w:ind w:firstLine="709"/>
        <w:jc w:val="both"/>
        <w:rPr>
          <w:sz w:val="28"/>
          <w:szCs w:val="28"/>
          <w:lang w:val="uk-UA"/>
        </w:rPr>
      </w:pPr>
      <w:r w:rsidRPr="00E734AB">
        <w:rPr>
          <w:sz w:val="28"/>
          <w:szCs w:val="28"/>
          <w:lang w:val="uk-UA"/>
        </w:rPr>
        <w:t>Коморбідність ГХ та ЦД 2 типу супроводжувалась наявністю суттєво більш короткої ВДТ</w:t>
      </w:r>
      <w:r w:rsidR="00F450D9">
        <w:rPr>
          <w:sz w:val="28"/>
          <w:szCs w:val="28"/>
          <w:lang w:val="uk-UA"/>
        </w:rPr>
        <w:t xml:space="preserve"> </w:t>
      </w:r>
      <w:r w:rsidRPr="00E734AB">
        <w:rPr>
          <w:sz w:val="28"/>
          <w:szCs w:val="28"/>
          <w:lang w:val="uk-UA"/>
        </w:rPr>
        <w:t xml:space="preserve">у пацієнтів, що не мали цільових рівнів як САТ, так і ДАТ, що є вагомим фактом, який підтверджує важливість контролю АТ при ЦД (ВДТ крові при цільових рівнях САТ -1,45±0,19, при нецільових рівнях САТ - 0,89±0,04, р=0,011, відповідно; ВТД бук.епіт при цільових рівнях САТ - 0,99±0,09, при нецільових рівнях САТ - 0,87±0,04, </w:t>
      </w:r>
      <w:r w:rsidRPr="00E734AB">
        <w:rPr>
          <w:sz w:val="28"/>
          <w:szCs w:val="28"/>
          <w:shd w:val="clear" w:color="auto" w:fill="FFFFFF"/>
          <w:lang w:val="uk-UA"/>
        </w:rPr>
        <w:t>р&gt;0,05</w:t>
      </w:r>
      <w:r w:rsidRPr="00E734AB">
        <w:rPr>
          <w:sz w:val="28"/>
          <w:szCs w:val="28"/>
          <w:lang w:val="uk-UA"/>
        </w:rPr>
        <w:t>, відповідно; ВДТ крові при цільових рівнях ДАТ -1,43±0,01, у разі нецільових - 0,94±0,04, р&lt;0,001, відповідно; ВДТ бук.епіт при цільових рівнях ДАТ - 1,27±0,01, при нецільових рівнях ДАТ - 0,88±0,04, р&lt;0,001, відповідно). Наявність ПАТ у межах рекомендованих значень також супроводжувалась достовірно більш довгими теломерами як крові (р=0,013), так і клітин букального епітелію (р=0,004) порівняно з хворими при більш високих значеннях ПАТ. Таким чином, спостерігається односпрямована тенденція вкорочення ВДТ як у крові, так і клітин букального епітелію при наявності не цільових рівнів САТ і ДАТ при коморбідному перебігу ГХ та ЦД 2 типу.</w:t>
      </w:r>
    </w:p>
    <w:p w:rsidR="00E3259F" w:rsidRPr="00E734AB" w:rsidRDefault="00E3259F" w:rsidP="00E734AB">
      <w:pPr>
        <w:pStyle w:val="xfmc1"/>
        <w:spacing w:before="0" w:beforeAutospacing="0" w:after="0" w:afterAutospacing="0" w:line="360" w:lineRule="auto"/>
        <w:ind w:firstLine="709"/>
        <w:jc w:val="both"/>
        <w:rPr>
          <w:sz w:val="28"/>
          <w:szCs w:val="28"/>
          <w:lang w:val="uk-UA"/>
        </w:rPr>
      </w:pPr>
      <w:r w:rsidRPr="00E734AB">
        <w:rPr>
          <w:sz w:val="28"/>
          <w:szCs w:val="28"/>
          <w:lang w:val="uk-UA"/>
        </w:rPr>
        <w:t>При наявності СГТ на тлі поєднаного перебігу ГХ та ЦД 2 типу досягнення цільових рівнів АТ супроводжувалось наявністю довшої ВДТ крові та коротшої ВДТ клітин букального епітелію, ніж при не цільових рівнях САТ, ДАТ і ПАТ, проте статистично значимих відмінностей отримано не було(</w:t>
      </w:r>
      <w:r w:rsidRPr="00E734AB">
        <w:rPr>
          <w:sz w:val="28"/>
          <w:szCs w:val="28"/>
          <w:shd w:val="clear" w:color="auto" w:fill="FFFFFF"/>
          <w:lang w:val="uk-UA"/>
        </w:rPr>
        <w:t xml:space="preserve">р&gt;0,05). </w:t>
      </w:r>
      <w:r w:rsidRPr="00E734AB">
        <w:rPr>
          <w:sz w:val="28"/>
          <w:szCs w:val="28"/>
          <w:lang w:val="uk-UA"/>
        </w:rPr>
        <w:t xml:space="preserve">  </w:t>
      </w:r>
    </w:p>
    <w:p w:rsidR="00E3259F" w:rsidRPr="00E734AB" w:rsidRDefault="00E3259F" w:rsidP="00E734AB">
      <w:pPr>
        <w:pStyle w:val="xfmc1"/>
        <w:spacing w:before="0" w:beforeAutospacing="0" w:after="0" w:afterAutospacing="0" w:line="360" w:lineRule="auto"/>
        <w:ind w:firstLine="709"/>
        <w:jc w:val="both"/>
        <w:rPr>
          <w:sz w:val="28"/>
          <w:szCs w:val="28"/>
          <w:lang w:val="uk-UA"/>
        </w:rPr>
      </w:pPr>
      <w:r w:rsidRPr="00E734AB">
        <w:rPr>
          <w:sz w:val="28"/>
          <w:szCs w:val="28"/>
          <w:lang w:val="uk-UA"/>
        </w:rPr>
        <w:t xml:space="preserve">При проведенні порівняльного аналізу ВДТ з урахуванням  компенсації вуглеводного обміну та при її відсутності серед пацієнтів з коморбідною патологією переконливі дані про вплив глікемічного контролю на ВДТ були отримані тільки при поєднаному перебігу ГХ і ЦД 2 типу без порушення функції ЩЗ (Таблиця 6.5). У пацієнтів цієї групи при наявності рівня глюкози натще &lt;6,5 ммоль/л спостерігалися достовірно довша ВДТ як крові (р=0,015), так і клітин букального епітелію (р=0,001), ніж при більш високих значеннях глюкози.  У пацієнтів, що мали рівень глікованого гемоглобіну &lt;6,9% спостерігалася достовірно довша ВДТ крові (р&lt;0,001), ніж при рівні </w:t>
      </w:r>
      <w:r w:rsidRPr="00E734AB">
        <w:rPr>
          <w:sz w:val="28"/>
          <w:szCs w:val="28"/>
          <w:lang w:val="en-US"/>
        </w:rPr>
        <w:t>HbA</w:t>
      </w:r>
      <w:r w:rsidRPr="00E734AB">
        <w:rPr>
          <w:sz w:val="28"/>
          <w:szCs w:val="28"/>
          <w:lang w:val="uk-UA"/>
        </w:rPr>
        <w:t>1</w:t>
      </w:r>
      <w:r w:rsidRPr="00E734AB">
        <w:rPr>
          <w:sz w:val="28"/>
          <w:szCs w:val="28"/>
          <w:lang w:val="en-US"/>
        </w:rPr>
        <w:t>c</w:t>
      </w:r>
      <w:r w:rsidRPr="00E734AB">
        <w:rPr>
          <w:sz w:val="28"/>
          <w:szCs w:val="28"/>
          <w:lang w:val="uk-UA"/>
        </w:rPr>
        <w:t xml:space="preserve"> більше 7,0%, але достовірних відмінностей ВДТ клітин букального епітелію знайдейно не було (</w:t>
      </w:r>
      <w:r w:rsidRPr="00E734AB">
        <w:rPr>
          <w:sz w:val="28"/>
          <w:szCs w:val="28"/>
          <w:shd w:val="clear" w:color="auto" w:fill="FFFFFF"/>
          <w:lang w:val="uk-UA"/>
        </w:rPr>
        <w:t>р&gt;0,05)</w:t>
      </w:r>
      <w:r w:rsidRPr="00E734AB">
        <w:rPr>
          <w:sz w:val="28"/>
          <w:szCs w:val="28"/>
          <w:lang w:val="uk-UA"/>
        </w:rPr>
        <w:t xml:space="preserve">. У разі поєднаного перебігу ГХ, ЦД 2 типу та СГТ наявність ознак компенсації вуглеводного обміну асоціювалась з більшою ВДТ як крові, так і клітин букального епітелію, ніж у випадках недостатнього глікемічного контролю, проте достовірних відмінностей знайдено не було. </w:t>
      </w:r>
    </w:p>
    <w:p w:rsidR="00F450D9" w:rsidRDefault="00F450D9" w:rsidP="00E734AB">
      <w:pPr>
        <w:pStyle w:val="a4"/>
        <w:spacing w:line="360" w:lineRule="auto"/>
        <w:ind w:left="0"/>
        <w:jc w:val="right"/>
        <w:textAlignment w:val="top"/>
        <w:rPr>
          <w:sz w:val="28"/>
          <w:szCs w:val="28"/>
          <w:lang w:val="uk-UA" w:eastAsia="uk-UA"/>
        </w:rPr>
      </w:pPr>
    </w:p>
    <w:p w:rsidR="00E3259F" w:rsidRPr="00E734AB" w:rsidRDefault="00E3259F" w:rsidP="00E734AB">
      <w:pPr>
        <w:pStyle w:val="a4"/>
        <w:spacing w:line="360" w:lineRule="auto"/>
        <w:ind w:left="0"/>
        <w:jc w:val="right"/>
        <w:textAlignment w:val="top"/>
        <w:rPr>
          <w:sz w:val="28"/>
          <w:szCs w:val="28"/>
          <w:lang w:val="uk-UA" w:eastAsia="uk-UA"/>
        </w:rPr>
      </w:pPr>
      <w:r w:rsidRPr="00E734AB">
        <w:rPr>
          <w:sz w:val="28"/>
          <w:szCs w:val="28"/>
          <w:lang w:val="uk-UA" w:eastAsia="uk-UA"/>
        </w:rPr>
        <w:t>Таблиця 6.5</w:t>
      </w:r>
    </w:p>
    <w:p w:rsidR="00E3259F" w:rsidRPr="00E734AB" w:rsidRDefault="00E3259F" w:rsidP="00E734AB">
      <w:pPr>
        <w:spacing w:line="360" w:lineRule="auto"/>
        <w:jc w:val="center"/>
        <w:rPr>
          <w:sz w:val="28"/>
          <w:szCs w:val="28"/>
          <w:lang w:val="uk-UA"/>
        </w:rPr>
      </w:pPr>
      <w:r w:rsidRPr="00E734AB">
        <w:rPr>
          <w:sz w:val="28"/>
          <w:szCs w:val="28"/>
          <w:lang w:val="uk-UA"/>
        </w:rPr>
        <w:t>Порівняльна характеристика відносної довжини теломер в залежності від наявності цільових рівнів показників вуглеводного обміну, (</w:t>
      </w:r>
      <w:r w:rsidRPr="00E734AB">
        <w:rPr>
          <w:sz w:val="28"/>
          <w:szCs w:val="28"/>
          <w:lang w:val="en-US"/>
        </w:rPr>
        <w:t>M</w:t>
      </w:r>
      <w:r w:rsidRPr="00E734AB">
        <w:rPr>
          <w:sz w:val="28"/>
          <w:szCs w:val="28"/>
          <w:lang w:val="uk-UA"/>
        </w:rPr>
        <w:t>±</w:t>
      </w:r>
      <w:r w:rsidRPr="00E734AB">
        <w:rPr>
          <w:sz w:val="28"/>
          <w:szCs w:val="28"/>
          <w:lang w:val="en-US"/>
        </w:rPr>
        <w:t>m</w:t>
      </w:r>
      <w:r w:rsidRPr="00E734AB">
        <w:rPr>
          <w:sz w:val="28"/>
          <w:szCs w:val="28"/>
          <w:lang w:val="uk-UA"/>
        </w:rPr>
        <w:t>)</w:t>
      </w:r>
    </w:p>
    <w:tbl>
      <w:tblPr>
        <w:tblW w:w="0" w:type="auto"/>
        <w:tblLook w:val="04A0" w:firstRow="1" w:lastRow="0" w:firstColumn="1" w:lastColumn="0" w:noHBand="0" w:noVBand="1"/>
      </w:tblPr>
      <w:tblGrid>
        <w:gridCol w:w="2093"/>
        <w:gridCol w:w="2110"/>
        <w:gridCol w:w="1859"/>
        <w:gridCol w:w="1843"/>
        <w:gridCol w:w="1666"/>
      </w:tblGrid>
      <w:tr w:rsidR="00E3259F" w:rsidRPr="00E734A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Показник</w:t>
            </w:r>
          </w:p>
        </w:tc>
        <w:tc>
          <w:tcPr>
            <w:tcW w:w="3969"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Глюкоза крові натще</w:t>
            </w:r>
            <w:r w:rsidRPr="00E734AB">
              <w:rPr>
                <w:sz w:val="28"/>
                <w:szCs w:val="28"/>
                <w:lang w:eastAsia="en-US"/>
              </w:rPr>
              <w:t xml:space="preserve">, </w:t>
            </w:r>
            <w:r w:rsidRPr="00E734AB">
              <w:rPr>
                <w:sz w:val="28"/>
                <w:szCs w:val="28"/>
                <w:lang w:val="uk-UA" w:eastAsia="en-US"/>
              </w:rPr>
              <w:t>ммоль/л</w:t>
            </w:r>
          </w:p>
        </w:tc>
        <w:tc>
          <w:tcPr>
            <w:tcW w:w="3509"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eastAsia="en-US"/>
              </w:rPr>
              <w:t>HbA1</w:t>
            </w:r>
            <w:r w:rsidRPr="00E734AB">
              <w:rPr>
                <w:sz w:val="28"/>
                <w:szCs w:val="28"/>
                <w:lang w:val="en-US" w:eastAsia="en-US"/>
              </w:rPr>
              <w:t>c,%</w:t>
            </w:r>
          </w:p>
        </w:tc>
      </w:tr>
      <w:tr w:rsidR="00E3259F" w:rsidRPr="00E734AB" w:rsidTr="00E3259F">
        <w:trPr>
          <w:trHeight w:val="844"/>
        </w:trPr>
        <w:tc>
          <w:tcPr>
            <w:tcW w:w="209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Наявність цільових рівнів</w:t>
            </w:r>
          </w:p>
        </w:tc>
        <w:tc>
          <w:tcPr>
            <w:tcW w:w="2110"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spacing w:line="360" w:lineRule="auto"/>
              <w:jc w:val="both"/>
              <w:rPr>
                <w:sz w:val="28"/>
                <w:szCs w:val="28"/>
                <w:lang w:val="uk-UA" w:eastAsia="en-US"/>
              </w:rPr>
            </w:pPr>
            <w:r w:rsidRPr="00E734AB">
              <w:rPr>
                <w:sz w:val="28"/>
                <w:szCs w:val="28"/>
                <w:lang w:val="uk-UA" w:eastAsia="en-US"/>
              </w:rPr>
              <w:t>Так</w:t>
            </w:r>
          </w:p>
        </w:tc>
        <w:tc>
          <w:tcPr>
            <w:tcW w:w="1859"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spacing w:line="360" w:lineRule="auto"/>
              <w:jc w:val="both"/>
              <w:rPr>
                <w:sz w:val="28"/>
                <w:szCs w:val="28"/>
                <w:lang w:val="uk-UA" w:eastAsia="en-US"/>
              </w:rPr>
            </w:pPr>
            <w:r w:rsidRPr="00E734AB">
              <w:rPr>
                <w:sz w:val="28"/>
                <w:szCs w:val="28"/>
                <w:lang w:val="uk-UA" w:eastAsia="en-US"/>
              </w:rPr>
              <w:t>Ні</w:t>
            </w:r>
          </w:p>
        </w:tc>
        <w:tc>
          <w:tcPr>
            <w:tcW w:w="184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spacing w:line="360" w:lineRule="auto"/>
              <w:jc w:val="both"/>
              <w:rPr>
                <w:sz w:val="28"/>
                <w:szCs w:val="28"/>
                <w:lang w:val="en-US" w:eastAsia="en-US"/>
              </w:rPr>
            </w:pPr>
            <w:r w:rsidRPr="00E734AB">
              <w:rPr>
                <w:sz w:val="28"/>
                <w:szCs w:val="28"/>
                <w:lang w:val="uk-UA" w:eastAsia="en-US"/>
              </w:rPr>
              <w:t>Так</w:t>
            </w:r>
          </w:p>
        </w:tc>
        <w:tc>
          <w:tcPr>
            <w:tcW w:w="1666"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spacing w:line="360" w:lineRule="auto"/>
              <w:jc w:val="both"/>
              <w:rPr>
                <w:sz w:val="28"/>
                <w:szCs w:val="28"/>
                <w:lang w:val="uk-UA" w:eastAsia="en-US"/>
              </w:rPr>
            </w:pPr>
            <w:r w:rsidRPr="00E734AB">
              <w:rPr>
                <w:sz w:val="28"/>
                <w:szCs w:val="28"/>
                <w:lang w:val="uk-UA" w:eastAsia="en-US"/>
              </w:rPr>
              <w:t>Ні</w:t>
            </w:r>
          </w:p>
        </w:tc>
      </w:tr>
      <w:tr w:rsidR="00E3259F" w:rsidRPr="00E734AB" w:rsidTr="00E3259F">
        <w:tc>
          <w:tcPr>
            <w:tcW w:w="9571" w:type="dxa"/>
            <w:gridSpan w:val="5"/>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2 група</w:t>
            </w:r>
          </w:p>
        </w:tc>
      </w:tr>
      <w:tr w:rsidR="00E3259F" w:rsidRPr="00E734A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ВДТ крові</w:t>
            </w:r>
          </w:p>
        </w:tc>
        <w:tc>
          <w:tcPr>
            <w:tcW w:w="2110"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eastAsia="en-US"/>
              </w:rPr>
              <w:t>1,02</w:t>
            </w:r>
            <w:r w:rsidRPr="00E734AB">
              <w:rPr>
                <w:sz w:val="28"/>
                <w:szCs w:val="28"/>
                <w:lang w:val="uk-UA" w:eastAsia="en-US"/>
              </w:rPr>
              <w:t>±0</w:t>
            </w:r>
            <w:r w:rsidRPr="00E734AB">
              <w:rPr>
                <w:sz w:val="28"/>
                <w:szCs w:val="28"/>
                <w:lang w:eastAsia="en-US"/>
              </w:rPr>
              <w:t>,0</w:t>
            </w:r>
            <w:r w:rsidRPr="00E734AB">
              <w:rPr>
                <w:sz w:val="28"/>
                <w:szCs w:val="28"/>
                <w:lang w:val="uk-UA" w:eastAsia="en-US"/>
              </w:rPr>
              <w:t>7</w:t>
            </w:r>
          </w:p>
        </w:tc>
        <w:tc>
          <w:tcPr>
            <w:tcW w:w="1859"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,84±</w:t>
            </w:r>
            <w:r w:rsidRPr="00E734AB">
              <w:rPr>
                <w:sz w:val="28"/>
                <w:szCs w:val="28"/>
                <w:lang w:val="uk-UA" w:eastAsia="en-US"/>
              </w:rPr>
              <w:t>0</w:t>
            </w:r>
            <w:r w:rsidRPr="00E734AB">
              <w:rPr>
                <w:sz w:val="28"/>
                <w:szCs w:val="28"/>
                <w:lang w:eastAsia="en-US"/>
              </w:rPr>
              <w:t>,0</w:t>
            </w:r>
            <w:r w:rsidRPr="00E734AB">
              <w:rPr>
                <w:sz w:val="28"/>
                <w:szCs w:val="28"/>
                <w:lang w:val="uk-UA" w:eastAsia="en-US"/>
              </w:rPr>
              <w:t>3</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р=0</w:t>
            </w:r>
            <w:r w:rsidRPr="00E734AB">
              <w:rPr>
                <w:sz w:val="28"/>
                <w:szCs w:val="28"/>
                <w:lang w:eastAsia="en-US"/>
              </w:rPr>
              <w:t>,015</w:t>
            </w:r>
          </w:p>
        </w:tc>
        <w:tc>
          <w:tcPr>
            <w:tcW w:w="184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eastAsia="en-US"/>
              </w:rPr>
              <w:t>1,0</w:t>
            </w:r>
            <w:r w:rsidRPr="00E734AB">
              <w:rPr>
                <w:sz w:val="28"/>
                <w:szCs w:val="28"/>
                <w:lang w:val="uk-UA" w:eastAsia="en-US"/>
              </w:rPr>
              <w:t>4</w:t>
            </w:r>
            <w:r w:rsidRPr="00E734AB">
              <w:rPr>
                <w:sz w:val="28"/>
                <w:szCs w:val="28"/>
                <w:lang w:eastAsia="en-US"/>
              </w:rPr>
              <w:t>±</w:t>
            </w:r>
            <w:r w:rsidRPr="00E734AB">
              <w:rPr>
                <w:sz w:val="28"/>
                <w:szCs w:val="28"/>
                <w:lang w:val="uk-UA" w:eastAsia="en-US"/>
              </w:rPr>
              <w:t>0</w:t>
            </w:r>
            <w:r w:rsidRPr="00E734AB">
              <w:rPr>
                <w:sz w:val="28"/>
                <w:szCs w:val="28"/>
                <w:lang w:eastAsia="en-US"/>
              </w:rPr>
              <w:t>,06</w:t>
            </w:r>
          </w:p>
        </w:tc>
        <w:tc>
          <w:tcPr>
            <w:tcW w:w="1666"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,78±</w:t>
            </w:r>
            <w:r w:rsidRPr="00E734AB">
              <w:rPr>
                <w:sz w:val="28"/>
                <w:szCs w:val="28"/>
                <w:lang w:val="uk-UA" w:eastAsia="en-US"/>
              </w:rPr>
              <w:t>0</w:t>
            </w:r>
            <w:r w:rsidRPr="00E734AB">
              <w:rPr>
                <w:sz w:val="28"/>
                <w:szCs w:val="28"/>
                <w:lang w:eastAsia="en-US"/>
              </w:rPr>
              <w:t>,0</w:t>
            </w:r>
            <w:r w:rsidRPr="00E734AB">
              <w:rPr>
                <w:sz w:val="28"/>
                <w:szCs w:val="28"/>
                <w:lang w:val="uk-UA" w:eastAsia="en-US"/>
              </w:rPr>
              <w:t>3</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р&lt;0</w:t>
            </w:r>
            <w:r w:rsidRPr="00E734AB">
              <w:rPr>
                <w:sz w:val="28"/>
                <w:szCs w:val="28"/>
                <w:lang w:eastAsia="en-US"/>
              </w:rPr>
              <w:t>,00</w:t>
            </w:r>
            <w:r w:rsidRPr="00E734AB">
              <w:rPr>
                <w:sz w:val="28"/>
                <w:szCs w:val="28"/>
                <w:lang w:val="uk-UA" w:eastAsia="en-US"/>
              </w:rPr>
              <w:t>1</w:t>
            </w:r>
          </w:p>
        </w:tc>
      </w:tr>
      <w:tr w:rsidR="00E3259F" w:rsidRPr="00E734A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ВДТ бук.епіт.</w:t>
            </w:r>
          </w:p>
        </w:tc>
        <w:tc>
          <w:tcPr>
            <w:tcW w:w="2110"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eastAsia="en-US"/>
              </w:rPr>
              <w:t>1,0</w:t>
            </w:r>
            <w:r w:rsidRPr="00E734AB">
              <w:rPr>
                <w:sz w:val="28"/>
                <w:szCs w:val="28"/>
                <w:lang w:val="uk-UA" w:eastAsia="en-US"/>
              </w:rPr>
              <w:t>4</w:t>
            </w:r>
            <w:r w:rsidRPr="00E734AB">
              <w:rPr>
                <w:sz w:val="28"/>
                <w:szCs w:val="28"/>
                <w:lang w:eastAsia="en-US"/>
              </w:rPr>
              <w:t>±</w:t>
            </w:r>
            <w:r w:rsidRPr="00E734AB">
              <w:rPr>
                <w:sz w:val="28"/>
                <w:szCs w:val="28"/>
                <w:lang w:val="uk-UA" w:eastAsia="en-US"/>
              </w:rPr>
              <w:t>0</w:t>
            </w:r>
            <w:r w:rsidRPr="00E734AB">
              <w:rPr>
                <w:sz w:val="28"/>
                <w:szCs w:val="28"/>
                <w:lang w:eastAsia="en-US"/>
              </w:rPr>
              <w:t>,0</w:t>
            </w:r>
            <w:r w:rsidRPr="00E734AB">
              <w:rPr>
                <w:sz w:val="28"/>
                <w:szCs w:val="28"/>
                <w:lang w:val="uk-UA" w:eastAsia="en-US"/>
              </w:rPr>
              <w:t>8</w:t>
            </w:r>
          </w:p>
        </w:tc>
        <w:tc>
          <w:tcPr>
            <w:tcW w:w="1859"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,7</w:t>
            </w:r>
            <w:r w:rsidRPr="00E734AB">
              <w:rPr>
                <w:sz w:val="28"/>
                <w:szCs w:val="28"/>
                <w:lang w:val="uk-UA" w:eastAsia="en-US"/>
              </w:rPr>
              <w:t>9</w:t>
            </w:r>
            <w:r w:rsidRPr="00E734AB">
              <w:rPr>
                <w:sz w:val="28"/>
                <w:szCs w:val="28"/>
                <w:lang w:eastAsia="en-US"/>
              </w:rPr>
              <w:t>±</w:t>
            </w:r>
            <w:r w:rsidRPr="00E734AB">
              <w:rPr>
                <w:sz w:val="28"/>
                <w:szCs w:val="28"/>
                <w:lang w:val="uk-UA" w:eastAsia="en-US"/>
              </w:rPr>
              <w:t>0</w:t>
            </w:r>
            <w:r w:rsidRPr="00E734AB">
              <w:rPr>
                <w:sz w:val="28"/>
                <w:szCs w:val="28"/>
                <w:lang w:eastAsia="en-US"/>
              </w:rPr>
              <w:t>,036</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р=0</w:t>
            </w:r>
            <w:r w:rsidRPr="00E734AB">
              <w:rPr>
                <w:sz w:val="28"/>
                <w:szCs w:val="28"/>
                <w:lang w:eastAsia="en-US"/>
              </w:rPr>
              <w:t>,001</w:t>
            </w:r>
          </w:p>
        </w:tc>
        <w:tc>
          <w:tcPr>
            <w:tcW w:w="184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,9</w:t>
            </w:r>
            <w:r w:rsidRPr="00E734AB">
              <w:rPr>
                <w:sz w:val="28"/>
                <w:szCs w:val="28"/>
                <w:lang w:val="uk-UA" w:eastAsia="en-US"/>
              </w:rPr>
              <w:t>4</w:t>
            </w:r>
            <w:r w:rsidRPr="00E734AB">
              <w:rPr>
                <w:sz w:val="28"/>
                <w:szCs w:val="28"/>
                <w:lang w:eastAsia="en-US"/>
              </w:rPr>
              <w:t>±</w:t>
            </w:r>
            <w:r w:rsidRPr="00E734AB">
              <w:rPr>
                <w:sz w:val="28"/>
                <w:szCs w:val="28"/>
                <w:lang w:val="uk-UA" w:eastAsia="en-US"/>
              </w:rPr>
              <w:t>0</w:t>
            </w:r>
            <w:r w:rsidRPr="00E734AB">
              <w:rPr>
                <w:sz w:val="28"/>
                <w:szCs w:val="28"/>
                <w:lang w:eastAsia="en-US"/>
              </w:rPr>
              <w:t>,04</w:t>
            </w:r>
          </w:p>
        </w:tc>
        <w:tc>
          <w:tcPr>
            <w:tcW w:w="1666"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,8610±</w:t>
            </w:r>
            <w:r w:rsidRPr="00E734AB">
              <w:rPr>
                <w:sz w:val="28"/>
                <w:szCs w:val="28"/>
                <w:lang w:val="uk-UA" w:eastAsia="en-US"/>
              </w:rPr>
              <w:t>0</w:t>
            </w:r>
            <w:r w:rsidRPr="00E734AB">
              <w:rPr>
                <w:sz w:val="28"/>
                <w:szCs w:val="28"/>
                <w:lang w:eastAsia="en-US"/>
              </w:rPr>
              <w:t>,05</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shd w:val="clear" w:color="auto" w:fill="FFFFFF"/>
                <w:lang w:val="uk-UA" w:eastAsia="en-US"/>
              </w:rPr>
              <w:t>р&gt;0,05</w:t>
            </w:r>
          </w:p>
        </w:tc>
      </w:tr>
      <w:tr w:rsidR="00E3259F" w:rsidRPr="00E734AB" w:rsidTr="00E3259F">
        <w:tc>
          <w:tcPr>
            <w:tcW w:w="9571" w:type="dxa"/>
            <w:gridSpan w:val="5"/>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3 група</w:t>
            </w:r>
          </w:p>
        </w:tc>
      </w:tr>
      <w:tr w:rsidR="00E3259F" w:rsidRPr="00E734A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ВДТ крові</w:t>
            </w:r>
          </w:p>
        </w:tc>
        <w:tc>
          <w:tcPr>
            <w:tcW w:w="2110"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,94±</w:t>
            </w:r>
            <w:r w:rsidRPr="00E734AB">
              <w:rPr>
                <w:sz w:val="28"/>
                <w:szCs w:val="28"/>
                <w:lang w:val="uk-UA" w:eastAsia="en-US"/>
              </w:rPr>
              <w:t>0</w:t>
            </w:r>
            <w:r w:rsidRPr="00E734AB">
              <w:rPr>
                <w:sz w:val="28"/>
                <w:szCs w:val="28"/>
                <w:lang w:eastAsia="en-US"/>
              </w:rPr>
              <w:t>,06</w:t>
            </w:r>
          </w:p>
        </w:tc>
        <w:tc>
          <w:tcPr>
            <w:tcW w:w="1859"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w:t>
            </w:r>
            <w:r w:rsidRPr="00E734AB">
              <w:rPr>
                <w:sz w:val="28"/>
                <w:szCs w:val="28"/>
                <w:lang w:val="uk-UA" w:eastAsia="en-US"/>
              </w:rPr>
              <w:t>90</w:t>
            </w:r>
            <w:r w:rsidRPr="00E734AB">
              <w:rPr>
                <w:sz w:val="28"/>
                <w:szCs w:val="28"/>
                <w:lang w:eastAsia="en-US"/>
              </w:rPr>
              <w:t>±</w:t>
            </w:r>
            <w:r w:rsidRPr="00E734AB">
              <w:rPr>
                <w:sz w:val="28"/>
                <w:szCs w:val="28"/>
                <w:lang w:val="uk-UA" w:eastAsia="en-US"/>
              </w:rPr>
              <w:t>0</w:t>
            </w:r>
            <w:r w:rsidRPr="00E734AB">
              <w:rPr>
                <w:sz w:val="28"/>
                <w:szCs w:val="28"/>
                <w:lang w:eastAsia="en-US"/>
              </w:rPr>
              <w:t>,05</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shd w:val="clear" w:color="auto" w:fill="FFFFFF"/>
                <w:lang w:val="uk-UA" w:eastAsia="en-US"/>
              </w:rPr>
              <w:t>р&gt;0,05</w:t>
            </w:r>
          </w:p>
        </w:tc>
        <w:tc>
          <w:tcPr>
            <w:tcW w:w="184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eastAsia="en-US"/>
              </w:rPr>
              <w:t>1,0</w:t>
            </w:r>
            <w:r w:rsidRPr="00E734AB">
              <w:rPr>
                <w:sz w:val="28"/>
                <w:szCs w:val="28"/>
                <w:lang w:val="uk-UA" w:eastAsia="en-US"/>
              </w:rPr>
              <w:t>1</w:t>
            </w:r>
            <w:r w:rsidRPr="00E734AB">
              <w:rPr>
                <w:sz w:val="28"/>
                <w:szCs w:val="28"/>
                <w:lang w:eastAsia="en-US"/>
              </w:rPr>
              <w:t>±</w:t>
            </w:r>
            <w:r w:rsidRPr="00E734AB">
              <w:rPr>
                <w:sz w:val="28"/>
                <w:szCs w:val="28"/>
                <w:lang w:val="uk-UA" w:eastAsia="en-US"/>
              </w:rPr>
              <w:t>0</w:t>
            </w:r>
            <w:r w:rsidRPr="00E734AB">
              <w:rPr>
                <w:sz w:val="28"/>
                <w:szCs w:val="28"/>
                <w:lang w:eastAsia="en-US"/>
              </w:rPr>
              <w:t>,08</w:t>
            </w:r>
          </w:p>
        </w:tc>
        <w:tc>
          <w:tcPr>
            <w:tcW w:w="1666"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,8</w:t>
            </w:r>
            <w:r w:rsidRPr="00E734AB">
              <w:rPr>
                <w:sz w:val="28"/>
                <w:szCs w:val="28"/>
                <w:lang w:val="uk-UA" w:eastAsia="en-US"/>
              </w:rPr>
              <w:t>7</w:t>
            </w:r>
            <w:r w:rsidRPr="00E734AB">
              <w:rPr>
                <w:sz w:val="28"/>
                <w:szCs w:val="28"/>
                <w:lang w:eastAsia="en-US"/>
              </w:rPr>
              <w:t>±</w:t>
            </w:r>
            <w:r w:rsidRPr="00E734AB">
              <w:rPr>
                <w:sz w:val="28"/>
                <w:szCs w:val="28"/>
                <w:lang w:val="uk-UA" w:eastAsia="en-US"/>
              </w:rPr>
              <w:t>0</w:t>
            </w:r>
            <w:r w:rsidRPr="00E734AB">
              <w:rPr>
                <w:sz w:val="28"/>
                <w:szCs w:val="28"/>
                <w:lang w:eastAsia="en-US"/>
              </w:rPr>
              <w:t>,04</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shd w:val="clear" w:color="auto" w:fill="FFFFFF"/>
                <w:lang w:val="uk-UA" w:eastAsia="en-US"/>
              </w:rPr>
              <w:t>р&gt;0,05</w:t>
            </w:r>
          </w:p>
        </w:tc>
      </w:tr>
      <w:tr w:rsidR="00E3259F" w:rsidRPr="00E734AB"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ВДТ бук.епіт.</w:t>
            </w:r>
          </w:p>
        </w:tc>
        <w:tc>
          <w:tcPr>
            <w:tcW w:w="2110"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,9</w:t>
            </w:r>
            <w:r w:rsidRPr="00E734AB">
              <w:rPr>
                <w:sz w:val="28"/>
                <w:szCs w:val="28"/>
                <w:lang w:val="uk-UA" w:eastAsia="en-US"/>
              </w:rPr>
              <w:t>8</w:t>
            </w:r>
            <w:r w:rsidRPr="00E734AB">
              <w:rPr>
                <w:sz w:val="28"/>
                <w:szCs w:val="28"/>
                <w:lang w:eastAsia="en-US"/>
              </w:rPr>
              <w:t>±</w:t>
            </w:r>
            <w:r w:rsidRPr="00E734AB">
              <w:rPr>
                <w:sz w:val="28"/>
                <w:szCs w:val="28"/>
                <w:lang w:val="uk-UA" w:eastAsia="en-US"/>
              </w:rPr>
              <w:t>0</w:t>
            </w:r>
            <w:r w:rsidRPr="00E734AB">
              <w:rPr>
                <w:sz w:val="28"/>
                <w:szCs w:val="28"/>
                <w:lang w:eastAsia="en-US"/>
              </w:rPr>
              <w:t>,0</w:t>
            </w:r>
            <w:r w:rsidRPr="00E734AB">
              <w:rPr>
                <w:sz w:val="28"/>
                <w:szCs w:val="28"/>
                <w:lang w:val="uk-UA" w:eastAsia="en-US"/>
              </w:rPr>
              <w:t>4</w:t>
            </w:r>
          </w:p>
        </w:tc>
        <w:tc>
          <w:tcPr>
            <w:tcW w:w="1859"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,9</w:t>
            </w:r>
            <w:r w:rsidRPr="00E734AB">
              <w:rPr>
                <w:sz w:val="28"/>
                <w:szCs w:val="28"/>
                <w:lang w:val="uk-UA" w:eastAsia="en-US"/>
              </w:rPr>
              <w:t>6</w:t>
            </w:r>
            <w:r w:rsidRPr="00E734AB">
              <w:rPr>
                <w:sz w:val="28"/>
                <w:szCs w:val="28"/>
                <w:lang w:eastAsia="en-US"/>
              </w:rPr>
              <w:t>±</w:t>
            </w:r>
            <w:r w:rsidRPr="00E734AB">
              <w:rPr>
                <w:sz w:val="28"/>
                <w:szCs w:val="28"/>
                <w:lang w:val="uk-UA" w:eastAsia="en-US"/>
              </w:rPr>
              <w:t>0</w:t>
            </w:r>
            <w:r w:rsidRPr="00E734AB">
              <w:rPr>
                <w:sz w:val="28"/>
                <w:szCs w:val="28"/>
                <w:lang w:eastAsia="en-US"/>
              </w:rPr>
              <w:t>,0</w:t>
            </w:r>
            <w:r w:rsidRPr="00E734AB">
              <w:rPr>
                <w:sz w:val="28"/>
                <w:szCs w:val="28"/>
                <w:lang w:val="uk-UA" w:eastAsia="en-US"/>
              </w:rPr>
              <w:t>4</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shd w:val="clear" w:color="auto" w:fill="FFFFFF"/>
                <w:lang w:val="uk-UA" w:eastAsia="en-US"/>
              </w:rPr>
              <w:t>р&gt;0,05</w:t>
            </w:r>
          </w:p>
        </w:tc>
        <w:tc>
          <w:tcPr>
            <w:tcW w:w="1843"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,98±</w:t>
            </w:r>
            <w:r w:rsidRPr="00E734AB">
              <w:rPr>
                <w:sz w:val="28"/>
                <w:szCs w:val="28"/>
                <w:lang w:val="uk-UA" w:eastAsia="en-US"/>
              </w:rPr>
              <w:t>0</w:t>
            </w:r>
            <w:r w:rsidRPr="00E734AB">
              <w:rPr>
                <w:sz w:val="28"/>
                <w:szCs w:val="28"/>
                <w:lang w:eastAsia="en-US"/>
              </w:rPr>
              <w:t>,0</w:t>
            </w:r>
            <w:r w:rsidRPr="00E734AB">
              <w:rPr>
                <w:sz w:val="28"/>
                <w:szCs w:val="28"/>
                <w:lang w:val="uk-UA" w:eastAsia="en-US"/>
              </w:rPr>
              <w:t>5</w:t>
            </w:r>
          </w:p>
        </w:tc>
        <w:tc>
          <w:tcPr>
            <w:tcW w:w="1666" w:type="dxa"/>
            <w:tcBorders>
              <w:top w:val="single" w:sz="4" w:space="0" w:color="auto"/>
              <w:left w:val="single" w:sz="4" w:space="0" w:color="auto"/>
              <w:bottom w:val="single" w:sz="4" w:space="0" w:color="auto"/>
              <w:right w:val="single" w:sz="4" w:space="0" w:color="auto"/>
            </w:tcBorders>
            <w:hideMark/>
          </w:tcPr>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lang w:val="uk-UA" w:eastAsia="en-US"/>
              </w:rPr>
              <w:t>0</w:t>
            </w:r>
            <w:r w:rsidRPr="00E734AB">
              <w:rPr>
                <w:sz w:val="28"/>
                <w:szCs w:val="28"/>
                <w:lang w:eastAsia="en-US"/>
              </w:rPr>
              <w:t>,96±</w:t>
            </w:r>
            <w:r w:rsidRPr="00E734AB">
              <w:rPr>
                <w:sz w:val="28"/>
                <w:szCs w:val="28"/>
                <w:lang w:val="uk-UA" w:eastAsia="en-US"/>
              </w:rPr>
              <w:t>0</w:t>
            </w:r>
            <w:r w:rsidRPr="00E734AB">
              <w:rPr>
                <w:sz w:val="28"/>
                <w:szCs w:val="28"/>
                <w:lang w:eastAsia="en-US"/>
              </w:rPr>
              <w:t>,0</w:t>
            </w:r>
            <w:r w:rsidRPr="00E734AB">
              <w:rPr>
                <w:sz w:val="28"/>
                <w:szCs w:val="28"/>
                <w:lang w:val="uk-UA" w:eastAsia="en-US"/>
              </w:rPr>
              <w:t>4</w:t>
            </w:r>
          </w:p>
          <w:p w:rsidR="00E3259F" w:rsidRPr="00E734AB" w:rsidRDefault="00E3259F" w:rsidP="00E734AB">
            <w:pPr>
              <w:pStyle w:val="xfmc1"/>
              <w:spacing w:before="0" w:beforeAutospacing="0" w:after="0" w:afterAutospacing="0" w:line="360" w:lineRule="auto"/>
              <w:rPr>
                <w:sz w:val="28"/>
                <w:szCs w:val="28"/>
                <w:lang w:val="uk-UA" w:eastAsia="en-US"/>
              </w:rPr>
            </w:pPr>
            <w:r w:rsidRPr="00E734AB">
              <w:rPr>
                <w:sz w:val="28"/>
                <w:szCs w:val="28"/>
                <w:shd w:val="clear" w:color="auto" w:fill="FFFFFF"/>
                <w:lang w:val="uk-UA" w:eastAsia="en-US"/>
              </w:rPr>
              <w:t>р&gt;0,05</w:t>
            </w:r>
          </w:p>
        </w:tc>
      </w:tr>
    </w:tbl>
    <w:p w:rsidR="00E3259F" w:rsidRDefault="00E3259F" w:rsidP="00E3259F">
      <w:pPr>
        <w:pStyle w:val="a4"/>
        <w:spacing w:line="360" w:lineRule="auto"/>
        <w:ind w:left="0"/>
        <w:jc w:val="both"/>
        <w:textAlignment w:val="top"/>
        <w:rPr>
          <w:color w:val="000000"/>
          <w:sz w:val="28"/>
          <w:szCs w:val="28"/>
          <w:lang w:val="uk-UA"/>
        </w:rPr>
      </w:pPr>
      <w:r>
        <w:rPr>
          <w:bCs/>
          <w:sz w:val="28"/>
          <w:szCs w:val="28"/>
          <w:lang w:val="uk-UA" w:eastAsia="uk-UA"/>
        </w:rPr>
        <w:t xml:space="preserve">Примітка – р- значення відмінності  при порівнянні </w:t>
      </w:r>
      <w:r>
        <w:rPr>
          <w:sz w:val="28"/>
          <w:szCs w:val="28"/>
          <w:lang w:val="uk-UA" w:eastAsia="uk-UA"/>
        </w:rPr>
        <w:t>ВДТ</w:t>
      </w:r>
      <w:r>
        <w:rPr>
          <w:b/>
          <w:sz w:val="28"/>
          <w:szCs w:val="28"/>
          <w:lang w:val="uk-UA" w:eastAsia="uk-UA"/>
        </w:rPr>
        <w:t xml:space="preserve"> </w:t>
      </w:r>
      <w:r>
        <w:rPr>
          <w:color w:val="000000"/>
          <w:sz w:val="28"/>
          <w:szCs w:val="28"/>
          <w:lang w:val="uk-UA" w:eastAsia="uk-UA"/>
        </w:rPr>
        <w:t xml:space="preserve">при </w:t>
      </w:r>
      <w:r w:rsidR="00E734AB">
        <w:rPr>
          <w:color w:val="000000"/>
          <w:sz w:val="28"/>
          <w:szCs w:val="28"/>
          <w:lang w:val="uk-UA" w:eastAsia="uk-UA"/>
        </w:rPr>
        <w:t>наявності</w:t>
      </w:r>
      <w:r>
        <w:rPr>
          <w:color w:val="000000"/>
          <w:sz w:val="28"/>
          <w:szCs w:val="28"/>
          <w:lang w:val="uk-UA" w:eastAsia="uk-UA"/>
        </w:rPr>
        <w:t xml:space="preserve"> цільових рівней </w:t>
      </w:r>
      <w:r w:rsidR="00E734AB">
        <w:rPr>
          <w:color w:val="000000"/>
          <w:sz w:val="28"/>
          <w:szCs w:val="28"/>
          <w:lang w:val="uk-UA" w:eastAsia="uk-UA"/>
        </w:rPr>
        <w:t xml:space="preserve">та нецільових рівней </w:t>
      </w:r>
      <w:r>
        <w:rPr>
          <w:color w:val="000000"/>
          <w:sz w:val="28"/>
          <w:szCs w:val="28"/>
          <w:lang w:val="uk-UA" w:eastAsia="uk-UA"/>
        </w:rPr>
        <w:t>показника</w:t>
      </w:r>
      <w:r w:rsidR="00E734AB">
        <w:rPr>
          <w:color w:val="000000"/>
          <w:sz w:val="28"/>
          <w:szCs w:val="28"/>
          <w:lang w:val="uk-UA" w:eastAsia="uk-UA"/>
        </w:rPr>
        <w:t xml:space="preserve"> </w:t>
      </w:r>
      <w:r>
        <w:rPr>
          <w:color w:val="000000"/>
          <w:sz w:val="28"/>
          <w:szCs w:val="28"/>
          <w:lang w:val="uk-UA" w:eastAsia="uk-UA"/>
        </w:rPr>
        <w:t>в межах однієї групи пацієнтів</w:t>
      </w:r>
    </w:p>
    <w:p w:rsidR="00E3259F" w:rsidRDefault="00E3259F" w:rsidP="00E3259F">
      <w:pPr>
        <w:pStyle w:val="xfmc1"/>
        <w:spacing w:before="0" w:beforeAutospacing="0" w:after="0" w:afterAutospacing="0" w:line="360" w:lineRule="auto"/>
        <w:ind w:firstLine="709"/>
        <w:jc w:val="both"/>
        <w:rPr>
          <w:color w:val="000000"/>
          <w:sz w:val="28"/>
          <w:szCs w:val="28"/>
          <w:lang w:val="uk-UA"/>
        </w:rPr>
      </w:pPr>
    </w:p>
    <w:p w:rsidR="00E3259F" w:rsidRPr="00E734AB" w:rsidRDefault="00E3259F" w:rsidP="00E734AB">
      <w:pPr>
        <w:pStyle w:val="xfmc1"/>
        <w:spacing w:before="0" w:beforeAutospacing="0" w:after="0" w:afterAutospacing="0" w:line="360" w:lineRule="auto"/>
        <w:ind w:firstLine="709"/>
        <w:jc w:val="both"/>
        <w:rPr>
          <w:sz w:val="28"/>
          <w:szCs w:val="28"/>
          <w:lang w:val="uk-UA"/>
        </w:rPr>
      </w:pPr>
      <w:r w:rsidRPr="00E734AB">
        <w:rPr>
          <w:sz w:val="28"/>
          <w:szCs w:val="28"/>
          <w:lang w:val="uk-UA"/>
        </w:rPr>
        <w:t>Для уточнення впливу стану ліпідного обміну на ВДТ теломер нами оцінювалася ВДТ теломер при наявності цільових рівнів ліпідів [</w:t>
      </w:r>
      <w:r w:rsidRPr="00E734AB">
        <w:rPr>
          <w:sz w:val="28"/>
          <w:szCs w:val="28"/>
          <w:shd w:val="clear" w:color="auto" w:fill="FFFFFF"/>
          <w:lang w:val="uk-UA"/>
        </w:rPr>
        <w:t>223</w:t>
      </w:r>
      <w:r w:rsidRPr="00E734AB">
        <w:rPr>
          <w:sz w:val="28"/>
          <w:szCs w:val="28"/>
          <w:lang w:val="uk-UA"/>
        </w:rPr>
        <w:t>]та при не цільових рівнях ліпідів крові (таблиця 6.6).  Було виявлено, що досягнення цільових рівнів показників ліпідного обміну при ізольованій ГХ асоціювалося з різноспрямованим характером ВДТ. Так при цільових значеннях ЗХС, ТГ, ХС ЛПНЩ  ВДТ крові була коротша, а ВДТ клітин букального епітелію довша, ніж у пацієнтів, що мали  нецільові рівні цих показників, проте достовірних відмінностей знайдено не було. Наявність цільових рівнів  ХС ЛПВЩ   асоціювалась з достовірно коротшою ВДТ крові (1,23±0,07 проти 1,40±0,05, р=0,045) та клітин букального епітелію (1,19±0,06 проти 1,40±0,08, р=0,040) у цій групі пацієнтів .</w:t>
      </w:r>
    </w:p>
    <w:p w:rsidR="00E3259F" w:rsidRDefault="00E3259F" w:rsidP="00E3259F">
      <w:pPr>
        <w:spacing w:line="360" w:lineRule="auto"/>
        <w:ind w:firstLine="709"/>
        <w:jc w:val="right"/>
        <w:rPr>
          <w:sz w:val="28"/>
          <w:szCs w:val="28"/>
          <w:lang w:val="uk-UA"/>
        </w:rPr>
      </w:pPr>
      <w:r>
        <w:rPr>
          <w:sz w:val="28"/>
          <w:szCs w:val="28"/>
          <w:lang w:val="uk-UA"/>
        </w:rPr>
        <w:t>Таблиця.6.6</w:t>
      </w:r>
    </w:p>
    <w:p w:rsidR="00E3259F" w:rsidRDefault="00E3259F" w:rsidP="00E3259F">
      <w:pPr>
        <w:spacing w:line="360" w:lineRule="auto"/>
        <w:ind w:firstLine="709"/>
        <w:jc w:val="center"/>
        <w:rPr>
          <w:sz w:val="28"/>
          <w:szCs w:val="28"/>
          <w:lang w:val="uk-UA"/>
        </w:rPr>
      </w:pPr>
      <w:r>
        <w:rPr>
          <w:sz w:val="28"/>
          <w:szCs w:val="28"/>
          <w:lang w:val="uk-UA"/>
        </w:rPr>
        <w:t>Порівняльна характеристика відносної довжини теломер в залежності від наявності цільових рівнів ліпідів крові, (</w:t>
      </w:r>
      <w:r>
        <w:rPr>
          <w:sz w:val="28"/>
          <w:szCs w:val="28"/>
          <w:lang w:val="en-US"/>
        </w:rPr>
        <w:t>M</w:t>
      </w:r>
      <w:r>
        <w:rPr>
          <w:sz w:val="28"/>
          <w:szCs w:val="28"/>
          <w:lang w:val="uk-UA"/>
        </w:rPr>
        <w:t>±</w:t>
      </w:r>
      <w:r>
        <w:rPr>
          <w:sz w:val="28"/>
          <w:szCs w:val="28"/>
          <w:lang w:val="en-US"/>
        </w:rPr>
        <w:t>m</w:t>
      </w:r>
      <w:r>
        <w:rPr>
          <w:sz w:val="28"/>
          <w:szCs w:val="28"/>
          <w:lang w:val="uk-UA"/>
        </w:rPr>
        <w:t>)</w:t>
      </w:r>
    </w:p>
    <w:tbl>
      <w:tblPr>
        <w:tblW w:w="0" w:type="auto"/>
        <w:tblLook w:val="04A0" w:firstRow="1" w:lastRow="0" w:firstColumn="1" w:lastColumn="0" w:noHBand="0" w:noVBand="1"/>
      </w:tblPr>
      <w:tblGrid>
        <w:gridCol w:w="1316"/>
        <w:gridCol w:w="1026"/>
        <w:gridCol w:w="1052"/>
        <w:gridCol w:w="112"/>
        <w:gridCol w:w="930"/>
        <w:gridCol w:w="978"/>
        <w:gridCol w:w="53"/>
        <w:gridCol w:w="1026"/>
        <w:gridCol w:w="1026"/>
        <w:gridCol w:w="1026"/>
        <w:gridCol w:w="1026"/>
      </w:tblGrid>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Показник</w:t>
            </w:r>
          </w:p>
        </w:tc>
        <w:tc>
          <w:tcPr>
            <w:tcW w:w="2230" w:type="dxa"/>
            <w:gridSpan w:val="3"/>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З</w:t>
            </w:r>
            <w:r w:rsidRPr="00E734AB">
              <w:rPr>
                <w:sz w:val="20"/>
                <w:szCs w:val="20"/>
                <w:lang w:eastAsia="en-US"/>
              </w:rPr>
              <w:t>ХС, ммоль/л</w:t>
            </w:r>
          </w:p>
        </w:tc>
        <w:tc>
          <w:tcPr>
            <w:tcW w:w="1808"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ТГ, ммоль/л</w:t>
            </w:r>
          </w:p>
        </w:tc>
        <w:tc>
          <w:tcPr>
            <w:tcW w:w="2062" w:type="dxa"/>
            <w:gridSpan w:val="3"/>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bCs/>
                <w:sz w:val="20"/>
                <w:szCs w:val="20"/>
                <w:lang w:eastAsia="en-US"/>
              </w:rPr>
              <w:t>ХС ЛП</w:t>
            </w:r>
            <w:r w:rsidRPr="00E734AB">
              <w:rPr>
                <w:bCs/>
                <w:sz w:val="20"/>
                <w:szCs w:val="20"/>
                <w:lang w:val="uk-UA" w:eastAsia="en-US"/>
              </w:rPr>
              <w:t>НЩ</w:t>
            </w:r>
            <w:r w:rsidRPr="00E734AB">
              <w:rPr>
                <w:bCs/>
                <w:sz w:val="20"/>
                <w:szCs w:val="20"/>
                <w:lang w:eastAsia="en-US"/>
              </w:rPr>
              <w:t>,</w:t>
            </w:r>
            <w:r w:rsidRPr="00E734AB">
              <w:rPr>
                <w:sz w:val="20"/>
                <w:szCs w:val="20"/>
                <w:lang w:eastAsia="en-US"/>
              </w:rPr>
              <w:t xml:space="preserve"> ммоль/л</w:t>
            </w:r>
          </w:p>
        </w:tc>
        <w:tc>
          <w:tcPr>
            <w:tcW w:w="2000"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bCs/>
                <w:sz w:val="20"/>
                <w:szCs w:val="20"/>
                <w:lang w:eastAsia="en-US"/>
              </w:rPr>
              <w:t>ХС ЛПВ</w:t>
            </w:r>
            <w:r w:rsidRPr="00E734AB">
              <w:rPr>
                <w:bCs/>
                <w:sz w:val="20"/>
                <w:szCs w:val="20"/>
                <w:lang w:val="uk-UA" w:eastAsia="en-US"/>
              </w:rPr>
              <w:t>Щ</w:t>
            </w:r>
            <w:r w:rsidRPr="00E734AB">
              <w:rPr>
                <w:bCs/>
                <w:sz w:val="20"/>
                <w:szCs w:val="20"/>
                <w:lang w:eastAsia="en-US"/>
              </w:rPr>
              <w:t>,</w:t>
            </w:r>
            <w:r w:rsidRPr="00E734AB">
              <w:rPr>
                <w:sz w:val="20"/>
                <w:szCs w:val="20"/>
                <w:lang w:eastAsia="en-US"/>
              </w:rPr>
              <w:t xml:space="preserve"> ммоль/л</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Досягнення цільових значень</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en-US" w:eastAsia="en-US"/>
              </w:rPr>
            </w:pPr>
            <w:r w:rsidRPr="00E734AB">
              <w:rPr>
                <w:sz w:val="20"/>
                <w:szCs w:val="20"/>
                <w:lang w:val="uk-UA" w:eastAsia="en-US"/>
              </w:rPr>
              <w:t>Так</w:t>
            </w:r>
          </w:p>
        </w:tc>
        <w:tc>
          <w:tcPr>
            <w:tcW w:w="1231"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uk-UA" w:eastAsia="en-US"/>
              </w:rPr>
            </w:pPr>
            <w:r w:rsidRPr="00E734AB">
              <w:rPr>
                <w:sz w:val="20"/>
                <w:szCs w:val="20"/>
                <w:lang w:val="uk-UA" w:eastAsia="en-US"/>
              </w:rPr>
              <w:t>Ні</w:t>
            </w:r>
          </w:p>
        </w:tc>
        <w:tc>
          <w:tcPr>
            <w:tcW w:w="866" w:type="dxa"/>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en-US" w:eastAsia="en-US"/>
              </w:rPr>
            </w:pPr>
            <w:r w:rsidRPr="00E734AB">
              <w:rPr>
                <w:sz w:val="20"/>
                <w:szCs w:val="20"/>
                <w:lang w:val="uk-UA" w:eastAsia="en-US"/>
              </w:rPr>
              <w:t>Так</w:t>
            </w:r>
          </w:p>
        </w:tc>
        <w:tc>
          <w:tcPr>
            <w:tcW w:w="942" w:type="dxa"/>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uk-UA" w:eastAsia="en-US"/>
              </w:rPr>
            </w:pPr>
            <w:r w:rsidRPr="00E734AB">
              <w:rPr>
                <w:sz w:val="20"/>
                <w:szCs w:val="20"/>
                <w:lang w:val="uk-UA" w:eastAsia="en-US"/>
              </w:rPr>
              <w:t>Ні</w:t>
            </w:r>
          </w:p>
        </w:tc>
        <w:tc>
          <w:tcPr>
            <w:tcW w:w="1062"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en-US" w:eastAsia="en-US"/>
              </w:rPr>
            </w:pPr>
            <w:r w:rsidRPr="00E734AB">
              <w:rPr>
                <w:sz w:val="20"/>
                <w:szCs w:val="20"/>
                <w:lang w:val="uk-UA" w:eastAsia="en-US"/>
              </w:rPr>
              <w:t>Так</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uk-UA" w:eastAsia="en-US"/>
              </w:rPr>
            </w:pPr>
            <w:r w:rsidRPr="00E734AB">
              <w:rPr>
                <w:sz w:val="20"/>
                <w:szCs w:val="20"/>
                <w:lang w:val="uk-UA" w:eastAsia="en-US"/>
              </w:rPr>
              <w:t>Ні</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en-US" w:eastAsia="en-US"/>
              </w:rPr>
            </w:pPr>
            <w:r w:rsidRPr="00E734AB">
              <w:rPr>
                <w:sz w:val="20"/>
                <w:szCs w:val="20"/>
                <w:lang w:val="uk-UA" w:eastAsia="en-US"/>
              </w:rPr>
              <w:t>Так</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spacing w:after="200" w:line="480" w:lineRule="auto"/>
              <w:jc w:val="both"/>
              <w:rPr>
                <w:sz w:val="20"/>
                <w:szCs w:val="20"/>
                <w:lang w:val="uk-UA" w:eastAsia="en-US"/>
              </w:rPr>
            </w:pPr>
            <w:r w:rsidRPr="00E734AB">
              <w:rPr>
                <w:sz w:val="20"/>
                <w:szCs w:val="20"/>
                <w:lang w:val="uk-UA" w:eastAsia="en-US"/>
              </w:rPr>
              <w:t>Ні</w:t>
            </w:r>
          </w:p>
        </w:tc>
      </w:tr>
      <w:tr w:rsidR="00E3259F" w:rsidRPr="00E734AB" w:rsidTr="00E3259F">
        <w:tc>
          <w:tcPr>
            <w:tcW w:w="9571" w:type="dxa"/>
            <w:gridSpan w:val="11"/>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1 група</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ВДТ крові</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1,18±</w:t>
            </w:r>
            <w:r w:rsidRPr="00E734AB">
              <w:rPr>
                <w:sz w:val="20"/>
                <w:szCs w:val="20"/>
                <w:lang w:val="uk-UA" w:eastAsia="en-US"/>
              </w:rPr>
              <w:t>0</w:t>
            </w:r>
            <w:r w:rsidRPr="00E734AB">
              <w:rPr>
                <w:sz w:val="20"/>
                <w:szCs w:val="20"/>
                <w:lang w:eastAsia="en-US"/>
              </w:rPr>
              <w:t>,1</w:t>
            </w:r>
            <w:r w:rsidRPr="00E734AB">
              <w:rPr>
                <w:sz w:val="20"/>
                <w:szCs w:val="20"/>
                <w:lang w:val="uk-UA" w:eastAsia="en-US"/>
              </w:rPr>
              <w:t>1</w:t>
            </w:r>
          </w:p>
        </w:tc>
        <w:tc>
          <w:tcPr>
            <w:tcW w:w="1093"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1,3</w:t>
            </w:r>
            <w:r w:rsidRPr="00E734AB">
              <w:rPr>
                <w:sz w:val="20"/>
                <w:szCs w:val="20"/>
                <w:lang w:val="uk-UA" w:eastAsia="en-US"/>
              </w:rPr>
              <w:t>1±0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1,27±</w:t>
            </w:r>
            <w:r w:rsidRPr="00E734AB">
              <w:rPr>
                <w:sz w:val="20"/>
                <w:szCs w:val="20"/>
                <w:lang w:val="uk-UA" w:eastAsia="en-US"/>
              </w:rPr>
              <w:t>0</w:t>
            </w:r>
            <w:r w:rsidRPr="00E734AB">
              <w:rPr>
                <w:sz w:val="20"/>
                <w:szCs w:val="20"/>
                <w:lang w:eastAsia="en-US"/>
              </w:rPr>
              <w:t>,0</w:t>
            </w:r>
            <w:r w:rsidRPr="00E734AB">
              <w:rPr>
                <w:sz w:val="20"/>
                <w:szCs w:val="20"/>
                <w:lang w:val="uk-UA" w:eastAsia="en-US"/>
              </w:rPr>
              <w:t>7</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1,31±</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1,1</w:t>
            </w:r>
            <w:r w:rsidRPr="00E734AB">
              <w:rPr>
                <w:sz w:val="20"/>
                <w:szCs w:val="20"/>
                <w:lang w:val="uk-UA" w:eastAsia="en-US"/>
              </w:rPr>
              <w:t>2</w:t>
            </w:r>
            <w:r w:rsidRPr="00E734AB">
              <w:rPr>
                <w:sz w:val="20"/>
                <w:szCs w:val="20"/>
                <w:lang w:eastAsia="en-US"/>
              </w:rPr>
              <w:t>±</w:t>
            </w:r>
            <w:r w:rsidRPr="00E734AB">
              <w:rPr>
                <w:sz w:val="20"/>
                <w:szCs w:val="20"/>
                <w:lang w:val="uk-UA" w:eastAsia="en-US"/>
              </w:rPr>
              <w:t>0</w:t>
            </w:r>
            <w:r w:rsidRPr="00E734AB">
              <w:rPr>
                <w:sz w:val="20"/>
                <w:szCs w:val="20"/>
                <w:lang w:eastAsia="en-US"/>
              </w:rPr>
              <w:t>,12</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1,3</w:t>
            </w:r>
            <w:r w:rsidRPr="00E734AB">
              <w:rPr>
                <w:sz w:val="20"/>
                <w:szCs w:val="20"/>
                <w:lang w:val="uk-UA" w:eastAsia="en-US"/>
              </w:rPr>
              <w:t>2</w:t>
            </w:r>
            <w:r w:rsidRPr="00E734AB">
              <w:rPr>
                <w:sz w:val="20"/>
                <w:szCs w:val="20"/>
                <w:lang w:eastAsia="en-US"/>
              </w:rPr>
              <w:t>±</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1,2</w:t>
            </w:r>
            <w:r w:rsidRPr="00E734AB">
              <w:rPr>
                <w:sz w:val="20"/>
                <w:szCs w:val="20"/>
                <w:lang w:val="uk-UA" w:eastAsia="en-US"/>
              </w:rPr>
              <w:t>3</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7</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w:t>
            </w:r>
            <w:r w:rsidRPr="00E734AB">
              <w:rPr>
                <w:sz w:val="20"/>
                <w:szCs w:val="20"/>
                <w:lang w:val="uk-UA" w:eastAsia="en-US"/>
              </w:rPr>
              <w:t>40</w:t>
            </w:r>
            <w:r w:rsidRPr="00E734AB">
              <w:rPr>
                <w:sz w:val="20"/>
                <w:szCs w:val="20"/>
                <w:lang w:eastAsia="en-US"/>
              </w:rPr>
              <w:t>±</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,045</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ВДТ бук.епіт.</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1,3</w:t>
            </w:r>
            <w:r w:rsidRPr="00E734AB">
              <w:rPr>
                <w:sz w:val="20"/>
                <w:szCs w:val="20"/>
                <w:lang w:val="uk-UA" w:eastAsia="en-US"/>
              </w:rPr>
              <w:t>6</w:t>
            </w:r>
            <w:r w:rsidRPr="00E734AB">
              <w:rPr>
                <w:sz w:val="20"/>
                <w:szCs w:val="20"/>
                <w:lang w:eastAsia="en-US"/>
              </w:rPr>
              <w:t>±</w:t>
            </w:r>
            <w:r w:rsidRPr="00E734AB">
              <w:rPr>
                <w:sz w:val="20"/>
                <w:szCs w:val="20"/>
                <w:lang w:val="uk-UA" w:eastAsia="en-US"/>
              </w:rPr>
              <w:t>0</w:t>
            </w:r>
            <w:r w:rsidRPr="00E734AB">
              <w:rPr>
                <w:sz w:val="20"/>
                <w:szCs w:val="20"/>
                <w:lang w:eastAsia="en-US"/>
              </w:rPr>
              <w:t>,</w:t>
            </w:r>
            <w:r w:rsidRPr="00E734AB">
              <w:rPr>
                <w:sz w:val="20"/>
                <w:szCs w:val="20"/>
                <w:lang w:val="uk-UA" w:eastAsia="en-US"/>
              </w:rPr>
              <w:t>10</w:t>
            </w:r>
          </w:p>
        </w:tc>
        <w:tc>
          <w:tcPr>
            <w:tcW w:w="1093"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1,2</w:t>
            </w:r>
            <w:r w:rsidRPr="00E734AB">
              <w:rPr>
                <w:sz w:val="20"/>
                <w:szCs w:val="20"/>
                <w:lang w:val="uk-UA" w:eastAsia="en-US"/>
              </w:rPr>
              <w:t>5</w:t>
            </w:r>
            <w:r w:rsidRPr="00E734AB">
              <w:rPr>
                <w:sz w:val="20"/>
                <w:szCs w:val="20"/>
                <w:lang w:eastAsia="en-US"/>
              </w:rPr>
              <w:t>±</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1,28±</w:t>
            </w:r>
            <w:r w:rsidRPr="00E734AB">
              <w:rPr>
                <w:sz w:val="20"/>
                <w:szCs w:val="20"/>
                <w:lang w:val="uk-UA" w:eastAsia="en-US"/>
              </w:rPr>
              <w:t>0</w:t>
            </w:r>
            <w:r w:rsidRPr="00E734AB">
              <w:rPr>
                <w:sz w:val="20"/>
                <w:szCs w:val="20"/>
                <w:lang w:eastAsia="en-US"/>
              </w:rPr>
              <w:t>,07</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1,24±</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1,3</w:t>
            </w:r>
            <w:r w:rsidRPr="00E734AB">
              <w:rPr>
                <w:sz w:val="20"/>
                <w:szCs w:val="20"/>
                <w:lang w:val="uk-UA" w:eastAsia="en-US"/>
              </w:rPr>
              <w:t>8</w:t>
            </w:r>
            <w:r w:rsidRPr="00E734AB">
              <w:rPr>
                <w:sz w:val="20"/>
                <w:szCs w:val="20"/>
                <w:lang w:eastAsia="en-US"/>
              </w:rPr>
              <w:t>±</w:t>
            </w:r>
            <w:r w:rsidRPr="00E734AB">
              <w:rPr>
                <w:sz w:val="20"/>
                <w:szCs w:val="20"/>
                <w:lang w:val="uk-UA" w:eastAsia="en-US"/>
              </w:rPr>
              <w:t>0</w:t>
            </w:r>
            <w:r w:rsidRPr="00E734AB">
              <w:rPr>
                <w:sz w:val="20"/>
                <w:szCs w:val="20"/>
                <w:lang w:eastAsia="en-US"/>
              </w:rPr>
              <w:t>,1</w:t>
            </w:r>
            <w:r w:rsidRPr="00E734AB">
              <w:rPr>
                <w:sz w:val="20"/>
                <w:szCs w:val="20"/>
                <w:lang w:val="uk-UA" w:eastAsia="en-US"/>
              </w:rPr>
              <w:t>3</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1,2</w:t>
            </w:r>
            <w:r w:rsidRPr="00E734AB">
              <w:rPr>
                <w:sz w:val="20"/>
                <w:szCs w:val="20"/>
                <w:lang w:val="uk-UA" w:eastAsia="en-US"/>
              </w:rPr>
              <w:t>5</w:t>
            </w:r>
            <w:r w:rsidRPr="00E734AB">
              <w:rPr>
                <w:sz w:val="20"/>
                <w:szCs w:val="20"/>
                <w:lang w:eastAsia="en-US"/>
              </w:rPr>
              <w:t>±</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1,19±</w:t>
            </w:r>
            <w:r w:rsidRPr="00E734AB">
              <w:rPr>
                <w:sz w:val="20"/>
                <w:szCs w:val="20"/>
                <w:lang w:val="uk-UA" w:eastAsia="en-US"/>
              </w:rPr>
              <w:t>0</w:t>
            </w:r>
            <w:r w:rsidRPr="00E734AB">
              <w:rPr>
                <w:sz w:val="20"/>
                <w:szCs w:val="20"/>
                <w:lang w:eastAsia="en-US"/>
              </w:rPr>
              <w:t>,0</w:t>
            </w:r>
            <w:r w:rsidRPr="00E734AB">
              <w:rPr>
                <w:sz w:val="20"/>
                <w:szCs w:val="20"/>
                <w:lang w:val="uk-UA" w:eastAsia="en-US"/>
              </w:rPr>
              <w:t>6</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w:t>
            </w:r>
            <w:r w:rsidRPr="00E734AB">
              <w:rPr>
                <w:sz w:val="20"/>
                <w:szCs w:val="20"/>
                <w:lang w:val="uk-UA" w:eastAsia="en-US"/>
              </w:rPr>
              <w:t>40</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8</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,040</w:t>
            </w:r>
          </w:p>
        </w:tc>
      </w:tr>
      <w:tr w:rsidR="00E3259F" w:rsidRPr="00E734AB" w:rsidTr="00E3259F">
        <w:tc>
          <w:tcPr>
            <w:tcW w:w="9571" w:type="dxa"/>
            <w:gridSpan w:val="11"/>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2 група</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ВДТ крові</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1,0</w:t>
            </w:r>
            <w:r w:rsidRPr="00E734AB">
              <w:rPr>
                <w:sz w:val="20"/>
                <w:szCs w:val="20"/>
                <w:lang w:val="uk-UA" w:eastAsia="en-US"/>
              </w:rPr>
              <w:t>2</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7</w:t>
            </w:r>
          </w:p>
        </w:tc>
        <w:tc>
          <w:tcPr>
            <w:tcW w:w="1093"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w:t>
            </w:r>
            <w:r w:rsidRPr="00E734AB">
              <w:rPr>
                <w:sz w:val="20"/>
                <w:szCs w:val="20"/>
                <w:lang w:val="uk-UA" w:eastAsia="en-US"/>
              </w:rPr>
              <w:t>4</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3</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,015</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1,08±</w:t>
            </w:r>
            <w:r w:rsidRPr="00E734AB">
              <w:rPr>
                <w:sz w:val="20"/>
                <w:szCs w:val="20"/>
                <w:lang w:val="uk-UA" w:eastAsia="en-US"/>
              </w:rPr>
              <w:t>0</w:t>
            </w:r>
            <w:r w:rsidRPr="00E734AB">
              <w:rPr>
                <w:sz w:val="20"/>
                <w:szCs w:val="20"/>
                <w:lang w:eastAsia="en-US"/>
              </w:rPr>
              <w:t>,0</w:t>
            </w:r>
            <w:r w:rsidRPr="00E734AB">
              <w:rPr>
                <w:sz w:val="20"/>
                <w:szCs w:val="20"/>
                <w:lang w:val="uk-UA" w:eastAsia="en-US"/>
              </w:rPr>
              <w:t>7</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,7</w:t>
            </w:r>
            <w:r w:rsidRPr="00E734AB">
              <w:rPr>
                <w:sz w:val="20"/>
                <w:szCs w:val="20"/>
                <w:lang w:val="uk-UA" w:eastAsia="en-US"/>
              </w:rPr>
              <w:t>5</w:t>
            </w:r>
            <w:r w:rsidRPr="00E734AB">
              <w:rPr>
                <w:sz w:val="20"/>
                <w:szCs w:val="20"/>
                <w:lang w:eastAsia="en-US"/>
              </w:rPr>
              <w:t>±</w:t>
            </w:r>
            <w:r w:rsidRPr="00E734AB">
              <w:rPr>
                <w:sz w:val="20"/>
                <w:szCs w:val="20"/>
                <w:lang w:val="uk-UA" w:eastAsia="en-US"/>
              </w:rPr>
              <w:t>0</w:t>
            </w:r>
            <w:r w:rsidRPr="00E734AB">
              <w:rPr>
                <w:sz w:val="20"/>
                <w:szCs w:val="20"/>
                <w:lang w:eastAsia="en-US"/>
              </w:rPr>
              <w:t>,03</w:t>
            </w:r>
          </w:p>
          <w:p w:rsidR="00E3259F" w:rsidRPr="00E734AB" w:rsidRDefault="00E3259F">
            <w:pPr>
              <w:pStyle w:val="xfmc1"/>
              <w:spacing w:line="360" w:lineRule="auto"/>
              <w:rPr>
                <w:sz w:val="20"/>
                <w:szCs w:val="20"/>
                <w:lang w:val="uk-UA" w:eastAsia="en-US"/>
              </w:rPr>
            </w:pPr>
            <w:r w:rsidRPr="00E734AB">
              <w:rPr>
                <w:sz w:val="20"/>
                <w:szCs w:val="20"/>
                <w:lang w:val="uk-UA" w:eastAsia="en-US"/>
              </w:rPr>
              <w:t>р&lt;0,</w:t>
            </w:r>
            <w:r w:rsidRPr="00E734AB">
              <w:rPr>
                <w:sz w:val="20"/>
                <w:szCs w:val="20"/>
                <w:lang w:eastAsia="en-US"/>
              </w:rPr>
              <w:t>00</w:t>
            </w:r>
            <w:r w:rsidRPr="00E734AB">
              <w:rPr>
                <w:sz w:val="20"/>
                <w:szCs w:val="20"/>
                <w:lang w:val="uk-UA" w:eastAsia="en-US"/>
              </w:rPr>
              <w:t>1</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w:t>
            </w:r>
            <w:r w:rsidRPr="00E734AB">
              <w:rPr>
                <w:sz w:val="20"/>
                <w:szCs w:val="20"/>
                <w:lang w:val="uk-UA" w:eastAsia="en-US"/>
              </w:rPr>
              <w:t>8</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6</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w:t>
            </w:r>
            <w:r w:rsidRPr="00E734AB">
              <w:rPr>
                <w:sz w:val="20"/>
                <w:szCs w:val="20"/>
                <w:lang w:val="uk-UA" w:eastAsia="en-US"/>
              </w:rPr>
              <w:t>2</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5</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,027</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1,0</w:t>
            </w:r>
            <w:r w:rsidRPr="00E734AB">
              <w:rPr>
                <w:sz w:val="20"/>
                <w:szCs w:val="20"/>
                <w:lang w:val="uk-UA" w:eastAsia="en-US"/>
              </w:rPr>
              <w:t>5</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8</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,86±</w:t>
            </w:r>
            <w:r w:rsidRPr="00E734AB">
              <w:rPr>
                <w:sz w:val="20"/>
                <w:szCs w:val="20"/>
                <w:lang w:val="uk-UA" w:eastAsia="en-US"/>
              </w:rPr>
              <w:t>0</w:t>
            </w:r>
            <w:r w:rsidRPr="00E734AB">
              <w:rPr>
                <w:sz w:val="20"/>
                <w:szCs w:val="20"/>
                <w:lang w:eastAsia="en-US"/>
              </w:rPr>
              <w:t>,0</w:t>
            </w:r>
            <w:r w:rsidRPr="00E734AB">
              <w:rPr>
                <w:sz w:val="20"/>
                <w:szCs w:val="20"/>
                <w:lang w:val="uk-UA" w:eastAsia="en-US"/>
              </w:rPr>
              <w:t>4</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,035</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ВДТ бук.епіт.</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,89±</w:t>
            </w:r>
            <w:r w:rsidRPr="00E734AB">
              <w:rPr>
                <w:sz w:val="20"/>
                <w:szCs w:val="20"/>
                <w:lang w:val="uk-UA" w:eastAsia="en-US"/>
              </w:rPr>
              <w:t>0</w:t>
            </w:r>
            <w:r w:rsidRPr="00E734AB">
              <w:rPr>
                <w:sz w:val="20"/>
                <w:szCs w:val="20"/>
                <w:lang w:eastAsia="en-US"/>
              </w:rPr>
              <w:t>,06</w:t>
            </w:r>
          </w:p>
        </w:tc>
        <w:tc>
          <w:tcPr>
            <w:tcW w:w="1093"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w:t>
            </w:r>
            <w:r w:rsidRPr="00E734AB">
              <w:rPr>
                <w:sz w:val="20"/>
                <w:szCs w:val="20"/>
                <w:lang w:val="uk-UA" w:eastAsia="en-US"/>
              </w:rPr>
              <w:t>8</w:t>
            </w:r>
            <w:r w:rsidRPr="00E734AB">
              <w:rPr>
                <w:sz w:val="20"/>
                <w:szCs w:val="20"/>
                <w:lang w:eastAsia="en-US"/>
              </w:rPr>
              <w:t>±</w:t>
            </w:r>
            <w:r w:rsidRPr="00E734AB">
              <w:rPr>
                <w:sz w:val="20"/>
                <w:szCs w:val="20"/>
                <w:lang w:val="uk-UA" w:eastAsia="en-US"/>
              </w:rPr>
              <w:t>0</w:t>
            </w:r>
            <w:r w:rsidRPr="00E734AB">
              <w:rPr>
                <w:sz w:val="20"/>
                <w:szCs w:val="20"/>
                <w:lang w:eastAsia="en-US"/>
              </w:rPr>
              <w:t>,03</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,89±</w:t>
            </w:r>
            <w:r w:rsidRPr="00E734AB">
              <w:rPr>
                <w:sz w:val="20"/>
                <w:szCs w:val="20"/>
                <w:lang w:val="uk-UA" w:eastAsia="en-US"/>
              </w:rPr>
              <w:t>0</w:t>
            </w:r>
            <w:r w:rsidRPr="00E734AB">
              <w:rPr>
                <w:sz w:val="20"/>
                <w:szCs w:val="20"/>
                <w:lang w:eastAsia="en-US"/>
              </w:rPr>
              <w:t>,04</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,88±</w:t>
            </w:r>
            <w:r w:rsidRPr="00E734AB">
              <w:rPr>
                <w:sz w:val="20"/>
                <w:szCs w:val="20"/>
                <w:lang w:val="uk-UA" w:eastAsia="en-US"/>
              </w:rPr>
              <w:t>0</w:t>
            </w:r>
            <w:r w:rsidRPr="00E734AB">
              <w:rPr>
                <w:sz w:val="20"/>
                <w:szCs w:val="20"/>
                <w:lang w:eastAsia="en-US"/>
              </w:rPr>
              <w:t>,0</w:t>
            </w:r>
            <w:r w:rsidRPr="00E734AB">
              <w:rPr>
                <w:sz w:val="20"/>
                <w:szCs w:val="20"/>
                <w:lang w:val="uk-UA" w:eastAsia="en-US"/>
              </w:rPr>
              <w:t>6</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,91±</w:t>
            </w:r>
            <w:r w:rsidRPr="00E734AB">
              <w:rPr>
                <w:sz w:val="20"/>
                <w:szCs w:val="20"/>
                <w:lang w:val="uk-UA" w:eastAsia="en-US"/>
              </w:rPr>
              <w:t>0</w:t>
            </w:r>
            <w:r w:rsidRPr="00E734AB">
              <w:rPr>
                <w:sz w:val="20"/>
                <w:szCs w:val="20"/>
                <w:lang w:eastAsia="en-US"/>
              </w:rPr>
              <w:t>,0</w:t>
            </w:r>
            <w:r w:rsidRPr="00E734AB">
              <w:rPr>
                <w:sz w:val="20"/>
                <w:szCs w:val="20"/>
                <w:lang w:val="uk-UA" w:eastAsia="en-US"/>
              </w:rPr>
              <w:t>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,7</w:t>
            </w:r>
            <w:r w:rsidRPr="00E734AB">
              <w:rPr>
                <w:sz w:val="20"/>
                <w:szCs w:val="20"/>
                <w:lang w:val="uk-UA" w:eastAsia="en-US"/>
              </w:rPr>
              <w:t>7</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4</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,017</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w:t>
            </w:r>
            <w:r w:rsidRPr="00E734AB">
              <w:rPr>
                <w:sz w:val="20"/>
                <w:szCs w:val="20"/>
                <w:lang w:val="uk-UA" w:eastAsia="en-US"/>
              </w:rPr>
              <w:t>5</w:t>
            </w:r>
            <w:r w:rsidRPr="00E734AB">
              <w:rPr>
                <w:sz w:val="20"/>
                <w:szCs w:val="20"/>
                <w:lang w:eastAsia="en-US"/>
              </w:rPr>
              <w:t>±</w:t>
            </w:r>
            <w:r w:rsidRPr="00E734AB">
              <w:rPr>
                <w:sz w:val="20"/>
                <w:szCs w:val="20"/>
                <w:lang w:val="uk-UA" w:eastAsia="en-US"/>
              </w:rPr>
              <w:t>0</w:t>
            </w:r>
            <w:r w:rsidRPr="00E734AB">
              <w:rPr>
                <w:sz w:val="20"/>
                <w:szCs w:val="20"/>
                <w:lang w:eastAsia="en-US"/>
              </w:rPr>
              <w:t>,07</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,83±</w:t>
            </w:r>
            <w:r w:rsidRPr="00E734AB">
              <w:rPr>
                <w:sz w:val="20"/>
                <w:szCs w:val="20"/>
                <w:lang w:val="uk-UA" w:eastAsia="en-US"/>
              </w:rPr>
              <w:t>0</w:t>
            </w:r>
            <w:r w:rsidRPr="00E734AB">
              <w:rPr>
                <w:sz w:val="20"/>
                <w:szCs w:val="20"/>
                <w:lang w:eastAsia="en-US"/>
              </w:rPr>
              <w:t>,03</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r>
      <w:tr w:rsidR="00E3259F" w:rsidRPr="00E734AB" w:rsidTr="00E3259F">
        <w:tc>
          <w:tcPr>
            <w:tcW w:w="9571" w:type="dxa"/>
            <w:gridSpan w:val="11"/>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3 група</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ВДТ крові</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1,1</w:t>
            </w:r>
            <w:r w:rsidRPr="00E734AB">
              <w:rPr>
                <w:sz w:val="20"/>
                <w:szCs w:val="20"/>
                <w:lang w:val="uk-UA" w:eastAsia="en-US"/>
              </w:rPr>
              <w:t>8</w:t>
            </w:r>
            <w:r w:rsidRPr="00E734AB">
              <w:rPr>
                <w:sz w:val="20"/>
                <w:szCs w:val="20"/>
                <w:lang w:eastAsia="en-US"/>
              </w:rPr>
              <w:t>±</w:t>
            </w:r>
            <w:r w:rsidRPr="00E734AB">
              <w:rPr>
                <w:sz w:val="20"/>
                <w:szCs w:val="20"/>
                <w:lang w:val="uk-UA" w:eastAsia="en-US"/>
              </w:rPr>
              <w:t>0</w:t>
            </w:r>
            <w:r w:rsidRPr="00E734AB">
              <w:rPr>
                <w:sz w:val="20"/>
                <w:szCs w:val="20"/>
                <w:lang w:eastAsia="en-US"/>
              </w:rPr>
              <w:t>,</w:t>
            </w:r>
            <w:r w:rsidRPr="00E734AB">
              <w:rPr>
                <w:sz w:val="20"/>
                <w:szCs w:val="20"/>
                <w:lang w:val="uk-UA" w:eastAsia="en-US"/>
              </w:rPr>
              <w:t>20</w:t>
            </w:r>
          </w:p>
        </w:tc>
        <w:tc>
          <w:tcPr>
            <w:tcW w:w="1093"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,88±</w:t>
            </w:r>
            <w:r w:rsidRPr="00E734AB">
              <w:rPr>
                <w:sz w:val="20"/>
                <w:szCs w:val="20"/>
                <w:lang w:val="uk-UA" w:eastAsia="en-US"/>
              </w:rPr>
              <w:t>0</w:t>
            </w:r>
            <w:r w:rsidRPr="00E734AB">
              <w:rPr>
                <w:sz w:val="20"/>
                <w:szCs w:val="20"/>
                <w:lang w:eastAsia="en-US"/>
              </w:rPr>
              <w:t>,0</w:t>
            </w:r>
            <w:r w:rsidRPr="00E734AB">
              <w:rPr>
                <w:sz w:val="20"/>
                <w:szCs w:val="20"/>
                <w:lang w:val="uk-UA" w:eastAsia="en-US"/>
              </w:rPr>
              <w:t>4</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,016</w:t>
            </w:r>
          </w:p>
        </w:tc>
        <w:tc>
          <w:tcPr>
            <w:tcW w:w="1004" w:type="dxa"/>
            <w:gridSpan w:val="2"/>
            <w:tcBorders>
              <w:top w:val="single" w:sz="4" w:space="0" w:color="auto"/>
              <w:left w:val="single" w:sz="4" w:space="0" w:color="auto"/>
              <w:bottom w:val="single" w:sz="4" w:space="0" w:color="auto"/>
              <w:right w:val="single" w:sz="4" w:space="0" w:color="auto"/>
            </w:tcBorders>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,97±</w:t>
            </w:r>
            <w:r w:rsidRPr="00E734AB">
              <w:rPr>
                <w:sz w:val="20"/>
                <w:szCs w:val="20"/>
                <w:lang w:val="uk-UA" w:eastAsia="en-US"/>
              </w:rPr>
              <w:t>0</w:t>
            </w:r>
            <w:r w:rsidRPr="00E734AB">
              <w:rPr>
                <w:sz w:val="20"/>
                <w:szCs w:val="20"/>
                <w:lang w:eastAsia="en-US"/>
              </w:rPr>
              <w:t>,0</w:t>
            </w:r>
            <w:r w:rsidRPr="00E734AB">
              <w:rPr>
                <w:sz w:val="20"/>
                <w:szCs w:val="20"/>
                <w:lang w:val="uk-UA" w:eastAsia="en-US"/>
              </w:rPr>
              <w:t>7</w:t>
            </w:r>
          </w:p>
          <w:p w:rsidR="00E3259F" w:rsidRPr="00E734AB" w:rsidRDefault="00E3259F">
            <w:pPr>
              <w:pStyle w:val="xfmc1"/>
              <w:spacing w:line="360" w:lineRule="auto"/>
              <w:rPr>
                <w:sz w:val="20"/>
                <w:szCs w:val="20"/>
                <w:lang w:val="uk-UA" w:eastAsia="en-US"/>
              </w:rPr>
            </w:pP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w:t>
            </w:r>
            <w:r w:rsidRPr="00E734AB">
              <w:rPr>
                <w:sz w:val="20"/>
                <w:szCs w:val="20"/>
                <w:lang w:val="uk-UA" w:eastAsia="en-US"/>
              </w:rPr>
              <w:t>7</w:t>
            </w:r>
            <w:r w:rsidRPr="00E734AB">
              <w:rPr>
                <w:sz w:val="20"/>
                <w:szCs w:val="20"/>
                <w:lang w:eastAsia="en-US"/>
              </w:rPr>
              <w:t>±</w:t>
            </w:r>
            <w:r w:rsidRPr="00E734AB">
              <w:rPr>
                <w:sz w:val="20"/>
                <w:szCs w:val="20"/>
                <w:lang w:val="uk-UA" w:eastAsia="en-US"/>
              </w:rPr>
              <w:t>0</w:t>
            </w:r>
            <w:r w:rsidRPr="00E734AB">
              <w:rPr>
                <w:sz w:val="20"/>
                <w:szCs w:val="20"/>
                <w:lang w:eastAsia="en-US"/>
              </w:rPr>
              <w:t>,05</w:t>
            </w:r>
          </w:p>
          <w:p w:rsidR="00E3259F" w:rsidRPr="00E734AB" w:rsidRDefault="00E3259F">
            <w:pPr>
              <w:pStyle w:val="xfmc1"/>
              <w:spacing w:line="360" w:lineRule="auto"/>
              <w:rPr>
                <w:sz w:val="20"/>
                <w:szCs w:val="20"/>
                <w:lang w:val="uk-UA" w:eastAsia="en-US"/>
              </w:rPr>
            </w:pPr>
            <w:r w:rsidRPr="00E734AB">
              <w:rPr>
                <w:sz w:val="20"/>
                <w:szCs w:val="20"/>
                <w:lang w:val="uk-UA" w:eastAsia="en-US"/>
              </w:rPr>
              <w:t xml:space="preserve"> </w:t>
            </w: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1,16±</w:t>
            </w:r>
            <w:r w:rsidRPr="00E734AB">
              <w:rPr>
                <w:sz w:val="20"/>
                <w:szCs w:val="20"/>
                <w:lang w:val="uk-UA" w:eastAsia="en-US"/>
              </w:rPr>
              <w:t>0</w:t>
            </w:r>
            <w:r w:rsidRPr="00E734AB">
              <w:rPr>
                <w:sz w:val="20"/>
                <w:szCs w:val="20"/>
                <w:lang w:eastAsia="en-US"/>
              </w:rPr>
              <w:t>,</w:t>
            </w:r>
            <w:r w:rsidRPr="00E734AB">
              <w:rPr>
                <w:sz w:val="20"/>
                <w:szCs w:val="20"/>
                <w:lang w:val="uk-UA" w:eastAsia="en-US"/>
              </w:rPr>
              <w:t>0</w:t>
            </w:r>
            <w:r w:rsidRPr="00E734AB">
              <w:rPr>
                <w:sz w:val="20"/>
                <w:szCs w:val="20"/>
                <w:lang w:eastAsia="en-US"/>
              </w:rPr>
              <w:t>2</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w:t>
            </w:r>
            <w:r w:rsidRPr="00E734AB">
              <w:rPr>
                <w:sz w:val="20"/>
                <w:szCs w:val="20"/>
                <w:lang w:val="uk-UA" w:eastAsia="en-US"/>
              </w:rPr>
              <w:t>1</w:t>
            </w:r>
            <w:r w:rsidRPr="00E734AB">
              <w:rPr>
                <w:sz w:val="20"/>
                <w:szCs w:val="20"/>
                <w:lang w:eastAsia="en-US"/>
              </w:rPr>
              <w:t>±</w:t>
            </w:r>
            <w:r w:rsidRPr="00E734AB">
              <w:rPr>
                <w:sz w:val="20"/>
                <w:szCs w:val="20"/>
                <w:lang w:val="uk-UA" w:eastAsia="en-US"/>
              </w:rPr>
              <w:t>0</w:t>
            </w:r>
            <w:r w:rsidRPr="00E734AB">
              <w:rPr>
                <w:sz w:val="20"/>
                <w:szCs w:val="20"/>
                <w:lang w:eastAsia="en-US"/>
              </w:rPr>
              <w:t>,04</w:t>
            </w:r>
          </w:p>
          <w:p w:rsidR="00E3259F" w:rsidRPr="00E734AB" w:rsidRDefault="00E3259F">
            <w:pPr>
              <w:pStyle w:val="xfmc1"/>
              <w:spacing w:line="360" w:lineRule="auto"/>
              <w:rPr>
                <w:sz w:val="20"/>
                <w:szCs w:val="20"/>
                <w:lang w:val="uk-UA" w:eastAsia="en-US"/>
              </w:rPr>
            </w:pPr>
            <w:r w:rsidRPr="00E734AB">
              <w:rPr>
                <w:sz w:val="20"/>
                <w:szCs w:val="20"/>
                <w:lang w:val="uk-UA" w:eastAsia="en-US"/>
              </w:rPr>
              <w:t>р=0</w:t>
            </w:r>
            <w:r w:rsidRPr="00E734AB">
              <w:rPr>
                <w:sz w:val="20"/>
                <w:szCs w:val="20"/>
                <w:lang w:eastAsia="en-US"/>
              </w:rPr>
              <w:t>,</w:t>
            </w:r>
            <w:r w:rsidRPr="00E734AB">
              <w:rPr>
                <w:sz w:val="20"/>
                <w:szCs w:val="20"/>
                <w:lang w:val="uk-UA" w:eastAsia="en-US"/>
              </w:rPr>
              <w:t>04</w:t>
            </w:r>
            <w:r w:rsidRPr="00E734AB">
              <w:rPr>
                <w:sz w:val="20"/>
                <w:szCs w:val="20"/>
                <w:lang w:eastAsia="en-US"/>
              </w:rPr>
              <w:t>6</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1,0</w:t>
            </w:r>
            <w:r w:rsidRPr="00E734AB">
              <w:rPr>
                <w:sz w:val="20"/>
                <w:szCs w:val="20"/>
                <w:lang w:val="uk-UA" w:eastAsia="en-US"/>
              </w:rPr>
              <w:t>1</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9</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,88±</w:t>
            </w:r>
            <w:r w:rsidRPr="00E734AB">
              <w:rPr>
                <w:sz w:val="20"/>
                <w:szCs w:val="20"/>
                <w:lang w:val="uk-UA" w:eastAsia="en-US"/>
              </w:rPr>
              <w:t>0</w:t>
            </w:r>
            <w:r w:rsidRPr="00E734AB">
              <w:rPr>
                <w:sz w:val="20"/>
                <w:szCs w:val="20"/>
                <w:lang w:eastAsia="en-US"/>
              </w:rPr>
              <w:t>,0</w:t>
            </w:r>
            <w:r w:rsidRPr="00E734AB">
              <w:rPr>
                <w:sz w:val="20"/>
                <w:szCs w:val="20"/>
                <w:lang w:val="uk-UA" w:eastAsia="en-US"/>
              </w:rPr>
              <w:t>5</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r>
      <w:tr w:rsidR="00E3259F" w:rsidRPr="00E734AB" w:rsidTr="00E3259F">
        <w:tc>
          <w:tcPr>
            <w:tcW w:w="1471"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ВДТ бук.епіт.</w:t>
            </w:r>
          </w:p>
        </w:tc>
        <w:tc>
          <w:tcPr>
            <w:tcW w:w="999"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eastAsia="en-US"/>
              </w:rPr>
              <w:t>1,01±</w:t>
            </w:r>
            <w:r w:rsidRPr="00E734AB">
              <w:rPr>
                <w:sz w:val="20"/>
                <w:szCs w:val="20"/>
                <w:lang w:val="uk-UA" w:eastAsia="en-US"/>
              </w:rPr>
              <w:t>0</w:t>
            </w:r>
            <w:r w:rsidRPr="00E734AB">
              <w:rPr>
                <w:sz w:val="20"/>
                <w:szCs w:val="20"/>
                <w:lang w:eastAsia="en-US"/>
              </w:rPr>
              <w:t>,06</w:t>
            </w:r>
          </w:p>
        </w:tc>
        <w:tc>
          <w:tcPr>
            <w:tcW w:w="1093"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,96±</w:t>
            </w:r>
            <w:r w:rsidRPr="00E734AB">
              <w:rPr>
                <w:sz w:val="20"/>
                <w:szCs w:val="20"/>
                <w:lang w:val="uk-UA" w:eastAsia="en-US"/>
              </w:rPr>
              <w:t>0</w:t>
            </w:r>
            <w:r w:rsidRPr="00E734AB">
              <w:rPr>
                <w:sz w:val="20"/>
                <w:szCs w:val="20"/>
                <w:lang w:eastAsia="en-US"/>
              </w:rPr>
              <w:t>,03</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w:t>
            </w:r>
            <w:r w:rsidRPr="00E734AB">
              <w:rPr>
                <w:sz w:val="20"/>
                <w:szCs w:val="20"/>
                <w:lang w:val="uk-UA" w:eastAsia="en-US"/>
              </w:rPr>
              <w:t>8</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4</w:t>
            </w:r>
          </w:p>
        </w:tc>
        <w:tc>
          <w:tcPr>
            <w:tcW w:w="1004" w:type="dxa"/>
            <w:gridSpan w:val="2"/>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,96±</w:t>
            </w:r>
            <w:r w:rsidRPr="00E734AB">
              <w:rPr>
                <w:sz w:val="20"/>
                <w:szCs w:val="20"/>
                <w:lang w:val="uk-UA" w:eastAsia="en-US"/>
              </w:rPr>
              <w:t>0</w:t>
            </w:r>
            <w:r w:rsidRPr="00E734AB">
              <w:rPr>
                <w:sz w:val="20"/>
                <w:szCs w:val="20"/>
                <w:lang w:eastAsia="en-US"/>
              </w:rPr>
              <w:t>,04</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w:t>
            </w:r>
            <w:r w:rsidRPr="00E734AB">
              <w:rPr>
                <w:sz w:val="20"/>
                <w:szCs w:val="20"/>
                <w:lang w:val="uk-UA" w:eastAsia="en-US"/>
              </w:rPr>
              <w:t>8</w:t>
            </w:r>
            <w:r w:rsidRPr="00E734AB">
              <w:rPr>
                <w:sz w:val="20"/>
                <w:szCs w:val="20"/>
                <w:lang w:eastAsia="en-US"/>
              </w:rPr>
              <w:t>±</w:t>
            </w:r>
            <w:r w:rsidRPr="00E734AB">
              <w:rPr>
                <w:sz w:val="20"/>
                <w:szCs w:val="20"/>
                <w:lang w:val="uk-UA" w:eastAsia="en-US"/>
              </w:rPr>
              <w:t>0</w:t>
            </w:r>
            <w:r w:rsidRPr="00E734AB">
              <w:rPr>
                <w:sz w:val="20"/>
                <w:szCs w:val="20"/>
                <w:lang w:eastAsia="en-US"/>
              </w:rPr>
              <w:t>,</w:t>
            </w:r>
            <w:r w:rsidRPr="00E734AB">
              <w:rPr>
                <w:sz w:val="20"/>
                <w:szCs w:val="20"/>
                <w:lang w:val="uk-UA" w:eastAsia="en-US"/>
              </w:rPr>
              <w:t>10</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,97±</w:t>
            </w:r>
            <w:r w:rsidRPr="00E734AB">
              <w:rPr>
                <w:sz w:val="20"/>
                <w:szCs w:val="20"/>
                <w:lang w:val="uk-UA" w:eastAsia="en-US"/>
              </w:rPr>
              <w:t>0</w:t>
            </w:r>
            <w:r w:rsidRPr="00E734AB">
              <w:rPr>
                <w:sz w:val="20"/>
                <w:szCs w:val="20"/>
                <w:lang w:eastAsia="en-US"/>
              </w:rPr>
              <w:t>,0</w:t>
            </w:r>
            <w:r w:rsidRPr="00E734AB">
              <w:rPr>
                <w:sz w:val="20"/>
                <w:szCs w:val="20"/>
                <w:lang w:val="uk-UA" w:eastAsia="en-US"/>
              </w:rPr>
              <w:t>3</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1</w:t>
            </w:r>
            <w:r w:rsidRPr="00E734AB">
              <w:rPr>
                <w:sz w:val="20"/>
                <w:szCs w:val="20"/>
                <w:lang w:eastAsia="en-US"/>
              </w:rPr>
              <w:t>,</w:t>
            </w:r>
            <w:r w:rsidRPr="00E734AB">
              <w:rPr>
                <w:sz w:val="20"/>
                <w:szCs w:val="20"/>
                <w:lang w:val="uk-UA" w:eastAsia="en-US"/>
              </w:rPr>
              <w:t>00</w:t>
            </w:r>
            <w:r w:rsidRPr="00E734AB">
              <w:rPr>
                <w:sz w:val="20"/>
                <w:szCs w:val="20"/>
                <w:lang w:eastAsia="en-US"/>
              </w:rPr>
              <w:t>±</w:t>
            </w:r>
            <w:r w:rsidRPr="00E734AB">
              <w:rPr>
                <w:sz w:val="20"/>
                <w:szCs w:val="20"/>
                <w:lang w:val="uk-UA" w:eastAsia="en-US"/>
              </w:rPr>
              <w:t>0</w:t>
            </w:r>
            <w:r w:rsidRPr="00E734AB">
              <w:rPr>
                <w:sz w:val="20"/>
                <w:szCs w:val="20"/>
                <w:lang w:eastAsia="en-US"/>
              </w:rPr>
              <w:t>,0</w:t>
            </w:r>
            <w:r w:rsidRPr="00E734AB">
              <w:rPr>
                <w:sz w:val="20"/>
                <w:szCs w:val="20"/>
                <w:lang w:val="uk-UA" w:eastAsia="en-US"/>
              </w:rPr>
              <w:t>5</w:t>
            </w:r>
          </w:p>
        </w:tc>
        <w:tc>
          <w:tcPr>
            <w:tcW w:w="1000" w:type="dxa"/>
            <w:tcBorders>
              <w:top w:val="single" w:sz="4" w:space="0" w:color="auto"/>
              <w:left w:val="single" w:sz="4" w:space="0" w:color="auto"/>
              <w:bottom w:val="single" w:sz="4" w:space="0" w:color="auto"/>
              <w:right w:val="single" w:sz="4" w:space="0" w:color="auto"/>
            </w:tcBorders>
            <w:hideMark/>
          </w:tcPr>
          <w:p w:rsidR="00E3259F" w:rsidRPr="00E734AB" w:rsidRDefault="00E3259F">
            <w:pPr>
              <w:pStyle w:val="xfmc1"/>
              <w:spacing w:line="360" w:lineRule="auto"/>
              <w:rPr>
                <w:sz w:val="20"/>
                <w:szCs w:val="20"/>
                <w:lang w:val="uk-UA" w:eastAsia="en-US"/>
              </w:rPr>
            </w:pPr>
            <w:r w:rsidRPr="00E734AB">
              <w:rPr>
                <w:sz w:val="20"/>
                <w:szCs w:val="20"/>
                <w:lang w:val="uk-UA" w:eastAsia="en-US"/>
              </w:rPr>
              <w:t>0</w:t>
            </w:r>
            <w:r w:rsidRPr="00E734AB">
              <w:rPr>
                <w:sz w:val="20"/>
                <w:szCs w:val="20"/>
                <w:lang w:eastAsia="en-US"/>
              </w:rPr>
              <w:t>,9</w:t>
            </w:r>
            <w:r w:rsidRPr="00E734AB">
              <w:rPr>
                <w:sz w:val="20"/>
                <w:szCs w:val="20"/>
                <w:lang w:val="uk-UA" w:eastAsia="en-US"/>
              </w:rPr>
              <w:t>6</w:t>
            </w:r>
            <w:r w:rsidRPr="00E734AB">
              <w:rPr>
                <w:sz w:val="20"/>
                <w:szCs w:val="20"/>
                <w:lang w:eastAsia="en-US"/>
              </w:rPr>
              <w:t>±</w:t>
            </w:r>
            <w:r w:rsidRPr="00E734AB">
              <w:rPr>
                <w:sz w:val="20"/>
                <w:szCs w:val="20"/>
                <w:lang w:val="uk-UA" w:eastAsia="en-US"/>
              </w:rPr>
              <w:t>0</w:t>
            </w:r>
            <w:r w:rsidRPr="00E734AB">
              <w:rPr>
                <w:sz w:val="20"/>
                <w:szCs w:val="20"/>
                <w:lang w:eastAsia="en-US"/>
              </w:rPr>
              <w:t>,03</w:t>
            </w:r>
          </w:p>
          <w:p w:rsidR="00E3259F" w:rsidRPr="00E734AB" w:rsidRDefault="00E3259F">
            <w:pPr>
              <w:pStyle w:val="xfmc1"/>
              <w:spacing w:line="360" w:lineRule="auto"/>
              <w:rPr>
                <w:sz w:val="20"/>
                <w:szCs w:val="20"/>
                <w:lang w:val="uk-UA" w:eastAsia="en-US"/>
              </w:rPr>
            </w:pPr>
            <w:r w:rsidRPr="00E734AB">
              <w:rPr>
                <w:sz w:val="20"/>
                <w:szCs w:val="20"/>
                <w:shd w:val="clear" w:color="auto" w:fill="FFFFFF"/>
                <w:lang w:val="uk-UA" w:eastAsia="en-US"/>
              </w:rPr>
              <w:t>р&gt;0,05</w:t>
            </w:r>
          </w:p>
        </w:tc>
      </w:tr>
    </w:tbl>
    <w:p w:rsidR="00E734AB" w:rsidRDefault="00E734AB" w:rsidP="00E3259F">
      <w:pPr>
        <w:pStyle w:val="a4"/>
        <w:spacing w:line="360" w:lineRule="auto"/>
        <w:ind w:left="0"/>
        <w:jc w:val="both"/>
        <w:textAlignment w:val="top"/>
        <w:rPr>
          <w:sz w:val="28"/>
          <w:szCs w:val="28"/>
          <w:lang w:val="uk-UA" w:eastAsia="uk-UA"/>
        </w:rPr>
      </w:pPr>
    </w:p>
    <w:p w:rsidR="00E734AB" w:rsidRDefault="00E3259F" w:rsidP="00E3259F">
      <w:pPr>
        <w:pStyle w:val="a4"/>
        <w:spacing w:line="360" w:lineRule="auto"/>
        <w:ind w:left="0"/>
        <w:jc w:val="both"/>
        <w:textAlignment w:val="top"/>
        <w:rPr>
          <w:sz w:val="28"/>
          <w:szCs w:val="28"/>
          <w:lang w:val="uk-UA" w:eastAsia="uk-UA"/>
        </w:rPr>
      </w:pPr>
      <w:r w:rsidRPr="00E734AB">
        <w:rPr>
          <w:sz w:val="28"/>
          <w:szCs w:val="28"/>
          <w:lang w:val="uk-UA" w:eastAsia="uk-UA"/>
        </w:rPr>
        <w:t xml:space="preserve">Примітка: ВДТ крові – відносна довжина теломер лейкоцитів крові, ВДТ бук.епіт.– відносна довжина теломер клітин букального епітелію, </w:t>
      </w:r>
    </w:p>
    <w:p w:rsidR="00E3259F" w:rsidRPr="00E734AB" w:rsidRDefault="00E3259F" w:rsidP="00E3259F">
      <w:pPr>
        <w:pStyle w:val="a4"/>
        <w:spacing w:line="360" w:lineRule="auto"/>
        <w:ind w:left="0"/>
        <w:jc w:val="both"/>
        <w:textAlignment w:val="top"/>
        <w:rPr>
          <w:sz w:val="28"/>
          <w:szCs w:val="28"/>
          <w:lang w:val="uk-UA"/>
        </w:rPr>
      </w:pPr>
      <w:r w:rsidRPr="00E734AB">
        <w:rPr>
          <w:bCs/>
          <w:sz w:val="28"/>
          <w:szCs w:val="28"/>
          <w:lang w:val="uk-UA" w:eastAsia="uk-UA"/>
        </w:rPr>
        <w:t xml:space="preserve">р- значимість відмінності при порівнянні </w:t>
      </w:r>
      <w:r w:rsidRPr="00E734AB">
        <w:rPr>
          <w:sz w:val="28"/>
          <w:szCs w:val="28"/>
          <w:lang w:val="uk-UA" w:eastAsia="uk-UA"/>
        </w:rPr>
        <w:t xml:space="preserve">ВДТ при </w:t>
      </w:r>
      <w:r w:rsidR="00E734AB">
        <w:rPr>
          <w:sz w:val="28"/>
          <w:szCs w:val="28"/>
          <w:lang w:val="uk-UA" w:eastAsia="uk-UA"/>
        </w:rPr>
        <w:t>наяності</w:t>
      </w:r>
      <w:r w:rsidRPr="00E734AB">
        <w:rPr>
          <w:sz w:val="28"/>
          <w:szCs w:val="28"/>
          <w:lang w:val="uk-UA" w:eastAsia="uk-UA"/>
        </w:rPr>
        <w:t xml:space="preserve"> </w:t>
      </w:r>
      <w:r w:rsidR="00E734AB" w:rsidRPr="00E734AB">
        <w:rPr>
          <w:sz w:val="28"/>
          <w:szCs w:val="28"/>
          <w:lang w:val="uk-UA" w:eastAsia="uk-UA"/>
        </w:rPr>
        <w:t xml:space="preserve">цільових </w:t>
      </w:r>
      <w:r w:rsidRPr="00E734AB">
        <w:rPr>
          <w:sz w:val="28"/>
          <w:szCs w:val="28"/>
          <w:lang w:val="uk-UA" w:eastAsia="uk-UA"/>
        </w:rPr>
        <w:t>та не</w:t>
      </w:r>
      <w:r w:rsidR="00E734AB">
        <w:rPr>
          <w:sz w:val="28"/>
          <w:szCs w:val="28"/>
          <w:lang w:val="uk-UA" w:eastAsia="uk-UA"/>
        </w:rPr>
        <w:t>цільових</w:t>
      </w:r>
      <w:r w:rsidRPr="00E734AB">
        <w:rPr>
          <w:sz w:val="28"/>
          <w:szCs w:val="28"/>
          <w:lang w:val="uk-UA" w:eastAsia="uk-UA"/>
        </w:rPr>
        <w:t xml:space="preserve"> рівней показника в межах однієї групи пацієнтів</w:t>
      </w:r>
    </w:p>
    <w:p w:rsidR="00E3259F" w:rsidRDefault="00E3259F" w:rsidP="00E3259F">
      <w:pPr>
        <w:pStyle w:val="a4"/>
        <w:spacing w:line="360" w:lineRule="auto"/>
        <w:jc w:val="both"/>
        <w:textAlignment w:val="top"/>
        <w:rPr>
          <w:rFonts w:ascii="Calibri" w:hAnsi="Calibri"/>
          <w:color w:val="000000"/>
          <w:sz w:val="22"/>
          <w:szCs w:val="22"/>
          <w:lang w:val="uk-UA" w:eastAsia="uk-UA"/>
        </w:rPr>
      </w:pPr>
    </w:p>
    <w:p w:rsidR="00E3259F" w:rsidRPr="00E324D2" w:rsidRDefault="00E3259F" w:rsidP="00E324D2">
      <w:pPr>
        <w:pStyle w:val="xfmc1"/>
        <w:spacing w:before="0" w:beforeAutospacing="0" w:after="0" w:afterAutospacing="0" w:line="360" w:lineRule="auto"/>
        <w:ind w:firstLine="709"/>
        <w:jc w:val="both"/>
        <w:rPr>
          <w:sz w:val="28"/>
          <w:szCs w:val="28"/>
          <w:lang w:val="uk-UA"/>
        </w:rPr>
      </w:pPr>
      <w:r w:rsidRPr="00E324D2">
        <w:rPr>
          <w:sz w:val="28"/>
          <w:szCs w:val="28"/>
          <w:lang w:val="uk-UA"/>
        </w:rPr>
        <w:t>Серед пацієнтів з коморбідною патологією наявність цільових рівнів ліпідів асоціювалася з довшою ВДТ, ніж при нецільових рівнях ліпідів, незалежно від функціонального стану ЩЗ.  Так наявність цільових рівнів ЗХC супроводжувалася довшою ВДТ, досягаючи в крові достовірних відмінностей як при ГХ та ЦД 2 типу (р=0,015), так і при поєднаному перебігу ГХ, ЦД 2 типу та СГТ (р=0,016). Цільові рівні ХС ЛПНЩ спостерігались у пацієнтів з достовірно більшою ВДТ крові у групі 2 (0,98±0,06 проти 0,82±0,05, р=0,027) і в групі 3 (1,16±0,02 проти 0,91±0,04, р=0,046) та ВДТ клітин букального епітелію в групі 2 (0,91±0,05 проти 0,77±0,04, р=0,017). Цільові значення ТГ характеризувалися наявністю у пацієнтів довшої ВДТ, але достовірні відмінності спостерігалися лише в групі 2 при порівнянні ВДТ крові (1,08±0,07 проти 0,75±0,03, р&lt;0,001). Аналогічна тенденція спостерігалась при наявності цільових значень ХС ЛПВЩ: довша ВДТ при цільових рівнях порівняно з не цільовими рівнями, проте достовірні відмінності спостерігались тільки при порівнянні ВДТ крові в групі 2 (1,05±0,08 проти 0,86±0,04, р=0,035).</w:t>
      </w:r>
    </w:p>
    <w:p w:rsidR="00E3259F" w:rsidRPr="00E324D2" w:rsidRDefault="00E3259F" w:rsidP="00E324D2">
      <w:pPr>
        <w:shd w:val="clear" w:color="auto" w:fill="FFFFFF"/>
        <w:spacing w:line="360" w:lineRule="auto"/>
        <w:ind w:firstLine="709"/>
        <w:jc w:val="both"/>
        <w:rPr>
          <w:sz w:val="28"/>
          <w:szCs w:val="28"/>
          <w:lang w:val="uk-UA"/>
        </w:rPr>
      </w:pPr>
      <w:r w:rsidRPr="00E324D2">
        <w:rPr>
          <w:sz w:val="28"/>
          <w:szCs w:val="28"/>
          <w:lang w:val="uk-UA"/>
        </w:rPr>
        <w:t xml:space="preserve">Для визначення впливу модифікованих антропометричних і метаболічних факторів ризику, що змінюються у двох напрямках: наявність цільових рівнів і нецільових рівнів, на ВДТ використовувався дисперсійний аналіз.  </w:t>
      </w:r>
      <w:r w:rsidR="007174AE">
        <w:rPr>
          <w:color w:val="262626"/>
          <w:sz w:val="28"/>
          <w:szCs w:val="28"/>
          <w:lang w:val="uk-UA"/>
        </w:rPr>
        <w:t xml:space="preserve">Достовірно </w:t>
      </w:r>
      <w:r w:rsidR="007174AE">
        <w:rPr>
          <w:sz w:val="28"/>
          <w:szCs w:val="28"/>
          <w:lang w:val="uk-UA"/>
        </w:rPr>
        <w:t>значущий</w:t>
      </w:r>
      <w:r w:rsidR="007174AE">
        <w:rPr>
          <w:color w:val="262626"/>
          <w:sz w:val="28"/>
          <w:szCs w:val="28"/>
          <w:lang w:val="uk-UA"/>
        </w:rPr>
        <w:t xml:space="preserve"> вплив на ВДТ крові мало досягнення цільових значень рівня ЗХС (р=0,041), ТГ (р&lt;0,001), ХС ЛПДНЩ (р=0,049), ХС ЛПВЩ (р=0,031) у групі 2 та рівня ЗХС (р=0,016) у групі 3,  вплив наявності цільових значень ХС ЛПВЩ (р=0,040) на ВДТ клітин букального епітелію в групі 1. Було виявлено значний вплив наявності компенсації  ЦД 2 типу  на ВДТ. Так, у групі 2 наявність цільових рівнів глюкози натще достовірно впливала як на ВДТ крові (р=0,036), так і ВДТ клітин букального епітелію (р=0,001), наявність цільових рівнів </w:t>
      </w:r>
      <w:r w:rsidR="007174AE">
        <w:rPr>
          <w:color w:val="000000"/>
          <w:sz w:val="28"/>
          <w:szCs w:val="28"/>
        </w:rPr>
        <w:t>HbA</w:t>
      </w:r>
      <w:r w:rsidR="007174AE">
        <w:rPr>
          <w:color w:val="000000"/>
          <w:sz w:val="28"/>
          <w:szCs w:val="28"/>
          <w:lang w:val="uk-UA"/>
        </w:rPr>
        <w:t>1</w:t>
      </w:r>
      <w:r w:rsidR="007174AE">
        <w:rPr>
          <w:color w:val="000000"/>
          <w:sz w:val="28"/>
          <w:szCs w:val="28"/>
        </w:rPr>
        <w:t>c</w:t>
      </w:r>
      <w:r w:rsidR="007174AE">
        <w:rPr>
          <w:color w:val="262626"/>
          <w:sz w:val="28"/>
          <w:szCs w:val="28"/>
          <w:lang w:val="uk-UA"/>
        </w:rPr>
        <w:t xml:space="preserve"> також достовірно впливала на ВДТ крові (р=0,002) та клітин букального епітелію (р=0,018). Достовірний вплив досягнення цільових рівнів САТ на ВДТ крові  був виявлений у групі 2 (р&lt;0,001) та </w:t>
      </w:r>
      <w:r w:rsidR="007174AE" w:rsidRPr="00E324D2">
        <w:rPr>
          <w:sz w:val="28"/>
          <w:szCs w:val="28"/>
          <w:lang w:val="uk-UA"/>
        </w:rPr>
        <w:t>на наявність довшої ВДТ крові (р = 0,001)</w:t>
      </w:r>
      <w:r w:rsidR="007174AE">
        <w:rPr>
          <w:sz w:val="28"/>
          <w:szCs w:val="28"/>
          <w:lang w:val="uk-UA"/>
        </w:rPr>
        <w:t xml:space="preserve"> у групі 1, </w:t>
      </w:r>
      <w:r w:rsidR="007174AE">
        <w:rPr>
          <w:color w:val="262626"/>
          <w:sz w:val="28"/>
          <w:szCs w:val="28"/>
          <w:lang w:val="uk-UA"/>
        </w:rPr>
        <w:t>досягнення цільових рівней ДАТ на ВДТ клітин букального епітелію - в групі 1 (р=0,012) та групі 2 (р=0,036). Наявність рекомендованих рівнів ПАТ достовірно впливала на ВДТ в усіх групах пацієнтів: на ВДТ клітин букального епітелію в групі 1 (р=0,004), на ВДТ крові в групі 2 (р&lt;0,001) та ВДТ клітин букального епітелію в групі 3 (р=0,039).</w:t>
      </w:r>
    </w:p>
    <w:p w:rsidR="00E3259F" w:rsidRPr="00E324D2" w:rsidRDefault="00E3259F" w:rsidP="007174AE">
      <w:pPr>
        <w:shd w:val="clear" w:color="auto" w:fill="FFFFFF"/>
        <w:spacing w:line="360" w:lineRule="auto"/>
        <w:ind w:firstLine="709"/>
        <w:jc w:val="both"/>
        <w:rPr>
          <w:sz w:val="28"/>
          <w:szCs w:val="28"/>
          <w:lang w:val="uk-UA"/>
        </w:rPr>
      </w:pPr>
      <w:r w:rsidRPr="00E324D2">
        <w:rPr>
          <w:sz w:val="28"/>
          <w:szCs w:val="28"/>
          <w:lang w:val="uk-UA"/>
        </w:rPr>
        <w:t> </w:t>
      </w:r>
      <w:r w:rsidRPr="00E324D2">
        <w:rPr>
          <w:sz w:val="28"/>
          <w:szCs w:val="28"/>
          <w:shd w:val="clear" w:color="auto" w:fill="FFFFFF"/>
          <w:lang w:val="uk-UA"/>
        </w:rPr>
        <w:t xml:space="preserve"> </w:t>
      </w:r>
      <w:r w:rsidRPr="00E324D2">
        <w:rPr>
          <w:sz w:val="28"/>
          <w:szCs w:val="28"/>
          <w:lang w:val="uk-UA"/>
        </w:rPr>
        <w:t>Таким чином, у випадку ізольованої ГХ досягнення цільових рівнів</w:t>
      </w:r>
      <w:r w:rsidRPr="00E324D2">
        <w:rPr>
          <w:sz w:val="40"/>
          <w:szCs w:val="40"/>
          <w:lang w:val="uk-UA"/>
        </w:rPr>
        <w:t xml:space="preserve"> </w:t>
      </w:r>
      <w:r w:rsidRPr="00E324D2">
        <w:rPr>
          <w:sz w:val="28"/>
          <w:szCs w:val="28"/>
          <w:lang w:val="uk-UA"/>
        </w:rPr>
        <w:t xml:space="preserve">АТ та ліпідів крові пов'язане із суперечливим впливом на ВДТ як в крові, так і  букального епітелію. У пацієнтів із коморбідним перебігом ГХ та ЦД 2 типу наявність цільових значень АТ, глікемії та ліпідів крові має суттєвий вплив на ВДТ,  більш значний при відсутності порушення функції ЩЗ ніж при СГТ. </w:t>
      </w:r>
    </w:p>
    <w:p w:rsidR="00E3259F" w:rsidRPr="00E324D2" w:rsidRDefault="00E3259F" w:rsidP="00E324D2">
      <w:pPr>
        <w:spacing w:line="360" w:lineRule="auto"/>
        <w:ind w:firstLine="709"/>
        <w:jc w:val="both"/>
        <w:rPr>
          <w:sz w:val="28"/>
          <w:szCs w:val="28"/>
          <w:lang w:val="uk-UA"/>
        </w:rPr>
      </w:pPr>
      <w:r w:rsidRPr="00E324D2">
        <w:rPr>
          <w:sz w:val="28"/>
          <w:szCs w:val="28"/>
          <w:lang w:val="uk-UA"/>
        </w:rPr>
        <w:t xml:space="preserve">Аналіз вираженості ОС, як фактора, що сприяє прогресуванню та погіршенню перебігу пацієнтів з ГХ та ЦД 2 типу, </w:t>
      </w:r>
      <w:r w:rsidRPr="00E324D2">
        <w:rPr>
          <w:sz w:val="28"/>
          <w:szCs w:val="28"/>
          <w:lang w:val="uk-UA" w:eastAsia="en-US"/>
        </w:rPr>
        <w:t xml:space="preserve">залежно </w:t>
      </w:r>
      <w:r w:rsidRPr="00E324D2">
        <w:rPr>
          <w:sz w:val="28"/>
          <w:szCs w:val="28"/>
          <w:lang w:val="uk-UA"/>
        </w:rPr>
        <w:t xml:space="preserve">від ВДТ виявив посилення окислювальних процесів на тлі зниження активації АОЗ при наявності коротких теломер у пацієнтів з поєднаним перебігом ГХ та ЦД 2 типу незалежно від функціональної активності ЩЗ ( Таблиця 6.7). </w:t>
      </w:r>
    </w:p>
    <w:p w:rsidR="00E3259F" w:rsidRDefault="00E3259F" w:rsidP="00E3259F">
      <w:pPr>
        <w:spacing w:line="360" w:lineRule="auto"/>
        <w:ind w:firstLine="709"/>
        <w:jc w:val="right"/>
        <w:rPr>
          <w:sz w:val="28"/>
          <w:szCs w:val="28"/>
          <w:lang w:val="uk-UA"/>
        </w:rPr>
      </w:pPr>
      <w:r>
        <w:rPr>
          <w:sz w:val="28"/>
          <w:szCs w:val="28"/>
          <w:lang w:val="uk-UA"/>
        </w:rPr>
        <w:t>Таблиця</w:t>
      </w:r>
      <w:r w:rsidR="00E324D2">
        <w:rPr>
          <w:sz w:val="28"/>
          <w:szCs w:val="28"/>
          <w:lang w:val="uk-UA"/>
        </w:rPr>
        <w:t xml:space="preserve"> </w:t>
      </w:r>
      <w:r>
        <w:rPr>
          <w:sz w:val="28"/>
          <w:szCs w:val="28"/>
          <w:lang w:val="uk-UA"/>
        </w:rPr>
        <w:t>6.7</w:t>
      </w:r>
    </w:p>
    <w:p w:rsidR="00E3259F" w:rsidRDefault="00E3259F" w:rsidP="00E3259F">
      <w:pPr>
        <w:spacing w:line="360" w:lineRule="auto"/>
        <w:ind w:firstLine="709"/>
        <w:jc w:val="center"/>
        <w:rPr>
          <w:sz w:val="28"/>
          <w:szCs w:val="28"/>
          <w:lang w:val="uk-UA"/>
        </w:rPr>
      </w:pPr>
      <w:r>
        <w:rPr>
          <w:sz w:val="28"/>
          <w:szCs w:val="28"/>
          <w:lang w:val="uk-UA"/>
        </w:rPr>
        <w:t>Порівняльна характеристика показників оксидативного стресу в залежності від відносної довжини теломер, (</w:t>
      </w:r>
      <w:r>
        <w:rPr>
          <w:sz w:val="28"/>
          <w:szCs w:val="28"/>
          <w:lang w:val="en-US"/>
        </w:rPr>
        <w:t>M</w:t>
      </w:r>
      <w:r>
        <w:rPr>
          <w:sz w:val="28"/>
          <w:szCs w:val="28"/>
          <w:lang w:val="uk-UA"/>
        </w:rPr>
        <w:t>±</w:t>
      </w:r>
      <w:r>
        <w:rPr>
          <w:sz w:val="28"/>
          <w:szCs w:val="28"/>
          <w:lang w:val="en-US"/>
        </w:rPr>
        <w:t>m</w:t>
      </w:r>
      <w:r>
        <w:rPr>
          <w:sz w:val="28"/>
          <w:szCs w:val="28"/>
          <w:lang w:val="uk-UA"/>
        </w:rPr>
        <w:t xml:space="preserve">) </w:t>
      </w:r>
    </w:p>
    <w:tbl>
      <w:tblPr>
        <w:tblW w:w="0" w:type="auto"/>
        <w:tblLook w:val="04A0" w:firstRow="1" w:lastRow="0" w:firstColumn="1" w:lastColumn="0" w:noHBand="0" w:noVBand="1"/>
      </w:tblPr>
      <w:tblGrid>
        <w:gridCol w:w="2093"/>
        <w:gridCol w:w="1843"/>
        <w:gridCol w:w="1770"/>
        <w:gridCol w:w="1995"/>
        <w:gridCol w:w="1770"/>
      </w:tblGrid>
      <w:tr w:rsidR="00E3259F" w:rsidRPr="00E324D2" w:rsidTr="00E3259F">
        <w:tc>
          <w:tcPr>
            <w:tcW w:w="2093" w:type="dxa"/>
            <w:vMerge w:val="restart"/>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Показник</w:t>
            </w:r>
          </w:p>
        </w:tc>
        <w:tc>
          <w:tcPr>
            <w:tcW w:w="3613" w:type="dxa"/>
            <w:gridSpan w:val="2"/>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jc w:val="center"/>
              <w:rPr>
                <w:sz w:val="28"/>
                <w:szCs w:val="28"/>
                <w:lang w:val="uk-UA" w:eastAsia="en-US"/>
              </w:rPr>
            </w:pPr>
            <w:r w:rsidRPr="00E324D2">
              <w:rPr>
                <w:sz w:val="28"/>
                <w:szCs w:val="28"/>
                <w:lang w:val="uk-UA" w:eastAsia="en-US"/>
              </w:rPr>
              <w:t>ВДТ крові</w:t>
            </w:r>
          </w:p>
        </w:tc>
        <w:tc>
          <w:tcPr>
            <w:tcW w:w="3765" w:type="dxa"/>
            <w:gridSpan w:val="2"/>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jc w:val="center"/>
              <w:rPr>
                <w:sz w:val="28"/>
                <w:szCs w:val="28"/>
                <w:lang w:val="uk-UA" w:eastAsia="en-US"/>
              </w:rPr>
            </w:pPr>
            <w:r w:rsidRPr="00E324D2">
              <w:rPr>
                <w:sz w:val="28"/>
                <w:szCs w:val="28"/>
                <w:lang w:val="uk-UA" w:eastAsia="en-US"/>
              </w:rPr>
              <w:t>ВДТ кліт.бук.епіт.</w:t>
            </w:r>
          </w:p>
        </w:tc>
      </w:tr>
      <w:tr w:rsidR="00E3259F" w:rsidRPr="00E324D2" w:rsidTr="00E3259F">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324D2" w:rsidRDefault="00E3259F">
            <w:pPr>
              <w:rPr>
                <w:sz w:val="28"/>
                <w:szCs w:val="28"/>
                <w:lang w:val="uk-UA" w:eastAsia="en-US"/>
              </w:rPr>
            </w:pP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Коротка ВДТ (1 та 2 квартиль)</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Довга ВДТ ( 3 та 4 квартиль)</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Коротка ВДТ (1 та 2 квартиль)</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 xml:space="preserve">Довга ВДТ </w:t>
            </w:r>
          </w:p>
          <w:p w:rsidR="00E3259F" w:rsidRPr="00E324D2" w:rsidRDefault="00E3259F">
            <w:pPr>
              <w:spacing w:line="276" w:lineRule="auto"/>
              <w:rPr>
                <w:sz w:val="28"/>
                <w:szCs w:val="28"/>
                <w:lang w:val="uk-UA" w:eastAsia="en-US"/>
              </w:rPr>
            </w:pPr>
            <w:r w:rsidRPr="00E324D2">
              <w:rPr>
                <w:sz w:val="28"/>
                <w:szCs w:val="28"/>
                <w:lang w:val="uk-UA" w:eastAsia="en-US"/>
              </w:rPr>
              <w:t>( 3 та 4 квартиль)</w:t>
            </w:r>
          </w:p>
        </w:tc>
      </w:tr>
      <w:tr w:rsidR="00E3259F" w:rsidRPr="00E324D2" w:rsidTr="00E3259F">
        <w:tc>
          <w:tcPr>
            <w:tcW w:w="9471" w:type="dxa"/>
            <w:gridSpan w:val="5"/>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2 група</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8-OH-dG,</w:t>
            </w:r>
            <w:r w:rsidRPr="00E324D2">
              <w:rPr>
                <w:sz w:val="28"/>
                <w:szCs w:val="28"/>
                <w:shd w:val="clear" w:color="auto" w:fill="FFFFFF"/>
                <w:lang w:val="uk-UA" w:eastAsia="en-US"/>
              </w:rPr>
              <w:t xml:space="preserve"> пкг/мл</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15,93±</w:t>
            </w:r>
            <w:r w:rsidRPr="00E324D2">
              <w:rPr>
                <w:sz w:val="28"/>
                <w:szCs w:val="28"/>
                <w:lang w:val="uk-UA" w:eastAsia="en-US"/>
              </w:rPr>
              <w:t>0</w:t>
            </w:r>
            <w:r w:rsidRPr="00E324D2">
              <w:rPr>
                <w:sz w:val="28"/>
                <w:szCs w:val="28"/>
                <w:lang w:eastAsia="en-US"/>
              </w:rPr>
              <w:t>,67</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14,67±</w:t>
            </w:r>
            <w:r w:rsidRPr="00E324D2">
              <w:rPr>
                <w:sz w:val="28"/>
                <w:szCs w:val="28"/>
                <w:lang w:val="uk-UA" w:eastAsia="en-US"/>
              </w:rPr>
              <w:t>0</w:t>
            </w:r>
            <w:r w:rsidRPr="00E324D2">
              <w:rPr>
                <w:sz w:val="28"/>
                <w:szCs w:val="28"/>
                <w:lang w:eastAsia="en-US"/>
              </w:rPr>
              <w:t>,5</w:t>
            </w:r>
            <w:r w:rsidRPr="00E324D2">
              <w:rPr>
                <w:sz w:val="28"/>
                <w:szCs w:val="28"/>
                <w:lang w:val="uk-UA" w:eastAsia="en-US"/>
              </w:rPr>
              <w:t>8</w:t>
            </w:r>
          </w:p>
          <w:p w:rsidR="00E3259F" w:rsidRPr="00E324D2" w:rsidRDefault="00E3259F">
            <w:pPr>
              <w:spacing w:line="276" w:lineRule="auto"/>
              <w:rPr>
                <w:sz w:val="28"/>
                <w:szCs w:val="28"/>
                <w:lang w:val="uk-UA" w:eastAsia="en-US"/>
              </w:rPr>
            </w:pPr>
            <w:r w:rsidRPr="00E324D2">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16,3</w:t>
            </w:r>
            <w:r w:rsidRPr="00E324D2">
              <w:rPr>
                <w:sz w:val="28"/>
                <w:szCs w:val="28"/>
                <w:lang w:val="uk-UA" w:eastAsia="en-US"/>
              </w:rPr>
              <w:t>4</w:t>
            </w:r>
            <w:r w:rsidRPr="00E324D2">
              <w:rPr>
                <w:sz w:val="28"/>
                <w:szCs w:val="28"/>
                <w:lang w:eastAsia="en-US"/>
              </w:rPr>
              <w:t>±</w:t>
            </w:r>
            <w:r w:rsidRPr="00E324D2">
              <w:rPr>
                <w:sz w:val="28"/>
                <w:szCs w:val="28"/>
                <w:lang w:val="uk-UA" w:eastAsia="en-US"/>
              </w:rPr>
              <w:t>0</w:t>
            </w:r>
            <w:r w:rsidRPr="00E324D2">
              <w:rPr>
                <w:sz w:val="28"/>
                <w:szCs w:val="28"/>
                <w:lang w:eastAsia="en-US"/>
              </w:rPr>
              <w:t>,51</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13,8</w:t>
            </w:r>
            <w:r w:rsidRPr="00E324D2">
              <w:rPr>
                <w:sz w:val="28"/>
                <w:szCs w:val="28"/>
                <w:lang w:val="uk-UA" w:eastAsia="en-US"/>
              </w:rPr>
              <w:t>2</w:t>
            </w:r>
            <w:r w:rsidRPr="00E324D2">
              <w:rPr>
                <w:sz w:val="28"/>
                <w:szCs w:val="28"/>
                <w:lang w:eastAsia="en-US"/>
              </w:rPr>
              <w:t>±</w:t>
            </w:r>
            <w:r w:rsidRPr="00E324D2">
              <w:rPr>
                <w:sz w:val="28"/>
                <w:szCs w:val="28"/>
                <w:lang w:val="uk-UA" w:eastAsia="en-US"/>
              </w:rPr>
              <w:t>0</w:t>
            </w:r>
            <w:r w:rsidRPr="00E324D2">
              <w:rPr>
                <w:sz w:val="28"/>
                <w:szCs w:val="28"/>
                <w:lang w:eastAsia="en-US"/>
              </w:rPr>
              <w:t>,46</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,001</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rStyle w:val="tlid-translation"/>
                <w:rFonts w:eastAsiaTheme="majorEastAsia"/>
                <w:sz w:val="28"/>
                <w:szCs w:val="28"/>
                <w:lang w:val="uk-UA" w:eastAsia="en-US"/>
              </w:rPr>
              <w:t>МДА,</w:t>
            </w:r>
            <w:r w:rsidRPr="00E324D2">
              <w:rPr>
                <w:sz w:val="28"/>
                <w:szCs w:val="28"/>
                <w:lang w:val="uk-UA" w:eastAsia="en-US"/>
              </w:rPr>
              <w:t xml:space="preserve"> мкмоль/л</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6,40±</w:t>
            </w:r>
            <w:r w:rsidRPr="00E324D2">
              <w:rPr>
                <w:sz w:val="28"/>
                <w:szCs w:val="28"/>
                <w:lang w:val="uk-UA" w:eastAsia="en-US"/>
              </w:rPr>
              <w:t>0</w:t>
            </w:r>
            <w:r w:rsidRPr="00E324D2">
              <w:rPr>
                <w:sz w:val="28"/>
                <w:szCs w:val="28"/>
                <w:lang w:eastAsia="en-US"/>
              </w:rPr>
              <w:t>,17</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6,56±</w:t>
            </w:r>
            <w:r w:rsidRPr="00E324D2">
              <w:rPr>
                <w:sz w:val="28"/>
                <w:szCs w:val="28"/>
                <w:lang w:val="uk-UA" w:eastAsia="en-US"/>
              </w:rPr>
              <w:t>0</w:t>
            </w:r>
            <w:r w:rsidRPr="00E324D2">
              <w:rPr>
                <w:sz w:val="28"/>
                <w:szCs w:val="28"/>
                <w:lang w:eastAsia="en-US"/>
              </w:rPr>
              <w:t>,2</w:t>
            </w:r>
            <w:r w:rsidRPr="00E324D2">
              <w:rPr>
                <w:sz w:val="28"/>
                <w:szCs w:val="28"/>
                <w:lang w:val="uk-UA" w:eastAsia="en-US"/>
              </w:rPr>
              <w:t>3</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,018</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5,9</w:t>
            </w:r>
            <w:r w:rsidRPr="00E324D2">
              <w:rPr>
                <w:sz w:val="28"/>
                <w:szCs w:val="28"/>
                <w:lang w:val="uk-UA" w:eastAsia="en-US"/>
              </w:rPr>
              <w:t>7</w:t>
            </w:r>
            <w:r w:rsidRPr="00E324D2">
              <w:rPr>
                <w:sz w:val="28"/>
                <w:szCs w:val="28"/>
                <w:lang w:eastAsia="en-US"/>
              </w:rPr>
              <w:t>±</w:t>
            </w:r>
            <w:r w:rsidRPr="00E324D2">
              <w:rPr>
                <w:sz w:val="28"/>
                <w:szCs w:val="28"/>
                <w:lang w:val="uk-UA" w:eastAsia="en-US"/>
              </w:rPr>
              <w:t>0</w:t>
            </w:r>
            <w:r w:rsidRPr="00E324D2">
              <w:rPr>
                <w:sz w:val="28"/>
                <w:szCs w:val="28"/>
                <w:lang w:eastAsia="en-US"/>
              </w:rPr>
              <w:t>,2</w:t>
            </w:r>
            <w:r w:rsidRPr="00E324D2">
              <w:rPr>
                <w:sz w:val="28"/>
                <w:szCs w:val="28"/>
                <w:lang w:val="uk-UA" w:eastAsia="en-US"/>
              </w:rPr>
              <w:t>2</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6,9</w:t>
            </w:r>
            <w:r w:rsidRPr="00E324D2">
              <w:rPr>
                <w:sz w:val="28"/>
                <w:szCs w:val="28"/>
                <w:lang w:val="uk-UA" w:eastAsia="en-US"/>
              </w:rPr>
              <w:t>5</w:t>
            </w:r>
            <w:r w:rsidRPr="00E324D2">
              <w:rPr>
                <w:sz w:val="28"/>
                <w:szCs w:val="28"/>
                <w:lang w:eastAsia="en-US"/>
              </w:rPr>
              <w:t>±</w:t>
            </w:r>
            <w:r w:rsidRPr="00E324D2">
              <w:rPr>
                <w:sz w:val="28"/>
                <w:szCs w:val="28"/>
                <w:lang w:val="uk-UA" w:eastAsia="en-US"/>
              </w:rPr>
              <w:t>0</w:t>
            </w:r>
            <w:r w:rsidRPr="00E324D2">
              <w:rPr>
                <w:sz w:val="28"/>
                <w:szCs w:val="28"/>
                <w:lang w:eastAsia="en-US"/>
              </w:rPr>
              <w:t>,37</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,027</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rStyle w:val="tlid-translation"/>
                <w:rFonts w:eastAsiaTheme="majorEastAsia"/>
                <w:sz w:val="28"/>
                <w:szCs w:val="28"/>
                <w:lang w:val="uk-UA" w:eastAsia="en-US"/>
              </w:rPr>
              <w:t>ГПО,</w:t>
            </w:r>
            <w:r w:rsidRPr="00E324D2">
              <w:rPr>
                <w:sz w:val="28"/>
                <w:szCs w:val="28"/>
                <w:lang w:val="uk-UA" w:eastAsia="en-US"/>
              </w:rPr>
              <w:t xml:space="preserve"> мккат/гНв</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w:t>
            </w:r>
            <w:r w:rsidRPr="00E324D2">
              <w:rPr>
                <w:sz w:val="28"/>
                <w:szCs w:val="28"/>
                <w:lang w:val="uk-UA" w:eastAsia="en-US"/>
              </w:rPr>
              <w:t>30</w:t>
            </w:r>
            <w:r w:rsidRPr="00E324D2">
              <w:rPr>
                <w:sz w:val="28"/>
                <w:szCs w:val="28"/>
                <w:lang w:eastAsia="en-US"/>
              </w:rPr>
              <w:t>±</w:t>
            </w:r>
            <w:r w:rsidRPr="00E324D2">
              <w:rPr>
                <w:sz w:val="28"/>
                <w:szCs w:val="28"/>
                <w:lang w:val="uk-UA" w:eastAsia="en-US"/>
              </w:rPr>
              <w:t>0</w:t>
            </w:r>
            <w:r w:rsidRPr="00E324D2">
              <w:rPr>
                <w:sz w:val="28"/>
                <w:szCs w:val="28"/>
                <w:lang w:eastAsia="en-US"/>
              </w:rPr>
              <w:t>,1</w:t>
            </w:r>
            <w:r w:rsidRPr="00E324D2">
              <w:rPr>
                <w:sz w:val="28"/>
                <w:szCs w:val="28"/>
                <w:lang w:val="uk-UA" w:eastAsia="en-US"/>
              </w:rPr>
              <w:t>7</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5,53±</w:t>
            </w:r>
            <w:r w:rsidRPr="00E324D2">
              <w:rPr>
                <w:sz w:val="28"/>
                <w:szCs w:val="28"/>
                <w:lang w:val="uk-UA" w:eastAsia="en-US"/>
              </w:rPr>
              <w:t>0</w:t>
            </w:r>
            <w:r w:rsidRPr="00E324D2">
              <w:rPr>
                <w:sz w:val="28"/>
                <w:szCs w:val="28"/>
                <w:lang w:eastAsia="en-US"/>
              </w:rPr>
              <w:t>,14</w:t>
            </w:r>
          </w:p>
          <w:p w:rsidR="00E3259F" w:rsidRPr="00E324D2" w:rsidRDefault="00E3259F">
            <w:pPr>
              <w:spacing w:line="276" w:lineRule="auto"/>
              <w:rPr>
                <w:sz w:val="28"/>
                <w:szCs w:val="28"/>
                <w:lang w:val="uk-UA" w:eastAsia="en-US"/>
              </w:rPr>
            </w:pPr>
            <w:r w:rsidRPr="00E324D2">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5,4</w:t>
            </w:r>
            <w:r w:rsidRPr="00E324D2">
              <w:rPr>
                <w:sz w:val="28"/>
                <w:szCs w:val="28"/>
                <w:lang w:val="uk-UA" w:eastAsia="en-US"/>
              </w:rPr>
              <w:t>1</w:t>
            </w:r>
            <w:r w:rsidRPr="00E324D2">
              <w:rPr>
                <w:sz w:val="28"/>
                <w:szCs w:val="28"/>
                <w:lang w:eastAsia="en-US"/>
              </w:rPr>
              <w:t>±</w:t>
            </w:r>
            <w:r w:rsidRPr="00E324D2">
              <w:rPr>
                <w:sz w:val="28"/>
                <w:szCs w:val="28"/>
                <w:lang w:val="uk-UA" w:eastAsia="en-US"/>
              </w:rPr>
              <w:t>0</w:t>
            </w:r>
            <w:r w:rsidRPr="00E324D2">
              <w:rPr>
                <w:sz w:val="28"/>
                <w:szCs w:val="28"/>
                <w:lang w:eastAsia="en-US"/>
              </w:rPr>
              <w:t>,2</w:t>
            </w:r>
            <w:r w:rsidRPr="00E324D2">
              <w:rPr>
                <w:sz w:val="28"/>
                <w:szCs w:val="28"/>
                <w:lang w:val="uk-UA" w:eastAsia="en-US"/>
              </w:rPr>
              <w:t>5</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6,20±</w:t>
            </w:r>
            <w:r w:rsidRPr="00E324D2">
              <w:rPr>
                <w:sz w:val="28"/>
                <w:szCs w:val="28"/>
                <w:lang w:val="uk-UA" w:eastAsia="en-US"/>
              </w:rPr>
              <w:t>0</w:t>
            </w:r>
            <w:r w:rsidRPr="00E324D2">
              <w:rPr>
                <w:sz w:val="28"/>
                <w:szCs w:val="28"/>
                <w:lang w:eastAsia="en-US"/>
              </w:rPr>
              <w:t>,17</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,009</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rStyle w:val="tlid-translation"/>
                <w:rFonts w:eastAsiaTheme="majorEastAsia"/>
                <w:sz w:val="28"/>
                <w:szCs w:val="28"/>
                <w:lang w:val="en-US" w:eastAsia="en-US"/>
              </w:rPr>
              <w:t>SH-</w:t>
            </w:r>
            <w:r w:rsidRPr="00E324D2">
              <w:rPr>
                <w:rStyle w:val="tlid-translation"/>
                <w:rFonts w:eastAsiaTheme="majorEastAsia"/>
                <w:sz w:val="28"/>
                <w:szCs w:val="28"/>
                <w:lang w:val="uk-UA" w:eastAsia="en-US"/>
              </w:rPr>
              <w:t>групи,</w:t>
            </w:r>
            <w:r w:rsidRPr="00E324D2">
              <w:rPr>
                <w:sz w:val="28"/>
                <w:szCs w:val="28"/>
                <w:lang w:val="uk-UA" w:eastAsia="en-US"/>
              </w:rPr>
              <w:t xml:space="preserve"> мкмоль/л</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575,6</w:t>
            </w:r>
            <w:r w:rsidRPr="00E324D2">
              <w:rPr>
                <w:sz w:val="28"/>
                <w:szCs w:val="28"/>
                <w:lang w:val="uk-UA" w:eastAsia="en-US"/>
              </w:rPr>
              <w:t>9</w:t>
            </w:r>
            <w:r w:rsidRPr="00E324D2">
              <w:rPr>
                <w:sz w:val="28"/>
                <w:szCs w:val="28"/>
                <w:lang w:eastAsia="en-US"/>
              </w:rPr>
              <w:t>±9,20</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612,7</w:t>
            </w:r>
            <w:r w:rsidRPr="00E324D2">
              <w:rPr>
                <w:sz w:val="28"/>
                <w:szCs w:val="28"/>
                <w:lang w:val="uk-UA" w:eastAsia="en-US"/>
              </w:rPr>
              <w:t>1</w:t>
            </w:r>
            <w:r w:rsidRPr="00E324D2">
              <w:rPr>
                <w:sz w:val="28"/>
                <w:szCs w:val="28"/>
                <w:lang w:eastAsia="en-US"/>
              </w:rPr>
              <w:t>±17,46</w:t>
            </w:r>
          </w:p>
          <w:p w:rsidR="00E3259F" w:rsidRPr="00E324D2" w:rsidRDefault="00E3259F">
            <w:pPr>
              <w:spacing w:line="276" w:lineRule="auto"/>
              <w:rPr>
                <w:sz w:val="28"/>
                <w:szCs w:val="28"/>
                <w:lang w:val="uk-UA" w:eastAsia="en-US"/>
              </w:rPr>
            </w:pPr>
            <w:r w:rsidRPr="00E324D2">
              <w:rPr>
                <w:sz w:val="28"/>
                <w:szCs w:val="28"/>
                <w:lang w:val="uk-UA" w:eastAsia="en-US"/>
              </w:rPr>
              <w:t>р=0,046</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553,8</w:t>
            </w:r>
            <w:r w:rsidRPr="00E324D2">
              <w:rPr>
                <w:sz w:val="28"/>
                <w:szCs w:val="28"/>
                <w:lang w:val="uk-UA" w:eastAsia="en-US"/>
              </w:rPr>
              <w:t>2</w:t>
            </w:r>
            <w:r w:rsidRPr="00E324D2">
              <w:rPr>
                <w:sz w:val="28"/>
                <w:szCs w:val="28"/>
                <w:lang w:eastAsia="en-US"/>
              </w:rPr>
              <w:t>±9,0</w:t>
            </w:r>
            <w:r w:rsidRPr="00E324D2">
              <w:rPr>
                <w:sz w:val="28"/>
                <w:szCs w:val="28"/>
                <w:lang w:val="uk-UA" w:eastAsia="en-US"/>
              </w:rPr>
              <w:t>9</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586,43±12,0</w:t>
            </w:r>
            <w:r w:rsidRPr="00E324D2">
              <w:rPr>
                <w:sz w:val="28"/>
                <w:szCs w:val="28"/>
                <w:lang w:val="uk-UA" w:eastAsia="en-US"/>
              </w:rPr>
              <w:t>4</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,032</w:t>
            </w:r>
          </w:p>
        </w:tc>
      </w:tr>
      <w:tr w:rsidR="00E3259F" w:rsidRPr="00E324D2" w:rsidTr="00E3259F">
        <w:tc>
          <w:tcPr>
            <w:tcW w:w="9471" w:type="dxa"/>
            <w:gridSpan w:val="5"/>
            <w:tcBorders>
              <w:top w:val="single" w:sz="4" w:space="0" w:color="auto"/>
              <w:left w:val="single" w:sz="4" w:space="0" w:color="auto"/>
              <w:bottom w:val="single" w:sz="4" w:space="0" w:color="auto"/>
              <w:right w:val="single" w:sz="4" w:space="0" w:color="auto"/>
            </w:tcBorders>
          </w:tcPr>
          <w:p w:rsidR="00E3259F" w:rsidRPr="00E324D2" w:rsidRDefault="00E3259F" w:rsidP="00E324D2">
            <w:pPr>
              <w:spacing w:line="360" w:lineRule="auto"/>
              <w:jc w:val="both"/>
              <w:rPr>
                <w:sz w:val="28"/>
                <w:szCs w:val="28"/>
                <w:lang w:val="uk-UA" w:eastAsia="en-US"/>
              </w:rPr>
            </w:pPr>
            <w:r w:rsidRPr="00E324D2">
              <w:rPr>
                <w:sz w:val="28"/>
                <w:szCs w:val="28"/>
                <w:lang w:val="uk-UA" w:eastAsia="en-US"/>
              </w:rPr>
              <w:t>3 група</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val="uk-UA" w:eastAsia="en-US"/>
              </w:rPr>
              <w:t>8-OH-dG,</w:t>
            </w:r>
            <w:r w:rsidRPr="00E324D2">
              <w:rPr>
                <w:sz w:val="28"/>
                <w:szCs w:val="28"/>
                <w:shd w:val="clear" w:color="auto" w:fill="FFFFFF"/>
                <w:lang w:val="uk-UA" w:eastAsia="en-US"/>
              </w:rPr>
              <w:t xml:space="preserve"> пкг/мл</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15,39±</w:t>
            </w:r>
            <w:r w:rsidRPr="00E324D2">
              <w:rPr>
                <w:sz w:val="28"/>
                <w:szCs w:val="28"/>
                <w:lang w:val="uk-UA" w:eastAsia="en-US"/>
              </w:rPr>
              <w:t>0</w:t>
            </w:r>
            <w:r w:rsidRPr="00E324D2">
              <w:rPr>
                <w:sz w:val="28"/>
                <w:szCs w:val="28"/>
                <w:lang w:eastAsia="en-US"/>
              </w:rPr>
              <w:t>,74</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14,4</w:t>
            </w:r>
            <w:r w:rsidRPr="00E324D2">
              <w:rPr>
                <w:sz w:val="28"/>
                <w:szCs w:val="28"/>
                <w:lang w:val="uk-UA" w:eastAsia="en-US"/>
              </w:rPr>
              <w:t>5</w:t>
            </w:r>
            <w:r w:rsidRPr="00E324D2">
              <w:rPr>
                <w:sz w:val="28"/>
                <w:szCs w:val="28"/>
                <w:lang w:eastAsia="en-US"/>
              </w:rPr>
              <w:t>±</w:t>
            </w:r>
            <w:r w:rsidRPr="00E324D2">
              <w:rPr>
                <w:sz w:val="28"/>
                <w:szCs w:val="28"/>
                <w:lang w:val="uk-UA" w:eastAsia="en-US"/>
              </w:rPr>
              <w:t>0</w:t>
            </w:r>
            <w:r w:rsidRPr="00E324D2">
              <w:rPr>
                <w:sz w:val="28"/>
                <w:szCs w:val="28"/>
                <w:lang w:eastAsia="en-US"/>
              </w:rPr>
              <w:t>,74</w:t>
            </w:r>
          </w:p>
          <w:p w:rsidR="00E3259F" w:rsidRPr="00E324D2" w:rsidRDefault="00E3259F">
            <w:pPr>
              <w:spacing w:line="276" w:lineRule="auto"/>
              <w:rPr>
                <w:sz w:val="28"/>
                <w:szCs w:val="28"/>
                <w:lang w:val="uk-UA" w:eastAsia="en-US"/>
              </w:rPr>
            </w:pPr>
            <w:r w:rsidRPr="00E324D2">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15,0</w:t>
            </w:r>
            <w:r w:rsidRPr="00E324D2">
              <w:rPr>
                <w:sz w:val="28"/>
                <w:szCs w:val="28"/>
                <w:lang w:val="uk-UA" w:eastAsia="en-US"/>
              </w:rPr>
              <w:t>1</w:t>
            </w:r>
            <w:r w:rsidRPr="00E324D2">
              <w:rPr>
                <w:sz w:val="28"/>
                <w:szCs w:val="28"/>
                <w:lang w:eastAsia="en-US"/>
              </w:rPr>
              <w:t>±</w:t>
            </w:r>
            <w:r w:rsidRPr="00E324D2">
              <w:rPr>
                <w:sz w:val="28"/>
                <w:szCs w:val="28"/>
                <w:lang w:val="uk-UA" w:eastAsia="en-US"/>
              </w:rPr>
              <w:t>0</w:t>
            </w:r>
            <w:r w:rsidRPr="00E324D2">
              <w:rPr>
                <w:sz w:val="28"/>
                <w:szCs w:val="28"/>
                <w:lang w:eastAsia="en-US"/>
              </w:rPr>
              <w:t>,64</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13,1</w:t>
            </w:r>
            <w:r w:rsidRPr="00E324D2">
              <w:rPr>
                <w:sz w:val="28"/>
                <w:szCs w:val="28"/>
                <w:lang w:val="uk-UA" w:eastAsia="en-US"/>
              </w:rPr>
              <w:t>8</w:t>
            </w:r>
            <w:r w:rsidRPr="00E324D2">
              <w:rPr>
                <w:sz w:val="28"/>
                <w:szCs w:val="28"/>
                <w:lang w:eastAsia="en-US"/>
              </w:rPr>
              <w:t>±</w:t>
            </w:r>
            <w:r w:rsidRPr="00E324D2">
              <w:rPr>
                <w:sz w:val="28"/>
                <w:szCs w:val="28"/>
                <w:lang w:val="uk-UA" w:eastAsia="en-US"/>
              </w:rPr>
              <w:t>0</w:t>
            </w:r>
            <w:r w:rsidRPr="00E324D2">
              <w:rPr>
                <w:sz w:val="28"/>
                <w:szCs w:val="28"/>
                <w:lang w:eastAsia="en-US"/>
              </w:rPr>
              <w:t>,7</w:t>
            </w:r>
            <w:r w:rsidRPr="00E324D2">
              <w:rPr>
                <w:sz w:val="28"/>
                <w:szCs w:val="28"/>
                <w:lang w:val="uk-UA" w:eastAsia="en-US"/>
              </w:rPr>
              <w:t>8</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,033</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rStyle w:val="tlid-translation"/>
                <w:rFonts w:eastAsiaTheme="majorEastAsia"/>
                <w:sz w:val="28"/>
                <w:szCs w:val="28"/>
                <w:lang w:val="uk-UA" w:eastAsia="en-US"/>
              </w:rPr>
              <w:t>МДА,</w:t>
            </w:r>
            <w:r w:rsidRPr="00E324D2">
              <w:rPr>
                <w:sz w:val="28"/>
                <w:szCs w:val="28"/>
                <w:lang w:val="uk-UA" w:eastAsia="en-US"/>
              </w:rPr>
              <w:t xml:space="preserve"> мкмоль/л</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5,3</w:t>
            </w:r>
            <w:r w:rsidRPr="00E324D2">
              <w:rPr>
                <w:sz w:val="28"/>
                <w:szCs w:val="28"/>
                <w:lang w:val="uk-UA" w:eastAsia="en-US"/>
              </w:rPr>
              <w:t>3</w:t>
            </w:r>
            <w:r w:rsidRPr="00E324D2">
              <w:rPr>
                <w:sz w:val="28"/>
                <w:szCs w:val="28"/>
                <w:lang w:eastAsia="en-US"/>
              </w:rPr>
              <w:t>±</w:t>
            </w:r>
            <w:r w:rsidRPr="00E324D2">
              <w:rPr>
                <w:sz w:val="28"/>
                <w:szCs w:val="28"/>
                <w:lang w:val="uk-UA" w:eastAsia="en-US"/>
              </w:rPr>
              <w:t>0</w:t>
            </w:r>
            <w:r w:rsidRPr="00E324D2">
              <w:rPr>
                <w:sz w:val="28"/>
                <w:szCs w:val="28"/>
                <w:lang w:eastAsia="en-US"/>
              </w:rPr>
              <w:t>,18</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4,66±</w:t>
            </w:r>
            <w:r w:rsidRPr="00E324D2">
              <w:rPr>
                <w:sz w:val="28"/>
                <w:szCs w:val="28"/>
                <w:lang w:val="uk-UA" w:eastAsia="en-US"/>
              </w:rPr>
              <w:t>0</w:t>
            </w:r>
            <w:r w:rsidRPr="00E324D2">
              <w:rPr>
                <w:sz w:val="28"/>
                <w:szCs w:val="28"/>
                <w:lang w:eastAsia="en-US"/>
              </w:rPr>
              <w:t>,26</w:t>
            </w:r>
          </w:p>
          <w:p w:rsidR="00E3259F" w:rsidRPr="00E324D2" w:rsidRDefault="00E3259F">
            <w:pPr>
              <w:spacing w:line="276" w:lineRule="auto"/>
              <w:rPr>
                <w:sz w:val="28"/>
                <w:szCs w:val="28"/>
                <w:lang w:val="uk-UA" w:eastAsia="en-US"/>
              </w:rPr>
            </w:pPr>
            <w:r w:rsidRPr="00E324D2">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7,0</w:t>
            </w:r>
            <w:r w:rsidRPr="00E324D2">
              <w:rPr>
                <w:sz w:val="28"/>
                <w:szCs w:val="28"/>
                <w:lang w:val="uk-UA" w:eastAsia="en-US"/>
              </w:rPr>
              <w:t>6</w:t>
            </w:r>
            <w:r w:rsidRPr="00E324D2">
              <w:rPr>
                <w:sz w:val="28"/>
                <w:szCs w:val="28"/>
                <w:lang w:eastAsia="en-US"/>
              </w:rPr>
              <w:t>±</w:t>
            </w:r>
            <w:r w:rsidRPr="00E324D2">
              <w:rPr>
                <w:sz w:val="28"/>
                <w:szCs w:val="28"/>
                <w:lang w:val="uk-UA" w:eastAsia="en-US"/>
              </w:rPr>
              <w:t>0</w:t>
            </w:r>
            <w:r w:rsidRPr="00E324D2">
              <w:rPr>
                <w:sz w:val="28"/>
                <w:szCs w:val="28"/>
                <w:lang w:eastAsia="en-US"/>
              </w:rPr>
              <w:t>,36</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6,61±</w:t>
            </w:r>
            <w:r w:rsidRPr="00E324D2">
              <w:rPr>
                <w:sz w:val="28"/>
                <w:szCs w:val="28"/>
                <w:lang w:val="uk-UA" w:eastAsia="en-US"/>
              </w:rPr>
              <w:t>0</w:t>
            </w:r>
            <w:r w:rsidRPr="00E324D2">
              <w:rPr>
                <w:sz w:val="28"/>
                <w:szCs w:val="28"/>
                <w:lang w:eastAsia="en-US"/>
              </w:rPr>
              <w:t>,2</w:t>
            </w:r>
            <w:r w:rsidRPr="00E324D2">
              <w:rPr>
                <w:sz w:val="28"/>
                <w:szCs w:val="28"/>
                <w:lang w:val="uk-UA" w:eastAsia="en-US"/>
              </w:rPr>
              <w:t>2</w:t>
            </w:r>
          </w:p>
          <w:p w:rsidR="00E3259F" w:rsidRPr="00E324D2" w:rsidRDefault="00E3259F">
            <w:pPr>
              <w:spacing w:line="276" w:lineRule="auto"/>
              <w:rPr>
                <w:sz w:val="28"/>
                <w:szCs w:val="28"/>
                <w:lang w:val="uk-UA" w:eastAsia="en-US"/>
              </w:rPr>
            </w:pPr>
            <w:r w:rsidRPr="00E324D2">
              <w:rPr>
                <w:sz w:val="28"/>
                <w:szCs w:val="28"/>
                <w:lang w:val="uk-UA" w:eastAsia="en-US"/>
              </w:rPr>
              <w:t>р=0</w:t>
            </w:r>
            <w:r w:rsidRPr="00E324D2">
              <w:rPr>
                <w:sz w:val="28"/>
                <w:szCs w:val="28"/>
                <w:lang w:eastAsia="en-US"/>
              </w:rPr>
              <w:t>,028</w:t>
            </w:r>
          </w:p>
        </w:tc>
      </w:tr>
    </w:tbl>
    <w:p w:rsidR="00E00CAF" w:rsidRDefault="00E00CAF" w:rsidP="00E00CAF">
      <w:pPr>
        <w:jc w:val="right"/>
        <w:rPr>
          <w:lang w:val="uk-UA"/>
        </w:rPr>
      </w:pPr>
      <w:r>
        <w:rPr>
          <w:i/>
          <w:spacing w:val="-2"/>
          <w:sz w:val="28"/>
          <w:szCs w:val="28"/>
        </w:rPr>
        <w:t xml:space="preserve">Продовження табл. </w:t>
      </w:r>
      <w:r>
        <w:rPr>
          <w:i/>
          <w:spacing w:val="-2"/>
          <w:sz w:val="28"/>
          <w:szCs w:val="28"/>
          <w:lang w:val="uk-UA"/>
        </w:rPr>
        <w:t>6</w:t>
      </w:r>
      <w:r>
        <w:rPr>
          <w:i/>
          <w:spacing w:val="-2"/>
          <w:sz w:val="28"/>
          <w:szCs w:val="28"/>
        </w:rPr>
        <w:t>.</w:t>
      </w:r>
      <w:r>
        <w:rPr>
          <w:i/>
          <w:spacing w:val="-2"/>
          <w:sz w:val="28"/>
          <w:szCs w:val="28"/>
          <w:lang w:val="uk-UA"/>
        </w:rPr>
        <w:t>7</w:t>
      </w:r>
    </w:p>
    <w:tbl>
      <w:tblPr>
        <w:tblW w:w="0" w:type="auto"/>
        <w:tblLook w:val="04A0" w:firstRow="1" w:lastRow="0" w:firstColumn="1" w:lastColumn="0" w:noHBand="0" w:noVBand="1"/>
      </w:tblPr>
      <w:tblGrid>
        <w:gridCol w:w="2093"/>
        <w:gridCol w:w="1843"/>
        <w:gridCol w:w="1770"/>
        <w:gridCol w:w="1995"/>
        <w:gridCol w:w="1770"/>
      </w:tblGrid>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rStyle w:val="tlid-translation"/>
                <w:rFonts w:eastAsiaTheme="majorEastAsia"/>
                <w:sz w:val="28"/>
                <w:szCs w:val="28"/>
                <w:lang w:val="uk-UA" w:eastAsia="en-US"/>
              </w:rPr>
              <w:t>ГПО,</w:t>
            </w:r>
            <w:r w:rsidRPr="00E324D2">
              <w:rPr>
                <w:sz w:val="28"/>
                <w:szCs w:val="28"/>
                <w:lang w:val="uk-UA" w:eastAsia="en-US"/>
              </w:rPr>
              <w:t xml:space="preserve"> мккат/гНв</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6,6</w:t>
            </w:r>
            <w:r w:rsidRPr="00E324D2">
              <w:rPr>
                <w:sz w:val="28"/>
                <w:szCs w:val="28"/>
                <w:lang w:val="uk-UA" w:eastAsia="en-US"/>
              </w:rPr>
              <w:t>5</w:t>
            </w:r>
            <w:r w:rsidRPr="00E324D2">
              <w:rPr>
                <w:sz w:val="28"/>
                <w:szCs w:val="28"/>
                <w:lang w:eastAsia="en-US"/>
              </w:rPr>
              <w:t>±</w:t>
            </w:r>
            <w:r w:rsidRPr="00E324D2">
              <w:rPr>
                <w:sz w:val="28"/>
                <w:szCs w:val="28"/>
                <w:lang w:val="uk-UA" w:eastAsia="en-US"/>
              </w:rPr>
              <w:t>0</w:t>
            </w:r>
            <w:r w:rsidRPr="00E324D2">
              <w:rPr>
                <w:sz w:val="28"/>
                <w:szCs w:val="28"/>
                <w:lang w:eastAsia="en-US"/>
              </w:rPr>
              <w:t>,21</w:t>
            </w:r>
          </w:p>
        </w:tc>
        <w:tc>
          <w:tcPr>
            <w:tcW w:w="1770" w:type="dxa"/>
            <w:tcBorders>
              <w:top w:val="single" w:sz="4" w:space="0" w:color="auto"/>
              <w:left w:val="single" w:sz="4" w:space="0" w:color="auto"/>
              <w:bottom w:val="single" w:sz="4" w:space="0" w:color="auto"/>
              <w:right w:val="single" w:sz="4" w:space="0" w:color="auto"/>
            </w:tcBorders>
          </w:tcPr>
          <w:p w:rsidR="00E3259F" w:rsidRPr="00E324D2" w:rsidRDefault="00E3259F">
            <w:pPr>
              <w:spacing w:line="360" w:lineRule="auto"/>
              <w:jc w:val="both"/>
              <w:rPr>
                <w:sz w:val="28"/>
                <w:szCs w:val="28"/>
                <w:lang w:val="uk-UA" w:eastAsia="en-US"/>
              </w:rPr>
            </w:pPr>
            <w:r w:rsidRPr="00E324D2">
              <w:rPr>
                <w:sz w:val="28"/>
                <w:szCs w:val="28"/>
                <w:lang w:eastAsia="en-US"/>
              </w:rPr>
              <w:t>7,3</w:t>
            </w:r>
            <w:r w:rsidRPr="00E324D2">
              <w:rPr>
                <w:sz w:val="28"/>
                <w:szCs w:val="28"/>
                <w:lang w:val="uk-UA" w:eastAsia="en-US"/>
              </w:rPr>
              <w:t>7</w:t>
            </w:r>
            <w:r w:rsidRPr="00E324D2">
              <w:rPr>
                <w:sz w:val="28"/>
                <w:szCs w:val="28"/>
                <w:lang w:eastAsia="en-US"/>
              </w:rPr>
              <w:t>±</w:t>
            </w:r>
            <w:r w:rsidRPr="00E324D2">
              <w:rPr>
                <w:sz w:val="28"/>
                <w:szCs w:val="28"/>
                <w:lang w:val="uk-UA" w:eastAsia="en-US"/>
              </w:rPr>
              <w:t>0</w:t>
            </w:r>
            <w:r w:rsidRPr="00E324D2">
              <w:rPr>
                <w:sz w:val="28"/>
                <w:szCs w:val="28"/>
                <w:lang w:eastAsia="en-US"/>
              </w:rPr>
              <w:t>,3</w:t>
            </w:r>
            <w:r w:rsidRPr="00E324D2">
              <w:rPr>
                <w:sz w:val="28"/>
                <w:szCs w:val="28"/>
                <w:lang w:val="uk-UA" w:eastAsia="en-US"/>
              </w:rPr>
              <w:t>3</w:t>
            </w:r>
          </w:p>
          <w:p w:rsidR="00E3259F" w:rsidRPr="00E324D2" w:rsidRDefault="00E3259F" w:rsidP="00E324D2">
            <w:pPr>
              <w:spacing w:line="360" w:lineRule="auto"/>
              <w:jc w:val="both"/>
              <w:rPr>
                <w:sz w:val="28"/>
                <w:szCs w:val="28"/>
                <w:lang w:val="uk-UA" w:eastAsia="en-US"/>
              </w:rPr>
            </w:pPr>
            <w:r w:rsidRPr="00E324D2">
              <w:rPr>
                <w:sz w:val="28"/>
                <w:szCs w:val="28"/>
                <w:lang w:val="uk-UA" w:eastAsia="en-US"/>
              </w:rPr>
              <w:t>р=0</w:t>
            </w:r>
            <w:r w:rsidRPr="00E324D2">
              <w:rPr>
                <w:sz w:val="28"/>
                <w:szCs w:val="28"/>
                <w:lang w:eastAsia="en-US"/>
              </w:rPr>
              <w:t>,041</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5,0</w:t>
            </w:r>
            <w:r w:rsidRPr="00E324D2">
              <w:rPr>
                <w:sz w:val="28"/>
                <w:szCs w:val="28"/>
                <w:lang w:val="uk-UA" w:eastAsia="en-US"/>
              </w:rPr>
              <w:t>9</w:t>
            </w:r>
            <w:r w:rsidRPr="00E324D2">
              <w:rPr>
                <w:sz w:val="28"/>
                <w:szCs w:val="28"/>
                <w:lang w:eastAsia="en-US"/>
              </w:rPr>
              <w:t>±</w:t>
            </w:r>
            <w:r w:rsidRPr="00E324D2">
              <w:rPr>
                <w:sz w:val="28"/>
                <w:szCs w:val="28"/>
                <w:lang w:val="uk-UA" w:eastAsia="en-US"/>
              </w:rPr>
              <w:t>0</w:t>
            </w:r>
            <w:r w:rsidRPr="00E324D2">
              <w:rPr>
                <w:sz w:val="28"/>
                <w:szCs w:val="28"/>
                <w:lang w:eastAsia="en-US"/>
              </w:rPr>
              <w:t>,25</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4,9</w:t>
            </w:r>
            <w:r w:rsidRPr="00E324D2">
              <w:rPr>
                <w:sz w:val="28"/>
                <w:szCs w:val="28"/>
                <w:lang w:val="uk-UA" w:eastAsia="en-US"/>
              </w:rPr>
              <w:t>2</w:t>
            </w:r>
            <w:r w:rsidRPr="00E324D2">
              <w:rPr>
                <w:sz w:val="28"/>
                <w:szCs w:val="28"/>
                <w:lang w:eastAsia="en-US"/>
              </w:rPr>
              <w:t>±</w:t>
            </w:r>
            <w:r w:rsidRPr="00E324D2">
              <w:rPr>
                <w:sz w:val="28"/>
                <w:szCs w:val="28"/>
                <w:lang w:val="uk-UA" w:eastAsia="en-US"/>
              </w:rPr>
              <w:t>0</w:t>
            </w:r>
            <w:r w:rsidRPr="00E324D2">
              <w:rPr>
                <w:sz w:val="28"/>
                <w:szCs w:val="28"/>
                <w:lang w:eastAsia="en-US"/>
              </w:rPr>
              <w:t>,2</w:t>
            </w:r>
            <w:r w:rsidRPr="00E324D2">
              <w:rPr>
                <w:sz w:val="28"/>
                <w:szCs w:val="28"/>
                <w:lang w:val="uk-UA" w:eastAsia="en-US"/>
              </w:rPr>
              <w:t>6</w:t>
            </w:r>
          </w:p>
          <w:p w:rsidR="00E3259F" w:rsidRPr="00E324D2" w:rsidRDefault="00E3259F">
            <w:pPr>
              <w:spacing w:line="276" w:lineRule="auto"/>
              <w:rPr>
                <w:sz w:val="28"/>
                <w:szCs w:val="28"/>
                <w:lang w:val="uk-UA" w:eastAsia="en-US"/>
              </w:rPr>
            </w:pPr>
            <w:r w:rsidRPr="00E324D2">
              <w:rPr>
                <w:sz w:val="28"/>
                <w:szCs w:val="28"/>
                <w:shd w:val="clear" w:color="auto" w:fill="FFFFFF"/>
                <w:lang w:val="uk-UA" w:eastAsia="en-US"/>
              </w:rPr>
              <w:t>р&gt;0,05</w:t>
            </w:r>
          </w:p>
        </w:tc>
      </w:tr>
      <w:tr w:rsidR="00E3259F" w:rsidRPr="00E324D2"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rStyle w:val="tlid-translation"/>
                <w:rFonts w:eastAsiaTheme="majorEastAsia"/>
                <w:sz w:val="28"/>
                <w:szCs w:val="28"/>
                <w:lang w:val="en-US" w:eastAsia="en-US"/>
              </w:rPr>
              <w:t>SH-</w:t>
            </w:r>
            <w:r w:rsidRPr="00E324D2">
              <w:rPr>
                <w:rStyle w:val="tlid-translation"/>
                <w:rFonts w:eastAsiaTheme="majorEastAsia"/>
                <w:sz w:val="28"/>
                <w:szCs w:val="28"/>
                <w:lang w:val="uk-UA" w:eastAsia="en-US"/>
              </w:rPr>
              <w:t>групи,</w:t>
            </w:r>
            <w:r w:rsidRPr="00E324D2">
              <w:rPr>
                <w:sz w:val="28"/>
                <w:szCs w:val="28"/>
                <w:lang w:val="uk-UA" w:eastAsia="en-US"/>
              </w:rPr>
              <w:t xml:space="preserve"> мкмоль/л</w:t>
            </w:r>
          </w:p>
        </w:tc>
        <w:tc>
          <w:tcPr>
            <w:tcW w:w="1843"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556,2</w:t>
            </w:r>
            <w:r w:rsidRPr="00E324D2">
              <w:rPr>
                <w:sz w:val="28"/>
                <w:szCs w:val="28"/>
                <w:lang w:val="uk-UA" w:eastAsia="en-US"/>
              </w:rPr>
              <w:t>7</w:t>
            </w:r>
            <w:r w:rsidRPr="00E324D2">
              <w:rPr>
                <w:sz w:val="28"/>
                <w:szCs w:val="28"/>
                <w:lang w:eastAsia="en-US"/>
              </w:rPr>
              <w:t>±19,00</w:t>
            </w:r>
          </w:p>
        </w:tc>
        <w:tc>
          <w:tcPr>
            <w:tcW w:w="1770"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360" w:lineRule="auto"/>
              <w:jc w:val="both"/>
              <w:rPr>
                <w:sz w:val="28"/>
                <w:szCs w:val="28"/>
                <w:lang w:val="uk-UA" w:eastAsia="en-US"/>
              </w:rPr>
            </w:pPr>
            <w:r w:rsidRPr="00E324D2">
              <w:rPr>
                <w:sz w:val="28"/>
                <w:szCs w:val="28"/>
                <w:lang w:eastAsia="en-US"/>
              </w:rPr>
              <w:t>573,0</w:t>
            </w:r>
            <w:r w:rsidRPr="00E324D2">
              <w:rPr>
                <w:sz w:val="28"/>
                <w:szCs w:val="28"/>
                <w:lang w:val="uk-UA" w:eastAsia="en-US"/>
              </w:rPr>
              <w:t>9</w:t>
            </w:r>
            <w:r w:rsidRPr="00E324D2">
              <w:rPr>
                <w:sz w:val="28"/>
                <w:szCs w:val="28"/>
                <w:lang w:eastAsia="en-US"/>
              </w:rPr>
              <w:t>±20,33</w:t>
            </w:r>
          </w:p>
          <w:p w:rsidR="00E3259F" w:rsidRPr="00E324D2" w:rsidRDefault="00E3259F">
            <w:pPr>
              <w:spacing w:line="276" w:lineRule="auto"/>
              <w:rPr>
                <w:sz w:val="28"/>
                <w:szCs w:val="28"/>
                <w:lang w:val="uk-UA" w:eastAsia="en-US"/>
              </w:rPr>
            </w:pPr>
            <w:r w:rsidRPr="00E324D2">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E324D2" w:rsidRDefault="00E3259F">
            <w:pPr>
              <w:spacing w:line="276" w:lineRule="auto"/>
              <w:rPr>
                <w:sz w:val="28"/>
                <w:szCs w:val="28"/>
                <w:lang w:val="uk-UA" w:eastAsia="en-US"/>
              </w:rPr>
            </w:pPr>
            <w:r w:rsidRPr="00E324D2">
              <w:rPr>
                <w:sz w:val="28"/>
                <w:szCs w:val="28"/>
                <w:lang w:eastAsia="en-US"/>
              </w:rPr>
              <w:t>565,0</w:t>
            </w:r>
            <w:r w:rsidRPr="00E324D2">
              <w:rPr>
                <w:sz w:val="28"/>
                <w:szCs w:val="28"/>
                <w:lang w:val="uk-UA" w:eastAsia="en-US"/>
              </w:rPr>
              <w:t>3</w:t>
            </w:r>
            <w:r w:rsidRPr="00E324D2">
              <w:rPr>
                <w:sz w:val="28"/>
                <w:szCs w:val="28"/>
                <w:lang w:eastAsia="en-US"/>
              </w:rPr>
              <w:t>±13,0</w:t>
            </w:r>
            <w:r w:rsidRPr="00E324D2">
              <w:rPr>
                <w:sz w:val="28"/>
                <w:szCs w:val="28"/>
                <w:lang w:val="uk-UA" w:eastAsia="en-US"/>
              </w:rPr>
              <w:t>4</w:t>
            </w:r>
          </w:p>
        </w:tc>
        <w:tc>
          <w:tcPr>
            <w:tcW w:w="1770" w:type="dxa"/>
            <w:tcBorders>
              <w:top w:val="single" w:sz="4" w:space="0" w:color="auto"/>
              <w:left w:val="single" w:sz="4" w:space="0" w:color="auto"/>
              <w:bottom w:val="single" w:sz="4" w:space="0" w:color="auto"/>
              <w:right w:val="single" w:sz="4" w:space="0" w:color="auto"/>
            </w:tcBorders>
          </w:tcPr>
          <w:p w:rsidR="00E3259F" w:rsidRPr="00E324D2" w:rsidRDefault="00E3259F">
            <w:pPr>
              <w:spacing w:line="360" w:lineRule="auto"/>
              <w:jc w:val="both"/>
              <w:rPr>
                <w:sz w:val="28"/>
                <w:szCs w:val="28"/>
                <w:lang w:val="uk-UA" w:eastAsia="en-US"/>
              </w:rPr>
            </w:pPr>
            <w:r w:rsidRPr="00E324D2">
              <w:rPr>
                <w:sz w:val="28"/>
                <w:szCs w:val="28"/>
                <w:lang w:eastAsia="en-US"/>
              </w:rPr>
              <w:t>567,68±13,24</w:t>
            </w:r>
          </w:p>
          <w:p w:rsidR="00E3259F" w:rsidRPr="00E324D2" w:rsidRDefault="00E3259F" w:rsidP="00E324D2">
            <w:pPr>
              <w:spacing w:line="360" w:lineRule="auto"/>
              <w:jc w:val="both"/>
              <w:rPr>
                <w:sz w:val="28"/>
                <w:szCs w:val="28"/>
                <w:lang w:val="uk-UA" w:eastAsia="en-US"/>
              </w:rPr>
            </w:pPr>
            <w:r w:rsidRPr="00E324D2">
              <w:rPr>
                <w:sz w:val="28"/>
                <w:szCs w:val="28"/>
                <w:shd w:val="clear" w:color="auto" w:fill="FFFFFF"/>
                <w:lang w:val="uk-UA" w:eastAsia="en-US"/>
              </w:rPr>
              <w:t>р&gt;0,05</w:t>
            </w:r>
          </w:p>
        </w:tc>
      </w:tr>
    </w:tbl>
    <w:p w:rsidR="00E3259F" w:rsidRDefault="00E3259F" w:rsidP="00E324D2">
      <w:pPr>
        <w:spacing w:line="360" w:lineRule="auto"/>
        <w:jc w:val="both"/>
        <w:rPr>
          <w:rStyle w:val="tlid-translation"/>
          <w:rFonts w:eastAsiaTheme="majorEastAsia"/>
          <w:sz w:val="26"/>
          <w:szCs w:val="26"/>
          <w:lang w:val="uk-UA" w:eastAsia="en-US"/>
        </w:rPr>
      </w:pPr>
      <w:r w:rsidRPr="00E324D2">
        <w:rPr>
          <w:sz w:val="28"/>
          <w:szCs w:val="28"/>
          <w:lang w:val="uk-UA"/>
        </w:rPr>
        <w:t>Примітка: р</w:t>
      </w:r>
      <w:r w:rsidRPr="00E324D2">
        <w:rPr>
          <w:sz w:val="28"/>
          <w:szCs w:val="28"/>
          <w:vertAlign w:val="subscript"/>
          <w:lang w:val="uk-UA"/>
        </w:rPr>
        <w:t xml:space="preserve"> -</w:t>
      </w:r>
      <w:r w:rsidRPr="00E324D2">
        <w:rPr>
          <w:sz w:val="28"/>
          <w:szCs w:val="28"/>
          <w:lang w:val="uk-UA"/>
        </w:rPr>
        <w:t xml:space="preserve">  рівень значущості відмінностей при порівнянні показника при короткої ВДТ та довгої ВДТ </w:t>
      </w:r>
    </w:p>
    <w:p w:rsidR="00E3259F" w:rsidRDefault="00E3259F" w:rsidP="00E324D2">
      <w:pPr>
        <w:spacing w:line="360" w:lineRule="auto"/>
        <w:jc w:val="both"/>
      </w:pPr>
    </w:p>
    <w:p w:rsidR="0064003E" w:rsidRPr="00E324D2" w:rsidRDefault="0064003E" w:rsidP="0064003E">
      <w:pPr>
        <w:spacing w:line="360" w:lineRule="auto"/>
        <w:ind w:firstLine="709"/>
        <w:jc w:val="both"/>
        <w:rPr>
          <w:sz w:val="28"/>
          <w:szCs w:val="28"/>
          <w:lang w:val="uk-UA"/>
        </w:rPr>
      </w:pPr>
      <w:r w:rsidRPr="00E324D2">
        <w:rPr>
          <w:sz w:val="28"/>
          <w:szCs w:val="28"/>
          <w:lang w:val="uk-UA"/>
        </w:rPr>
        <w:t xml:space="preserve">Так, у групі 2, незважаючи на достовірно вищі рівні МДА при довгих теломерах як крові (р=0,018), так і букального епітетелію (р=0,027), але достовірно нищі рівні </w:t>
      </w:r>
      <w:r w:rsidRPr="00E324D2">
        <w:rPr>
          <w:sz w:val="28"/>
          <w:szCs w:val="28"/>
          <w:lang w:val="uk-UA" w:eastAsia="en-US"/>
        </w:rPr>
        <w:t>8-OH-dG при довгих теломерах крові (р=0,001)</w:t>
      </w:r>
      <w:r w:rsidRPr="00E324D2">
        <w:rPr>
          <w:sz w:val="28"/>
          <w:szCs w:val="28"/>
          <w:lang w:val="uk-UA"/>
        </w:rPr>
        <w:t xml:space="preserve">, спостерігалася більш виражена активація АОЗ при довгій ВДТ, що проявлялося достовірно вищими рівнями </w:t>
      </w:r>
      <w:r w:rsidRPr="00E324D2">
        <w:rPr>
          <w:rStyle w:val="tlid-translation"/>
          <w:rFonts w:eastAsiaTheme="majorEastAsia"/>
          <w:sz w:val="28"/>
          <w:szCs w:val="28"/>
          <w:lang w:val="en-US" w:eastAsia="en-US"/>
        </w:rPr>
        <w:t>SH</w:t>
      </w:r>
      <w:r w:rsidRPr="00E324D2">
        <w:rPr>
          <w:rStyle w:val="tlid-translation"/>
          <w:rFonts w:eastAsiaTheme="majorEastAsia"/>
          <w:sz w:val="28"/>
          <w:szCs w:val="28"/>
          <w:lang w:val="uk-UA" w:eastAsia="en-US"/>
        </w:rPr>
        <w:t xml:space="preserve">-груп (р=0,046 порівняно з пацієнтими з короткою </w:t>
      </w:r>
      <w:r w:rsidRPr="00E324D2">
        <w:rPr>
          <w:sz w:val="28"/>
          <w:szCs w:val="28"/>
          <w:lang w:val="uk-UA"/>
        </w:rPr>
        <w:t>ВДТ</w:t>
      </w:r>
      <w:r w:rsidRPr="00E324D2">
        <w:rPr>
          <w:rStyle w:val="tlid-translation"/>
          <w:rFonts w:eastAsiaTheme="majorEastAsia"/>
          <w:sz w:val="28"/>
          <w:szCs w:val="28"/>
          <w:lang w:val="uk-UA" w:eastAsia="en-US"/>
        </w:rPr>
        <w:t xml:space="preserve"> крові та р=0,032 порівняно з короткою </w:t>
      </w:r>
      <w:r w:rsidRPr="00E324D2">
        <w:rPr>
          <w:sz w:val="28"/>
          <w:szCs w:val="28"/>
          <w:lang w:val="uk-UA"/>
        </w:rPr>
        <w:t>ВДТ</w:t>
      </w:r>
      <w:r w:rsidRPr="00E324D2">
        <w:rPr>
          <w:rStyle w:val="tlid-translation"/>
          <w:rFonts w:eastAsiaTheme="majorEastAsia"/>
          <w:sz w:val="28"/>
          <w:szCs w:val="28"/>
          <w:lang w:val="uk-UA" w:eastAsia="en-US"/>
        </w:rPr>
        <w:t xml:space="preserve"> теломер клітин букального епітелію) та підвищеною активністю ГПО (р=0,009 порівняно з пацієнтами з короткою </w:t>
      </w:r>
      <w:r w:rsidRPr="00E324D2">
        <w:rPr>
          <w:sz w:val="28"/>
          <w:szCs w:val="28"/>
          <w:lang w:val="uk-UA"/>
        </w:rPr>
        <w:t>ВДТ</w:t>
      </w:r>
      <w:r w:rsidRPr="00E324D2">
        <w:rPr>
          <w:rStyle w:val="tlid-translation"/>
          <w:rFonts w:eastAsiaTheme="majorEastAsia"/>
          <w:sz w:val="28"/>
          <w:szCs w:val="28"/>
          <w:lang w:val="uk-UA" w:eastAsia="en-US"/>
        </w:rPr>
        <w:t xml:space="preserve"> клітин букального епітелію).</w:t>
      </w:r>
    </w:p>
    <w:p w:rsidR="00E3259F" w:rsidRPr="00E324D2" w:rsidRDefault="00E3259F" w:rsidP="00E3259F">
      <w:pPr>
        <w:spacing w:line="360" w:lineRule="auto"/>
        <w:ind w:firstLine="709"/>
        <w:jc w:val="both"/>
        <w:rPr>
          <w:rFonts w:eastAsiaTheme="majorEastAsia"/>
          <w:lang w:val="uk-UA"/>
        </w:rPr>
      </w:pPr>
      <w:r w:rsidRPr="00E324D2">
        <w:rPr>
          <w:sz w:val="28"/>
          <w:szCs w:val="28"/>
          <w:lang w:val="uk-UA"/>
        </w:rPr>
        <w:t>У пацієнтів з поєднаним перебігом ГХ, ЦД 2 типу та СГТ при короткої ВДТ</w:t>
      </w:r>
      <w:r w:rsidRPr="00E324D2">
        <w:rPr>
          <w:sz w:val="28"/>
          <w:szCs w:val="28"/>
          <w:lang w:val="uk-UA" w:eastAsia="en-US"/>
        </w:rPr>
        <w:t xml:space="preserve"> клітин букального епітелію</w:t>
      </w:r>
      <w:r w:rsidRPr="00E324D2">
        <w:rPr>
          <w:sz w:val="28"/>
          <w:szCs w:val="28"/>
          <w:lang w:val="uk-UA"/>
        </w:rPr>
        <w:t xml:space="preserve"> спостерігались достовірно вищі значення рівнів МДА (р=0,028) та </w:t>
      </w:r>
      <w:r w:rsidRPr="00E324D2">
        <w:rPr>
          <w:sz w:val="28"/>
          <w:szCs w:val="28"/>
          <w:lang w:val="uk-UA" w:eastAsia="en-US"/>
        </w:rPr>
        <w:t xml:space="preserve">8-OH-dG (р=0,033) порівняно з пацієнтами з довгій ВДТ клітин букального епітелію на тлі зниження АОЗ у вигляді  достовірно нижчої </w:t>
      </w:r>
      <w:r w:rsidRPr="00E324D2">
        <w:rPr>
          <w:sz w:val="28"/>
          <w:szCs w:val="28"/>
          <w:lang w:val="uk-UA"/>
        </w:rPr>
        <w:t>активності ГПО при короткої ВДТ крові (6,65±0,21 мккат/гНв проти 7,37±0,33 мккат/гНв, р=0,041) при порівнянні з</w:t>
      </w:r>
      <w:r w:rsidRPr="00E324D2">
        <w:rPr>
          <w:sz w:val="28"/>
          <w:szCs w:val="28"/>
          <w:lang w:val="uk-UA" w:eastAsia="en-US"/>
        </w:rPr>
        <w:t xml:space="preserve"> пацієнтими з довгою</w:t>
      </w:r>
      <w:r w:rsidRPr="00E324D2">
        <w:rPr>
          <w:sz w:val="28"/>
          <w:szCs w:val="28"/>
          <w:lang w:val="uk-UA"/>
        </w:rPr>
        <w:t xml:space="preserve"> ВДТ крові .</w:t>
      </w:r>
    </w:p>
    <w:p w:rsidR="001A5F74" w:rsidRDefault="00E3259F" w:rsidP="00E3259F">
      <w:pPr>
        <w:spacing w:line="360" w:lineRule="auto"/>
        <w:ind w:firstLine="709"/>
        <w:jc w:val="both"/>
        <w:rPr>
          <w:sz w:val="28"/>
          <w:szCs w:val="28"/>
          <w:lang w:val="uk-UA"/>
        </w:rPr>
      </w:pPr>
      <w:r w:rsidRPr="00E324D2">
        <w:rPr>
          <w:sz w:val="28"/>
          <w:szCs w:val="28"/>
          <w:lang w:val="uk-UA"/>
        </w:rPr>
        <w:t xml:space="preserve">Порівняльний аналіз показників, що характеризують стан ендотелію, продемонстрував у пацієнтів з коморбідною патологією при коротких теломерах більш виражені ознаки ЕД, ніж при довгих теломерах, незалежно від наявності СГТ (Таблиця 6.8). </w:t>
      </w:r>
    </w:p>
    <w:p w:rsidR="00E3259F" w:rsidRPr="00E324D2" w:rsidRDefault="001A5F74" w:rsidP="00E3259F">
      <w:pPr>
        <w:spacing w:line="360" w:lineRule="auto"/>
        <w:ind w:firstLine="709"/>
        <w:jc w:val="both"/>
        <w:rPr>
          <w:sz w:val="28"/>
          <w:szCs w:val="28"/>
          <w:lang w:val="uk-UA"/>
        </w:rPr>
      </w:pPr>
      <w:r>
        <w:rPr>
          <w:sz w:val="28"/>
          <w:szCs w:val="28"/>
          <w:lang w:val="uk-UA"/>
        </w:rPr>
        <w:t>Так  у пацієнтів у групі 2 з короткою ВДТ клітин букального епітелію спостерігались достовірно вищі рівні ВЕФР (406,84±29,74</w:t>
      </w:r>
      <w:r>
        <w:rPr>
          <w:rStyle w:val="10"/>
          <w:rFonts w:eastAsiaTheme="majorEastAsia"/>
          <w:lang w:val="uk-UA"/>
        </w:rPr>
        <w:t xml:space="preserve"> </w:t>
      </w:r>
      <w:r>
        <w:rPr>
          <w:rStyle w:val="xfm65112403"/>
          <w:rFonts w:eastAsiaTheme="majorEastAsia"/>
          <w:sz w:val="28"/>
          <w:szCs w:val="28"/>
          <w:lang w:val="uk-UA"/>
        </w:rPr>
        <w:t>пг</w:t>
      </w:r>
      <w:r>
        <w:rPr>
          <w:sz w:val="28"/>
          <w:szCs w:val="28"/>
          <w:lang w:val="uk-UA"/>
        </w:rPr>
        <w:t>/мл проти 342,86±29,61</w:t>
      </w:r>
      <w:r>
        <w:rPr>
          <w:rStyle w:val="10"/>
          <w:rFonts w:eastAsiaTheme="majorEastAsia"/>
          <w:lang w:val="uk-UA"/>
        </w:rPr>
        <w:t xml:space="preserve"> </w:t>
      </w:r>
      <w:r>
        <w:rPr>
          <w:rStyle w:val="xfm65112403"/>
          <w:rFonts w:eastAsiaTheme="majorEastAsia"/>
          <w:sz w:val="28"/>
          <w:szCs w:val="28"/>
          <w:lang w:val="uk-UA"/>
        </w:rPr>
        <w:t>пг</w:t>
      </w:r>
      <w:r>
        <w:rPr>
          <w:sz w:val="28"/>
          <w:szCs w:val="28"/>
          <w:lang w:val="uk-UA"/>
        </w:rPr>
        <w:t>/мл, р=0,008) та кількість ЦДЕК (13,49±0,71</w:t>
      </w:r>
      <w:r>
        <w:rPr>
          <w:rFonts w:eastAsia="TimesNewRomanPSMT"/>
          <w:sz w:val="28"/>
          <w:szCs w:val="28"/>
          <w:lang w:val="uk-UA"/>
        </w:rPr>
        <w:t xml:space="preserve"> кл./100 мкл проти 10,97±0,62 кл./100 мкл, р=0,01), ніж при довгій ВДТ. </w:t>
      </w:r>
    </w:p>
    <w:p w:rsidR="00E3259F" w:rsidRPr="001A5F74" w:rsidRDefault="00E3259F" w:rsidP="001A5F74">
      <w:pPr>
        <w:spacing w:line="360" w:lineRule="auto"/>
        <w:jc w:val="right"/>
        <w:rPr>
          <w:sz w:val="28"/>
          <w:szCs w:val="28"/>
          <w:lang w:val="uk-UA"/>
        </w:rPr>
      </w:pPr>
      <w:r w:rsidRPr="001A5F74">
        <w:rPr>
          <w:sz w:val="28"/>
          <w:szCs w:val="28"/>
          <w:lang w:val="uk-UA"/>
        </w:rPr>
        <w:t>Таблиця 6.8</w:t>
      </w:r>
    </w:p>
    <w:p w:rsidR="00E3259F" w:rsidRPr="001A5F74" w:rsidRDefault="00E3259F" w:rsidP="001A5F74">
      <w:pPr>
        <w:spacing w:line="360" w:lineRule="auto"/>
        <w:jc w:val="center"/>
        <w:rPr>
          <w:sz w:val="28"/>
          <w:szCs w:val="28"/>
          <w:lang w:val="uk-UA"/>
        </w:rPr>
      </w:pPr>
      <w:r w:rsidRPr="001A5F74">
        <w:rPr>
          <w:sz w:val="28"/>
          <w:szCs w:val="28"/>
          <w:lang w:val="uk-UA"/>
        </w:rPr>
        <w:t xml:space="preserve">Порівняльна характеристика показників, що характеризують стан ендотелію, </w:t>
      </w:r>
      <w:r w:rsidRPr="001A5F74">
        <w:rPr>
          <w:sz w:val="28"/>
          <w:szCs w:val="28"/>
          <w:lang w:val="uk-UA" w:eastAsia="en-US"/>
        </w:rPr>
        <w:t xml:space="preserve">залежно </w:t>
      </w:r>
      <w:r w:rsidRPr="001A5F74">
        <w:rPr>
          <w:sz w:val="28"/>
          <w:szCs w:val="28"/>
          <w:lang w:val="uk-UA"/>
        </w:rPr>
        <w:t>від відносної довжини теломер, (</w:t>
      </w:r>
      <w:r w:rsidRPr="001A5F74">
        <w:rPr>
          <w:sz w:val="28"/>
          <w:szCs w:val="28"/>
          <w:lang w:val="en-US"/>
        </w:rPr>
        <w:t>M</w:t>
      </w:r>
      <w:r w:rsidRPr="001A5F74">
        <w:rPr>
          <w:sz w:val="28"/>
          <w:szCs w:val="28"/>
          <w:lang w:val="uk-UA"/>
        </w:rPr>
        <w:t>±</w:t>
      </w:r>
      <w:r w:rsidRPr="001A5F74">
        <w:rPr>
          <w:sz w:val="28"/>
          <w:szCs w:val="28"/>
          <w:lang w:val="en-US"/>
        </w:rPr>
        <w:t>m</w:t>
      </w:r>
      <w:r w:rsidRPr="001A5F74">
        <w:rPr>
          <w:sz w:val="28"/>
          <w:szCs w:val="28"/>
          <w:lang w:val="uk-UA"/>
        </w:rPr>
        <w:t>)</w:t>
      </w:r>
    </w:p>
    <w:tbl>
      <w:tblPr>
        <w:tblW w:w="0" w:type="auto"/>
        <w:tblLook w:val="04A0" w:firstRow="1" w:lastRow="0" w:firstColumn="1" w:lastColumn="0" w:noHBand="0" w:noVBand="1"/>
      </w:tblPr>
      <w:tblGrid>
        <w:gridCol w:w="2093"/>
        <w:gridCol w:w="1843"/>
        <w:gridCol w:w="1817"/>
        <w:gridCol w:w="1995"/>
        <w:gridCol w:w="1817"/>
      </w:tblGrid>
      <w:tr w:rsidR="001A5F74" w:rsidRPr="001A5F74" w:rsidTr="00E3259F">
        <w:tc>
          <w:tcPr>
            <w:tcW w:w="2093" w:type="dxa"/>
            <w:vMerge w:val="restart"/>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Показник</w:t>
            </w:r>
          </w:p>
        </w:tc>
        <w:tc>
          <w:tcPr>
            <w:tcW w:w="3660" w:type="dxa"/>
            <w:gridSpan w:val="2"/>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ВДТ крові</w:t>
            </w:r>
          </w:p>
        </w:tc>
        <w:tc>
          <w:tcPr>
            <w:tcW w:w="3812" w:type="dxa"/>
            <w:gridSpan w:val="2"/>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ВДТ кліт.бук.епіт.</w:t>
            </w:r>
          </w:p>
        </w:tc>
      </w:tr>
      <w:tr w:rsidR="001A5F74" w:rsidRPr="001A5F74" w:rsidTr="00E3259F">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1A5F74" w:rsidRDefault="00E3259F" w:rsidP="001A5F74">
            <w:pPr>
              <w:spacing w:line="360" w:lineRule="auto"/>
              <w:rPr>
                <w:sz w:val="28"/>
                <w:szCs w:val="28"/>
                <w:lang w:val="uk-UA" w:eastAsia="en-US"/>
              </w:rPr>
            </w:pP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Коротка ВДТ (1 та 2 квартиль)</w:t>
            </w:r>
          </w:p>
        </w:tc>
        <w:tc>
          <w:tcPr>
            <w:tcW w:w="1817" w:type="dxa"/>
            <w:tcBorders>
              <w:top w:val="single" w:sz="4" w:space="0" w:color="auto"/>
              <w:left w:val="single" w:sz="4" w:space="0" w:color="auto"/>
              <w:bottom w:val="single" w:sz="4" w:space="0" w:color="auto"/>
              <w:right w:val="single" w:sz="4" w:space="0" w:color="auto"/>
            </w:tcBorders>
            <w:hideMark/>
          </w:tcPr>
          <w:p w:rsidR="001A5F74" w:rsidRDefault="00E3259F" w:rsidP="001A5F74">
            <w:pPr>
              <w:spacing w:line="360" w:lineRule="auto"/>
              <w:rPr>
                <w:sz w:val="28"/>
                <w:szCs w:val="28"/>
                <w:lang w:val="uk-UA" w:eastAsia="en-US"/>
              </w:rPr>
            </w:pPr>
            <w:r w:rsidRPr="001A5F74">
              <w:rPr>
                <w:sz w:val="28"/>
                <w:szCs w:val="28"/>
                <w:lang w:val="uk-UA" w:eastAsia="en-US"/>
              </w:rPr>
              <w:t xml:space="preserve">Довга ВДТ </w:t>
            </w:r>
          </w:p>
          <w:p w:rsidR="00E3259F" w:rsidRPr="001A5F74" w:rsidRDefault="00E3259F" w:rsidP="001A5F74">
            <w:pPr>
              <w:spacing w:line="360" w:lineRule="auto"/>
              <w:rPr>
                <w:sz w:val="28"/>
                <w:szCs w:val="28"/>
                <w:lang w:val="uk-UA" w:eastAsia="en-US"/>
              </w:rPr>
            </w:pPr>
            <w:r w:rsidRPr="001A5F74">
              <w:rPr>
                <w:sz w:val="28"/>
                <w:szCs w:val="28"/>
                <w:lang w:val="uk-UA" w:eastAsia="en-US"/>
              </w:rPr>
              <w:t>( 3 та 4 квартиль)</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Коротка ВДТ (1 та 2 квартиль)</w:t>
            </w:r>
          </w:p>
        </w:tc>
        <w:tc>
          <w:tcPr>
            <w:tcW w:w="1817" w:type="dxa"/>
            <w:tcBorders>
              <w:top w:val="single" w:sz="4" w:space="0" w:color="auto"/>
              <w:left w:val="single" w:sz="4" w:space="0" w:color="auto"/>
              <w:bottom w:val="single" w:sz="4" w:space="0" w:color="auto"/>
              <w:right w:val="single" w:sz="4" w:space="0" w:color="auto"/>
            </w:tcBorders>
            <w:hideMark/>
          </w:tcPr>
          <w:p w:rsidR="001A5F74" w:rsidRDefault="00E3259F" w:rsidP="001A5F74">
            <w:pPr>
              <w:spacing w:line="360" w:lineRule="auto"/>
              <w:rPr>
                <w:sz w:val="28"/>
                <w:szCs w:val="28"/>
                <w:lang w:val="uk-UA" w:eastAsia="en-US"/>
              </w:rPr>
            </w:pPr>
            <w:r w:rsidRPr="001A5F74">
              <w:rPr>
                <w:sz w:val="28"/>
                <w:szCs w:val="28"/>
                <w:lang w:val="uk-UA" w:eastAsia="en-US"/>
              </w:rPr>
              <w:t>Довга ВДТ</w:t>
            </w:r>
          </w:p>
          <w:p w:rsidR="00E3259F" w:rsidRPr="001A5F74" w:rsidRDefault="00E3259F" w:rsidP="001A5F74">
            <w:pPr>
              <w:spacing w:line="360" w:lineRule="auto"/>
              <w:rPr>
                <w:sz w:val="28"/>
                <w:szCs w:val="28"/>
                <w:lang w:val="uk-UA" w:eastAsia="en-US"/>
              </w:rPr>
            </w:pPr>
            <w:r w:rsidRPr="001A5F74">
              <w:rPr>
                <w:sz w:val="28"/>
                <w:szCs w:val="28"/>
                <w:lang w:val="uk-UA" w:eastAsia="en-US"/>
              </w:rPr>
              <w:t xml:space="preserve"> ( 3 та 4 квартиль)</w:t>
            </w:r>
          </w:p>
        </w:tc>
      </w:tr>
      <w:tr w:rsidR="001A5F74" w:rsidRPr="001A5F74" w:rsidTr="00E3259F">
        <w:tc>
          <w:tcPr>
            <w:tcW w:w="9565" w:type="dxa"/>
            <w:gridSpan w:val="5"/>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2 група</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ВЕФР,</w:t>
            </w:r>
            <w:r w:rsidRPr="001A5F74">
              <w:rPr>
                <w:rStyle w:val="10"/>
                <w:rFonts w:eastAsiaTheme="majorEastAsia"/>
                <w:sz w:val="28"/>
                <w:szCs w:val="28"/>
                <w:lang w:val="uk-UA" w:eastAsia="en-US"/>
              </w:rPr>
              <w:t xml:space="preserve"> </w:t>
            </w:r>
            <w:r w:rsidRPr="001A5F74">
              <w:rPr>
                <w:rStyle w:val="xfm65112403"/>
                <w:sz w:val="28"/>
                <w:szCs w:val="28"/>
                <w:lang w:val="uk-UA" w:eastAsia="en-US"/>
              </w:rPr>
              <w:t>пг</w:t>
            </w:r>
            <w:r w:rsidRPr="001A5F74">
              <w:rPr>
                <w:sz w:val="28"/>
                <w:szCs w:val="28"/>
                <w:lang w:eastAsia="en-US"/>
              </w:rPr>
              <w:t>/</w:t>
            </w:r>
            <w:r w:rsidRPr="001A5F74">
              <w:rPr>
                <w:sz w:val="28"/>
                <w:szCs w:val="28"/>
                <w:lang w:val="uk-UA" w:eastAsia="en-US"/>
              </w:rPr>
              <w:t>мл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277,19±24,54</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352,65±29,9</w:t>
            </w:r>
            <w:r w:rsidRPr="001A5F74">
              <w:rPr>
                <w:sz w:val="28"/>
                <w:szCs w:val="28"/>
                <w:lang w:val="uk-UA" w:eastAsia="en-US"/>
              </w:rPr>
              <w:t>5</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406,84±29,7</w:t>
            </w:r>
            <w:r w:rsidRPr="001A5F74">
              <w:rPr>
                <w:sz w:val="28"/>
                <w:szCs w:val="28"/>
                <w:lang w:val="uk-UA" w:eastAsia="en-US"/>
              </w:rPr>
              <w:t>4</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342,8</w:t>
            </w:r>
            <w:r w:rsidRPr="001A5F74">
              <w:rPr>
                <w:sz w:val="28"/>
                <w:szCs w:val="28"/>
                <w:lang w:val="uk-UA" w:eastAsia="en-US"/>
              </w:rPr>
              <w:t>6</w:t>
            </w:r>
            <w:r w:rsidRPr="001A5F74">
              <w:rPr>
                <w:sz w:val="28"/>
                <w:szCs w:val="28"/>
                <w:lang w:eastAsia="en-US"/>
              </w:rPr>
              <w:t>±29,61</w:t>
            </w:r>
          </w:p>
          <w:p w:rsidR="00E3259F" w:rsidRPr="001A5F74" w:rsidRDefault="00E3259F" w:rsidP="001A5F74">
            <w:pPr>
              <w:spacing w:line="360" w:lineRule="auto"/>
              <w:rPr>
                <w:sz w:val="28"/>
                <w:szCs w:val="28"/>
                <w:lang w:val="uk-UA" w:eastAsia="en-US"/>
              </w:rPr>
            </w:pPr>
            <w:r w:rsidRPr="001A5F74">
              <w:rPr>
                <w:sz w:val="28"/>
                <w:szCs w:val="28"/>
                <w:lang w:val="uk-UA" w:eastAsia="en-US"/>
              </w:rPr>
              <w:t>р=0</w:t>
            </w:r>
            <w:r w:rsidRPr="001A5F74">
              <w:rPr>
                <w:sz w:val="28"/>
                <w:szCs w:val="28"/>
                <w:lang w:eastAsia="en-US"/>
              </w:rPr>
              <w:t>,008</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ЦДЕК,</w:t>
            </w:r>
            <w:r w:rsidRPr="001A5F74">
              <w:rPr>
                <w:rFonts w:eastAsia="TimesNewRomanPSMT"/>
                <w:sz w:val="28"/>
                <w:szCs w:val="28"/>
                <w:lang w:val="en-US" w:eastAsia="en-US"/>
              </w:rPr>
              <w:t xml:space="preserve"> кл</w:t>
            </w:r>
            <w:r w:rsidRPr="001A5F74">
              <w:rPr>
                <w:rFonts w:eastAsia="TimesNewRomanPSMT"/>
                <w:sz w:val="28"/>
                <w:szCs w:val="28"/>
                <w:lang w:eastAsia="en-US"/>
              </w:rPr>
              <w:t xml:space="preserve">./100 </w:t>
            </w:r>
            <w:r w:rsidRPr="001A5F74">
              <w:rPr>
                <w:rFonts w:eastAsia="TimesNewRomanPSMT"/>
                <w:sz w:val="28"/>
                <w:szCs w:val="28"/>
                <w:lang w:val="en-US" w:eastAsia="en-US"/>
              </w:rPr>
              <w:t>мкл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13,36±</w:t>
            </w:r>
            <w:r w:rsidRPr="001A5F74">
              <w:rPr>
                <w:sz w:val="28"/>
                <w:szCs w:val="28"/>
                <w:lang w:val="uk-UA" w:eastAsia="en-US"/>
              </w:rPr>
              <w:t>0</w:t>
            </w:r>
            <w:r w:rsidRPr="001A5F74">
              <w:rPr>
                <w:sz w:val="28"/>
                <w:szCs w:val="28"/>
                <w:lang w:eastAsia="en-US"/>
              </w:rPr>
              <w:t>,</w:t>
            </w:r>
            <w:r w:rsidRPr="001A5F74">
              <w:rPr>
                <w:sz w:val="28"/>
                <w:szCs w:val="28"/>
                <w:lang w:val="uk-UA" w:eastAsia="en-US"/>
              </w:rPr>
              <w:t>70</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12,71±1,13</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13,49±</w:t>
            </w:r>
            <w:r w:rsidRPr="001A5F74">
              <w:rPr>
                <w:sz w:val="28"/>
                <w:szCs w:val="28"/>
                <w:lang w:val="uk-UA" w:eastAsia="en-US"/>
              </w:rPr>
              <w:t>0</w:t>
            </w:r>
            <w:r w:rsidRPr="001A5F74">
              <w:rPr>
                <w:sz w:val="28"/>
                <w:szCs w:val="28"/>
                <w:lang w:eastAsia="en-US"/>
              </w:rPr>
              <w:t>,71</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10,97±</w:t>
            </w:r>
            <w:r w:rsidRPr="001A5F74">
              <w:rPr>
                <w:sz w:val="28"/>
                <w:szCs w:val="28"/>
                <w:lang w:val="uk-UA" w:eastAsia="en-US"/>
              </w:rPr>
              <w:t>0</w:t>
            </w:r>
            <w:r w:rsidRPr="001A5F74">
              <w:rPr>
                <w:sz w:val="28"/>
                <w:szCs w:val="28"/>
                <w:lang w:eastAsia="en-US"/>
              </w:rPr>
              <w:t>,62</w:t>
            </w:r>
          </w:p>
          <w:p w:rsidR="00E3259F" w:rsidRPr="001A5F74" w:rsidRDefault="00E3259F" w:rsidP="001A5F74">
            <w:pPr>
              <w:spacing w:line="360" w:lineRule="auto"/>
              <w:rPr>
                <w:sz w:val="28"/>
                <w:szCs w:val="28"/>
                <w:lang w:val="uk-UA" w:eastAsia="en-US"/>
              </w:rPr>
            </w:pPr>
            <w:r w:rsidRPr="001A5F74">
              <w:rPr>
                <w:sz w:val="28"/>
                <w:szCs w:val="28"/>
                <w:lang w:val="uk-UA" w:eastAsia="en-US"/>
              </w:rPr>
              <w:t>р=0</w:t>
            </w:r>
            <w:r w:rsidRPr="001A5F74">
              <w:rPr>
                <w:sz w:val="28"/>
                <w:szCs w:val="28"/>
                <w:lang w:eastAsia="en-US"/>
              </w:rPr>
              <w:t>,01</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СРП,</w:t>
            </w:r>
            <w:r w:rsidRPr="001A5F74">
              <w:rPr>
                <w:sz w:val="28"/>
                <w:szCs w:val="28"/>
                <w:lang w:val="uk-UA" w:eastAsia="en-US"/>
              </w:rPr>
              <w:t xml:space="preserve"> </w:t>
            </w:r>
            <w:r w:rsidRPr="001A5F74">
              <w:rPr>
                <w:sz w:val="28"/>
                <w:szCs w:val="28"/>
                <w:lang w:eastAsia="en-US"/>
              </w:rPr>
              <w:t>мг/л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9,62±</w:t>
            </w:r>
            <w:r w:rsidRPr="001A5F74">
              <w:rPr>
                <w:sz w:val="28"/>
                <w:szCs w:val="28"/>
                <w:lang w:val="uk-UA" w:eastAsia="en-US"/>
              </w:rPr>
              <w:t>0</w:t>
            </w:r>
            <w:r w:rsidRPr="001A5F74">
              <w:rPr>
                <w:sz w:val="28"/>
                <w:szCs w:val="28"/>
                <w:lang w:eastAsia="en-US"/>
              </w:rPr>
              <w:t>,51</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9,61±</w:t>
            </w:r>
            <w:r w:rsidRPr="001A5F74">
              <w:rPr>
                <w:sz w:val="28"/>
                <w:szCs w:val="28"/>
                <w:lang w:val="uk-UA" w:eastAsia="en-US"/>
              </w:rPr>
              <w:t>0</w:t>
            </w:r>
            <w:r w:rsidRPr="001A5F74">
              <w:rPr>
                <w:sz w:val="28"/>
                <w:szCs w:val="28"/>
                <w:lang w:eastAsia="en-US"/>
              </w:rPr>
              <w:t>,7</w:t>
            </w:r>
            <w:r w:rsidRPr="001A5F74">
              <w:rPr>
                <w:sz w:val="28"/>
                <w:szCs w:val="28"/>
                <w:lang w:val="uk-UA" w:eastAsia="en-US"/>
              </w:rPr>
              <w:t>3</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8,0</w:t>
            </w:r>
            <w:r w:rsidRPr="001A5F74">
              <w:rPr>
                <w:sz w:val="28"/>
                <w:szCs w:val="28"/>
                <w:lang w:val="uk-UA" w:eastAsia="en-US"/>
              </w:rPr>
              <w:t>4</w:t>
            </w:r>
            <w:r w:rsidRPr="001A5F74">
              <w:rPr>
                <w:sz w:val="28"/>
                <w:szCs w:val="28"/>
                <w:lang w:eastAsia="en-US"/>
              </w:rPr>
              <w:t>±</w:t>
            </w:r>
            <w:r w:rsidRPr="001A5F74">
              <w:rPr>
                <w:sz w:val="28"/>
                <w:szCs w:val="28"/>
                <w:lang w:val="uk-UA" w:eastAsia="en-US"/>
              </w:rPr>
              <w:t>0</w:t>
            </w:r>
            <w:r w:rsidRPr="001A5F74">
              <w:rPr>
                <w:sz w:val="28"/>
                <w:szCs w:val="28"/>
                <w:lang w:eastAsia="en-US"/>
              </w:rPr>
              <w:t>,3</w:t>
            </w:r>
            <w:r w:rsidRPr="001A5F74">
              <w:rPr>
                <w:sz w:val="28"/>
                <w:szCs w:val="28"/>
                <w:lang w:val="uk-UA" w:eastAsia="en-US"/>
              </w:rPr>
              <w:t>9</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8,73±</w:t>
            </w:r>
            <w:r w:rsidRPr="001A5F74">
              <w:rPr>
                <w:sz w:val="28"/>
                <w:szCs w:val="28"/>
                <w:lang w:val="uk-UA" w:eastAsia="en-US"/>
              </w:rPr>
              <w:t>0</w:t>
            </w:r>
            <w:r w:rsidRPr="001A5F74">
              <w:rPr>
                <w:sz w:val="28"/>
                <w:szCs w:val="28"/>
                <w:lang w:eastAsia="en-US"/>
              </w:rPr>
              <w:t>,65</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ФНП-α,</w:t>
            </w:r>
            <w:r w:rsidRPr="001A5F74">
              <w:rPr>
                <w:rStyle w:val="10"/>
                <w:rFonts w:eastAsiaTheme="majorEastAsia"/>
                <w:sz w:val="28"/>
                <w:szCs w:val="28"/>
                <w:lang w:val="uk-UA" w:eastAsia="en-US"/>
              </w:rPr>
              <w:t xml:space="preserve"> </w:t>
            </w:r>
            <w:r w:rsidRPr="001A5F74">
              <w:rPr>
                <w:rStyle w:val="xfm65112403"/>
                <w:sz w:val="28"/>
                <w:szCs w:val="28"/>
                <w:lang w:val="uk-UA" w:eastAsia="en-US"/>
              </w:rPr>
              <w:t>пг</w:t>
            </w:r>
            <w:r w:rsidRPr="001A5F74">
              <w:rPr>
                <w:sz w:val="28"/>
                <w:szCs w:val="28"/>
                <w:lang w:eastAsia="en-US"/>
              </w:rPr>
              <w:t>/</w:t>
            </w:r>
            <w:r w:rsidRPr="001A5F74">
              <w:rPr>
                <w:sz w:val="28"/>
                <w:szCs w:val="28"/>
                <w:lang w:val="uk-UA" w:eastAsia="en-US"/>
              </w:rPr>
              <w:t>мл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12,2</w:t>
            </w:r>
            <w:r w:rsidRPr="001A5F74">
              <w:rPr>
                <w:sz w:val="28"/>
                <w:szCs w:val="28"/>
                <w:lang w:val="uk-UA" w:eastAsia="en-US"/>
              </w:rPr>
              <w:t>3</w:t>
            </w:r>
            <w:r w:rsidRPr="001A5F74">
              <w:rPr>
                <w:sz w:val="28"/>
                <w:szCs w:val="28"/>
                <w:lang w:eastAsia="en-US"/>
              </w:rPr>
              <w:t>±</w:t>
            </w:r>
            <w:r w:rsidRPr="001A5F74">
              <w:rPr>
                <w:sz w:val="28"/>
                <w:szCs w:val="28"/>
                <w:lang w:val="uk-UA" w:eastAsia="en-US"/>
              </w:rPr>
              <w:t>0</w:t>
            </w:r>
            <w:r w:rsidRPr="001A5F74">
              <w:rPr>
                <w:sz w:val="28"/>
                <w:szCs w:val="28"/>
                <w:lang w:eastAsia="en-US"/>
              </w:rPr>
              <w:t>,8</w:t>
            </w:r>
            <w:r w:rsidRPr="001A5F74">
              <w:rPr>
                <w:sz w:val="28"/>
                <w:szCs w:val="28"/>
                <w:lang w:val="uk-UA" w:eastAsia="en-US"/>
              </w:rPr>
              <w:t>9</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11,</w:t>
            </w:r>
            <w:r w:rsidRPr="001A5F74">
              <w:rPr>
                <w:sz w:val="28"/>
                <w:szCs w:val="28"/>
                <w:lang w:val="uk-UA" w:eastAsia="en-US"/>
              </w:rPr>
              <w:t>80</w:t>
            </w:r>
            <w:r w:rsidRPr="001A5F74">
              <w:rPr>
                <w:sz w:val="28"/>
                <w:szCs w:val="28"/>
                <w:lang w:eastAsia="en-US"/>
              </w:rPr>
              <w:t>±</w:t>
            </w:r>
            <w:r w:rsidRPr="001A5F74">
              <w:rPr>
                <w:sz w:val="28"/>
                <w:szCs w:val="28"/>
                <w:lang w:val="uk-UA" w:eastAsia="en-US"/>
              </w:rPr>
              <w:t>0</w:t>
            </w:r>
            <w:r w:rsidRPr="001A5F74">
              <w:rPr>
                <w:sz w:val="28"/>
                <w:szCs w:val="28"/>
                <w:lang w:eastAsia="en-US"/>
              </w:rPr>
              <w:t>,7</w:t>
            </w:r>
            <w:r w:rsidRPr="001A5F74">
              <w:rPr>
                <w:sz w:val="28"/>
                <w:szCs w:val="28"/>
                <w:lang w:val="uk-UA" w:eastAsia="en-US"/>
              </w:rPr>
              <w:t>4</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13,40±</w:t>
            </w:r>
            <w:r w:rsidRPr="001A5F74">
              <w:rPr>
                <w:sz w:val="28"/>
                <w:szCs w:val="28"/>
                <w:lang w:val="uk-UA" w:eastAsia="en-US"/>
              </w:rPr>
              <w:t>0</w:t>
            </w:r>
            <w:r w:rsidRPr="001A5F74">
              <w:rPr>
                <w:sz w:val="28"/>
                <w:szCs w:val="28"/>
                <w:lang w:eastAsia="en-US"/>
              </w:rPr>
              <w:t>,7</w:t>
            </w:r>
            <w:r w:rsidRPr="001A5F74">
              <w:rPr>
                <w:sz w:val="28"/>
                <w:szCs w:val="28"/>
                <w:lang w:val="uk-UA" w:eastAsia="en-US"/>
              </w:rPr>
              <w:t>4</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9,24±</w:t>
            </w:r>
            <w:r w:rsidRPr="001A5F74">
              <w:rPr>
                <w:sz w:val="28"/>
                <w:szCs w:val="28"/>
                <w:lang w:val="uk-UA" w:eastAsia="en-US"/>
              </w:rPr>
              <w:t>0</w:t>
            </w:r>
            <w:r w:rsidRPr="001A5F74">
              <w:rPr>
                <w:sz w:val="28"/>
                <w:szCs w:val="28"/>
                <w:lang w:eastAsia="en-US"/>
              </w:rPr>
              <w:t>,4</w:t>
            </w:r>
            <w:r w:rsidRPr="001A5F74">
              <w:rPr>
                <w:sz w:val="28"/>
                <w:szCs w:val="28"/>
                <w:lang w:val="uk-UA" w:eastAsia="en-US"/>
              </w:rPr>
              <w:t>5</w:t>
            </w:r>
          </w:p>
          <w:p w:rsidR="00E3259F" w:rsidRPr="001A5F74" w:rsidRDefault="00E3259F" w:rsidP="001A5F74">
            <w:pPr>
              <w:spacing w:line="360" w:lineRule="auto"/>
              <w:rPr>
                <w:sz w:val="28"/>
                <w:szCs w:val="28"/>
                <w:lang w:val="uk-UA" w:eastAsia="en-US"/>
              </w:rPr>
            </w:pPr>
            <w:r w:rsidRPr="001A5F74">
              <w:rPr>
                <w:sz w:val="28"/>
                <w:szCs w:val="28"/>
                <w:lang w:val="uk-UA" w:eastAsia="en-US"/>
              </w:rPr>
              <w:t>р&lt;0</w:t>
            </w:r>
            <w:r w:rsidRPr="001A5F74">
              <w:rPr>
                <w:sz w:val="28"/>
                <w:szCs w:val="28"/>
                <w:lang w:eastAsia="en-US"/>
              </w:rPr>
              <w:t>,0</w:t>
            </w:r>
            <w:r w:rsidRPr="001A5F74">
              <w:rPr>
                <w:sz w:val="28"/>
                <w:szCs w:val="28"/>
                <w:lang w:val="uk-UA" w:eastAsia="en-US"/>
              </w:rPr>
              <w:t>01</w:t>
            </w:r>
          </w:p>
        </w:tc>
      </w:tr>
      <w:tr w:rsidR="001A5F74" w:rsidRPr="001A5F74" w:rsidTr="00E3259F">
        <w:tc>
          <w:tcPr>
            <w:tcW w:w="9565" w:type="dxa"/>
            <w:gridSpan w:val="5"/>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3 група</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ВЕФР,</w:t>
            </w:r>
            <w:r w:rsidRPr="001A5F74">
              <w:rPr>
                <w:rStyle w:val="10"/>
                <w:rFonts w:eastAsiaTheme="majorEastAsia"/>
                <w:sz w:val="28"/>
                <w:szCs w:val="28"/>
                <w:lang w:val="uk-UA" w:eastAsia="en-US"/>
              </w:rPr>
              <w:t xml:space="preserve"> </w:t>
            </w:r>
            <w:r w:rsidRPr="001A5F74">
              <w:rPr>
                <w:rStyle w:val="xfm65112403"/>
                <w:sz w:val="28"/>
                <w:szCs w:val="28"/>
                <w:lang w:val="uk-UA" w:eastAsia="en-US"/>
              </w:rPr>
              <w:t>пг</w:t>
            </w:r>
            <w:r w:rsidRPr="001A5F74">
              <w:rPr>
                <w:sz w:val="28"/>
                <w:szCs w:val="28"/>
                <w:lang w:eastAsia="en-US"/>
              </w:rPr>
              <w:t>/</w:t>
            </w:r>
            <w:r w:rsidRPr="001A5F74">
              <w:rPr>
                <w:sz w:val="28"/>
                <w:szCs w:val="28"/>
                <w:lang w:val="uk-UA" w:eastAsia="en-US"/>
              </w:rPr>
              <w:t>мл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535,</w:t>
            </w:r>
            <w:r w:rsidRPr="001A5F74">
              <w:rPr>
                <w:sz w:val="28"/>
                <w:szCs w:val="28"/>
                <w:lang w:val="uk-UA" w:eastAsia="en-US"/>
              </w:rPr>
              <w:t>30</w:t>
            </w:r>
            <w:r w:rsidRPr="001A5F74">
              <w:rPr>
                <w:sz w:val="28"/>
                <w:szCs w:val="28"/>
                <w:lang w:eastAsia="en-US"/>
              </w:rPr>
              <w:t>±45,8</w:t>
            </w:r>
            <w:r w:rsidRPr="001A5F74">
              <w:rPr>
                <w:sz w:val="28"/>
                <w:szCs w:val="28"/>
                <w:lang w:val="uk-UA" w:eastAsia="en-US"/>
              </w:rPr>
              <w:t>3</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374,9</w:t>
            </w:r>
            <w:r w:rsidRPr="001A5F74">
              <w:rPr>
                <w:sz w:val="28"/>
                <w:szCs w:val="28"/>
                <w:lang w:val="uk-UA" w:eastAsia="en-US"/>
              </w:rPr>
              <w:t>2</w:t>
            </w:r>
            <w:r w:rsidRPr="001A5F74">
              <w:rPr>
                <w:sz w:val="28"/>
                <w:szCs w:val="28"/>
                <w:lang w:eastAsia="en-US"/>
              </w:rPr>
              <w:t>±30,84</w:t>
            </w:r>
          </w:p>
          <w:p w:rsidR="00E3259F" w:rsidRPr="001A5F74" w:rsidRDefault="00E3259F" w:rsidP="001A5F74">
            <w:pPr>
              <w:spacing w:line="360" w:lineRule="auto"/>
              <w:rPr>
                <w:sz w:val="28"/>
                <w:szCs w:val="28"/>
                <w:lang w:val="uk-UA" w:eastAsia="en-US"/>
              </w:rPr>
            </w:pPr>
            <w:r w:rsidRPr="001A5F74">
              <w:rPr>
                <w:sz w:val="28"/>
                <w:szCs w:val="28"/>
                <w:lang w:val="uk-UA" w:eastAsia="en-US"/>
              </w:rPr>
              <w:t>р=0</w:t>
            </w:r>
            <w:r w:rsidRPr="001A5F74">
              <w:rPr>
                <w:sz w:val="28"/>
                <w:szCs w:val="28"/>
                <w:lang w:eastAsia="en-US"/>
              </w:rPr>
              <w:t>,006</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522,3</w:t>
            </w:r>
            <w:r w:rsidRPr="001A5F74">
              <w:rPr>
                <w:sz w:val="28"/>
                <w:szCs w:val="28"/>
                <w:lang w:val="uk-UA" w:eastAsia="en-US"/>
              </w:rPr>
              <w:t>6</w:t>
            </w:r>
            <w:r w:rsidRPr="001A5F74">
              <w:rPr>
                <w:sz w:val="28"/>
                <w:szCs w:val="28"/>
                <w:lang w:eastAsia="en-US"/>
              </w:rPr>
              <w:t>±37,23</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416,8</w:t>
            </w:r>
            <w:r w:rsidRPr="001A5F74">
              <w:rPr>
                <w:sz w:val="28"/>
                <w:szCs w:val="28"/>
                <w:lang w:val="uk-UA" w:eastAsia="en-US"/>
              </w:rPr>
              <w:t>6</w:t>
            </w:r>
            <w:r w:rsidRPr="001A5F74">
              <w:rPr>
                <w:sz w:val="28"/>
                <w:szCs w:val="28"/>
                <w:lang w:eastAsia="en-US"/>
              </w:rPr>
              <w:t>±40,7</w:t>
            </w:r>
            <w:r w:rsidRPr="001A5F74">
              <w:rPr>
                <w:sz w:val="28"/>
                <w:szCs w:val="28"/>
                <w:lang w:val="uk-UA" w:eastAsia="en-US"/>
              </w:rPr>
              <w:t>6</w:t>
            </w:r>
          </w:p>
          <w:p w:rsidR="00E3259F" w:rsidRPr="001A5F74" w:rsidRDefault="001A5F74" w:rsidP="001A5F74">
            <w:pPr>
              <w:spacing w:line="360" w:lineRule="auto"/>
              <w:rPr>
                <w:sz w:val="28"/>
                <w:szCs w:val="28"/>
                <w:lang w:val="uk-UA" w:eastAsia="en-US"/>
              </w:rPr>
            </w:pPr>
            <w:r w:rsidRPr="001A5F74">
              <w:rPr>
                <w:sz w:val="28"/>
                <w:szCs w:val="28"/>
                <w:shd w:val="clear" w:color="auto" w:fill="FFFFFF"/>
                <w:lang w:val="uk-UA" w:eastAsia="en-US"/>
              </w:rPr>
              <w:t>р&gt;0,05</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ЦДЕК,</w:t>
            </w:r>
            <w:r w:rsidRPr="001A5F74">
              <w:rPr>
                <w:rFonts w:eastAsia="TimesNewRomanPSMT"/>
                <w:sz w:val="28"/>
                <w:szCs w:val="28"/>
                <w:lang w:val="en-US" w:eastAsia="en-US"/>
              </w:rPr>
              <w:t xml:space="preserve"> кл</w:t>
            </w:r>
            <w:r w:rsidRPr="001A5F74">
              <w:rPr>
                <w:rFonts w:eastAsia="TimesNewRomanPSMT"/>
                <w:sz w:val="28"/>
                <w:szCs w:val="28"/>
                <w:lang w:eastAsia="en-US"/>
              </w:rPr>
              <w:t xml:space="preserve">./100 </w:t>
            </w:r>
            <w:r w:rsidRPr="001A5F74">
              <w:rPr>
                <w:rFonts w:eastAsia="TimesNewRomanPSMT"/>
                <w:sz w:val="28"/>
                <w:szCs w:val="28"/>
                <w:lang w:val="en-US" w:eastAsia="en-US"/>
              </w:rPr>
              <w:t>мкл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10,57±</w:t>
            </w:r>
            <w:r w:rsidRPr="001A5F74">
              <w:rPr>
                <w:sz w:val="28"/>
                <w:szCs w:val="28"/>
                <w:lang w:val="uk-UA" w:eastAsia="en-US"/>
              </w:rPr>
              <w:t>0</w:t>
            </w:r>
            <w:r w:rsidRPr="001A5F74">
              <w:rPr>
                <w:sz w:val="28"/>
                <w:szCs w:val="28"/>
                <w:lang w:eastAsia="en-US"/>
              </w:rPr>
              <w:t>,73</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11,00±</w:t>
            </w:r>
            <w:r w:rsidRPr="001A5F74">
              <w:rPr>
                <w:sz w:val="28"/>
                <w:szCs w:val="28"/>
                <w:lang w:val="uk-UA" w:eastAsia="en-US"/>
              </w:rPr>
              <w:t>0</w:t>
            </w:r>
            <w:r w:rsidRPr="001A5F74">
              <w:rPr>
                <w:sz w:val="28"/>
                <w:szCs w:val="28"/>
                <w:lang w:eastAsia="en-US"/>
              </w:rPr>
              <w:t>,69</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11,00±</w:t>
            </w:r>
            <w:r w:rsidRPr="001A5F74">
              <w:rPr>
                <w:sz w:val="28"/>
                <w:szCs w:val="28"/>
                <w:lang w:val="uk-UA" w:eastAsia="en-US"/>
              </w:rPr>
              <w:t>0</w:t>
            </w:r>
            <w:r w:rsidRPr="001A5F74">
              <w:rPr>
                <w:sz w:val="28"/>
                <w:szCs w:val="28"/>
                <w:lang w:eastAsia="en-US"/>
              </w:rPr>
              <w:t>,7</w:t>
            </w:r>
            <w:r w:rsidRPr="001A5F74">
              <w:rPr>
                <w:sz w:val="28"/>
                <w:szCs w:val="28"/>
                <w:lang w:val="uk-UA" w:eastAsia="en-US"/>
              </w:rPr>
              <w:t>5</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10,10±</w:t>
            </w:r>
            <w:r w:rsidRPr="001A5F74">
              <w:rPr>
                <w:sz w:val="28"/>
                <w:szCs w:val="28"/>
                <w:lang w:val="uk-UA" w:eastAsia="en-US"/>
              </w:rPr>
              <w:t>0</w:t>
            </w:r>
            <w:r w:rsidRPr="001A5F74">
              <w:rPr>
                <w:sz w:val="28"/>
                <w:szCs w:val="28"/>
                <w:lang w:eastAsia="en-US"/>
              </w:rPr>
              <w:t>,73</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СРП,</w:t>
            </w:r>
            <w:r w:rsidRPr="001A5F74">
              <w:rPr>
                <w:sz w:val="28"/>
                <w:szCs w:val="28"/>
                <w:lang w:val="uk-UA" w:eastAsia="en-US"/>
              </w:rPr>
              <w:t xml:space="preserve"> </w:t>
            </w:r>
            <w:r w:rsidRPr="001A5F74">
              <w:rPr>
                <w:sz w:val="28"/>
                <w:szCs w:val="28"/>
                <w:lang w:eastAsia="en-US"/>
              </w:rPr>
              <w:t>мг/л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8,25±</w:t>
            </w:r>
            <w:r w:rsidRPr="001A5F74">
              <w:rPr>
                <w:sz w:val="28"/>
                <w:szCs w:val="28"/>
                <w:lang w:val="uk-UA" w:eastAsia="en-US"/>
              </w:rPr>
              <w:t>0</w:t>
            </w:r>
            <w:r w:rsidRPr="001A5F74">
              <w:rPr>
                <w:sz w:val="28"/>
                <w:szCs w:val="28"/>
                <w:lang w:eastAsia="en-US"/>
              </w:rPr>
              <w:t>,</w:t>
            </w:r>
            <w:r w:rsidRPr="001A5F74">
              <w:rPr>
                <w:sz w:val="28"/>
                <w:szCs w:val="28"/>
                <w:lang w:val="uk-UA" w:eastAsia="en-US"/>
              </w:rPr>
              <w:t>50</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8,31±</w:t>
            </w:r>
            <w:r w:rsidRPr="001A5F74">
              <w:rPr>
                <w:sz w:val="28"/>
                <w:szCs w:val="28"/>
                <w:lang w:val="uk-UA" w:eastAsia="en-US"/>
              </w:rPr>
              <w:t>0</w:t>
            </w:r>
            <w:r w:rsidRPr="001A5F74">
              <w:rPr>
                <w:sz w:val="28"/>
                <w:szCs w:val="28"/>
                <w:lang w:eastAsia="en-US"/>
              </w:rPr>
              <w:t>,75</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7,9</w:t>
            </w:r>
            <w:r w:rsidRPr="001A5F74">
              <w:rPr>
                <w:sz w:val="28"/>
                <w:szCs w:val="28"/>
                <w:lang w:val="uk-UA" w:eastAsia="en-US"/>
              </w:rPr>
              <w:t>5</w:t>
            </w:r>
            <w:r w:rsidRPr="001A5F74">
              <w:rPr>
                <w:sz w:val="28"/>
                <w:szCs w:val="28"/>
                <w:lang w:eastAsia="en-US"/>
              </w:rPr>
              <w:t>±</w:t>
            </w:r>
            <w:r w:rsidRPr="001A5F74">
              <w:rPr>
                <w:sz w:val="28"/>
                <w:szCs w:val="28"/>
                <w:lang w:val="uk-UA" w:eastAsia="en-US"/>
              </w:rPr>
              <w:t>0</w:t>
            </w:r>
            <w:r w:rsidRPr="001A5F74">
              <w:rPr>
                <w:sz w:val="28"/>
                <w:szCs w:val="28"/>
                <w:lang w:eastAsia="en-US"/>
              </w:rPr>
              <w:t>,43</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9,00±</w:t>
            </w:r>
            <w:r w:rsidRPr="001A5F74">
              <w:rPr>
                <w:sz w:val="28"/>
                <w:szCs w:val="28"/>
                <w:lang w:val="uk-UA" w:eastAsia="en-US"/>
              </w:rPr>
              <w:t>0</w:t>
            </w:r>
            <w:r w:rsidRPr="001A5F74">
              <w:rPr>
                <w:sz w:val="28"/>
                <w:szCs w:val="28"/>
                <w:lang w:eastAsia="en-US"/>
              </w:rPr>
              <w:t>,8</w:t>
            </w:r>
            <w:r w:rsidRPr="001A5F74">
              <w:rPr>
                <w:sz w:val="28"/>
                <w:szCs w:val="28"/>
                <w:lang w:val="uk-UA" w:eastAsia="en-US"/>
              </w:rPr>
              <w:t>6</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r>
      <w:tr w:rsidR="001A5F74" w:rsidRPr="001A5F74" w:rsidTr="00E3259F">
        <w:tc>
          <w:tcPr>
            <w:tcW w:w="209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rStyle w:val="tlid-translation"/>
                <w:rFonts w:eastAsiaTheme="majorEastAsia"/>
                <w:sz w:val="28"/>
                <w:szCs w:val="28"/>
                <w:lang w:val="uk-UA" w:eastAsia="en-US"/>
              </w:rPr>
              <w:t>ФНП-α,</w:t>
            </w:r>
            <w:r w:rsidRPr="001A5F74">
              <w:rPr>
                <w:rStyle w:val="10"/>
                <w:rFonts w:eastAsiaTheme="majorEastAsia"/>
                <w:sz w:val="28"/>
                <w:szCs w:val="28"/>
                <w:lang w:val="uk-UA" w:eastAsia="en-US"/>
              </w:rPr>
              <w:t xml:space="preserve"> </w:t>
            </w:r>
            <w:r w:rsidRPr="001A5F74">
              <w:rPr>
                <w:rStyle w:val="xfm65112403"/>
                <w:sz w:val="28"/>
                <w:szCs w:val="28"/>
                <w:lang w:val="uk-UA" w:eastAsia="en-US"/>
              </w:rPr>
              <w:t>пг</w:t>
            </w:r>
            <w:r w:rsidRPr="001A5F74">
              <w:rPr>
                <w:sz w:val="28"/>
                <w:szCs w:val="28"/>
                <w:lang w:eastAsia="en-US"/>
              </w:rPr>
              <w:t>/</w:t>
            </w:r>
            <w:r w:rsidRPr="001A5F74">
              <w:rPr>
                <w:sz w:val="28"/>
                <w:szCs w:val="28"/>
                <w:lang w:val="uk-UA" w:eastAsia="en-US"/>
              </w:rPr>
              <w:t>мл</w:t>
            </w:r>
          </w:p>
        </w:tc>
        <w:tc>
          <w:tcPr>
            <w:tcW w:w="1843"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12,5</w:t>
            </w:r>
            <w:r w:rsidRPr="001A5F74">
              <w:rPr>
                <w:sz w:val="28"/>
                <w:szCs w:val="28"/>
                <w:lang w:val="uk-UA" w:eastAsia="en-US"/>
              </w:rPr>
              <w:t>4</w:t>
            </w:r>
            <w:r w:rsidRPr="001A5F74">
              <w:rPr>
                <w:sz w:val="28"/>
                <w:szCs w:val="28"/>
                <w:lang w:eastAsia="en-US"/>
              </w:rPr>
              <w:t>±</w:t>
            </w:r>
            <w:r w:rsidRPr="001A5F74">
              <w:rPr>
                <w:sz w:val="28"/>
                <w:szCs w:val="28"/>
                <w:lang w:val="uk-UA" w:eastAsia="en-US"/>
              </w:rPr>
              <w:t>0</w:t>
            </w:r>
            <w:r w:rsidRPr="001A5F74">
              <w:rPr>
                <w:sz w:val="28"/>
                <w:szCs w:val="28"/>
                <w:lang w:eastAsia="en-US"/>
              </w:rPr>
              <w:t>,78</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11,2</w:t>
            </w:r>
            <w:r w:rsidRPr="001A5F74">
              <w:rPr>
                <w:sz w:val="28"/>
                <w:szCs w:val="28"/>
                <w:lang w:val="uk-UA" w:eastAsia="en-US"/>
              </w:rPr>
              <w:t>4</w:t>
            </w:r>
            <w:r w:rsidRPr="001A5F74">
              <w:rPr>
                <w:sz w:val="28"/>
                <w:szCs w:val="28"/>
                <w:lang w:eastAsia="en-US"/>
              </w:rPr>
              <w:t>±</w:t>
            </w:r>
            <w:r w:rsidRPr="001A5F74">
              <w:rPr>
                <w:sz w:val="28"/>
                <w:szCs w:val="28"/>
                <w:lang w:val="uk-UA" w:eastAsia="en-US"/>
              </w:rPr>
              <w:t>0</w:t>
            </w:r>
            <w:r w:rsidRPr="001A5F74">
              <w:rPr>
                <w:sz w:val="28"/>
                <w:szCs w:val="28"/>
                <w:lang w:eastAsia="en-US"/>
              </w:rPr>
              <w:t>,8</w:t>
            </w:r>
            <w:r w:rsidRPr="001A5F74">
              <w:rPr>
                <w:sz w:val="28"/>
                <w:szCs w:val="28"/>
                <w:lang w:val="uk-UA" w:eastAsia="en-US"/>
              </w:rPr>
              <w:t>2</w:t>
            </w:r>
          </w:p>
          <w:p w:rsidR="00E3259F" w:rsidRPr="001A5F74" w:rsidRDefault="00E3259F" w:rsidP="001A5F74">
            <w:pPr>
              <w:spacing w:line="360" w:lineRule="auto"/>
              <w:rPr>
                <w:sz w:val="28"/>
                <w:szCs w:val="28"/>
                <w:lang w:val="uk-UA" w:eastAsia="en-US"/>
              </w:rPr>
            </w:pPr>
            <w:r w:rsidRPr="001A5F74">
              <w:rPr>
                <w:sz w:val="28"/>
                <w:szCs w:val="28"/>
                <w:shd w:val="clear" w:color="auto" w:fill="FFFFFF"/>
                <w:lang w:val="uk-UA" w:eastAsia="en-US"/>
              </w:rPr>
              <w:t>р&gt;0,05</w:t>
            </w:r>
          </w:p>
        </w:tc>
        <w:tc>
          <w:tcPr>
            <w:tcW w:w="1995"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eastAsia="en-US"/>
              </w:rPr>
              <w:t>12,82±</w:t>
            </w:r>
            <w:r w:rsidRPr="001A5F74">
              <w:rPr>
                <w:sz w:val="28"/>
                <w:szCs w:val="28"/>
                <w:lang w:val="uk-UA" w:eastAsia="en-US"/>
              </w:rPr>
              <w:t>0</w:t>
            </w:r>
            <w:r w:rsidRPr="001A5F74">
              <w:rPr>
                <w:sz w:val="28"/>
                <w:szCs w:val="28"/>
                <w:lang w:eastAsia="en-US"/>
              </w:rPr>
              <w:t>,56</w:t>
            </w:r>
          </w:p>
        </w:tc>
        <w:tc>
          <w:tcPr>
            <w:tcW w:w="1817"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eastAsia="en-US"/>
              </w:rPr>
              <w:t>12,</w:t>
            </w:r>
            <w:r w:rsidRPr="001A5F74">
              <w:rPr>
                <w:sz w:val="28"/>
                <w:szCs w:val="28"/>
                <w:lang w:val="uk-UA" w:eastAsia="en-US"/>
              </w:rPr>
              <w:t>40</w:t>
            </w:r>
            <w:r w:rsidRPr="001A5F74">
              <w:rPr>
                <w:sz w:val="28"/>
                <w:szCs w:val="28"/>
                <w:lang w:eastAsia="en-US"/>
              </w:rPr>
              <w:t>±</w:t>
            </w:r>
            <w:r w:rsidRPr="001A5F74">
              <w:rPr>
                <w:sz w:val="28"/>
                <w:szCs w:val="28"/>
                <w:lang w:val="uk-UA" w:eastAsia="en-US"/>
              </w:rPr>
              <w:t>0</w:t>
            </w:r>
            <w:r w:rsidRPr="001A5F74">
              <w:rPr>
                <w:sz w:val="28"/>
                <w:szCs w:val="28"/>
                <w:lang w:eastAsia="en-US"/>
              </w:rPr>
              <w:t>,</w:t>
            </w:r>
            <w:r w:rsidRPr="001A5F74">
              <w:rPr>
                <w:sz w:val="28"/>
                <w:szCs w:val="28"/>
                <w:lang w:val="uk-UA" w:eastAsia="en-US"/>
              </w:rPr>
              <w:t>60</w:t>
            </w:r>
          </w:p>
          <w:p w:rsidR="00E3259F" w:rsidRPr="001A5F74" w:rsidRDefault="00E3259F" w:rsidP="001A5F74">
            <w:pPr>
              <w:spacing w:line="360" w:lineRule="auto"/>
              <w:jc w:val="both"/>
              <w:rPr>
                <w:sz w:val="28"/>
                <w:szCs w:val="28"/>
                <w:lang w:val="uk-UA" w:eastAsia="en-US"/>
              </w:rPr>
            </w:pPr>
            <w:r w:rsidRPr="001A5F74">
              <w:rPr>
                <w:sz w:val="28"/>
                <w:szCs w:val="28"/>
                <w:shd w:val="clear" w:color="auto" w:fill="FFFFFF"/>
                <w:lang w:val="uk-UA" w:eastAsia="en-US"/>
              </w:rPr>
              <w:t>р&gt;0,05</w:t>
            </w:r>
          </w:p>
        </w:tc>
      </w:tr>
    </w:tbl>
    <w:p w:rsidR="00E3259F" w:rsidRPr="001A5F74" w:rsidRDefault="00E3259F" w:rsidP="001A5F74">
      <w:pPr>
        <w:spacing w:line="360" w:lineRule="auto"/>
        <w:jc w:val="both"/>
        <w:rPr>
          <w:rStyle w:val="tlid-translation"/>
          <w:rFonts w:eastAsiaTheme="majorEastAsia"/>
          <w:sz w:val="28"/>
          <w:szCs w:val="28"/>
          <w:lang w:val="uk-UA" w:eastAsia="en-US"/>
        </w:rPr>
      </w:pPr>
      <w:r w:rsidRPr="001A5F74">
        <w:rPr>
          <w:sz w:val="28"/>
          <w:szCs w:val="28"/>
          <w:lang w:val="uk-UA"/>
        </w:rPr>
        <w:t>Примітка: р</w:t>
      </w:r>
      <w:r w:rsidRPr="001A5F74">
        <w:rPr>
          <w:sz w:val="28"/>
          <w:szCs w:val="28"/>
          <w:vertAlign w:val="subscript"/>
          <w:lang w:val="uk-UA"/>
        </w:rPr>
        <w:t xml:space="preserve"> -</w:t>
      </w:r>
      <w:r w:rsidRPr="001A5F74">
        <w:rPr>
          <w:sz w:val="28"/>
          <w:szCs w:val="28"/>
          <w:lang w:val="uk-UA"/>
        </w:rPr>
        <w:t xml:space="preserve">  рівень значущості відмінностей при порівнянні показника при короткої ВДТ та довгої ВДТ </w:t>
      </w:r>
      <w:r w:rsidR="001A5F74" w:rsidRPr="001A5F74">
        <w:rPr>
          <w:sz w:val="28"/>
          <w:szCs w:val="28"/>
          <w:lang w:val="uk-UA"/>
        </w:rPr>
        <w:t>в групі</w:t>
      </w:r>
    </w:p>
    <w:p w:rsidR="001A5F74" w:rsidRPr="001A5F74" w:rsidRDefault="001A5F74" w:rsidP="001A5F74">
      <w:pPr>
        <w:spacing w:line="360" w:lineRule="auto"/>
        <w:ind w:firstLine="709"/>
        <w:jc w:val="both"/>
        <w:rPr>
          <w:sz w:val="28"/>
          <w:szCs w:val="28"/>
          <w:lang w:val="uk-UA"/>
        </w:rPr>
      </w:pPr>
      <w:r w:rsidRPr="001A5F74">
        <w:rPr>
          <w:rFonts w:eastAsia="TimesNewRomanPSMT"/>
          <w:sz w:val="28"/>
          <w:szCs w:val="28"/>
          <w:lang w:val="uk-UA"/>
        </w:rPr>
        <w:t xml:space="preserve">У групі 3 </w:t>
      </w:r>
      <w:r w:rsidRPr="001A5F74">
        <w:rPr>
          <w:sz w:val="28"/>
          <w:szCs w:val="28"/>
          <w:lang w:val="uk-UA"/>
        </w:rPr>
        <w:t>у хворих з короткою ВДТ крові</w:t>
      </w:r>
      <w:r w:rsidRPr="001A5F74">
        <w:rPr>
          <w:rFonts w:eastAsia="TimesNewRomanPSMT"/>
          <w:sz w:val="28"/>
          <w:szCs w:val="28"/>
          <w:lang w:val="uk-UA"/>
        </w:rPr>
        <w:t xml:space="preserve"> </w:t>
      </w:r>
      <w:r w:rsidRPr="001A5F74">
        <w:rPr>
          <w:sz w:val="28"/>
          <w:szCs w:val="28"/>
          <w:lang w:val="uk-UA"/>
        </w:rPr>
        <w:t>спостерігались</w:t>
      </w:r>
      <w:r w:rsidRPr="001A5F74">
        <w:rPr>
          <w:rFonts w:eastAsia="TimesNewRomanPSMT"/>
          <w:sz w:val="28"/>
          <w:szCs w:val="28"/>
          <w:lang w:val="uk-UA"/>
        </w:rPr>
        <w:t xml:space="preserve"> достовірно вищі рівні ВЕФР (535,30±45,83 </w:t>
      </w:r>
      <w:r w:rsidRPr="001A5F74">
        <w:rPr>
          <w:rStyle w:val="xfm65112403"/>
          <w:rFonts w:eastAsiaTheme="majorEastAsia"/>
          <w:sz w:val="28"/>
          <w:szCs w:val="28"/>
          <w:lang w:val="uk-UA"/>
        </w:rPr>
        <w:t>пг</w:t>
      </w:r>
      <w:r w:rsidRPr="001A5F74">
        <w:rPr>
          <w:sz w:val="28"/>
          <w:szCs w:val="28"/>
          <w:lang w:val="uk-UA"/>
        </w:rPr>
        <w:t>/мл проти 374,92±30,84</w:t>
      </w:r>
      <w:r w:rsidRPr="001A5F74">
        <w:rPr>
          <w:rStyle w:val="10"/>
          <w:rFonts w:eastAsiaTheme="majorEastAsia"/>
          <w:lang w:val="uk-UA"/>
        </w:rPr>
        <w:t xml:space="preserve"> </w:t>
      </w:r>
      <w:r w:rsidRPr="001A5F74">
        <w:rPr>
          <w:rStyle w:val="xfm65112403"/>
          <w:rFonts w:eastAsiaTheme="majorEastAsia"/>
          <w:sz w:val="28"/>
          <w:szCs w:val="28"/>
          <w:lang w:val="uk-UA"/>
        </w:rPr>
        <w:t>пг</w:t>
      </w:r>
      <w:r w:rsidRPr="001A5F74">
        <w:rPr>
          <w:sz w:val="28"/>
          <w:szCs w:val="28"/>
          <w:lang w:val="uk-UA"/>
        </w:rPr>
        <w:t>/мл, р=0,006) ніж при довгій ВДТ крові.</w:t>
      </w:r>
    </w:p>
    <w:p w:rsidR="00E3259F" w:rsidRPr="001A5F74" w:rsidRDefault="00E3259F" w:rsidP="001A5F74">
      <w:pPr>
        <w:spacing w:line="360" w:lineRule="auto"/>
        <w:ind w:firstLine="709"/>
        <w:jc w:val="both"/>
        <w:rPr>
          <w:sz w:val="28"/>
          <w:szCs w:val="28"/>
          <w:lang w:val="uk-UA"/>
        </w:rPr>
      </w:pPr>
      <w:r w:rsidRPr="001A5F74">
        <w:rPr>
          <w:sz w:val="28"/>
          <w:szCs w:val="28"/>
          <w:lang w:val="uk-UA"/>
        </w:rPr>
        <w:t xml:space="preserve">Наявність коротких теломер у пацієнтів з коморбідною патологією, асоціювалася з посиленням процесів хронічного системного запалення, порівняно з пацієнтами з довгою ВДТ, незалежно від функціонального стану ЩЗ, проте достовірні відмінності спостерігались лише в групі 2 при порівнянні ВДТ клітин буквально епітелію (ФНП-α - 13,40±0,74 </w:t>
      </w:r>
      <w:r w:rsidRPr="001A5F74">
        <w:rPr>
          <w:rStyle w:val="xfm65112403"/>
          <w:rFonts w:eastAsiaTheme="majorEastAsia"/>
          <w:sz w:val="28"/>
          <w:szCs w:val="28"/>
          <w:lang w:val="uk-UA"/>
        </w:rPr>
        <w:t>пг</w:t>
      </w:r>
      <w:r w:rsidRPr="001A5F74">
        <w:rPr>
          <w:sz w:val="28"/>
          <w:szCs w:val="28"/>
          <w:lang w:val="uk-UA"/>
        </w:rPr>
        <w:t>/мл проти 9,24±0,45, р&lt;0,001).</w:t>
      </w:r>
    </w:p>
    <w:p w:rsidR="00E3259F" w:rsidRPr="001A5F74" w:rsidRDefault="00E3259F" w:rsidP="001A5F74">
      <w:pPr>
        <w:spacing w:line="360" w:lineRule="auto"/>
        <w:ind w:firstLine="709"/>
        <w:jc w:val="both"/>
        <w:rPr>
          <w:sz w:val="28"/>
          <w:szCs w:val="28"/>
          <w:lang w:val="uk-UA"/>
        </w:rPr>
      </w:pPr>
      <w:r w:rsidRPr="001A5F74">
        <w:rPr>
          <w:sz w:val="28"/>
          <w:szCs w:val="28"/>
          <w:lang w:val="uk-UA"/>
        </w:rPr>
        <w:t xml:space="preserve">     Проведення кореляційного аналізу виявило значну кількість зв`язків між ВДТ крові та букального епітелію й антропометричними, метаболічними показниками, маркерами ЕД та ОС, що досліджуються. У таблиці 6.9 представлені кореляційні зв`язки, що мають статистичну значимість. Так було виявлено, що ВДТ як крові, так і клітин букального епітелію має значну кількість узаємозв`язків різної сили та спрямованості з показниками ліпідного обміну, вуглеводного обміну, гормонами ЩЗ, ІР, ТКІМ ЗСА, показниками ОС та ЕД (ВЕФР) передусім у групі 1 та 2 пацієнтів. Наявність більшої кількості зв`язків з досліджувальними показниками в  групі 2 є ще одним доказом на користь сукупного неативного впливу ГХ та ЦД 2 типу на більшість патогенетичних ланок при коморбідному перебігу,  в тому числі і вплив на процеси судинного старіння. Наявність СГТ в  групі 3 супроводжується зміною напрямку кореляційного зв`язку  між ВДТ крові та ВЕФР (</w:t>
      </w:r>
      <w:r w:rsidRPr="001A5F74">
        <w:rPr>
          <w:sz w:val="28"/>
          <w:szCs w:val="28"/>
          <w:lang w:val="en-US"/>
        </w:rPr>
        <w:t>r</w:t>
      </w:r>
      <w:r w:rsidRPr="001A5F74">
        <w:rPr>
          <w:sz w:val="28"/>
          <w:szCs w:val="28"/>
          <w:lang w:val="uk-UA"/>
        </w:rPr>
        <w:t xml:space="preserve">=-0,251, р=0,015) та між ВДТ кліт. бук.епіт та індексу </w:t>
      </w:r>
      <w:r w:rsidRPr="001A5F74">
        <w:rPr>
          <w:sz w:val="28"/>
          <w:szCs w:val="28"/>
          <w:lang w:val="en-US"/>
        </w:rPr>
        <w:t>HOMA</w:t>
      </w:r>
      <w:r w:rsidRPr="001A5F74">
        <w:rPr>
          <w:sz w:val="28"/>
          <w:szCs w:val="28"/>
          <w:lang w:val="uk-UA"/>
        </w:rPr>
        <w:t>-</w:t>
      </w:r>
      <w:r w:rsidRPr="001A5F74">
        <w:rPr>
          <w:sz w:val="28"/>
          <w:szCs w:val="28"/>
          <w:lang w:val="en-US"/>
        </w:rPr>
        <w:t>IR</w:t>
      </w:r>
      <w:r w:rsidRPr="001A5F74">
        <w:rPr>
          <w:sz w:val="28"/>
          <w:szCs w:val="28"/>
          <w:lang w:val="uk-UA"/>
        </w:rPr>
        <w:t xml:space="preserve"> (</w:t>
      </w:r>
      <w:r w:rsidRPr="001A5F74">
        <w:rPr>
          <w:sz w:val="28"/>
          <w:szCs w:val="28"/>
          <w:lang w:val="en-US"/>
        </w:rPr>
        <w:t>r</w:t>
      </w:r>
      <w:r w:rsidRPr="001A5F74">
        <w:rPr>
          <w:sz w:val="28"/>
          <w:szCs w:val="28"/>
          <w:lang w:val="uk-UA"/>
        </w:rPr>
        <w:t>=0,211,</w:t>
      </w:r>
      <w:r w:rsidR="001A5F74">
        <w:rPr>
          <w:sz w:val="28"/>
          <w:szCs w:val="28"/>
          <w:lang w:val="uk-UA"/>
        </w:rPr>
        <w:t xml:space="preserve"> </w:t>
      </w:r>
      <w:r w:rsidRPr="001A5F74">
        <w:rPr>
          <w:sz w:val="28"/>
          <w:szCs w:val="28"/>
          <w:lang w:val="uk-UA"/>
        </w:rPr>
        <w:t>р=0,042) порівняно з 2 групою (ВДТ крові-ВЕФР (</w:t>
      </w:r>
      <w:r w:rsidRPr="001A5F74">
        <w:rPr>
          <w:sz w:val="28"/>
          <w:szCs w:val="28"/>
          <w:lang w:val="en-US"/>
        </w:rPr>
        <w:t>r</w:t>
      </w:r>
      <w:r w:rsidRPr="001A5F74">
        <w:rPr>
          <w:sz w:val="28"/>
          <w:szCs w:val="28"/>
          <w:lang w:val="uk-UA"/>
        </w:rPr>
        <w:t>=0,174, р=0,030) та ВДТ кліт. бук.епіт-</w:t>
      </w:r>
      <w:r w:rsidRPr="001A5F74">
        <w:rPr>
          <w:sz w:val="28"/>
          <w:szCs w:val="28"/>
          <w:lang w:val="en-US"/>
        </w:rPr>
        <w:t>HOMA</w:t>
      </w:r>
      <w:r w:rsidRPr="001A5F74">
        <w:rPr>
          <w:sz w:val="28"/>
          <w:szCs w:val="28"/>
          <w:lang w:val="uk-UA"/>
        </w:rPr>
        <w:t>-</w:t>
      </w:r>
      <w:r w:rsidRPr="001A5F74">
        <w:rPr>
          <w:sz w:val="28"/>
          <w:szCs w:val="28"/>
          <w:lang w:val="en-US"/>
        </w:rPr>
        <w:t>IR</w:t>
      </w:r>
      <w:r w:rsidRPr="001A5F74">
        <w:rPr>
          <w:sz w:val="28"/>
          <w:szCs w:val="28"/>
          <w:lang w:val="uk-UA"/>
        </w:rPr>
        <w:t xml:space="preserve"> (</w:t>
      </w:r>
      <w:r w:rsidRPr="001A5F74">
        <w:rPr>
          <w:sz w:val="28"/>
          <w:szCs w:val="28"/>
          <w:lang w:val="en-US"/>
        </w:rPr>
        <w:t>r</w:t>
      </w:r>
      <w:r w:rsidRPr="001A5F74">
        <w:rPr>
          <w:sz w:val="28"/>
          <w:szCs w:val="28"/>
          <w:lang w:val="uk-UA"/>
        </w:rPr>
        <w:t>=-0,172,</w:t>
      </w:r>
      <w:r w:rsidR="001A5F74">
        <w:rPr>
          <w:sz w:val="28"/>
          <w:szCs w:val="28"/>
          <w:lang w:val="uk-UA"/>
        </w:rPr>
        <w:t xml:space="preserve"> </w:t>
      </w:r>
      <w:r w:rsidRPr="001A5F74">
        <w:rPr>
          <w:sz w:val="28"/>
          <w:szCs w:val="28"/>
          <w:lang w:val="uk-UA"/>
        </w:rPr>
        <w:t>р=0,031)</w:t>
      </w:r>
    </w:p>
    <w:p w:rsidR="00E3259F" w:rsidRDefault="00E3259F" w:rsidP="00E3259F">
      <w:pPr>
        <w:jc w:val="right"/>
        <w:rPr>
          <w:sz w:val="28"/>
          <w:szCs w:val="28"/>
          <w:lang w:val="uk-UA"/>
        </w:rPr>
      </w:pPr>
    </w:p>
    <w:p w:rsidR="00E00CAF" w:rsidRDefault="00E00CAF" w:rsidP="001A5F74">
      <w:pPr>
        <w:spacing w:line="360" w:lineRule="auto"/>
        <w:jc w:val="right"/>
        <w:rPr>
          <w:sz w:val="28"/>
          <w:szCs w:val="28"/>
          <w:lang w:val="uk-UA"/>
        </w:rPr>
      </w:pPr>
    </w:p>
    <w:p w:rsidR="00E00CAF" w:rsidRDefault="00E00CAF" w:rsidP="001A5F74">
      <w:pPr>
        <w:spacing w:line="360" w:lineRule="auto"/>
        <w:jc w:val="right"/>
        <w:rPr>
          <w:sz w:val="28"/>
          <w:szCs w:val="28"/>
          <w:lang w:val="uk-UA"/>
        </w:rPr>
      </w:pPr>
    </w:p>
    <w:p w:rsidR="00E00CAF" w:rsidRDefault="00E00CAF" w:rsidP="001A5F74">
      <w:pPr>
        <w:spacing w:line="360" w:lineRule="auto"/>
        <w:jc w:val="right"/>
        <w:rPr>
          <w:sz w:val="28"/>
          <w:szCs w:val="28"/>
          <w:lang w:val="uk-UA"/>
        </w:rPr>
      </w:pPr>
    </w:p>
    <w:p w:rsidR="00E00CAF" w:rsidRDefault="00E00CAF" w:rsidP="001A5F74">
      <w:pPr>
        <w:spacing w:line="360" w:lineRule="auto"/>
        <w:jc w:val="right"/>
        <w:rPr>
          <w:sz w:val="28"/>
          <w:szCs w:val="28"/>
          <w:lang w:val="uk-UA"/>
        </w:rPr>
      </w:pPr>
    </w:p>
    <w:p w:rsidR="00E3259F" w:rsidRPr="001A5F74" w:rsidRDefault="00E3259F" w:rsidP="001A5F74">
      <w:pPr>
        <w:spacing w:line="360" w:lineRule="auto"/>
        <w:jc w:val="right"/>
        <w:rPr>
          <w:sz w:val="28"/>
          <w:szCs w:val="28"/>
          <w:lang w:val="uk-UA"/>
        </w:rPr>
      </w:pPr>
      <w:r w:rsidRPr="001A5F74">
        <w:rPr>
          <w:sz w:val="28"/>
          <w:szCs w:val="28"/>
          <w:lang w:val="uk-UA"/>
        </w:rPr>
        <w:t>Таблиця 6.9</w:t>
      </w:r>
    </w:p>
    <w:p w:rsidR="00E3259F" w:rsidRPr="001A5F74" w:rsidRDefault="00E3259F" w:rsidP="001A5F74">
      <w:pPr>
        <w:spacing w:line="360" w:lineRule="auto"/>
        <w:jc w:val="center"/>
        <w:rPr>
          <w:sz w:val="28"/>
          <w:szCs w:val="28"/>
          <w:lang w:val="uk-UA"/>
        </w:rPr>
      </w:pPr>
      <w:r w:rsidRPr="001A5F74">
        <w:rPr>
          <w:sz w:val="28"/>
          <w:szCs w:val="28"/>
          <w:lang w:val="uk-UA"/>
        </w:rPr>
        <w:t>Результати кореляційного аналізу між відносною довжиною теломер та антропометричними і метаболічними показниками, маркерами ЕД та ОС</w:t>
      </w:r>
    </w:p>
    <w:tbl>
      <w:tblPr>
        <w:tblW w:w="0" w:type="auto"/>
        <w:tblLook w:val="04A0" w:firstRow="1" w:lastRow="0" w:firstColumn="1" w:lastColumn="0" w:noHBand="0" w:noVBand="1"/>
      </w:tblPr>
      <w:tblGrid>
        <w:gridCol w:w="4502"/>
        <w:gridCol w:w="3118"/>
        <w:gridCol w:w="1950"/>
      </w:tblGrid>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Показники</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en-US" w:eastAsia="en-US"/>
              </w:rPr>
            </w:pPr>
            <w:r w:rsidRPr="001A5F74">
              <w:rPr>
                <w:sz w:val="28"/>
                <w:szCs w:val="28"/>
                <w:lang w:val="uk-UA" w:eastAsia="en-US"/>
              </w:rPr>
              <w:t>Коефіцієнт к</w:t>
            </w:r>
            <w:r w:rsidRPr="001A5F74">
              <w:rPr>
                <w:sz w:val="28"/>
                <w:szCs w:val="28"/>
                <w:lang w:eastAsia="en-US"/>
              </w:rPr>
              <w:t>ореляц</w:t>
            </w:r>
            <w:r w:rsidRPr="001A5F74">
              <w:rPr>
                <w:sz w:val="28"/>
                <w:szCs w:val="28"/>
                <w:lang w:val="uk-UA" w:eastAsia="en-US"/>
              </w:rPr>
              <w:t>ії</w:t>
            </w:r>
            <w:r w:rsidRPr="001A5F74">
              <w:rPr>
                <w:sz w:val="28"/>
                <w:szCs w:val="28"/>
                <w:lang w:eastAsia="en-US"/>
              </w:rPr>
              <w:t xml:space="preserve"> П</w:t>
            </w:r>
            <w:r w:rsidRPr="001A5F74">
              <w:rPr>
                <w:sz w:val="28"/>
                <w:szCs w:val="28"/>
                <w:lang w:val="uk-UA" w:eastAsia="en-US"/>
              </w:rPr>
              <w:t>і</w:t>
            </w:r>
            <w:r w:rsidRPr="001A5F74">
              <w:rPr>
                <w:sz w:val="28"/>
                <w:szCs w:val="28"/>
                <w:lang w:eastAsia="en-US"/>
              </w:rPr>
              <w:t>рсона</w:t>
            </w:r>
            <w:r w:rsidRPr="001A5F74">
              <w:rPr>
                <w:sz w:val="28"/>
                <w:szCs w:val="28"/>
                <w:lang w:val="uk-UA" w:eastAsia="en-US"/>
              </w:rPr>
              <w:t>,</w:t>
            </w:r>
            <w:r w:rsidRPr="001A5F74">
              <w:rPr>
                <w:sz w:val="28"/>
                <w:szCs w:val="28"/>
                <w:lang w:val="en-US" w:eastAsia="en-US"/>
              </w:rPr>
              <w:t xml:space="preserve"> r</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eastAsia="en-US"/>
              </w:rPr>
            </w:pPr>
            <w:r w:rsidRPr="001A5F74">
              <w:rPr>
                <w:sz w:val="28"/>
                <w:szCs w:val="28"/>
                <w:lang w:val="uk-UA" w:eastAsia="en-US"/>
              </w:rPr>
              <w:t>Рівень з</w:t>
            </w:r>
            <w:r w:rsidRPr="001A5F74">
              <w:rPr>
                <w:sz w:val="28"/>
                <w:szCs w:val="28"/>
                <w:lang w:eastAsia="en-US"/>
              </w:rPr>
              <w:t>нач</w:t>
            </w:r>
            <w:r w:rsidRPr="001A5F74">
              <w:rPr>
                <w:sz w:val="28"/>
                <w:szCs w:val="28"/>
                <w:lang w:val="uk-UA" w:eastAsia="en-US"/>
              </w:rPr>
              <w:t>ущості, р</w:t>
            </w:r>
          </w:p>
        </w:tc>
      </w:tr>
      <w:tr w:rsidR="00E3259F" w:rsidRPr="001A5F74"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center"/>
              <w:rPr>
                <w:sz w:val="28"/>
                <w:szCs w:val="28"/>
                <w:lang w:val="uk-UA" w:eastAsia="en-US"/>
              </w:rPr>
            </w:pPr>
            <w:r w:rsidRPr="001A5F74">
              <w:rPr>
                <w:sz w:val="28"/>
                <w:szCs w:val="28"/>
                <w:lang w:val="uk-UA" w:eastAsia="en-US"/>
              </w:rPr>
              <w:t>1 група</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крові-</w:t>
            </w:r>
            <w:r w:rsidRPr="001A5F74">
              <w:rPr>
                <w:color w:val="000000"/>
                <w:sz w:val="28"/>
                <w:szCs w:val="28"/>
                <w:lang w:eastAsia="en-US"/>
              </w:rPr>
              <w:t>ФН</w:t>
            </w:r>
            <w:r w:rsidRPr="001A5F74">
              <w:rPr>
                <w:color w:val="000000"/>
                <w:sz w:val="28"/>
                <w:szCs w:val="28"/>
                <w:lang w:val="uk-UA" w:eastAsia="en-US"/>
              </w:rPr>
              <w:t>П-α</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,286</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,003</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ВДТкрові-8-OH-dG</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,393</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w:t>
            </w:r>
            <w:r w:rsidRPr="001A5F74">
              <w:rPr>
                <w:color w:val="000000"/>
                <w:sz w:val="28"/>
                <w:szCs w:val="28"/>
                <w:lang w:val="uk-UA" w:eastAsia="en-US"/>
              </w:rPr>
              <w:t>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ВДТкрові- ТКІМ</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,307</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кліт. бук.епіт-</w:t>
            </w:r>
            <w:r w:rsidRPr="001A5F74">
              <w:rPr>
                <w:color w:val="000000"/>
                <w:sz w:val="28"/>
                <w:szCs w:val="28"/>
                <w:lang w:eastAsia="en-US"/>
              </w:rPr>
              <w:t>Х</w:t>
            </w:r>
            <w:r w:rsidRPr="001A5F74">
              <w:rPr>
                <w:color w:val="000000"/>
                <w:sz w:val="28"/>
                <w:szCs w:val="28"/>
                <w:lang w:val="uk-UA" w:eastAsia="en-US"/>
              </w:rPr>
              <w:t>СЛПВЩ</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,239</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,013</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кліт. бук.епіт-</w:t>
            </w:r>
            <w:r w:rsidRPr="001A5F74">
              <w:rPr>
                <w:color w:val="000000"/>
                <w:sz w:val="28"/>
                <w:szCs w:val="28"/>
                <w:lang w:eastAsia="en-US"/>
              </w:rPr>
              <w:t>Глюкоза</w:t>
            </w:r>
            <w:r w:rsidRPr="001A5F74">
              <w:rPr>
                <w:color w:val="000000"/>
                <w:sz w:val="28"/>
                <w:szCs w:val="28"/>
                <w:lang w:val="uk-UA" w:eastAsia="en-US"/>
              </w:rPr>
              <w:t xml:space="preserve"> натще</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,223</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,022</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кліт. бук.епіт-</w:t>
            </w:r>
            <w:r w:rsidRPr="001A5F74">
              <w:rPr>
                <w:color w:val="000000"/>
                <w:sz w:val="28"/>
                <w:szCs w:val="28"/>
                <w:lang w:eastAsia="en-US"/>
              </w:rPr>
              <w:t>Т3</w:t>
            </w:r>
            <w:r w:rsidRPr="001A5F74">
              <w:rPr>
                <w:color w:val="000000"/>
                <w:sz w:val="28"/>
                <w:szCs w:val="28"/>
                <w:lang w:val="uk-UA" w:eastAsia="en-US"/>
              </w:rPr>
              <w:t>віл</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,260</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,007</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кліт. бук.епіт-</w:t>
            </w:r>
            <w:r w:rsidRPr="001A5F74">
              <w:rPr>
                <w:color w:val="000000"/>
                <w:sz w:val="28"/>
                <w:szCs w:val="28"/>
                <w:lang w:eastAsia="en-US"/>
              </w:rPr>
              <w:t>ТК</w:t>
            </w:r>
            <w:r w:rsidRPr="001A5F74">
              <w:rPr>
                <w:color w:val="000000"/>
                <w:sz w:val="28"/>
                <w:szCs w:val="28"/>
                <w:lang w:val="uk-UA" w:eastAsia="en-US"/>
              </w:rPr>
              <w:t>ІМ</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,221</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,023</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кліт. бук.епіт-С</w:t>
            </w:r>
            <w:r w:rsidRPr="001A5F74">
              <w:rPr>
                <w:color w:val="000000"/>
                <w:sz w:val="28"/>
                <w:szCs w:val="28"/>
                <w:lang w:eastAsia="en-US"/>
              </w:rPr>
              <w:t>А</w:t>
            </w:r>
            <w:r w:rsidRPr="001A5F74">
              <w:rPr>
                <w:color w:val="000000"/>
                <w:sz w:val="28"/>
                <w:szCs w:val="28"/>
                <w:lang w:val="uk-UA" w:eastAsia="en-US"/>
              </w:rPr>
              <w:t>Т</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,256</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,008</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sz w:val="28"/>
                <w:szCs w:val="28"/>
                <w:lang w:val="uk-UA" w:eastAsia="en-US"/>
              </w:rPr>
              <w:t>ВДТ кліт. бук.епіт-п</w:t>
            </w:r>
            <w:r w:rsidRPr="001A5F74">
              <w:rPr>
                <w:color w:val="000000"/>
                <w:sz w:val="28"/>
                <w:szCs w:val="28"/>
                <w:lang w:eastAsia="en-US"/>
              </w:rPr>
              <w:t>А</w:t>
            </w:r>
            <w:r w:rsidRPr="001A5F74">
              <w:rPr>
                <w:color w:val="000000"/>
                <w:sz w:val="28"/>
                <w:szCs w:val="28"/>
                <w:lang w:val="uk-UA" w:eastAsia="en-US"/>
              </w:rPr>
              <w:t>Т</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val="uk-UA" w:eastAsia="en-US"/>
              </w:rPr>
            </w:pPr>
            <w:r w:rsidRPr="001A5F74">
              <w:rPr>
                <w:color w:val="000000"/>
                <w:sz w:val="28"/>
                <w:szCs w:val="28"/>
                <w:lang w:val="uk-UA" w:eastAsia="en-US"/>
              </w:rPr>
              <w:t>0</w:t>
            </w:r>
            <w:r w:rsidRPr="001A5F74">
              <w:rPr>
                <w:color w:val="000000"/>
                <w:sz w:val="28"/>
                <w:szCs w:val="28"/>
                <w:lang w:eastAsia="en-US"/>
              </w:rPr>
              <w:t>,264</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val="uk-UA" w:eastAsia="en-US"/>
              </w:rPr>
            </w:pPr>
            <w:r w:rsidRPr="001A5F74">
              <w:rPr>
                <w:color w:val="000000"/>
                <w:sz w:val="28"/>
                <w:szCs w:val="28"/>
                <w:lang w:val="uk-UA" w:eastAsia="en-US"/>
              </w:rPr>
              <w:t>0</w:t>
            </w:r>
            <w:r w:rsidRPr="001A5F74">
              <w:rPr>
                <w:color w:val="000000"/>
                <w:sz w:val="28"/>
                <w:szCs w:val="28"/>
                <w:lang w:eastAsia="en-US"/>
              </w:rPr>
              <w:t>,006</w:t>
            </w:r>
          </w:p>
        </w:tc>
      </w:tr>
      <w:tr w:rsidR="00E3259F" w:rsidRPr="001A5F74"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center"/>
              <w:rPr>
                <w:sz w:val="28"/>
                <w:szCs w:val="28"/>
                <w:lang w:val="uk-UA" w:eastAsia="en-US"/>
              </w:rPr>
            </w:pPr>
            <w:r w:rsidRPr="001A5F74">
              <w:rPr>
                <w:sz w:val="28"/>
                <w:szCs w:val="28"/>
                <w:lang w:val="uk-UA" w:eastAsia="en-US"/>
              </w:rPr>
              <w:t>2 група</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ВДТкрові-</w:t>
            </w:r>
            <w:r w:rsidRPr="001A5F74">
              <w:rPr>
                <w:color w:val="000000"/>
                <w:sz w:val="28"/>
                <w:szCs w:val="28"/>
                <w:lang w:eastAsia="en-US"/>
              </w:rPr>
              <w:t>Т</w:t>
            </w:r>
            <w:r w:rsidRPr="001A5F74">
              <w:rPr>
                <w:color w:val="000000"/>
                <w:sz w:val="28"/>
                <w:szCs w:val="28"/>
                <w:lang w:val="uk-UA" w:eastAsia="en-US"/>
              </w:rPr>
              <w:t>Г</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,165</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,040</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ВДТкрові-</w:t>
            </w:r>
            <w:r w:rsidRPr="001A5F74">
              <w:rPr>
                <w:color w:val="000000"/>
                <w:sz w:val="28"/>
                <w:szCs w:val="28"/>
                <w:lang w:eastAsia="en-US"/>
              </w:rPr>
              <w:t>Т3</w:t>
            </w:r>
            <w:r w:rsidRPr="001A5F74">
              <w:rPr>
                <w:color w:val="000000"/>
                <w:sz w:val="28"/>
                <w:szCs w:val="28"/>
                <w:lang w:val="uk-UA" w:eastAsia="en-US"/>
              </w:rPr>
              <w:t>віл</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,185</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val="uk-UA" w:eastAsia="en-US"/>
              </w:rPr>
            </w:pPr>
            <w:r w:rsidRPr="001A5F74">
              <w:rPr>
                <w:color w:val="000000"/>
                <w:sz w:val="28"/>
                <w:szCs w:val="28"/>
                <w:lang w:val="uk-UA" w:eastAsia="en-US"/>
              </w:rPr>
              <w:t>0</w:t>
            </w:r>
            <w:r w:rsidRPr="001A5F74">
              <w:rPr>
                <w:color w:val="000000"/>
                <w:sz w:val="28"/>
                <w:szCs w:val="28"/>
                <w:lang w:eastAsia="en-US"/>
              </w:rPr>
              <w:t>,021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ВДТкрові-ВЕФР</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,174</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,030</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ВДТкрові-8-OH-dG</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,312</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w:t>
            </w:r>
            <w:r w:rsidRPr="001A5F74">
              <w:rPr>
                <w:color w:val="000000"/>
                <w:sz w:val="28"/>
                <w:szCs w:val="28"/>
                <w:lang w:val="uk-UA" w:eastAsia="en-US"/>
              </w:rPr>
              <w:t>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ВДТкрові-</w:t>
            </w:r>
            <w:r w:rsidRPr="001A5F74">
              <w:rPr>
                <w:color w:val="000000"/>
                <w:sz w:val="28"/>
                <w:szCs w:val="28"/>
                <w:lang w:eastAsia="en-US"/>
              </w:rPr>
              <w:t>ГПО</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,158</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,049</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ВДТкрові-</w:t>
            </w:r>
            <w:r w:rsidRPr="001A5F74">
              <w:rPr>
                <w:color w:val="000000"/>
                <w:sz w:val="28"/>
                <w:szCs w:val="28"/>
                <w:lang w:eastAsia="en-US"/>
              </w:rPr>
              <w:t>СА</w:t>
            </w:r>
            <w:r w:rsidRPr="001A5F74">
              <w:rPr>
                <w:color w:val="000000"/>
                <w:sz w:val="28"/>
                <w:szCs w:val="28"/>
                <w:lang w:val="uk-UA" w:eastAsia="en-US"/>
              </w:rPr>
              <w:t>Т</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,213</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,007</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sz w:val="28"/>
                <w:szCs w:val="28"/>
                <w:lang w:val="uk-UA" w:eastAsia="en-US"/>
              </w:rPr>
              <w:t>ВДТкрові-</w:t>
            </w:r>
            <w:r w:rsidRPr="001A5F74">
              <w:rPr>
                <w:color w:val="000000"/>
                <w:sz w:val="28"/>
                <w:szCs w:val="28"/>
                <w:lang w:eastAsia="en-US"/>
              </w:rPr>
              <w:t>ПА</w:t>
            </w:r>
            <w:r w:rsidRPr="001A5F74">
              <w:rPr>
                <w:color w:val="000000"/>
                <w:sz w:val="28"/>
                <w:szCs w:val="28"/>
                <w:lang w:val="uk-UA" w:eastAsia="en-US"/>
              </w:rPr>
              <w:t>Т</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,220</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color w:val="000000"/>
                <w:sz w:val="28"/>
                <w:szCs w:val="28"/>
                <w:lang w:eastAsia="en-US"/>
              </w:rPr>
            </w:pPr>
            <w:r w:rsidRPr="001A5F74">
              <w:rPr>
                <w:color w:val="000000"/>
                <w:sz w:val="28"/>
                <w:szCs w:val="28"/>
                <w:lang w:val="uk-UA" w:eastAsia="en-US"/>
              </w:rPr>
              <w:t>0</w:t>
            </w:r>
            <w:r w:rsidRPr="001A5F74">
              <w:rPr>
                <w:color w:val="000000"/>
                <w:sz w:val="28"/>
                <w:szCs w:val="28"/>
                <w:lang w:eastAsia="en-US"/>
              </w:rPr>
              <w:t>,006</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бук.епіт-г</w:t>
            </w:r>
            <w:r w:rsidRPr="001A5F74">
              <w:rPr>
                <w:color w:val="000000"/>
                <w:sz w:val="28"/>
                <w:szCs w:val="28"/>
                <w:lang w:eastAsia="en-US"/>
              </w:rPr>
              <w:t>люкоза</w:t>
            </w:r>
            <w:r w:rsidRPr="001A5F74">
              <w:rPr>
                <w:color w:val="000000"/>
                <w:sz w:val="28"/>
                <w:szCs w:val="28"/>
                <w:lang w:val="uk-UA" w:eastAsia="en-US"/>
              </w:rPr>
              <w:t xml:space="preserve"> натще</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,298</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w:t>
            </w:r>
            <w:r w:rsidRPr="001A5F74">
              <w:rPr>
                <w:color w:val="000000"/>
                <w:sz w:val="28"/>
                <w:szCs w:val="28"/>
                <w:lang w:val="uk-UA" w:eastAsia="en-US"/>
              </w:rPr>
              <w:t>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HbA1</w:t>
            </w:r>
            <w:r w:rsidRPr="001A5F74">
              <w:rPr>
                <w:color w:val="000000"/>
                <w:sz w:val="28"/>
                <w:szCs w:val="28"/>
                <w:lang w:val="uk-UA" w:eastAsia="en-US"/>
              </w:rPr>
              <w:t>с</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,243</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,002</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НОМА</w:t>
            </w:r>
            <w:r w:rsidRPr="001A5F74">
              <w:rPr>
                <w:color w:val="000000"/>
                <w:sz w:val="28"/>
                <w:szCs w:val="28"/>
                <w:lang w:val="uk-UA" w:eastAsia="en-US"/>
              </w:rPr>
              <w:t>-</w:t>
            </w:r>
            <w:r w:rsidRPr="001A5F74">
              <w:rPr>
                <w:color w:val="000000"/>
                <w:sz w:val="28"/>
                <w:szCs w:val="28"/>
                <w:lang w:val="en-US" w:eastAsia="en-US"/>
              </w:rPr>
              <w:t>IR</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,172</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,031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ТТГ</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,328</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w:t>
            </w:r>
            <w:r w:rsidRPr="001A5F74">
              <w:rPr>
                <w:color w:val="000000"/>
                <w:sz w:val="28"/>
                <w:szCs w:val="28"/>
                <w:lang w:val="uk-UA" w:eastAsia="en-US"/>
              </w:rPr>
              <w:t>1</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Т3</w:t>
            </w:r>
            <w:r w:rsidRPr="001A5F74">
              <w:rPr>
                <w:color w:val="000000"/>
                <w:sz w:val="28"/>
                <w:szCs w:val="28"/>
                <w:lang w:val="uk-UA" w:eastAsia="en-US"/>
              </w:rPr>
              <w:t>віл</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,178</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,026</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ФНО</w:t>
            </w:r>
            <w:r w:rsidRPr="001A5F74">
              <w:rPr>
                <w:color w:val="000000"/>
                <w:sz w:val="28"/>
                <w:szCs w:val="28"/>
                <w:lang w:val="uk-UA" w:eastAsia="en-US"/>
              </w:rPr>
              <w:t>-α</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,343</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w:t>
            </w:r>
            <w:r w:rsidRPr="001A5F74">
              <w:rPr>
                <w:color w:val="000000"/>
                <w:sz w:val="28"/>
                <w:szCs w:val="28"/>
                <w:lang w:val="uk-UA" w:eastAsia="en-US"/>
              </w:rPr>
              <w:t>1</w:t>
            </w:r>
          </w:p>
        </w:tc>
      </w:tr>
    </w:tbl>
    <w:p w:rsidR="00E00CAF" w:rsidRDefault="00E00CAF" w:rsidP="00E00CAF">
      <w:pPr>
        <w:jc w:val="right"/>
      </w:pPr>
      <w:r>
        <w:rPr>
          <w:i/>
          <w:spacing w:val="-2"/>
          <w:sz w:val="28"/>
          <w:szCs w:val="28"/>
        </w:rPr>
        <w:t xml:space="preserve">Продовження табл. </w:t>
      </w:r>
      <w:r>
        <w:rPr>
          <w:i/>
          <w:spacing w:val="-2"/>
          <w:sz w:val="28"/>
          <w:szCs w:val="28"/>
          <w:lang w:val="uk-UA"/>
        </w:rPr>
        <w:t>6</w:t>
      </w:r>
      <w:r>
        <w:rPr>
          <w:i/>
          <w:spacing w:val="-2"/>
          <w:sz w:val="28"/>
          <w:szCs w:val="28"/>
        </w:rPr>
        <w:t>.</w:t>
      </w:r>
      <w:r>
        <w:rPr>
          <w:i/>
          <w:spacing w:val="-2"/>
          <w:sz w:val="28"/>
          <w:szCs w:val="28"/>
          <w:lang w:val="uk-UA"/>
        </w:rPr>
        <w:t>9</w:t>
      </w:r>
    </w:p>
    <w:tbl>
      <w:tblPr>
        <w:tblW w:w="0" w:type="auto"/>
        <w:tblLook w:val="04A0" w:firstRow="1" w:lastRow="0" w:firstColumn="1" w:lastColumn="0" w:noHBand="0" w:noVBand="1"/>
      </w:tblPr>
      <w:tblGrid>
        <w:gridCol w:w="4502"/>
        <w:gridCol w:w="3118"/>
        <w:gridCol w:w="1950"/>
      </w:tblGrid>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SH</w:t>
            </w:r>
            <w:r w:rsidRPr="001A5F74">
              <w:rPr>
                <w:color w:val="000000"/>
                <w:sz w:val="28"/>
                <w:szCs w:val="28"/>
                <w:lang w:val="uk-UA" w:eastAsia="en-US"/>
              </w:rPr>
              <w:t>-групи</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,175</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,029</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бук.епіт-</w:t>
            </w:r>
            <w:r w:rsidRPr="001A5F74">
              <w:rPr>
                <w:color w:val="000000"/>
                <w:sz w:val="28"/>
                <w:szCs w:val="28"/>
                <w:lang w:eastAsia="en-US"/>
              </w:rPr>
              <w:t>ТК</w:t>
            </w:r>
            <w:r w:rsidRPr="001A5F74">
              <w:rPr>
                <w:color w:val="000000"/>
                <w:sz w:val="28"/>
                <w:szCs w:val="28"/>
                <w:lang w:val="uk-UA" w:eastAsia="en-US"/>
              </w:rPr>
              <w:t>ІМ</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,239</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both"/>
              <w:rPr>
                <w:sz w:val="28"/>
                <w:szCs w:val="28"/>
                <w:lang w:val="uk-UA" w:eastAsia="en-US"/>
              </w:rPr>
            </w:pPr>
            <w:r w:rsidRPr="001A5F74">
              <w:rPr>
                <w:color w:val="000000"/>
                <w:sz w:val="28"/>
                <w:szCs w:val="28"/>
                <w:lang w:val="uk-UA" w:eastAsia="en-US"/>
              </w:rPr>
              <w:t>0</w:t>
            </w:r>
            <w:r w:rsidRPr="001A5F74">
              <w:rPr>
                <w:color w:val="000000"/>
                <w:sz w:val="28"/>
                <w:szCs w:val="28"/>
                <w:lang w:eastAsia="en-US"/>
              </w:rPr>
              <w:t>,003</w:t>
            </w:r>
          </w:p>
        </w:tc>
      </w:tr>
      <w:tr w:rsidR="00E3259F" w:rsidRPr="001A5F74" w:rsidTr="00E3259F">
        <w:tc>
          <w:tcPr>
            <w:tcW w:w="9570" w:type="dxa"/>
            <w:gridSpan w:val="3"/>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jc w:val="center"/>
              <w:rPr>
                <w:sz w:val="28"/>
                <w:szCs w:val="28"/>
                <w:lang w:val="uk-UA" w:eastAsia="en-US"/>
              </w:rPr>
            </w:pPr>
            <w:r w:rsidRPr="001A5F74">
              <w:rPr>
                <w:sz w:val="28"/>
                <w:szCs w:val="28"/>
                <w:lang w:val="uk-UA" w:eastAsia="en-US"/>
              </w:rPr>
              <w:t>3 група</w:t>
            </w:r>
          </w:p>
        </w:tc>
      </w:tr>
      <w:tr w:rsidR="00E3259F" w:rsidRPr="001A5F74" w:rsidTr="00E3259F">
        <w:trPr>
          <w:trHeight w:val="499"/>
        </w:trPr>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ВДТкрові-ВЕФР</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color w:val="000000"/>
                <w:sz w:val="28"/>
                <w:szCs w:val="28"/>
                <w:lang w:eastAsia="en-US"/>
              </w:rPr>
              <w:t>-</w:t>
            </w:r>
            <w:r w:rsidRPr="001A5F74">
              <w:rPr>
                <w:color w:val="000000"/>
                <w:sz w:val="28"/>
                <w:szCs w:val="28"/>
                <w:lang w:val="uk-UA" w:eastAsia="en-US"/>
              </w:rPr>
              <w:t>0</w:t>
            </w:r>
            <w:r w:rsidRPr="001A5F74">
              <w:rPr>
                <w:color w:val="000000"/>
                <w:sz w:val="28"/>
                <w:szCs w:val="28"/>
                <w:lang w:eastAsia="en-US"/>
              </w:rPr>
              <w:t>,251</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color w:val="000000"/>
                <w:sz w:val="28"/>
                <w:szCs w:val="28"/>
                <w:lang w:val="uk-UA" w:eastAsia="en-US"/>
              </w:rPr>
              <w:t>0</w:t>
            </w:r>
            <w:r w:rsidRPr="001A5F74">
              <w:rPr>
                <w:color w:val="000000"/>
                <w:sz w:val="28"/>
                <w:szCs w:val="28"/>
                <w:lang w:eastAsia="en-US"/>
              </w:rPr>
              <w:t>,015</w:t>
            </w:r>
          </w:p>
        </w:tc>
      </w:tr>
      <w:tr w:rsidR="00E3259F" w:rsidRPr="001A5F74" w:rsidTr="00E3259F">
        <w:tc>
          <w:tcPr>
            <w:tcW w:w="4502"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eastAsia="en-US"/>
              </w:rPr>
            </w:pPr>
            <w:r w:rsidRPr="001A5F74">
              <w:rPr>
                <w:sz w:val="28"/>
                <w:szCs w:val="28"/>
                <w:lang w:val="uk-UA" w:eastAsia="en-US"/>
              </w:rPr>
              <w:t>ВДТ кліт. бук.епі-</w:t>
            </w:r>
            <w:r w:rsidRPr="001A5F74">
              <w:rPr>
                <w:color w:val="000000"/>
                <w:sz w:val="28"/>
                <w:szCs w:val="28"/>
                <w:lang w:eastAsia="en-US"/>
              </w:rPr>
              <w:t>НОМА</w:t>
            </w:r>
            <w:r w:rsidRPr="001A5F74">
              <w:rPr>
                <w:color w:val="000000"/>
                <w:sz w:val="28"/>
                <w:szCs w:val="28"/>
                <w:lang w:val="uk-UA" w:eastAsia="en-US"/>
              </w:rPr>
              <w:t>-</w:t>
            </w:r>
            <w:r w:rsidRPr="001A5F74">
              <w:rPr>
                <w:color w:val="000000"/>
                <w:sz w:val="28"/>
                <w:szCs w:val="28"/>
                <w:lang w:val="en-US" w:eastAsia="en-US"/>
              </w:rPr>
              <w:t>IR</w:t>
            </w:r>
          </w:p>
        </w:tc>
        <w:tc>
          <w:tcPr>
            <w:tcW w:w="3118"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color w:val="000000"/>
                <w:sz w:val="28"/>
                <w:szCs w:val="28"/>
                <w:lang w:val="uk-UA" w:eastAsia="en-US"/>
              </w:rPr>
              <w:t>0</w:t>
            </w:r>
            <w:r w:rsidRPr="001A5F74">
              <w:rPr>
                <w:color w:val="000000"/>
                <w:sz w:val="28"/>
                <w:szCs w:val="28"/>
                <w:lang w:eastAsia="en-US"/>
              </w:rPr>
              <w:t>,211</w:t>
            </w:r>
          </w:p>
        </w:tc>
        <w:tc>
          <w:tcPr>
            <w:tcW w:w="1950" w:type="dxa"/>
            <w:tcBorders>
              <w:top w:val="single" w:sz="4" w:space="0" w:color="auto"/>
              <w:left w:val="single" w:sz="4" w:space="0" w:color="auto"/>
              <w:bottom w:val="single" w:sz="4" w:space="0" w:color="auto"/>
              <w:right w:val="single" w:sz="4" w:space="0" w:color="auto"/>
            </w:tcBorders>
            <w:hideMark/>
          </w:tcPr>
          <w:p w:rsidR="00E3259F" w:rsidRPr="001A5F74" w:rsidRDefault="00E3259F" w:rsidP="001A5F74">
            <w:pPr>
              <w:spacing w:line="360" w:lineRule="auto"/>
              <w:rPr>
                <w:sz w:val="28"/>
                <w:szCs w:val="28"/>
                <w:lang w:val="uk-UA" w:eastAsia="en-US"/>
              </w:rPr>
            </w:pPr>
            <w:r w:rsidRPr="001A5F74">
              <w:rPr>
                <w:color w:val="000000"/>
                <w:sz w:val="28"/>
                <w:szCs w:val="28"/>
                <w:lang w:val="uk-UA" w:eastAsia="en-US"/>
              </w:rPr>
              <w:t>0</w:t>
            </w:r>
            <w:r w:rsidRPr="001A5F74">
              <w:rPr>
                <w:color w:val="000000"/>
                <w:sz w:val="28"/>
                <w:szCs w:val="28"/>
                <w:lang w:eastAsia="en-US"/>
              </w:rPr>
              <w:t>,042</w:t>
            </w:r>
          </w:p>
        </w:tc>
      </w:tr>
    </w:tbl>
    <w:p w:rsidR="00E3259F" w:rsidRPr="001A5F74" w:rsidRDefault="00E3259F" w:rsidP="001A5F74">
      <w:pPr>
        <w:spacing w:line="360" w:lineRule="auto"/>
        <w:jc w:val="both"/>
        <w:rPr>
          <w:sz w:val="28"/>
          <w:szCs w:val="28"/>
          <w:lang w:val="uk-UA"/>
        </w:rPr>
      </w:pPr>
    </w:p>
    <w:p w:rsidR="00E3259F" w:rsidRPr="001A5F74" w:rsidRDefault="00E3259F" w:rsidP="001A5F74">
      <w:pPr>
        <w:spacing w:line="360" w:lineRule="auto"/>
        <w:ind w:firstLine="709"/>
        <w:jc w:val="both"/>
        <w:rPr>
          <w:sz w:val="28"/>
          <w:szCs w:val="28"/>
          <w:lang w:val="uk-UA"/>
        </w:rPr>
      </w:pPr>
      <w:r w:rsidRPr="001A5F74">
        <w:rPr>
          <w:sz w:val="28"/>
          <w:szCs w:val="28"/>
          <w:lang w:val="uk-UA"/>
        </w:rPr>
        <w:t xml:space="preserve">Проведення однофакторного дисперсійного аналізу виявило достовірно значимий вплив ТТГ на рівні ВДТ клітин букального епітелію у  групі 2 (р=0,014), що свідчить про суттєве значення рівнів ТТГ, навіть у межах референтних значень, на процеси біологічного, зокрема судинного старіння. Крім того, дисперсійний аналіз виявив значний вплив  рівня ВЕФР на ВДТ крові як в  групі 2 (р=0,005), так і в  групі 3 (р=0,046), а також на рівень ВДТ букального епітелію в  групі 2 (р=0,001), значний вплив на ВДТ має плазмовий рівень маркеру пошкодження ДНК - 8-OH-dG : на ВДТ крові в  групі 2 (р=0,001), та ВДТ букального епітелію (р=0,002) у  групі 3. </w:t>
      </w:r>
    </w:p>
    <w:p w:rsidR="00E3259F" w:rsidRPr="001A5F74" w:rsidRDefault="00E3259F" w:rsidP="001A5F74">
      <w:pPr>
        <w:pStyle w:val="12"/>
        <w:spacing w:after="0" w:line="360" w:lineRule="auto"/>
        <w:ind w:left="0" w:firstLine="709"/>
        <w:jc w:val="both"/>
        <w:rPr>
          <w:rFonts w:ascii="Times New Roman" w:hAnsi="Times New Roman"/>
          <w:sz w:val="28"/>
          <w:szCs w:val="28"/>
          <w:lang w:val="uk-UA" w:eastAsia="ru-RU"/>
        </w:rPr>
      </w:pPr>
      <w:r w:rsidRPr="001A5F74">
        <w:rPr>
          <w:rFonts w:ascii="Times New Roman" w:hAnsi="Times New Roman"/>
          <w:sz w:val="28"/>
          <w:szCs w:val="28"/>
          <w:lang w:val="uk-UA" w:eastAsia="ru-RU"/>
        </w:rPr>
        <w:t xml:space="preserve">Таким чином, ураховуючи визначення ВДТ як маркера судинного старіння та її можливе значення для прогнозування подальшого перебігу деяких захворювань </w:t>
      </w:r>
      <w:r w:rsidRPr="001A5F74">
        <w:rPr>
          <w:rFonts w:ascii="Times New Roman" w:hAnsi="Times New Roman"/>
          <w:sz w:val="28"/>
          <w:szCs w:val="28"/>
          <w:lang w:val="uk-UA"/>
        </w:rPr>
        <w:t>[399],</w:t>
      </w:r>
      <w:r w:rsidRPr="001A5F74">
        <w:rPr>
          <w:rFonts w:ascii="Times New Roman" w:hAnsi="Times New Roman"/>
          <w:sz w:val="28"/>
          <w:szCs w:val="28"/>
          <w:lang w:val="uk-UA" w:eastAsia="ru-RU"/>
        </w:rPr>
        <w:t xml:space="preserve"> наявність суттєво більш довгої ВДТ при  поєднаному перебігу ГХ та ЦД 2 типу при наявності цільових рівней як САТ, так і ДАТ,  є вагомим фактом, що підтверджує важливість контролю АТ при ЦД. За даними Mengden T et al. (2017)  у цілому біля 13,9% пацієнтів із комбінованим перебігом ГХ та ЦД 2 типу у Німеччині мали контрольований АТ при амбулаторному моніторуванні </w:t>
      </w:r>
      <w:r w:rsidRPr="001A5F74">
        <w:rPr>
          <w:rFonts w:ascii="Times New Roman" w:hAnsi="Times New Roman"/>
          <w:sz w:val="28"/>
          <w:szCs w:val="28"/>
          <w:lang w:val="uk-UA"/>
        </w:rPr>
        <w:t xml:space="preserve">[281]. </w:t>
      </w:r>
      <w:r w:rsidRPr="001A5F74">
        <w:rPr>
          <w:rFonts w:ascii="Times New Roman" w:hAnsi="Times New Roman"/>
          <w:sz w:val="28"/>
          <w:szCs w:val="28"/>
          <w:lang w:val="uk-UA" w:eastAsia="ru-RU"/>
        </w:rPr>
        <w:t>Односпрямована тенденція до скорочення ВДТ як крові, так і букального епітелію, коли не досягнуто цільових рівнів АТ, також може слугувати свідченням особливої ​​важливості контролю АТ за наявності коморбідності з ЦД 2 типу.</w:t>
      </w:r>
    </w:p>
    <w:p w:rsidR="00E3259F" w:rsidRPr="001A5F74" w:rsidRDefault="00E3259F" w:rsidP="001A5F74">
      <w:pPr>
        <w:pStyle w:val="12"/>
        <w:spacing w:after="0" w:line="360" w:lineRule="auto"/>
        <w:ind w:left="0" w:firstLine="709"/>
        <w:jc w:val="both"/>
        <w:rPr>
          <w:rFonts w:ascii="Times New Roman" w:hAnsi="Times New Roman"/>
          <w:sz w:val="28"/>
          <w:szCs w:val="28"/>
          <w:lang w:val="uk-UA"/>
        </w:rPr>
      </w:pPr>
      <w:r w:rsidRPr="001A5F74">
        <w:rPr>
          <w:rFonts w:ascii="Times New Roman" w:hAnsi="Times New Roman"/>
          <w:sz w:val="28"/>
          <w:szCs w:val="28"/>
          <w:lang w:val="uk-UA" w:eastAsia="ru-RU"/>
        </w:rPr>
        <w:t xml:space="preserve">Наявність більш значного впливу компенсації вуглеводного обміну на ВДТ при ГХ поєдна із ЦД 2 типу без порушення функції ЩЗ на відміну від поєднаного перебігу з СГТ, можливо, пояснюється наявністю самостійного негативного впливу підвищених рівнів ТТГ на ВДТ, що робить позитивний вплив корекції інших факторів ( АТ, глікемії, ліпідів крові) менш суттєвим. Цілком можливо, що вплив інших факторів при поєднаному перебігу ГХ та ЦД 2 типу має значно більш надійний вплив на </w:t>
      </w:r>
      <w:r w:rsidRPr="001A5F74">
        <w:rPr>
          <w:rFonts w:ascii="Times New Roman" w:hAnsi="Times New Roman"/>
          <w:sz w:val="28"/>
          <w:szCs w:val="28"/>
          <w:lang w:val="uk-UA"/>
        </w:rPr>
        <w:t>ВДТ</w:t>
      </w:r>
      <w:r w:rsidRPr="001A5F74">
        <w:rPr>
          <w:rFonts w:ascii="Times New Roman" w:hAnsi="Times New Roman"/>
          <w:sz w:val="28"/>
          <w:szCs w:val="28"/>
          <w:lang w:val="uk-UA" w:eastAsia="ru-RU"/>
        </w:rPr>
        <w:t xml:space="preserve">, ніж стан контролю глікемії, однак наявність значно більшої ВДТ при рівні глікемії та глікованого гемоглобіну, близьких до нормальних, дозволяє припустити можливість використання ВДТ як маркера контролю перебігу коморбідності ГХ з ЦД 2 типу. Отримані дані підтверджують високу пластичність ВДТ, </w:t>
      </w:r>
      <w:r w:rsidRPr="001A5F74">
        <w:rPr>
          <w:rFonts w:ascii="Times New Roman" w:hAnsi="Times New Roman"/>
          <w:sz w:val="28"/>
          <w:szCs w:val="28"/>
          <w:lang w:val="uk-UA"/>
        </w:rPr>
        <w:t>зокрема</w:t>
      </w:r>
      <w:r w:rsidRPr="001A5F74">
        <w:rPr>
          <w:rFonts w:ascii="Times New Roman" w:hAnsi="Times New Roman"/>
          <w:sz w:val="28"/>
          <w:szCs w:val="28"/>
          <w:lang w:val="uk-UA" w:eastAsia="ru-RU"/>
        </w:rPr>
        <w:t xml:space="preserve"> під впливом модифікованих факторів КВР як рівень АТ, дисліпідемія, гіперглікемія </w:t>
      </w:r>
      <w:r w:rsidRPr="001A5F74">
        <w:rPr>
          <w:rFonts w:ascii="Times New Roman" w:hAnsi="Times New Roman"/>
          <w:sz w:val="28"/>
          <w:szCs w:val="28"/>
          <w:lang w:val="uk-UA"/>
        </w:rPr>
        <w:t>[325].</w:t>
      </w:r>
      <w:r w:rsidRPr="001A5F74">
        <w:rPr>
          <w:rFonts w:ascii="Times New Roman" w:hAnsi="Times New Roman"/>
          <w:sz w:val="28"/>
          <w:szCs w:val="28"/>
          <w:lang w:val="uk-UA" w:eastAsia="ru-RU"/>
        </w:rPr>
        <w:t xml:space="preserve"> </w:t>
      </w:r>
      <w:r w:rsidRPr="001A5F74">
        <w:rPr>
          <w:rFonts w:ascii="Times New Roman" w:hAnsi="Times New Roman"/>
          <w:sz w:val="28"/>
          <w:szCs w:val="28"/>
          <w:lang w:val="uk-UA"/>
        </w:rPr>
        <w:t>Отримані результати також свідчать про значний вплив ЕД та ОС на процеси судинного старіння при досліджуваній</w:t>
      </w:r>
      <w:r w:rsidRPr="001A5F74">
        <w:rPr>
          <w:rFonts w:ascii="Times New Roman" w:hAnsi="Times New Roman"/>
          <w:sz w:val="40"/>
          <w:szCs w:val="40"/>
          <w:lang w:val="uk-UA"/>
        </w:rPr>
        <w:t xml:space="preserve"> </w:t>
      </w:r>
      <w:r w:rsidRPr="001A5F74">
        <w:rPr>
          <w:rFonts w:ascii="Times New Roman" w:hAnsi="Times New Roman"/>
          <w:sz w:val="28"/>
          <w:szCs w:val="28"/>
          <w:lang w:val="uk-UA"/>
        </w:rPr>
        <w:t xml:space="preserve">коморбідності захворювань, а, з іншого боку, ВДТ може слугувати як маркер негативного впливу ЕД та ОС та використовуватися в сукупній оцінці перебігу цих захворювань. </w:t>
      </w:r>
    </w:p>
    <w:p w:rsidR="00E3259F" w:rsidRPr="001A5F74" w:rsidRDefault="00E3259F" w:rsidP="001A5F74">
      <w:pPr>
        <w:pStyle w:val="12"/>
        <w:spacing w:after="0" w:line="360" w:lineRule="auto"/>
        <w:ind w:left="0" w:firstLine="709"/>
        <w:jc w:val="both"/>
        <w:rPr>
          <w:rFonts w:ascii="Times New Roman" w:hAnsi="Times New Roman"/>
          <w:sz w:val="28"/>
          <w:szCs w:val="28"/>
          <w:lang w:val="uk-UA"/>
        </w:rPr>
      </w:pPr>
      <w:r w:rsidRPr="001A5F74">
        <w:rPr>
          <w:rFonts w:ascii="Times New Roman" w:hAnsi="Times New Roman"/>
          <w:sz w:val="28"/>
          <w:szCs w:val="28"/>
          <w:lang w:val="uk-UA" w:eastAsia="ru-RU"/>
        </w:rPr>
        <w:t>Крім того, п</w:t>
      </w:r>
      <w:r w:rsidRPr="001A5F74">
        <w:rPr>
          <w:rFonts w:ascii="Times New Roman" w:hAnsi="Times New Roman"/>
          <w:sz w:val="28"/>
          <w:szCs w:val="28"/>
          <w:lang w:val="uk-UA"/>
        </w:rPr>
        <w:t xml:space="preserve">ри поєднаному перебігу ГХ та ЦД 2 типу незалежно від функціонального стану ЩЗ мають місце достовірні зв`язки  ВДТ з багатьма  визнаними метаболічними та антропометричними факторами КВР, що робить припущення про можливість використання ВДТ в якості маркера серцево-судинного прогнозу ще більш значимим для цієї категорії хворих. Беручи до уваги, що ВДТ клітин букального епітелію має значну кількість статистично значущих зв`язків з показниками, які розцінюються як визнані фактори КВР (рівень глюкози натще, САТ, ТКІМ, </w:t>
      </w:r>
      <w:r w:rsidRPr="001A5F74">
        <w:rPr>
          <w:rFonts w:ascii="Times New Roman" w:hAnsi="Times New Roman"/>
          <w:sz w:val="28"/>
          <w:szCs w:val="28"/>
          <w:lang w:val="en-US"/>
        </w:rPr>
        <w:t>HOMA</w:t>
      </w:r>
      <w:r w:rsidRPr="001A5F74">
        <w:rPr>
          <w:rFonts w:ascii="Times New Roman" w:hAnsi="Times New Roman"/>
          <w:sz w:val="28"/>
          <w:szCs w:val="28"/>
          <w:lang w:val="uk-UA"/>
        </w:rPr>
        <w:t>-</w:t>
      </w:r>
      <w:r w:rsidRPr="001A5F74">
        <w:rPr>
          <w:rFonts w:ascii="Times New Roman" w:hAnsi="Times New Roman"/>
          <w:sz w:val="28"/>
          <w:szCs w:val="28"/>
          <w:lang w:val="en-US"/>
        </w:rPr>
        <w:t>IR</w:t>
      </w:r>
      <w:r w:rsidRPr="001A5F74">
        <w:rPr>
          <w:rFonts w:ascii="Times New Roman" w:hAnsi="Times New Roman"/>
          <w:sz w:val="28"/>
          <w:szCs w:val="28"/>
          <w:lang w:val="uk-UA"/>
        </w:rPr>
        <w:t>), даний параметр можна використовувати як додатковий, що підсилює діагностичну і прогностичну потужність визначення довжини теломер при оцінці факторів кардіоваскулярного ризику та ефективності їх корекції.</w:t>
      </w:r>
    </w:p>
    <w:p w:rsidR="00E3259F" w:rsidRPr="001A5F74" w:rsidRDefault="00E3259F" w:rsidP="001A5F74">
      <w:pPr>
        <w:spacing w:line="360" w:lineRule="auto"/>
        <w:ind w:firstLine="709"/>
        <w:rPr>
          <w:sz w:val="28"/>
          <w:szCs w:val="28"/>
          <w:lang w:val="uk-UA"/>
        </w:rPr>
      </w:pPr>
      <w:r w:rsidRPr="001A5F74">
        <w:rPr>
          <w:sz w:val="28"/>
          <w:szCs w:val="28"/>
        </w:rPr>
        <w:t> </w:t>
      </w:r>
    </w:p>
    <w:p w:rsidR="00E3259F" w:rsidRPr="001A5F74" w:rsidRDefault="00E3259F" w:rsidP="001A5F74">
      <w:pPr>
        <w:spacing w:line="360" w:lineRule="auto"/>
        <w:ind w:firstLine="709"/>
        <w:jc w:val="both"/>
        <w:rPr>
          <w:lang w:val="uk-UA" w:eastAsia="en-US"/>
        </w:rPr>
      </w:pPr>
    </w:p>
    <w:p w:rsidR="00E3259F" w:rsidRPr="001A5F74" w:rsidRDefault="00E3259F" w:rsidP="001A5F74">
      <w:pPr>
        <w:spacing w:line="360" w:lineRule="auto"/>
        <w:ind w:firstLine="709"/>
        <w:jc w:val="both"/>
        <w:rPr>
          <w:rFonts w:eastAsia="Calibri"/>
          <w:sz w:val="28"/>
          <w:szCs w:val="28"/>
          <w:lang w:eastAsia="en-US"/>
        </w:rPr>
      </w:pPr>
      <w:r w:rsidRPr="001A5F74">
        <w:rPr>
          <w:rFonts w:eastAsia="Calibri"/>
          <w:sz w:val="28"/>
          <w:szCs w:val="28"/>
        </w:rPr>
        <w:t xml:space="preserve">Результати власних досліджень розділу </w:t>
      </w:r>
      <w:r w:rsidRPr="001A5F74">
        <w:rPr>
          <w:rFonts w:eastAsia="Calibri"/>
          <w:sz w:val="28"/>
          <w:szCs w:val="28"/>
          <w:lang w:val="uk-UA"/>
        </w:rPr>
        <w:t>6 викладені в статтях</w:t>
      </w:r>
      <w:r w:rsidRPr="001A5F74">
        <w:rPr>
          <w:rFonts w:eastAsia="Calibri"/>
          <w:sz w:val="28"/>
          <w:szCs w:val="28"/>
        </w:rPr>
        <w:t>[</w:t>
      </w:r>
      <w:r w:rsidRPr="001A5F74">
        <w:rPr>
          <w:rFonts w:eastAsia="Calibri"/>
          <w:sz w:val="28"/>
          <w:szCs w:val="28"/>
          <w:lang w:val="uk-UA"/>
        </w:rPr>
        <w:t>77,80,157,297</w:t>
      </w:r>
      <w:r w:rsidRPr="001A5F74">
        <w:rPr>
          <w:rFonts w:eastAsia="Calibri"/>
          <w:sz w:val="28"/>
          <w:szCs w:val="28"/>
        </w:rPr>
        <w:t>], апробовані на наукових форумах [</w:t>
      </w:r>
      <w:r w:rsidRPr="001A5F74">
        <w:rPr>
          <w:rFonts w:eastAsia="Calibri"/>
          <w:sz w:val="28"/>
          <w:szCs w:val="28"/>
          <w:lang w:val="uk-UA"/>
        </w:rPr>
        <w:t>76,298</w:t>
      </w:r>
      <w:r w:rsidRPr="001A5F74">
        <w:rPr>
          <w:rFonts w:eastAsia="Calibri"/>
          <w:sz w:val="28"/>
          <w:szCs w:val="28"/>
        </w:rPr>
        <w:t>].</w:t>
      </w:r>
    </w:p>
    <w:p w:rsidR="00E3259F" w:rsidRPr="001A5F74" w:rsidRDefault="00E3259F" w:rsidP="001A5F74">
      <w:pPr>
        <w:spacing w:line="360" w:lineRule="auto"/>
        <w:ind w:firstLine="709"/>
        <w:rPr>
          <w:rStyle w:val="xfm96413466"/>
          <w:sz w:val="22"/>
          <w:szCs w:val="22"/>
        </w:rPr>
      </w:pPr>
      <w:r w:rsidRPr="001A5F74">
        <w:rPr>
          <w:rStyle w:val="xfm96413466"/>
          <w:sz w:val="22"/>
          <w:szCs w:val="22"/>
        </w:rPr>
        <w:br w:type="page"/>
      </w:r>
    </w:p>
    <w:p w:rsidR="00E3259F" w:rsidRDefault="00E3259F" w:rsidP="00E3259F">
      <w:pPr>
        <w:jc w:val="center"/>
        <w:rPr>
          <w:sz w:val="28"/>
          <w:szCs w:val="28"/>
          <w:lang w:val="uk-UA"/>
        </w:rPr>
      </w:pPr>
      <w:r>
        <w:rPr>
          <w:sz w:val="28"/>
          <w:szCs w:val="28"/>
          <w:lang w:val="uk-UA"/>
        </w:rPr>
        <w:t>РОЗДІЛ 7</w:t>
      </w:r>
    </w:p>
    <w:p w:rsidR="00E3259F" w:rsidRDefault="00E3259F" w:rsidP="00E3259F">
      <w:pPr>
        <w:jc w:val="center"/>
        <w:rPr>
          <w:sz w:val="28"/>
          <w:szCs w:val="28"/>
          <w:lang w:val="uk-UA"/>
        </w:rPr>
      </w:pPr>
    </w:p>
    <w:p w:rsidR="00E3259F" w:rsidRDefault="00E3259F" w:rsidP="00E3259F">
      <w:pPr>
        <w:spacing w:line="360" w:lineRule="auto"/>
        <w:jc w:val="both"/>
        <w:rPr>
          <w:sz w:val="28"/>
          <w:szCs w:val="28"/>
          <w:lang w:val="uk-UA"/>
        </w:rPr>
      </w:pPr>
      <w:r>
        <w:rPr>
          <w:bCs/>
          <w:sz w:val="28"/>
          <w:szCs w:val="28"/>
          <w:lang w:val="uk-UA"/>
        </w:rPr>
        <w:t>ПРОГНОЗУВАННЯ РОЗВИТКУ СЕРЦЕВО-СУДИННИХ УСКЛАДНЕНЬ  У ПАЦІЄНТІВ НА ГІПЕРТОНІЧНУ ХВОРОБУ</w:t>
      </w:r>
      <w:r>
        <w:rPr>
          <w:sz w:val="28"/>
          <w:szCs w:val="28"/>
          <w:lang w:val="uk-UA"/>
        </w:rPr>
        <w:t xml:space="preserve"> В ПОЄДНАННІ З ЦУКРОВИМ ДІАБЕТОМ 2 ТИПУ БЕЗ ПОРУШЕННЯ ФУНКЦІЇ ЩИТОПОДІБНОЇ ЗАЛОЗИ ТА З СУБКЛІНІЧНИМ ГІПОТИРЕОЗОМ.</w:t>
      </w:r>
    </w:p>
    <w:p w:rsidR="00E3259F" w:rsidRDefault="00E3259F" w:rsidP="00E3259F">
      <w:pPr>
        <w:jc w:val="center"/>
        <w:rPr>
          <w:rFonts w:asciiTheme="minorHAnsi" w:hAnsiTheme="minorHAnsi"/>
          <w:sz w:val="28"/>
          <w:szCs w:val="28"/>
          <w:lang w:val="uk-UA"/>
        </w:rPr>
      </w:pPr>
    </w:p>
    <w:p w:rsidR="00E3259F" w:rsidRPr="00E00CAF" w:rsidRDefault="00E3259F" w:rsidP="00E45952">
      <w:pPr>
        <w:spacing w:line="360" w:lineRule="auto"/>
        <w:ind w:firstLine="709"/>
        <w:jc w:val="both"/>
        <w:rPr>
          <w:sz w:val="28"/>
          <w:szCs w:val="28"/>
          <w:lang w:val="uk-UA"/>
        </w:rPr>
      </w:pPr>
      <w:r>
        <w:rPr>
          <w:sz w:val="28"/>
          <w:szCs w:val="28"/>
          <w:lang w:val="uk-UA"/>
        </w:rPr>
        <w:t xml:space="preserve">7.1. </w:t>
      </w:r>
      <w:r w:rsidRPr="00E00CAF">
        <w:rPr>
          <w:sz w:val="28"/>
          <w:szCs w:val="28"/>
          <w:lang w:val="uk-UA"/>
        </w:rPr>
        <w:t>Модель індивідуалізованого прогнозування розвитку серцево-судинних ускладнень у хворих на гіпертонічну хворобу у поєднанні з цукровим діабетом без порушення функції щитоподібної залози .</w:t>
      </w:r>
    </w:p>
    <w:p w:rsidR="00E3259F" w:rsidRPr="00E00CAF" w:rsidRDefault="00E3259F" w:rsidP="00E45952">
      <w:pPr>
        <w:spacing w:line="360" w:lineRule="auto"/>
        <w:ind w:firstLine="709"/>
        <w:jc w:val="both"/>
        <w:rPr>
          <w:sz w:val="28"/>
          <w:szCs w:val="28"/>
          <w:lang w:val="uk-UA"/>
        </w:rPr>
      </w:pPr>
    </w:p>
    <w:p w:rsidR="00E3259F" w:rsidRPr="00E00CAF" w:rsidRDefault="00E3259F" w:rsidP="00E45952">
      <w:pPr>
        <w:spacing w:line="360" w:lineRule="auto"/>
        <w:ind w:firstLine="709"/>
        <w:jc w:val="both"/>
        <w:rPr>
          <w:sz w:val="28"/>
          <w:szCs w:val="28"/>
          <w:lang w:val="uk-UA"/>
        </w:rPr>
      </w:pPr>
      <w:r w:rsidRPr="00E00CAF">
        <w:rPr>
          <w:sz w:val="28"/>
          <w:szCs w:val="28"/>
          <w:lang w:val="uk-UA"/>
        </w:rPr>
        <w:t>В групі пацієнтів з ГХ та ЦД 2 типу</w:t>
      </w:r>
      <w:r w:rsidRPr="00E00CAF">
        <w:rPr>
          <w:bCs/>
          <w:sz w:val="28"/>
          <w:szCs w:val="28"/>
          <w:lang w:val="uk-UA"/>
        </w:rPr>
        <w:t xml:space="preserve"> протягом періоду спостереження </w:t>
      </w:r>
      <w:r w:rsidRPr="00E00CAF">
        <w:rPr>
          <w:sz w:val="28"/>
          <w:szCs w:val="28"/>
          <w:lang w:val="uk-UA"/>
        </w:rPr>
        <w:t>було зафіксовано 20 випадків розвитку ССУ (ГКС, гостре порушення мозкового кровообігу різного ступеня важкості), що становило 12,82% щодо хворих цієї групи. Для ранньої діагностики ймовірних ускладнень була створена моделі індивідуалізованого прогнозування розвитку ССУ для цієї когорти хворих.</w:t>
      </w:r>
    </w:p>
    <w:p w:rsidR="00E3259F" w:rsidRPr="00E00CAF" w:rsidRDefault="00E3259F" w:rsidP="00E45952">
      <w:pPr>
        <w:spacing w:line="360" w:lineRule="auto"/>
        <w:ind w:firstLine="709"/>
        <w:jc w:val="both"/>
        <w:rPr>
          <w:sz w:val="28"/>
          <w:szCs w:val="28"/>
          <w:lang w:val="uk-UA"/>
        </w:rPr>
      </w:pPr>
      <w:r w:rsidRPr="00E00CAF">
        <w:rPr>
          <w:bCs/>
          <w:sz w:val="28"/>
          <w:szCs w:val="28"/>
          <w:lang w:val="uk-UA"/>
        </w:rPr>
        <w:t xml:space="preserve">Для створення моделі прогнозування </w:t>
      </w:r>
      <w:r w:rsidRPr="00E00CAF">
        <w:rPr>
          <w:sz w:val="28"/>
          <w:szCs w:val="28"/>
          <w:lang w:val="uk-UA"/>
        </w:rPr>
        <w:t>розвитку ССУ</w:t>
      </w:r>
      <w:r w:rsidRPr="00E00CAF">
        <w:rPr>
          <w:bCs/>
          <w:sz w:val="28"/>
          <w:szCs w:val="28"/>
          <w:lang w:val="uk-UA"/>
        </w:rPr>
        <w:t xml:space="preserve"> у пацієнтів  на ГХ</w:t>
      </w:r>
      <w:r w:rsidRPr="00E00CAF">
        <w:rPr>
          <w:sz w:val="28"/>
          <w:szCs w:val="28"/>
          <w:lang w:val="uk-UA"/>
        </w:rPr>
        <w:t xml:space="preserve"> поєднаної зі ЦД 2 типу було використано дані 156 пацієнтів. Всі пацієнти були розділені на дві групи таким чином:</w:t>
      </w:r>
    </w:p>
    <w:p w:rsidR="00E3259F" w:rsidRPr="00E45952" w:rsidRDefault="00E3259F" w:rsidP="00E45952">
      <w:pPr>
        <w:spacing w:line="360" w:lineRule="auto"/>
        <w:ind w:firstLine="709"/>
        <w:jc w:val="both"/>
        <w:rPr>
          <w:sz w:val="28"/>
          <w:szCs w:val="28"/>
        </w:rPr>
      </w:pPr>
      <w:r w:rsidRPr="00E00CAF">
        <w:rPr>
          <w:sz w:val="28"/>
          <w:szCs w:val="28"/>
        </w:rPr>
        <w:t>1-</w:t>
      </w:r>
      <w:r w:rsidRPr="00E00CAF">
        <w:rPr>
          <w:sz w:val="28"/>
          <w:szCs w:val="28"/>
          <w:lang w:val="uk-UA"/>
        </w:rPr>
        <w:t>а</w:t>
      </w:r>
      <w:r w:rsidRPr="00E00CAF">
        <w:rPr>
          <w:sz w:val="28"/>
          <w:szCs w:val="28"/>
        </w:rPr>
        <w:t xml:space="preserve"> група – 136 пац</w:t>
      </w:r>
      <w:r w:rsidRPr="00E00CAF">
        <w:rPr>
          <w:sz w:val="28"/>
          <w:szCs w:val="28"/>
          <w:lang w:val="uk-UA"/>
        </w:rPr>
        <w:t>ієнтів</w:t>
      </w:r>
      <w:r w:rsidRPr="00E00CAF">
        <w:rPr>
          <w:sz w:val="28"/>
          <w:szCs w:val="28"/>
        </w:rPr>
        <w:t xml:space="preserve"> без сер</w:t>
      </w:r>
      <w:r w:rsidRPr="00E00CAF">
        <w:rPr>
          <w:sz w:val="28"/>
          <w:szCs w:val="28"/>
          <w:lang w:val="uk-UA"/>
        </w:rPr>
        <w:t>цево-судинних</w:t>
      </w:r>
      <w:r w:rsidRPr="00E45952">
        <w:rPr>
          <w:sz w:val="28"/>
          <w:szCs w:val="28"/>
          <w:lang w:val="uk-UA"/>
        </w:rPr>
        <w:t xml:space="preserve"> ускладнень</w:t>
      </w:r>
      <w:r w:rsidRPr="00E45952">
        <w:rPr>
          <w:sz w:val="28"/>
          <w:szCs w:val="28"/>
        </w:rPr>
        <w:t>;</w:t>
      </w:r>
    </w:p>
    <w:p w:rsidR="00E3259F" w:rsidRPr="00E45952" w:rsidRDefault="00E3259F" w:rsidP="00E45952">
      <w:pPr>
        <w:spacing w:line="360" w:lineRule="auto"/>
        <w:ind w:firstLine="709"/>
        <w:jc w:val="both"/>
        <w:rPr>
          <w:sz w:val="28"/>
          <w:szCs w:val="28"/>
        </w:rPr>
      </w:pPr>
      <w:r w:rsidRPr="00E45952">
        <w:rPr>
          <w:sz w:val="28"/>
          <w:szCs w:val="28"/>
        </w:rPr>
        <w:t>2-</w:t>
      </w:r>
      <w:r w:rsidRPr="00E45952">
        <w:rPr>
          <w:sz w:val="28"/>
          <w:szCs w:val="28"/>
          <w:lang w:val="uk-UA"/>
        </w:rPr>
        <w:t>а</w:t>
      </w:r>
      <w:r w:rsidRPr="00E45952">
        <w:rPr>
          <w:sz w:val="28"/>
          <w:szCs w:val="28"/>
        </w:rPr>
        <w:t xml:space="preserve"> група – 20 пац</w:t>
      </w:r>
      <w:r w:rsidRPr="00E45952">
        <w:rPr>
          <w:sz w:val="28"/>
          <w:szCs w:val="28"/>
          <w:lang w:val="uk-UA"/>
        </w:rPr>
        <w:t>ієнтів із</w:t>
      </w:r>
      <w:r w:rsidRPr="00E45952">
        <w:rPr>
          <w:sz w:val="28"/>
          <w:szCs w:val="28"/>
        </w:rPr>
        <w:t xml:space="preserve"> сер</w:t>
      </w:r>
      <w:r w:rsidRPr="00E45952">
        <w:rPr>
          <w:sz w:val="28"/>
          <w:szCs w:val="28"/>
          <w:lang w:val="uk-UA"/>
        </w:rPr>
        <w:t>цево-судинними ускладненнями</w:t>
      </w:r>
      <w:r w:rsidRPr="00E45952">
        <w:rPr>
          <w:sz w:val="28"/>
          <w:szCs w:val="28"/>
        </w:rPr>
        <w:t>.</w:t>
      </w:r>
    </w:p>
    <w:p w:rsidR="00E3259F" w:rsidRPr="00E45952" w:rsidRDefault="00E3259F" w:rsidP="00E45952">
      <w:pPr>
        <w:spacing w:line="360" w:lineRule="auto"/>
        <w:ind w:firstLine="709"/>
        <w:jc w:val="both"/>
        <w:rPr>
          <w:rFonts w:eastAsia="Lucida Sans Unicode"/>
          <w:kern w:val="2"/>
          <w:sz w:val="28"/>
          <w:szCs w:val="28"/>
          <w:lang w:val="uk-UA" w:eastAsia="ar-SA"/>
        </w:rPr>
      </w:pPr>
      <w:r w:rsidRPr="00E45952">
        <w:rPr>
          <w:sz w:val="28"/>
          <w:szCs w:val="28"/>
        </w:rPr>
        <w:t xml:space="preserve">В якості потенційних предикторів використовували такі чинники: вік, </w:t>
      </w:r>
      <w:r w:rsidRPr="00E45952">
        <w:rPr>
          <w:sz w:val="28"/>
          <w:szCs w:val="28"/>
          <w:lang w:val="uk-UA"/>
        </w:rPr>
        <w:t xml:space="preserve"> </w:t>
      </w:r>
      <w:r w:rsidRPr="00E45952">
        <w:rPr>
          <w:sz w:val="28"/>
          <w:szCs w:val="28"/>
        </w:rPr>
        <w:t>маса тіла,</w:t>
      </w:r>
      <w:r w:rsidRPr="00E45952">
        <w:rPr>
          <w:sz w:val="28"/>
          <w:szCs w:val="28"/>
          <w:lang w:val="uk-UA"/>
        </w:rPr>
        <w:t xml:space="preserve"> ІМТ, САТ, ДАТ, ПАТ, ТКІМ, </w:t>
      </w:r>
      <w:r w:rsidRPr="00E45952">
        <w:rPr>
          <w:sz w:val="28"/>
          <w:szCs w:val="28"/>
        </w:rPr>
        <w:t>СР</w:t>
      </w:r>
      <w:r w:rsidRPr="00E45952">
        <w:rPr>
          <w:sz w:val="28"/>
          <w:szCs w:val="28"/>
          <w:lang w:val="uk-UA"/>
        </w:rPr>
        <w:t>П</w:t>
      </w:r>
      <w:r w:rsidRPr="00E45952">
        <w:rPr>
          <w:sz w:val="28"/>
          <w:szCs w:val="28"/>
        </w:rPr>
        <w:t xml:space="preserve">, </w:t>
      </w:r>
      <w:r w:rsidRPr="00E45952">
        <w:rPr>
          <w:sz w:val="28"/>
          <w:szCs w:val="28"/>
          <w:lang w:val="uk-UA"/>
        </w:rPr>
        <w:t xml:space="preserve">ФНП-α, кількість </w:t>
      </w:r>
      <w:r w:rsidRPr="00E45952">
        <w:rPr>
          <w:sz w:val="28"/>
          <w:szCs w:val="28"/>
        </w:rPr>
        <w:t>ЦДЕК, рівень ВЕФР</w:t>
      </w:r>
      <w:r w:rsidRPr="00E45952">
        <w:rPr>
          <w:sz w:val="28"/>
          <w:szCs w:val="28"/>
          <w:lang w:val="uk-UA"/>
        </w:rPr>
        <w:t xml:space="preserve">, активність ГПО, рівень </w:t>
      </w:r>
      <w:r w:rsidRPr="00E45952">
        <w:rPr>
          <w:sz w:val="28"/>
          <w:szCs w:val="28"/>
          <w:lang w:val="en-US"/>
        </w:rPr>
        <w:t>SH</w:t>
      </w:r>
      <w:r w:rsidRPr="00E45952">
        <w:rPr>
          <w:sz w:val="28"/>
          <w:szCs w:val="28"/>
          <w:lang w:val="uk-UA"/>
        </w:rPr>
        <w:t>-груп, МДА,</w:t>
      </w:r>
      <w:r w:rsidRPr="00E45952">
        <w:rPr>
          <w:b/>
          <w:sz w:val="28"/>
          <w:szCs w:val="28"/>
          <w:lang w:val="uk-UA"/>
        </w:rPr>
        <w:t xml:space="preserve"> </w:t>
      </w:r>
      <w:r w:rsidRPr="00E45952">
        <w:rPr>
          <w:sz w:val="28"/>
          <w:szCs w:val="28"/>
          <w:lang w:val="uk-UA"/>
        </w:rPr>
        <w:t>8-OH-dG плазми</w:t>
      </w:r>
      <w:r w:rsidRPr="00E45952">
        <w:rPr>
          <w:sz w:val="28"/>
          <w:szCs w:val="28"/>
        </w:rPr>
        <w:t xml:space="preserve">; </w:t>
      </w:r>
      <w:r w:rsidRPr="00E45952">
        <w:rPr>
          <w:sz w:val="28"/>
          <w:szCs w:val="28"/>
          <w:lang w:val="uk-UA"/>
        </w:rPr>
        <w:t>ВДТ</w:t>
      </w:r>
      <w:r w:rsidRPr="00E45952">
        <w:rPr>
          <w:sz w:val="28"/>
          <w:szCs w:val="28"/>
        </w:rPr>
        <w:t xml:space="preserve"> крові,</w:t>
      </w:r>
      <w:r w:rsidRPr="00E45952">
        <w:rPr>
          <w:sz w:val="28"/>
          <w:szCs w:val="28"/>
          <w:lang w:val="uk-UA"/>
        </w:rPr>
        <w:t xml:space="preserve"> </w:t>
      </w:r>
      <w:r w:rsidRPr="00E00CAF">
        <w:rPr>
          <w:sz w:val="28"/>
          <w:szCs w:val="28"/>
          <w:lang w:val="uk-UA"/>
        </w:rPr>
        <w:t xml:space="preserve">ВДТ клітин </w:t>
      </w:r>
      <w:r w:rsidRPr="00E00CAF">
        <w:rPr>
          <w:sz w:val="28"/>
          <w:szCs w:val="28"/>
        </w:rPr>
        <w:t>букально</w:t>
      </w:r>
      <w:r w:rsidRPr="00E00CAF">
        <w:rPr>
          <w:sz w:val="28"/>
          <w:szCs w:val="28"/>
          <w:lang w:val="uk-UA"/>
        </w:rPr>
        <w:t>го</w:t>
      </w:r>
      <w:r w:rsidRPr="00E00CAF">
        <w:rPr>
          <w:sz w:val="28"/>
          <w:szCs w:val="28"/>
        </w:rPr>
        <w:t xml:space="preserve"> епітелі</w:t>
      </w:r>
      <w:r w:rsidRPr="00E00CAF">
        <w:rPr>
          <w:sz w:val="28"/>
          <w:szCs w:val="28"/>
          <w:lang w:val="uk-UA"/>
        </w:rPr>
        <w:t>ю</w:t>
      </w:r>
      <w:r w:rsidRPr="00E00CAF">
        <w:rPr>
          <w:sz w:val="28"/>
          <w:szCs w:val="28"/>
        </w:rPr>
        <w:t xml:space="preserve">, </w:t>
      </w:r>
      <w:r w:rsidRPr="00E00CAF">
        <w:rPr>
          <w:sz w:val="28"/>
          <w:szCs w:val="28"/>
          <w:lang w:val="uk-UA"/>
        </w:rPr>
        <w:t xml:space="preserve">рівні </w:t>
      </w:r>
      <w:r w:rsidRPr="00E00CAF">
        <w:rPr>
          <w:sz w:val="28"/>
          <w:szCs w:val="28"/>
        </w:rPr>
        <w:t>ЗХС, ТГ, ХС</w:t>
      </w:r>
      <w:r w:rsidRPr="00E00CAF">
        <w:rPr>
          <w:sz w:val="28"/>
          <w:szCs w:val="28"/>
          <w:lang w:val="uk-UA"/>
        </w:rPr>
        <w:t xml:space="preserve"> </w:t>
      </w:r>
      <w:r w:rsidRPr="00E00CAF">
        <w:rPr>
          <w:sz w:val="28"/>
          <w:szCs w:val="28"/>
        </w:rPr>
        <w:t>ЛПДНЩ, ХС</w:t>
      </w:r>
      <w:r w:rsidRPr="00E00CAF">
        <w:rPr>
          <w:sz w:val="28"/>
          <w:szCs w:val="28"/>
          <w:lang w:val="uk-UA"/>
        </w:rPr>
        <w:t xml:space="preserve"> </w:t>
      </w:r>
      <w:r w:rsidRPr="00E00CAF">
        <w:rPr>
          <w:sz w:val="28"/>
          <w:szCs w:val="28"/>
        </w:rPr>
        <w:t xml:space="preserve">ЛПВЩ, </w:t>
      </w:r>
      <w:r w:rsidRPr="00E00CAF">
        <w:rPr>
          <w:sz w:val="28"/>
          <w:szCs w:val="28"/>
          <w:lang w:val="uk-UA"/>
        </w:rPr>
        <w:t xml:space="preserve">глюкози натще, інсуліну, </w:t>
      </w:r>
      <w:r w:rsidRPr="00E00CAF">
        <w:rPr>
          <w:sz w:val="28"/>
          <w:szCs w:val="28"/>
        </w:rPr>
        <w:t>HbA</w:t>
      </w:r>
      <w:r w:rsidRPr="00E00CAF">
        <w:rPr>
          <w:sz w:val="28"/>
          <w:szCs w:val="28"/>
          <w:vertAlign w:val="subscript"/>
        </w:rPr>
        <w:t>1С</w:t>
      </w:r>
      <w:r w:rsidRPr="00E45952">
        <w:rPr>
          <w:sz w:val="28"/>
          <w:szCs w:val="28"/>
        </w:rPr>
        <w:t>, ТТГ, Т4 вільн</w:t>
      </w:r>
      <w:r w:rsidRPr="00E45952">
        <w:rPr>
          <w:sz w:val="28"/>
          <w:szCs w:val="28"/>
          <w:lang w:val="uk-UA"/>
        </w:rPr>
        <w:t>ого</w:t>
      </w:r>
      <w:r w:rsidRPr="00E45952">
        <w:rPr>
          <w:sz w:val="28"/>
          <w:szCs w:val="28"/>
        </w:rPr>
        <w:t>, Т3 вільн</w:t>
      </w:r>
      <w:r w:rsidRPr="00E45952">
        <w:rPr>
          <w:sz w:val="28"/>
          <w:szCs w:val="28"/>
          <w:lang w:val="uk-UA"/>
        </w:rPr>
        <w:t>ого</w:t>
      </w:r>
      <w:r w:rsidRPr="00E45952">
        <w:rPr>
          <w:sz w:val="28"/>
          <w:szCs w:val="28"/>
        </w:rPr>
        <w:t xml:space="preserve">, </w:t>
      </w:r>
      <w:r w:rsidRPr="00E45952">
        <w:rPr>
          <w:sz w:val="28"/>
          <w:szCs w:val="28"/>
          <w:lang w:val="uk-UA"/>
        </w:rPr>
        <w:t>індекс НОМА</w:t>
      </w:r>
      <w:r w:rsidRPr="00E45952">
        <w:rPr>
          <w:sz w:val="28"/>
          <w:szCs w:val="28"/>
        </w:rPr>
        <w:t>-</w:t>
      </w:r>
      <w:r w:rsidRPr="00E45952">
        <w:rPr>
          <w:sz w:val="28"/>
          <w:szCs w:val="28"/>
          <w:lang w:val="en-US"/>
        </w:rPr>
        <w:t>IR</w:t>
      </w:r>
      <w:r w:rsidRPr="00E45952">
        <w:rPr>
          <w:sz w:val="28"/>
          <w:szCs w:val="28"/>
        </w:rPr>
        <w:t>.</w:t>
      </w:r>
      <w:r w:rsidRPr="00E45952">
        <w:rPr>
          <w:sz w:val="28"/>
          <w:szCs w:val="28"/>
          <w:lang w:val="uk-UA"/>
        </w:rPr>
        <w:t xml:space="preserve"> </w:t>
      </w:r>
      <w:r w:rsidRPr="00E45952">
        <w:rPr>
          <w:rFonts w:eastAsia="Lucida Sans Unicode"/>
          <w:kern w:val="2"/>
          <w:sz w:val="28"/>
          <w:szCs w:val="28"/>
          <w:lang w:val="uk-UA" w:eastAsia="ar-SA"/>
        </w:rPr>
        <w:t>У</w:t>
      </w:r>
      <w:r w:rsidRPr="00E45952">
        <w:rPr>
          <w:rFonts w:eastAsia="Lucida Sans Unicode"/>
          <w:kern w:val="2"/>
          <w:sz w:val="28"/>
          <w:szCs w:val="28"/>
          <w:lang w:eastAsia="ar-SA"/>
        </w:rPr>
        <w:t xml:space="preserve">сі показники були закодовані </w:t>
      </w:r>
      <w:r w:rsidRPr="00E45952">
        <w:rPr>
          <w:rFonts w:eastAsia="Lucida Sans Unicode"/>
          <w:kern w:val="2"/>
          <w:sz w:val="28"/>
          <w:szCs w:val="28"/>
          <w:lang w:val="uk-UA" w:eastAsia="ar-SA"/>
        </w:rPr>
        <w:t>та</w:t>
      </w:r>
      <w:r w:rsidRPr="00E45952">
        <w:rPr>
          <w:rFonts w:eastAsia="Lucida Sans Unicode"/>
          <w:kern w:val="2"/>
          <w:sz w:val="28"/>
          <w:szCs w:val="28"/>
          <w:lang w:eastAsia="ar-SA"/>
        </w:rPr>
        <w:t xml:space="preserve"> поставлені відповідно вектору, який </w:t>
      </w:r>
      <w:r w:rsidRPr="00E45952">
        <w:rPr>
          <w:rFonts w:eastAsia="Lucida Sans Unicode"/>
          <w:kern w:val="2"/>
          <w:sz w:val="28"/>
          <w:szCs w:val="28"/>
          <w:lang w:val="uk-UA" w:eastAsia="ar-SA"/>
        </w:rPr>
        <w:t>у</w:t>
      </w:r>
      <w:r w:rsidRPr="00E45952">
        <w:rPr>
          <w:rFonts w:eastAsia="Lucida Sans Unicode"/>
          <w:kern w:val="2"/>
          <w:sz w:val="28"/>
          <w:szCs w:val="28"/>
          <w:lang w:eastAsia="ar-SA"/>
        </w:rPr>
        <w:t>раховує відсутність, наявність, спрямованість і величину кожного показника.</w:t>
      </w:r>
    </w:p>
    <w:p w:rsidR="00E3259F" w:rsidRPr="00E45952" w:rsidRDefault="00E3259F" w:rsidP="00E45952">
      <w:pPr>
        <w:spacing w:line="360" w:lineRule="auto"/>
        <w:ind w:firstLine="709"/>
        <w:jc w:val="both"/>
        <w:rPr>
          <w:rFonts w:eastAsia="Lucida Sans Unicode"/>
          <w:kern w:val="2"/>
          <w:sz w:val="28"/>
          <w:szCs w:val="28"/>
          <w:lang w:val="uk-UA" w:eastAsia="ar-SA"/>
        </w:rPr>
      </w:pPr>
      <w:r w:rsidRPr="00E45952">
        <w:rPr>
          <w:rFonts w:eastAsia="Lucida Sans Unicode"/>
          <w:kern w:val="2"/>
          <w:sz w:val="28"/>
          <w:szCs w:val="28"/>
          <w:lang w:val="uk-UA" w:eastAsia="ar-SA"/>
        </w:rPr>
        <w:t xml:space="preserve">Для синтезу математичної моделі прогнозу ССУ у пацієнтів з ГХ в поєднанні з ЦД 2 типу застосовувалася бінарна логістична регресія, яка дозволяє досить точно виявити ознаки, які істотно впливають </w:t>
      </w:r>
      <w:r w:rsidRPr="00B366F0">
        <w:rPr>
          <w:rFonts w:eastAsia="Lucida Sans Unicode"/>
          <w:kern w:val="2"/>
          <w:sz w:val="28"/>
          <w:szCs w:val="28"/>
          <w:lang w:val="uk-UA" w:eastAsia="ar-SA"/>
        </w:rPr>
        <w:t>на розвиток ССУ. Для проведення цього аналізу використовували комп'ютерну програму</w:t>
      </w:r>
      <w:r w:rsidRPr="00E45952">
        <w:rPr>
          <w:rFonts w:eastAsia="Lucida Sans Unicode"/>
          <w:kern w:val="2"/>
          <w:sz w:val="28"/>
          <w:szCs w:val="28"/>
          <w:lang w:val="uk-UA" w:eastAsia="ar-SA"/>
        </w:rPr>
        <w:t xml:space="preserve"> SPSS 19.0.</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rFonts w:eastAsia="Calibri"/>
          <w:kern w:val="2"/>
          <w:sz w:val="28"/>
          <w:szCs w:val="28"/>
          <w:lang w:val="uk-UA"/>
        </w:rPr>
      </w:pPr>
      <w:r w:rsidRPr="00E45952">
        <w:rPr>
          <w:kern w:val="2"/>
          <w:sz w:val="28"/>
          <w:szCs w:val="28"/>
          <w:lang w:val="uk-UA"/>
        </w:rPr>
        <w:t xml:space="preserve">Порівняння груп 1 і 2 показало, що з усіх оцінюваних чинників,  статистично значимий вплив на ймовірність розвитку ССУ у пацієнтів з поєднаним перебігом ГХ та ЦД 2 типу мали: рівні ХС ЛПВЩ, індекс </w:t>
      </w:r>
      <w:r w:rsidRPr="00E45952">
        <w:rPr>
          <w:kern w:val="2"/>
          <w:sz w:val="28"/>
          <w:szCs w:val="28"/>
          <w:lang w:val="en-US"/>
        </w:rPr>
        <w:t>HOMA</w:t>
      </w:r>
      <w:r w:rsidRPr="00E45952">
        <w:rPr>
          <w:kern w:val="2"/>
          <w:sz w:val="28"/>
          <w:szCs w:val="28"/>
          <w:lang w:val="uk-UA"/>
        </w:rPr>
        <w:t>-</w:t>
      </w:r>
      <w:r w:rsidRPr="00E45952">
        <w:rPr>
          <w:kern w:val="2"/>
          <w:sz w:val="28"/>
          <w:szCs w:val="28"/>
          <w:lang w:val="en-US"/>
        </w:rPr>
        <w:t>IR</w:t>
      </w:r>
      <w:r w:rsidRPr="00E45952">
        <w:rPr>
          <w:kern w:val="2"/>
          <w:sz w:val="28"/>
          <w:szCs w:val="28"/>
          <w:lang w:val="uk-UA"/>
        </w:rPr>
        <w:t xml:space="preserve">, рівень глюкози натще, </w:t>
      </w:r>
      <w:r w:rsidRPr="00E45952">
        <w:rPr>
          <w:sz w:val="28"/>
          <w:szCs w:val="28"/>
          <w:lang w:val="uk-UA"/>
        </w:rPr>
        <w:t xml:space="preserve">8-OH-dG плазми, </w:t>
      </w:r>
      <w:r w:rsidRPr="00E45952">
        <w:rPr>
          <w:kern w:val="2"/>
          <w:sz w:val="28"/>
          <w:szCs w:val="28"/>
          <w:lang w:val="uk-UA"/>
        </w:rPr>
        <w:t xml:space="preserve">кількість ЦДЕК, </w:t>
      </w:r>
      <w:r w:rsidRPr="00E45952">
        <w:rPr>
          <w:sz w:val="28"/>
          <w:szCs w:val="28"/>
          <w:lang w:val="uk-UA"/>
        </w:rPr>
        <w:t>та ВДТ крові</w:t>
      </w:r>
      <w:r w:rsidRPr="00E45952">
        <w:rPr>
          <w:kern w:val="2"/>
          <w:sz w:val="28"/>
          <w:szCs w:val="28"/>
          <w:lang w:val="uk-UA"/>
        </w:rPr>
        <w:t xml:space="preserve">. </w:t>
      </w:r>
    </w:p>
    <w:p w:rsidR="00E3259F" w:rsidRPr="00E45952" w:rsidRDefault="00E3259F" w:rsidP="00E45952">
      <w:pPr>
        <w:spacing w:line="360" w:lineRule="auto"/>
        <w:ind w:firstLine="709"/>
        <w:jc w:val="both"/>
        <w:rPr>
          <w:sz w:val="28"/>
          <w:szCs w:val="28"/>
          <w:lang w:val="uk-UA" w:eastAsia="ar-SA"/>
        </w:rPr>
      </w:pPr>
      <w:r w:rsidRPr="00E45952">
        <w:rPr>
          <w:sz w:val="28"/>
          <w:szCs w:val="28"/>
          <w:lang w:val="uk-UA" w:eastAsia="ar-SA"/>
        </w:rPr>
        <w:t xml:space="preserve">Імовірність </w:t>
      </w:r>
      <w:r w:rsidRPr="00E45952">
        <w:rPr>
          <w:kern w:val="2"/>
          <w:position w:val="-4"/>
          <w:sz w:val="28"/>
          <w:szCs w:val="28"/>
        </w:rPr>
        <w:object w:dxaOrig="240" w:dyaOrig="420">
          <v:shape id="_x0000_i1049" type="#_x0000_t75" style="width:12.75pt;height:21.75pt" o:ole="">
            <v:imagedata r:id="rId17" o:title=""/>
          </v:shape>
          <o:OLEObject Type="Embed" ProgID="Equation.3" ShapeID="_x0000_i1049" DrawAspect="Content" ObjectID="_1669446833" r:id="rId56"/>
        </w:object>
      </w:r>
      <w:r w:rsidRPr="00E45952">
        <w:rPr>
          <w:kern w:val="2"/>
          <w:position w:val="-4"/>
          <w:sz w:val="28"/>
          <w:szCs w:val="28"/>
          <w:lang w:val="uk-UA"/>
        </w:rPr>
        <w:t xml:space="preserve"> </w:t>
      </w:r>
      <w:r w:rsidRPr="00E45952">
        <w:rPr>
          <w:sz w:val="28"/>
          <w:szCs w:val="28"/>
          <w:lang w:val="uk-UA" w:eastAsia="ar-SA"/>
        </w:rPr>
        <w:t>виникнення ССУ у пацієнтів на ГХ та ЦД 2 типу визначається за формулою:</w:t>
      </w:r>
    </w:p>
    <w:p w:rsidR="00E3259F" w:rsidRPr="00E45952" w:rsidRDefault="00E3259F" w:rsidP="00E45952">
      <w:pPr>
        <w:autoSpaceDE w:val="0"/>
        <w:autoSpaceDN w:val="0"/>
        <w:adjustRightInd w:val="0"/>
        <w:spacing w:line="360" w:lineRule="auto"/>
        <w:ind w:firstLine="709"/>
        <w:jc w:val="center"/>
        <w:rPr>
          <w:rFonts w:eastAsia="Calibri"/>
          <w:sz w:val="28"/>
          <w:szCs w:val="28"/>
          <w:lang w:val="uk-UA"/>
        </w:rPr>
      </w:pPr>
      <w:r w:rsidRPr="00E45952">
        <w:rPr>
          <w:kern w:val="2"/>
          <w:position w:val="-4"/>
          <w:sz w:val="28"/>
          <w:szCs w:val="28"/>
        </w:rPr>
        <w:object w:dxaOrig="240" w:dyaOrig="420">
          <v:shape id="_x0000_i1050" type="#_x0000_t75" style="width:12.75pt;height:21.75pt" o:ole="">
            <v:imagedata r:id="rId17" o:title=""/>
          </v:shape>
          <o:OLEObject Type="Embed" ProgID="Equation.3" ShapeID="_x0000_i1050" DrawAspect="Content" ObjectID="_1669446834" r:id="rId57"/>
        </w:object>
      </w:r>
      <w:r w:rsidRPr="00E45952">
        <w:rPr>
          <w:kern w:val="2"/>
          <w:sz w:val="28"/>
          <w:szCs w:val="28"/>
          <w:lang w:val="uk-UA"/>
        </w:rPr>
        <w:t xml:space="preserve">=[1+ </w:t>
      </w:r>
      <w:r w:rsidRPr="00E45952">
        <w:rPr>
          <w:kern w:val="2"/>
          <w:sz w:val="28"/>
          <w:szCs w:val="28"/>
          <w:lang w:val="en-US"/>
        </w:rPr>
        <w:t>exp</w:t>
      </w:r>
      <w:r w:rsidRPr="00E45952">
        <w:rPr>
          <w:kern w:val="2"/>
          <w:sz w:val="28"/>
          <w:szCs w:val="28"/>
          <w:lang w:val="uk-UA"/>
        </w:rPr>
        <w:t>(-(</w:t>
      </w:r>
      <w:r w:rsidRPr="00E45952">
        <w:rPr>
          <w:sz w:val="28"/>
          <w:szCs w:val="28"/>
          <w:lang w:val="uk-UA"/>
        </w:rPr>
        <w:t>2,156*</w:t>
      </w:r>
      <w:r w:rsidRPr="00E45952">
        <w:rPr>
          <w:kern w:val="2"/>
          <w:sz w:val="28"/>
          <w:szCs w:val="28"/>
          <w:lang w:val="uk-UA"/>
        </w:rPr>
        <w:t xml:space="preserve"> </w:t>
      </w:r>
      <w:r w:rsidRPr="00E45952">
        <w:rPr>
          <w:kern w:val="2"/>
          <w:sz w:val="28"/>
          <w:szCs w:val="28"/>
          <w:lang w:val="en-US"/>
        </w:rPr>
        <w:t>X</w:t>
      </w:r>
      <w:r w:rsidRPr="00E45952">
        <w:rPr>
          <w:kern w:val="2"/>
          <w:sz w:val="28"/>
          <w:szCs w:val="28"/>
          <w:vertAlign w:val="subscript"/>
          <w:lang w:val="uk-UA"/>
        </w:rPr>
        <w:t xml:space="preserve">1 </w:t>
      </w:r>
      <w:r w:rsidRPr="00E45952">
        <w:rPr>
          <w:sz w:val="28"/>
          <w:szCs w:val="28"/>
          <w:lang w:val="uk-UA"/>
        </w:rPr>
        <w:t>+0,391*</w:t>
      </w:r>
      <w:r w:rsidRPr="00E45952">
        <w:rPr>
          <w:kern w:val="2"/>
          <w:sz w:val="28"/>
          <w:szCs w:val="28"/>
          <w:lang w:val="en-US"/>
        </w:rPr>
        <w:t>X</w:t>
      </w:r>
      <w:r w:rsidRPr="00E45952">
        <w:rPr>
          <w:kern w:val="2"/>
          <w:sz w:val="28"/>
          <w:szCs w:val="28"/>
          <w:vertAlign w:val="subscript"/>
          <w:lang w:val="uk-UA"/>
        </w:rPr>
        <w:t xml:space="preserve">2  </w:t>
      </w:r>
      <w:r w:rsidRPr="00E45952">
        <w:rPr>
          <w:sz w:val="28"/>
          <w:szCs w:val="28"/>
          <w:lang w:val="uk-UA"/>
        </w:rPr>
        <w:t>– 1,277*</w:t>
      </w:r>
      <w:r w:rsidRPr="00E45952">
        <w:rPr>
          <w:kern w:val="2"/>
          <w:sz w:val="28"/>
          <w:szCs w:val="28"/>
          <w:lang w:val="uk-UA"/>
        </w:rPr>
        <w:t xml:space="preserve"> </w:t>
      </w:r>
      <w:r w:rsidRPr="00E45952">
        <w:rPr>
          <w:kern w:val="2"/>
          <w:sz w:val="28"/>
          <w:szCs w:val="28"/>
          <w:lang w:val="en-US"/>
        </w:rPr>
        <w:t>X</w:t>
      </w:r>
      <w:r w:rsidRPr="00E45952">
        <w:rPr>
          <w:kern w:val="2"/>
          <w:sz w:val="28"/>
          <w:szCs w:val="28"/>
          <w:vertAlign w:val="subscript"/>
          <w:lang w:val="uk-UA"/>
        </w:rPr>
        <w:t>3</w:t>
      </w:r>
      <w:r w:rsidRPr="00E45952">
        <w:rPr>
          <w:kern w:val="2"/>
          <w:sz w:val="28"/>
          <w:szCs w:val="28"/>
          <w:lang w:val="uk-UA"/>
        </w:rPr>
        <w:t>+0</w:t>
      </w:r>
      <w:r w:rsidRPr="00E45952">
        <w:rPr>
          <w:sz w:val="28"/>
          <w:szCs w:val="28"/>
          <w:lang w:val="uk-UA"/>
        </w:rPr>
        <w:t xml:space="preserve">,405* </w:t>
      </w:r>
      <w:r w:rsidRPr="00E45952">
        <w:rPr>
          <w:kern w:val="2"/>
          <w:sz w:val="28"/>
          <w:szCs w:val="28"/>
          <w:lang w:val="en-US"/>
        </w:rPr>
        <w:t>X</w:t>
      </w:r>
      <w:r w:rsidRPr="00E45952">
        <w:rPr>
          <w:kern w:val="2"/>
          <w:sz w:val="28"/>
          <w:szCs w:val="28"/>
          <w:vertAlign w:val="subscript"/>
          <w:lang w:val="uk-UA"/>
        </w:rPr>
        <w:t>4 +</w:t>
      </w:r>
      <w:r w:rsidRPr="00E45952">
        <w:rPr>
          <w:kern w:val="2"/>
          <w:sz w:val="28"/>
          <w:szCs w:val="28"/>
          <w:lang w:val="uk-UA"/>
        </w:rPr>
        <w:t>0</w:t>
      </w:r>
      <w:r w:rsidRPr="00E45952">
        <w:rPr>
          <w:sz w:val="28"/>
          <w:szCs w:val="28"/>
          <w:lang w:val="uk-UA"/>
        </w:rPr>
        <w:t xml:space="preserve">,526* </w:t>
      </w:r>
      <w:r w:rsidRPr="00E45952">
        <w:rPr>
          <w:kern w:val="2"/>
          <w:sz w:val="28"/>
          <w:szCs w:val="28"/>
          <w:lang w:val="en-US"/>
        </w:rPr>
        <w:t>X</w:t>
      </w:r>
      <w:r w:rsidRPr="00E45952">
        <w:rPr>
          <w:kern w:val="2"/>
          <w:sz w:val="28"/>
          <w:szCs w:val="28"/>
          <w:vertAlign w:val="subscript"/>
          <w:lang w:val="uk-UA"/>
        </w:rPr>
        <w:t>5</w:t>
      </w:r>
      <w:r w:rsidRPr="00E45952">
        <w:rPr>
          <w:sz w:val="28"/>
          <w:szCs w:val="28"/>
          <w:lang w:val="uk-UA"/>
        </w:rPr>
        <w:t xml:space="preserve"> –6,240*</w:t>
      </w:r>
      <w:r w:rsidRPr="00E45952">
        <w:rPr>
          <w:kern w:val="2"/>
          <w:sz w:val="28"/>
          <w:szCs w:val="28"/>
          <w:lang w:val="en-US"/>
        </w:rPr>
        <w:t>X</w:t>
      </w:r>
      <w:r w:rsidRPr="00E45952">
        <w:rPr>
          <w:kern w:val="2"/>
          <w:sz w:val="28"/>
          <w:szCs w:val="28"/>
          <w:vertAlign w:val="subscript"/>
          <w:lang w:val="uk-UA"/>
        </w:rPr>
        <w:t xml:space="preserve">6        </w:t>
      </w:r>
      <w:r w:rsidRPr="00E45952">
        <w:rPr>
          <w:sz w:val="28"/>
          <w:szCs w:val="28"/>
          <w:lang w:val="uk-UA"/>
        </w:rPr>
        <w:t>–</w:t>
      </w:r>
      <w:r w:rsidRPr="00E45952">
        <w:rPr>
          <w:kern w:val="2"/>
          <w:sz w:val="28"/>
          <w:szCs w:val="28"/>
          <w:lang w:val="uk-UA"/>
        </w:rPr>
        <w:t xml:space="preserve"> </w:t>
      </w:r>
      <w:r w:rsidRPr="00E45952">
        <w:rPr>
          <w:sz w:val="28"/>
          <w:szCs w:val="28"/>
          <w:lang w:val="uk-UA"/>
        </w:rPr>
        <w:t>7,994)</w:t>
      </w:r>
      <w:r w:rsidRPr="00E45952">
        <w:rPr>
          <w:kern w:val="2"/>
          <w:sz w:val="28"/>
          <w:szCs w:val="28"/>
          <w:lang w:val="uk-UA"/>
        </w:rPr>
        <w:t>)]</w:t>
      </w:r>
      <w:r w:rsidRPr="00E45952">
        <w:rPr>
          <w:kern w:val="2"/>
          <w:sz w:val="28"/>
          <w:szCs w:val="28"/>
          <w:vertAlign w:val="superscript"/>
          <w:lang w:val="uk-UA"/>
        </w:rPr>
        <w:t xml:space="preserve">-1  </w:t>
      </w:r>
      <w:r w:rsidRPr="00E45952">
        <w:rPr>
          <w:kern w:val="2"/>
          <w:sz w:val="28"/>
          <w:szCs w:val="28"/>
          <w:lang w:val="uk-UA"/>
        </w:rPr>
        <w:t xml:space="preserve">                                                               (7.1)                </w:t>
      </w:r>
    </w:p>
    <w:p w:rsidR="00E3259F" w:rsidRPr="00E45952" w:rsidRDefault="00E3259F" w:rsidP="00E45952">
      <w:pPr>
        <w:spacing w:line="360" w:lineRule="auto"/>
        <w:ind w:firstLine="709"/>
        <w:jc w:val="both"/>
        <w:rPr>
          <w:kern w:val="2"/>
          <w:sz w:val="28"/>
          <w:szCs w:val="28"/>
          <w:lang w:val="uk-UA"/>
        </w:rPr>
      </w:pPr>
    </w:p>
    <w:p w:rsidR="00E3259F" w:rsidRPr="00E45952" w:rsidRDefault="00E3259F" w:rsidP="00E45952">
      <w:pPr>
        <w:spacing w:line="360" w:lineRule="auto"/>
        <w:ind w:firstLine="709"/>
        <w:jc w:val="both"/>
        <w:rPr>
          <w:sz w:val="28"/>
          <w:szCs w:val="28"/>
          <w:lang w:val="uk-UA"/>
        </w:rPr>
      </w:pPr>
      <w:r w:rsidRPr="00E45952">
        <w:rPr>
          <w:kern w:val="2"/>
          <w:sz w:val="28"/>
          <w:szCs w:val="28"/>
          <w:lang w:val="uk-UA"/>
        </w:rPr>
        <w:t xml:space="preserve">де </w:t>
      </w:r>
      <w:r w:rsidRPr="00E45952">
        <w:rPr>
          <w:kern w:val="2"/>
          <w:sz w:val="28"/>
          <w:szCs w:val="28"/>
          <w:lang w:val="en-US"/>
        </w:rPr>
        <w:t>X</w:t>
      </w:r>
      <w:r w:rsidRPr="00E45952">
        <w:rPr>
          <w:kern w:val="2"/>
          <w:sz w:val="28"/>
          <w:szCs w:val="28"/>
          <w:vertAlign w:val="subscript"/>
          <w:lang w:val="uk-UA"/>
        </w:rPr>
        <w:t xml:space="preserve">1 </w:t>
      </w:r>
      <w:r w:rsidRPr="00E45952">
        <w:rPr>
          <w:kern w:val="2"/>
          <w:sz w:val="28"/>
          <w:szCs w:val="28"/>
          <w:lang w:val="uk-UA"/>
        </w:rPr>
        <w:t>– рівеньХС ЛПВЩ, ммоль/л</w:t>
      </w:r>
      <w:r w:rsidRPr="00E45952">
        <w:rPr>
          <w:sz w:val="28"/>
          <w:szCs w:val="28"/>
          <w:lang w:val="uk-UA"/>
        </w:rPr>
        <w:t xml:space="preserve">; </w:t>
      </w:r>
    </w:p>
    <w:p w:rsidR="00E3259F" w:rsidRPr="00E45952" w:rsidRDefault="00E3259F" w:rsidP="00E45952">
      <w:pPr>
        <w:spacing w:line="360" w:lineRule="auto"/>
        <w:ind w:firstLine="709"/>
        <w:jc w:val="both"/>
        <w:rPr>
          <w:sz w:val="28"/>
          <w:szCs w:val="28"/>
          <w:lang w:val="uk-UA"/>
        </w:rPr>
      </w:pPr>
      <w:r w:rsidRPr="00E45952">
        <w:rPr>
          <w:kern w:val="2"/>
          <w:sz w:val="28"/>
          <w:szCs w:val="28"/>
          <w:lang w:val="en-US"/>
        </w:rPr>
        <w:t>X</w:t>
      </w:r>
      <w:r w:rsidRPr="00E45952">
        <w:rPr>
          <w:kern w:val="2"/>
          <w:sz w:val="28"/>
          <w:szCs w:val="28"/>
          <w:vertAlign w:val="subscript"/>
          <w:lang w:val="uk-UA"/>
        </w:rPr>
        <w:t xml:space="preserve">2  </w:t>
      </w:r>
      <w:r w:rsidRPr="00E45952">
        <w:rPr>
          <w:kern w:val="2"/>
          <w:sz w:val="28"/>
          <w:szCs w:val="28"/>
          <w:lang w:val="uk-UA"/>
        </w:rPr>
        <w:t xml:space="preserve">- </w:t>
      </w:r>
      <w:r w:rsidRPr="00E45952">
        <w:rPr>
          <w:kern w:val="2"/>
          <w:sz w:val="28"/>
          <w:szCs w:val="28"/>
          <w:lang w:val="en-US"/>
        </w:rPr>
        <w:t>HOMA</w:t>
      </w:r>
      <w:r w:rsidRPr="00E45952">
        <w:rPr>
          <w:kern w:val="2"/>
          <w:sz w:val="28"/>
          <w:szCs w:val="28"/>
          <w:lang w:val="uk-UA"/>
        </w:rPr>
        <w:t>-</w:t>
      </w:r>
      <w:r w:rsidRPr="00E45952">
        <w:rPr>
          <w:kern w:val="2"/>
          <w:sz w:val="28"/>
          <w:szCs w:val="28"/>
          <w:lang w:val="en-US"/>
        </w:rPr>
        <w:t>IR</w:t>
      </w:r>
      <w:r w:rsidRPr="00E45952">
        <w:rPr>
          <w:sz w:val="28"/>
          <w:szCs w:val="28"/>
          <w:lang w:val="uk-UA"/>
        </w:rPr>
        <w:t xml:space="preserve">; </w:t>
      </w:r>
    </w:p>
    <w:p w:rsidR="00E3259F" w:rsidRPr="00E45952" w:rsidRDefault="00E3259F" w:rsidP="00E45952">
      <w:pPr>
        <w:spacing w:line="360" w:lineRule="auto"/>
        <w:ind w:firstLine="709"/>
        <w:jc w:val="both"/>
        <w:rPr>
          <w:sz w:val="28"/>
          <w:szCs w:val="28"/>
          <w:lang w:val="uk-UA"/>
        </w:rPr>
      </w:pPr>
      <w:r w:rsidRPr="00E45952">
        <w:rPr>
          <w:kern w:val="2"/>
          <w:sz w:val="28"/>
          <w:szCs w:val="28"/>
          <w:lang w:val="en-US"/>
        </w:rPr>
        <w:t>X</w:t>
      </w:r>
      <w:r w:rsidRPr="00E45952">
        <w:rPr>
          <w:kern w:val="2"/>
          <w:sz w:val="28"/>
          <w:szCs w:val="28"/>
          <w:vertAlign w:val="subscript"/>
          <w:lang w:val="uk-UA"/>
        </w:rPr>
        <w:t xml:space="preserve">3  </w:t>
      </w:r>
      <w:r w:rsidRPr="00E45952">
        <w:rPr>
          <w:kern w:val="2"/>
          <w:sz w:val="28"/>
          <w:szCs w:val="28"/>
          <w:lang w:val="uk-UA"/>
        </w:rPr>
        <w:t>- рівень г</w:t>
      </w:r>
      <w:r w:rsidRPr="00E45952">
        <w:rPr>
          <w:sz w:val="28"/>
          <w:szCs w:val="28"/>
          <w:lang w:val="uk-UA"/>
        </w:rPr>
        <w:t xml:space="preserve">люкоза крові, ммоль/л; </w:t>
      </w:r>
    </w:p>
    <w:p w:rsidR="00E3259F" w:rsidRPr="00E45952" w:rsidRDefault="00E3259F" w:rsidP="00E45952">
      <w:pPr>
        <w:spacing w:line="360" w:lineRule="auto"/>
        <w:ind w:firstLine="709"/>
        <w:jc w:val="both"/>
        <w:rPr>
          <w:sz w:val="28"/>
          <w:szCs w:val="28"/>
          <w:lang w:val="uk-UA"/>
        </w:rPr>
      </w:pPr>
      <w:r w:rsidRPr="00E45952">
        <w:rPr>
          <w:kern w:val="2"/>
          <w:sz w:val="28"/>
          <w:szCs w:val="28"/>
          <w:lang w:val="en-US"/>
        </w:rPr>
        <w:t>X</w:t>
      </w:r>
      <w:r w:rsidRPr="00E45952">
        <w:rPr>
          <w:kern w:val="2"/>
          <w:sz w:val="28"/>
          <w:szCs w:val="28"/>
          <w:vertAlign w:val="subscript"/>
          <w:lang w:val="uk-UA"/>
        </w:rPr>
        <w:t xml:space="preserve">4 </w:t>
      </w:r>
      <w:r w:rsidRPr="00E45952">
        <w:rPr>
          <w:kern w:val="2"/>
          <w:sz w:val="28"/>
          <w:szCs w:val="28"/>
          <w:lang w:val="uk-UA"/>
        </w:rPr>
        <w:t>– кількість ЦДЕК,</w:t>
      </w:r>
      <w:r w:rsidRPr="00E45952">
        <w:rPr>
          <w:rFonts w:eastAsia="TimesNewRomanPSMT"/>
          <w:sz w:val="28"/>
          <w:szCs w:val="28"/>
          <w:lang w:val="uk-UA" w:eastAsia="en-US"/>
        </w:rPr>
        <w:t xml:space="preserve"> кл./100 мкл</w:t>
      </w:r>
      <w:r w:rsidRPr="00E45952">
        <w:rPr>
          <w:sz w:val="28"/>
          <w:szCs w:val="28"/>
          <w:lang w:val="uk-UA"/>
        </w:rPr>
        <w:t xml:space="preserve">; </w:t>
      </w:r>
    </w:p>
    <w:p w:rsidR="00E3259F" w:rsidRPr="00E45952" w:rsidRDefault="00E3259F" w:rsidP="00E45952">
      <w:pPr>
        <w:spacing w:line="360" w:lineRule="auto"/>
        <w:ind w:firstLine="709"/>
        <w:jc w:val="both"/>
        <w:rPr>
          <w:sz w:val="28"/>
          <w:szCs w:val="28"/>
          <w:lang w:val="uk-UA"/>
        </w:rPr>
      </w:pPr>
      <w:r w:rsidRPr="00E45952">
        <w:rPr>
          <w:kern w:val="2"/>
          <w:sz w:val="28"/>
          <w:szCs w:val="28"/>
          <w:lang w:val="en-US"/>
        </w:rPr>
        <w:t>X</w:t>
      </w:r>
      <w:r w:rsidRPr="00E45952">
        <w:rPr>
          <w:kern w:val="2"/>
          <w:sz w:val="28"/>
          <w:szCs w:val="28"/>
          <w:vertAlign w:val="subscript"/>
          <w:lang w:val="uk-UA"/>
        </w:rPr>
        <w:t xml:space="preserve">5 </w:t>
      </w:r>
      <w:r w:rsidRPr="00E45952">
        <w:rPr>
          <w:kern w:val="2"/>
          <w:sz w:val="28"/>
          <w:szCs w:val="28"/>
          <w:lang w:val="uk-UA"/>
        </w:rPr>
        <w:t xml:space="preserve">– рівень </w:t>
      </w:r>
      <w:r w:rsidRPr="00E45952">
        <w:rPr>
          <w:sz w:val="28"/>
          <w:szCs w:val="28"/>
          <w:lang w:val="uk-UA"/>
        </w:rPr>
        <w:t>8-OH-dG,</w:t>
      </w:r>
      <w:r w:rsidRPr="00E45952">
        <w:rPr>
          <w:sz w:val="28"/>
          <w:szCs w:val="28"/>
          <w:lang w:val="uk-UA" w:eastAsia="en-US"/>
        </w:rPr>
        <w:t xml:space="preserve"> пкг/мл</w:t>
      </w:r>
      <w:r w:rsidRPr="00E45952">
        <w:rPr>
          <w:sz w:val="28"/>
          <w:szCs w:val="28"/>
          <w:lang w:val="uk-UA"/>
        </w:rPr>
        <w:t xml:space="preserve">; </w:t>
      </w:r>
    </w:p>
    <w:p w:rsidR="00E3259F" w:rsidRPr="00E45952" w:rsidRDefault="00E3259F" w:rsidP="00E45952">
      <w:pPr>
        <w:spacing w:line="360" w:lineRule="auto"/>
        <w:ind w:firstLine="709"/>
        <w:jc w:val="both"/>
        <w:rPr>
          <w:sz w:val="28"/>
          <w:szCs w:val="28"/>
          <w:lang w:val="uk-UA"/>
        </w:rPr>
      </w:pPr>
      <w:r w:rsidRPr="00E45952">
        <w:rPr>
          <w:kern w:val="2"/>
          <w:sz w:val="28"/>
          <w:szCs w:val="28"/>
          <w:lang w:val="en-US"/>
        </w:rPr>
        <w:t>X</w:t>
      </w:r>
      <w:r w:rsidRPr="00E45952">
        <w:rPr>
          <w:kern w:val="2"/>
          <w:sz w:val="28"/>
          <w:szCs w:val="28"/>
          <w:vertAlign w:val="subscript"/>
          <w:lang w:val="uk-UA"/>
        </w:rPr>
        <w:t xml:space="preserve">6 </w:t>
      </w:r>
      <w:r w:rsidRPr="00E45952">
        <w:rPr>
          <w:kern w:val="2"/>
          <w:sz w:val="28"/>
          <w:szCs w:val="28"/>
          <w:lang w:val="uk-UA"/>
        </w:rPr>
        <w:t xml:space="preserve">– </w:t>
      </w:r>
      <w:r w:rsidRPr="00E45952">
        <w:rPr>
          <w:sz w:val="28"/>
          <w:szCs w:val="28"/>
          <w:lang w:val="uk-UA"/>
        </w:rPr>
        <w:t>ВДТ крові, ум.од.</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sz w:val="28"/>
          <w:szCs w:val="28"/>
          <w:lang w:val="uk-UA"/>
        </w:rPr>
      </w:pPr>
      <w:r w:rsidRPr="00E45952">
        <w:rPr>
          <w:sz w:val="28"/>
          <w:szCs w:val="28"/>
        </w:rPr>
        <w:t xml:space="preserve">Значення </w:t>
      </w:r>
      <w:r w:rsidRPr="00E45952">
        <w:rPr>
          <w:kern w:val="2"/>
          <w:position w:val="-4"/>
          <w:sz w:val="28"/>
          <w:szCs w:val="28"/>
          <w:lang w:eastAsia="en-US"/>
        </w:rPr>
        <w:object w:dxaOrig="420" w:dyaOrig="420">
          <v:shape id="_x0000_i1051" type="#_x0000_t75" style="width:21.75pt;height:21.75pt" o:ole="">
            <v:imagedata r:id="rId58" o:title=""/>
          </v:shape>
          <o:OLEObject Type="Embed" ProgID="Equation.3" ShapeID="_x0000_i1051" DrawAspect="Content" ObjectID="_1669446835" r:id="rId59"/>
        </w:object>
      </w:r>
      <w:r w:rsidRPr="00E45952">
        <w:rPr>
          <w:kern w:val="2"/>
          <w:position w:val="-4"/>
          <w:sz w:val="28"/>
          <w:szCs w:val="28"/>
          <w:lang w:val="uk-UA"/>
        </w:rPr>
        <w:t xml:space="preserve">знаходиться </w:t>
      </w:r>
      <w:r w:rsidRPr="00E45952">
        <w:rPr>
          <w:sz w:val="28"/>
          <w:szCs w:val="28"/>
        </w:rPr>
        <w:t xml:space="preserve">в межах від 0 до 1. Чим ближче до 1, тим вище ймовірність розвитку </w:t>
      </w:r>
      <w:r w:rsidRPr="00E45952">
        <w:rPr>
          <w:sz w:val="28"/>
          <w:szCs w:val="28"/>
          <w:lang w:val="uk-UA"/>
        </w:rPr>
        <w:t>ССУ</w:t>
      </w:r>
      <w:r w:rsidRPr="00E45952">
        <w:rPr>
          <w:sz w:val="28"/>
          <w:szCs w:val="28"/>
        </w:rPr>
        <w:t xml:space="preserve">. </w:t>
      </w:r>
      <w:r w:rsidRPr="00E45952">
        <w:rPr>
          <w:sz w:val="28"/>
          <w:szCs w:val="28"/>
          <w:lang w:val="uk-UA"/>
        </w:rPr>
        <w:t>Коли значення знаходиться в діапазоні від 0 до 0,5, із цього можна зробити висновок, що в пацієнта нижча ймовірність розвитку ССУ.</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sz w:val="28"/>
          <w:szCs w:val="28"/>
          <w:lang w:val="uk-UA"/>
        </w:rPr>
      </w:pPr>
      <w:r w:rsidRPr="00E45952">
        <w:rPr>
          <w:sz w:val="28"/>
          <w:szCs w:val="28"/>
          <w:lang w:val="uk-UA"/>
        </w:rPr>
        <w:t xml:space="preserve">Коефіцієнти підібраної моделі бінарної логістичної регресії представлені в таблиці 7.1. Перевірка значущості підібраних коефіцієнтів </w:t>
      </w:r>
      <w:r w:rsidRPr="00E45952">
        <w:rPr>
          <w:kern w:val="2"/>
          <w:position w:val="-10"/>
          <w:sz w:val="28"/>
          <w:szCs w:val="28"/>
        </w:rPr>
        <w:object w:dxaOrig="255" w:dyaOrig="345">
          <v:shape id="_x0000_i1052" type="#_x0000_t75" style="width:12.75pt;height:18pt" o:ole="">
            <v:imagedata r:id="rId21" o:title=""/>
          </v:shape>
          <o:OLEObject Type="Embed" ProgID="Equation.3" ShapeID="_x0000_i1052" DrawAspect="Content" ObjectID="_1669446836" r:id="rId60"/>
        </w:object>
      </w:r>
      <w:r w:rsidRPr="00E45952">
        <w:rPr>
          <w:sz w:val="28"/>
          <w:szCs w:val="28"/>
          <w:lang w:val="uk-UA"/>
        </w:rPr>
        <w:t xml:space="preserve"> проводилася за допомогою статистики Вальда. Усі змінні, згідно статистики Вальда, значимі (p &lt;0,05) і підібрані правильно.</w:t>
      </w:r>
    </w:p>
    <w:p w:rsidR="00E3259F" w:rsidRDefault="00E3259F" w:rsidP="00E3259F">
      <w:pPr>
        <w:spacing w:line="360" w:lineRule="auto"/>
        <w:ind w:firstLine="567"/>
        <w:jc w:val="right"/>
        <w:rPr>
          <w:bCs/>
          <w:sz w:val="28"/>
          <w:szCs w:val="28"/>
          <w:lang w:val="uk-UA"/>
        </w:rPr>
      </w:pPr>
    </w:p>
    <w:p w:rsidR="00E3259F" w:rsidRPr="00E45952" w:rsidRDefault="00E3259F" w:rsidP="00E3259F">
      <w:pPr>
        <w:spacing w:line="360" w:lineRule="auto"/>
        <w:ind w:firstLine="567"/>
        <w:jc w:val="right"/>
        <w:rPr>
          <w:rFonts w:eastAsia="Calibri"/>
          <w:sz w:val="28"/>
          <w:szCs w:val="28"/>
          <w:lang w:val="uk-UA" w:eastAsia="en-US"/>
        </w:rPr>
      </w:pPr>
      <w:r w:rsidRPr="00E45952">
        <w:rPr>
          <w:bCs/>
          <w:sz w:val="28"/>
          <w:szCs w:val="28"/>
          <w:lang w:val="uk-UA"/>
        </w:rPr>
        <w:t>Таблиця 7.1</w:t>
      </w:r>
      <w:r w:rsidRPr="00E45952">
        <w:rPr>
          <w:sz w:val="28"/>
          <w:szCs w:val="28"/>
          <w:lang w:val="uk-UA"/>
        </w:rPr>
        <w:t xml:space="preserve"> </w:t>
      </w:r>
    </w:p>
    <w:p w:rsidR="00E3259F" w:rsidRPr="00E45952" w:rsidRDefault="00E3259F" w:rsidP="00E3259F">
      <w:pPr>
        <w:spacing w:line="360" w:lineRule="auto"/>
        <w:ind w:firstLine="567"/>
        <w:jc w:val="both"/>
        <w:rPr>
          <w:sz w:val="28"/>
          <w:szCs w:val="28"/>
          <w:lang w:val="uk-UA"/>
        </w:rPr>
      </w:pPr>
      <w:r w:rsidRPr="00E45952">
        <w:rPr>
          <w:sz w:val="28"/>
          <w:szCs w:val="28"/>
          <w:lang w:val="uk-UA"/>
        </w:rPr>
        <w:t>Коефіцієнти моделі бінарної логістичної регресії, створеної для прогнозування ССУ в пацієнтів з ГХ та ЦД 2 типу</w:t>
      </w:r>
    </w:p>
    <w:tbl>
      <w:tblPr>
        <w:tblW w:w="49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435"/>
        <w:gridCol w:w="2130"/>
        <w:gridCol w:w="2180"/>
        <w:gridCol w:w="2128"/>
        <w:gridCol w:w="1469"/>
      </w:tblGrid>
      <w:tr w:rsidR="00E3259F" w:rsidRPr="00E45952" w:rsidTr="00E3259F">
        <w:trPr>
          <w:cantSplit/>
          <w:trHeight w:val="690"/>
          <w:tblHeader/>
        </w:trPr>
        <w:tc>
          <w:tcPr>
            <w:tcW w:w="768"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t>Показ</w:t>
            </w:r>
            <w:r w:rsidRPr="00E45952">
              <w:rPr>
                <w:kern w:val="2"/>
                <w:sz w:val="28"/>
                <w:szCs w:val="28"/>
                <w:lang w:val="uk-UA" w:eastAsia="en-US"/>
              </w:rPr>
              <w:t>ники</w:t>
            </w:r>
          </w:p>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t>Х</w:t>
            </w:r>
            <w:r w:rsidRPr="00E45952">
              <w:rPr>
                <w:kern w:val="2"/>
                <w:sz w:val="28"/>
                <w:szCs w:val="28"/>
                <w:vertAlign w:val="subscript"/>
                <w:lang w:val="en-US" w:eastAsia="en-US"/>
              </w:rPr>
              <w:t>i</w:t>
            </w:r>
          </w:p>
        </w:tc>
        <w:tc>
          <w:tcPr>
            <w:tcW w:w="1140"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Ко</w:t>
            </w:r>
            <w:r w:rsidRPr="00E45952">
              <w:rPr>
                <w:sz w:val="28"/>
                <w:szCs w:val="28"/>
                <w:lang w:val="uk-UA" w:eastAsia="en-US"/>
              </w:rPr>
              <w:t>ефіцієнти</w:t>
            </w:r>
          </w:p>
        </w:tc>
        <w:tc>
          <w:tcPr>
            <w:tcW w:w="1167"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Стандартн</w:t>
            </w:r>
            <w:r w:rsidRPr="00E45952">
              <w:rPr>
                <w:sz w:val="28"/>
                <w:szCs w:val="28"/>
                <w:lang w:val="uk-UA" w:eastAsia="en-US"/>
              </w:rPr>
              <w:t>і помилки</w:t>
            </w:r>
          </w:p>
        </w:tc>
        <w:tc>
          <w:tcPr>
            <w:tcW w:w="1139"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rFonts w:eastAsia="Calibri"/>
                <w:sz w:val="28"/>
                <w:szCs w:val="28"/>
                <w:lang w:eastAsia="en-US"/>
              </w:rPr>
            </w:pPr>
            <w:r w:rsidRPr="00E45952">
              <w:rPr>
                <w:sz w:val="28"/>
                <w:szCs w:val="28"/>
                <w:lang w:eastAsia="en-US"/>
              </w:rPr>
              <w:t>Критер</w:t>
            </w:r>
            <w:r w:rsidRPr="00E45952">
              <w:rPr>
                <w:sz w:val="28"/>
                <w:szCs w:val="28"/>
                <w:lang w:val="uk-UA" w:eastAsia="en-US"/>
              </w:rPr>
              <w:t>ій</w:t>
            </w:r>
          </w:p>
          <w:p w:rsidR="00E3259F" w:rsidRPr="00E45952" w:rsidRDefault="00E3259F">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Вальда</w:t>
            </w:r>
          </w:p>
        </w:tc>
        <w:tc>
          <w:tcPr>
            <w:tcW w:w="786"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Значим</w:t>
            </w:r>
            <w:r w:rsidRPr="00E45952">
              <w:rPr>
                <w:sz w:val="28"/>
                <w:szCs w:val="28"/>
                <w:lang w:val="uk-UA" w:eastAsia="en-US"/>
              </w:rPr>
              <w:t>і</w:t>
            </w:r>
            <w:r w:rsidRPr="00E45952">
              <w:rPr>
                <w:sz w:val="28"/>
                <w:szCs w:val="28"/>
                <w:lang w:eastAsia="en-US"/>
              </w:rPr>
              <w:t>сть (</w:t>
            </w:r>
            <w:r w:rsidRPr="00E45952">
              <w:rPr>
                <w:i/>
                <w:sz w:val="28"/>
                <w:szCs w:val="28"/>
                <w:lang w:eastAsia="en-US"/>
              </w:rPr>
              <w:t>p</w:t>
            </w:r>
            <w:r w:rsidRPr="00E45952">
              <w:rPr>
                <w:i/>
                <w:sz w:val="28"/>
                <w:szCs w:val="28"/>
                <w:vertAlign w:val="subscript"/>
                <w:lang w:eastAsia="en-US"/>
              </w:rPr>
              <w:t>i</w:t>
            </w:r>
            <w:r w:rsidRPr="00E45952">
              <w:rPr>
                <w:sz w:val="28"/>
                <w:szCs w:val="28"/>
                <w:lang w:eastAsia="en-US"/>
              </w:rPr>
              <w:t>)</w:t>
            </w:r>
          </w:p>
        </w:tc>
      </w:tr>
      <w:tr w:rsidR="00E3259F" w:rsidRPr="00E45952" w:rsidTr="00E3259F">
        <w:trPr>
          <w:cantSplit/>
          <w:trHeight w:val="483"/>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pPr>
              <w:rPr>
                <w:kern w:val="2"/>
                <w:sz w:val="28"/>
                <w:szCs w:val="2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pPr>
              <w:rPr>
                <w:rFonts w:eastAsia="Calibri"/>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pPr>
              <w:rPr>
                <w:rFonts w:eastAsia="Calibri"/>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pPr>
              <w:rPr>
                <w:rFonts w:eastAsia="Calibri"/>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pPr>
              <w:rPr>
                <w:rFonts w:eastAsia="Calibri"/>
                <w:sz w:val="28"/>
                <w:szCs w:val="28"/>
                <w:lang w:val="uk-UA" w:eastAsia="en-US"/>
              </w:rPr>
            </w:pP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object w:dxaOrig="315" w:dyaOrig="345">
                <v:shape id="_x0000_i1053" type="#_x0000_t75" style="width:15pt;height:18pt" o:ole="">
                  <v:imagedata r:id="rId30" o:title=""/>
                </v:shape>
                <o:OLEObject Type="Embed" ProgID="Equation.3" ShapeID="_x0000_i1053" DrawAspect="Content" ObjectID="_1669446837" r:id="rId61"/>
              </w:objec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2,156</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1,091</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3,908</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0,048</w:t>
            </w: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object w:dxaOrig="345" w:dyaOrig="345">
                <v:shape id="_x0000_i1054" type="#_x0000_t75" style="width:18pt;height:18pt" o:ole="">
                  <v:imagedata r:id="rId32" o:title=""/>
                </v:shape>
                <o:OLEObject Type="Embed" ProgID="Equation.3" ShapeID="_x0000_i1054" DrawAspect="Content" ObjectID="_1669446838" r:id="rId62"/>
              </w:objec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,391</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0,123</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10,161</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0,001</w:t>
            </w: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object w:dxaOrig="315" w:dyaOrig="375">
                <v:shape id="_x0000_i1055" type="#_x0000_t75" style="width:15pt;height:18.75pt" o:ole="">
                  <v:imagedata r:id="rId34" o:title=""/>
                </v:shape>
                <o:OLEObject Type="Embed" ProgID="Equation.3" ShapeID="_x0000_i1055" DrawAspect="Content" ObjectID="_1669446839" r:id="rId63"/>
              </w:objec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-1,277</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0,268</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22,754</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0,000</w:t>
            </w: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position w:val="-10"/>
                <w:sz w:val="28"/>
                <w:szCs w:val="28"/>
                <w:lang w:eastAsia="en-US"/>
              </w:rPr>
              <w:object w:dxaOrig="345" w:dyaOrig="345">
                <v:shape id="_x0000_i1056" type="#_x0000_t75" style="width:18pt;height:18pt" o:ole="">
                  <v:imagedata r:id="rId36" o:title=""/>
                </v:shape>
                <o:OLEObject Type="Embed" ProgID="Equation.3" ShapeID="_x0000_i1056" DrawAspect="Content" ObjectID="_1669446840" r:id="rId64"/>
              </w:objec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0,405</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0,107</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14,251</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0,000</w:t>
            </w: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val="en-US" w:eastAsia="en-US"/>
              </w:rPr>
              <w:t>X</w:t>
            </w:r>
            <w:r w:rsidRPr="00E45952">
              <w:rPr>
                <w:kern w:val="2"/>
                <w:sz w:val="28"/>
                <w:szCs w:val="28"/>
                <w:vertAlign w:val="subscript"/>
                <w:lang w:eastAsia="en-US"/>
              </w:rPr>
              <w:t>5</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0,526</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0,185</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8,114</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0,004</w:t>
            </w: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val="en-US" w:eastAsia="en-US"/>
              </w:rPr>
              <w:t>X</w:t>
            </w:r>
            <w:r w:rsidRPr="00E45952">
              <w:rPr>
                <w:kern w:val="2"/>
                <w:sz w:val="28"/>
                <w:szCs w:val="28"/>
                <w:vertAlign w:val="subscript"/>
                <w:lang w:eastAsia="en-US"/>
              </w:rPr>
              <w:t>6</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-6,240</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1,820</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11,758</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0,001</w:t>
            </w:r>
          </w:p>
        </w:tc>
      </w:tr>
      <w:tr w:rsidR="00E3259F" w:rsidRPr="00E45952" w:rsidTr="00E3259F">
        <w:trPr>
          <w:cantSplit/>
          <w:tblHeader/>
        </w:trPr>
        <w:tc>
          <w:tcPr>
            <w:tcW w:w="7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t>Константа</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-7,994</w:t>
            </w:r>
          </w:p>
        </w:tc>
        <w:tc>
          <w:tcPr>
            <w:tcW w:w="11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3,534</w:t>
            </w:r>
          </w:p>
        </w:tc>
        <w:tc>
          <w:tcPr>
            <w:tcW w:w="113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5,117</w:t>
            </w:r>
          </w:p>
        </w:tc>
        <w:tc>
          <w:tcPr>
            <w:tcW w:w="786"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0,024</w:t>
            </w:r>
          </w:p>
        </w:tc>
      </w:tr>
    </w:tbl>
    <w:p w:rsidR="00E3259F" w:rsidRPr="00E45952" w:rsidRDefault="00E3259F" w:rsidP="00E3259F">
      <w:pPr>
        <w:tabs>
          <w:tab w:val="left" w:pos="709"/>
        </w:tabs>
        <w:suppressAutoHyphens/>
        <w:spacing w:line="360" w:lineRule="auto"/>
        <w:ind w:firstLine="709"/>
        <w:jc w:val="both"/>
        <w:rPr>
          <w:rFonts w:eastAsia="Lucida Sans Unicode"/>
          <w:kern w:val="2"/>
          <w:sz w:val="28"/>
          <w:szCs w:val="28"/>
          <w:lang w:eastAsia="ar-SA"/>
        </w:rPr>
      </w:pPr>
    </w:p>
    <w:p w:rsidR="00E3259F" w:rsidRPr="00E45952" w:rsidRDefault="00E3259F" w:rsidP="00E3259F">
      <w:pPr>
        <w:pStyle w:val="a4"/>
        <w:spacing w:line="360" w:lineRule="auto"/>
        <w:ind w:left="0" w:firstLine="567"/>
        <w:jc w:val="both"/>
        <w:rPr>
          <w:rFonts w:eastAsia="Calibri"/>
          <w:kern w:val="2"/>
          <w:sz w:val="28"/>
          <w:szCs w:val="28"/>
          <w:lang w:val="uk-UA" w:eastAsia="en-US"/>
        </w:rPr>
      </w:pPr>
      <w:r w:rsidRPr="00E45952">
        <w:rPr>
          <w:rFonts w:eastAsiaTheme="minorHAnsi"/>
          <w:kern w:val="2"/>
          <w:sz w:val="28"/>
          <w:szCs w:val="28"/>
          <w:lang w:val="uk-UA" w:eastAsia="en-US"/>
        </w:rPr>
        <w:t>Якість наближення регресійної моделі оцінювали за допомогою функції подібності (таблиця 7.2). У дослідженні, G = 50,931 при р = 0,001, що вказує на те, що в цілому незалежні змінні мають значний вклад в прогнозуванні залежної змінної.</w:t>
      </w:r>
    </w:p>
    <w:p w:rsidR="00E3259F" w:rsidRPr="00E45952" w:rsidRDefault="00E3259F" w:rsidP="00E3259F">
      <w:pPr>
        <w:spacing w:line="360" w:lineRule="auto"/>
        <w:ind w:firstLine="567"/>
        <w:jc w:val="right"/>
        <w:rPr>
          <w:sz w:val="28"/>
          <w:szCs w:val="28"/>
          <w:lang w:val="uk-UA"/>
        </w:rPr>
      </w:pPr>
      <w:r w:rsidRPr="00E45952">
        <w:rPr>
          <w:sz w:val="28"/>
          <w:szCs w:val="28"/>
          <w:lang w:val="uk-UA"/>
        </w:rPr>
        <w:t xml:space="preserve">Таблиця 7.2 </w:t>
      </w:r>
    </w:p>
    <w:p w:rsidR="00E3259F" w:rsidRPr="00E45952" w:rsidRDefault="00E3259F" w:rsidP="00E3259F">
      <w:pPr>
        <w:spacing w:line="360" w:lineRule="auto"/>
        <w:ind w:firstLine="567"/>
        <w:jc w:val="both"/>
        <w:rPr>
          <w:sz w:val="28"/>
          <w:szCs w:val="28"/>
          <w:lang w:val="uk-UA"/>
        </w:rPr>
      </w:pPr>
      <w:r w:rsidRPr="00E45952">
        <w:rPr>
          <w:sz w:val="28"/>
          <w:szCs w:val="28"/>
          <w:lang w:val="uk-UA"/>
        </w:rPr>
        <w:t>Характеристики моделі бінарної логістичної регресії, створеної для прогнозування ССУ в пацієнтів з ГХ та ЦД 2 типу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2300"/>
        <w:gridCol w:w="1953"/>
        <w:gridCol w:w="1489"/>
        <w:gridCol w:w="1598"/>
      </w:tblGrid>
      <w:tr w:rsidR="00E3259F" w:rsidRPr="00E45952" w:rsidTr="00E3259F">
        <w:trPr>
          <w:cantSplit/>
        </w:trPr>
        <w:tc>
          <w:tcPr>
            <w:tcW w:w="1194" w:type="pct"/>
            <w:vMerge w:val="restar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val="uk-UA" w:eastAsia="en-US"/>
              </w:rPr>
            </w:pPr>
            <w:r w:rsidRPr="00E45952">
              <w:rPr>
                <w:sz w:val="28"/>
                <w:szCs w:val="28"/>
                <w:lang w:eastAsia="en-US"/>
              </w:rPr>
              <w:t>Результат</w:t>
            </w:r>
            <w:r w:rsidRPr="00E45952">
              <w:rPr>
                <w:sz w:val="28"/>
                <w:szCs w:val="28"/>
                <w:lang w:val="uk-UA" w:eastAsia="en-US"/>
              </w:rPr>
              <w:t xml:space="preserve">и </w:t>
            </w:r>
            <w:r w:rsidRPr="00E45952">
              <w:rPr>
                <w:sz w:val="28"/>
                <w:szCs w:val="28"/>
                <w:lang w:eastAsia="en-US"/>
              </w:rPr>
              <w:t>заключного кроку</w:t>
            </w:r>
            <w:r w:rsidRPr="00E45952">
              <w:rPr>
                <w:sz w:val="28"/>
                <w:szCs w:val="28"/>
                <w:lang w:val="uk-UA" w:eastAsia="en-US"/>
              </w:rPr>
              <w:t xml:space="preserve"> </w:t>
            </w:r>
            <w:r w:rsidRPr="00E45952">
              <w:rPr>
                <w:sz w:val="28"/>
                <w:szCs w:val="28"/>
                <w:lang w:eastAsia="en-US"/>
              </w:rPr>
              <w:t>анализ</w:t>
            </w:r>
            <w:r w:rsidRPr="00E45952">
              <w:rPr>
                <w:sz w:val="28"/>
                <w:szCs w:val="28"/>
                <w:lang w:val="uk-UA" w:eastAsia="en-US"/>
              </w:rPr>
              <w:t>у</w:t>
            </w:r>
          </w:p>
        </w:tc>
        <w:tc>
          <w:tcPr>
            <w:tcW w:w="1088"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val="uk-UA" w:eastAsia="en-US"/>
              </w:rPr>
            </w:pPr>
            <w:r w:rsidRPr="00E45952">
              <w:rPr>
                <w:sz w:val="28"/>
                <w:szCs w:val="28"/>
                <w:lang w:eastAsia="en-US"/>
              </w:rPr>
              <w:t>-</w:t>
            </w:r>
            <w:r w:rsidRPr="00E45952">
              <w:rPr>
                <w:sz w:val="28"/>
                <w:szCs w:val="28"/>
                <w:lang w:val="uk-UA" w:eastAsia="en-US"/>
              </w:rPr>
              <w:t xml:space="preserve">2 Log </w:t>
            </w:r>
            <w:r w:rsidRPr="00E45952">
              <w:rPr>
                <w:sz w:val="28"/>
                <w:szCs w:val="28"/>
                <w:lang w:eastAsia="en-US"/>
              </w:rPr>
              <w:t>правдопод</w:t>
            </w:r>
            <w:r w:rsidRPr="00E45952">
              <w:rPr>
                <w:sz w:val="28"/>
                <w:szCs w:val="28"/>
                <w:lang w:val="uk-UA" w:eastAsia="en-US"/>
              </w:rPr>
              <w:t>ібність (</w:t>
            </w:r>
            <w:r w:rsidRPr="00E45952">
              <w:rPr>
                <w:i/>
                <w:sz w:val="28"/>
                <w:szCs w:val="28"/>
                <w:lang w:val="uk-UA" w:eastAsia="en-US"/>
              </w:rPr>
              <w:t>G</w:t>
            </w:r>
            <w:r w:rsidRPr="00E45952">
              <w:rPr>
                <w:sz w:val="28"/>
                <w:szCs w:val="28"/>
                <w:lang w:val="uk-UA" w:eastAsia="en-US"/>
              </w:rPr>
              <w:t>)</w:t>
            </w:r>
          </w:p>
        </w:tc>
        <w:tc>
          <w:tcPr>
            <w:tcW w:w="1044"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i/>
                <w:sz w:val="28"/>
                <w:szCs w:val="28"/>
                <w:lang w:val="uk-UA" w:eastAsia="en-US"/>
              </w:rPr>
            </w:pPr>
            <w:r w:rsidRPr="00E45952">
              <w:rPr>
                <w:i/>
                <w:sz w:val="28"/>
                <w:szCs w:val="28"/>
                <w:lang w:val="uk-UA" w:eastAsia="en-US"/>
              </w:rPr>
              <w:t>R²</w:t>
            </w:r>
          </w:p>
          <w:p w:rsidR="00E3259F" w:rsidRPr="00E45952" w:rsidRDefault="00E3259F">
            <w:pPr>
              <w:spacing w:line="360" w:lineRule="auto"/>
              <w:jc w:val="center"/>
              <w:rPr>
                <w:rFonts w:eastAsia="Calibri"/>
                <w:sz w:val="28"/>
                <w:szCs w:val="28"/>
                <w:lang w:val="uk-UA" w:eastAsia="en-US"/>
              </w:rPr>
            </w:pPr>
            <w:r w:rsidRPr="00E45952">
              <w:rPr>
                <w:sz w:val="28"/>
                <w:szCs w:val="28"/>
                <w:lang w:val="uk-UA" w:eastAsia="en-US"/>
              </w:rPr>
              <w:t>Нейджелкерка</w:t>
            </w:r>
          </w:p>
        </w:tc>
        <w:tc>
          <w:tcPr>
            <w:tcW w:w="811"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i/>
                <w:sz w:val="28"/>
                <w:szCs w:val="28"/>
                <w:lang w:val="uk-UA" w:eastAsia="en-US"/>
              </w:rPr>
            </w:pPr>
            <w:r w:rsidRPr="00E45952">
              <w:rPr>
                <w:i/>
                <w:sz w:val="28"/>
                <w:szCs w:val="28"/>
                <w:lang w:val="uk-UA" w:eastAsia="en-US"/>
              </w:rPr>
              <w:t>χ²</w:t>
            </w:r>
          </w:p>
        </w:tc>
        <w:tc>
          <w:tcPr>
            <w:tcW w:w="863"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val="uk-UA" w:eastAsia="en-US"/>
              </w:rPr>
            </w:pPr>
            <w:r w:rsidRPr="00E45952">
              <w:rPr>
                <w:sz w:val="28"/>
                <w:szCs w:val="28"/>
                <w:lang w:eastAsia="en-US"/>
              </w:rPr>
              <w:t>Значим</w:t>
            </w:r>
            <w:r w:rsidRPr="00E45952">
              <w:rPr>
                <w:sz w:val="28"/>
                <w:szCs w:val="28"/>
                <w:lang w:val="uk-UA" w:eastAsia="en-US"/>
              </w:rPr>
              <w:t>і</w:t>
            </w:r>
            <w:r w:rsidRPr="00E45952">
              <w:rPr>
                <w:sz w:val="28"/>
                <w:szCs w:val="28"/>
                <w:lang w:eastAsia="en-US"/>
              </w:rPr>
              <w:t>сть</w:t>
            </w:r>
          </w:p>
          <w:p w:rsidR="00E3259F" w:rsidRPr="00E45952" w:rsidRDefault="00E3259F">
            <w:pPr>
              <w:spacing w:line="360" w:lineRule="auto"/>
              <w:jc w:val="center"/>
              <w:rPr>
                <w:rFonts w:eastAsia="Calibri"/>
                <w:sz w:val="28"/>
                <w:szCs w:val="28"/>
                <w:lang w:val="uk-UA" w:eastAsia="en-US"/>
              </w:rPr>
            </w:pPr>
            <w:r w:rsidRPr="00E45952">
              <w:rPr>
                <w:sz w:val="28"/>
                <w:szCs w:val="28"/>
                <w:lang w:val="uk-UA" w:eastAsia="en-US"/>
              </w:rPr>
              <w:t>(</w:t>
            </w:r>
            <w:r w:rsidRPr="00E45952">
              <w:rPr>
                <w:i/>
                <w:sz w:val="28"/>
                <w:szCs w:val="28"/>
                <w:lang w:val="uk-UA" w:eastAsia="en-US"/>
              </w:rPr>
              <w:t>p</w:t>
            </w:r>
            <w:r w:rsidRPr="00E45952">
              <w:rPr>
                <w:sz w:val="28"/>
                <w:szCs w:val="28"/>
                <w:lang w:val="uk-UA" w:eastAsia="en-US"/>
              </w:rPr>
              <w:t>)</w:t>
            </w:r>
          </w:p>
        </w:tc>
      </w:tr>
      <w:tr w:rsidR="00E3259F" w:rsidRPr="00E45952" w:rsidTr="00E3259F">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pPr>
              <w:rPr>
                <w:rFonts w:eastAsia="Calibri"/>
                <w:sz w:val="28"/>
                <w:szCs w:val="28"/>
                <w:lang w:val="uk-UA" w:eastAsia="en-US"/>
              </w:rPr>
            </w:pPr>
          </w:p>
        </w:tc>
        <w:tc>
          <w:tcPr>
            <w:tcW w:w="1088"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50,931</w:t>
            </w:r>
          </w:p>
        </w:tc>
        <w:tc>
          <w:tcPr>
            <w:tcW w:w="1044"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0,665</w:t>
            </w:r>
          </w:p>
        </w:tc>
        <w:tc>
          <w:tcPr>
            <w:tcW w:w="811"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68,553</w:t>
            </w:r>
          </w:p>
        </w:tc>
        <w:tc>
          <w:tcPr>
            <w:tcW w:w="863" w:type="pct"/>
            <w:tcBorders>
              <w:top w:val="single" w:sz="4" w:space="0" w:color="auto"/>
              <w:left w:val="single" w:sz="4" w:space="0" w:color="auto"/>
              <w:bottom w:val="single" w:sz="4" w:space="0" w:color="auto"/>
              <w:right w:val="single" w:sz="4" w:space="0" w:color="auto"/>
            </w:tcBorders>
            <w:hideMark/>
          </w:tcPr>
          <w:p w:rsidR="00E3259F" w:rsidRPr="00E45952" w:rsidRDefault="00E3259F">
            <w:pPr>
              <w:spacing w:line="360" w:lineRule="auto"/>
              <w:jc w:val="center"/>
              <w:rPr>
                <w:rFonts w:eastAsia="Calibri"/>
                <w:sz w:val="28"/>
                <w:szCs w:val="28"/>
                <w:lang w:eastAsia="en-US"/>
              </w:rPr>
            </w:pPr>
            <w:r w:rsidRPr="00E45952">
              <w:rPr>
                <w:sz w:val="28"/>
                <w:szCs w:val="28"/>
                <w:lang w:eastAsia="en-US"/>
              </w:rPr>
              <w:t>0,001</w:t>
            </w:r>
          </w:p>
        </w:tc>
      </w:tr>
    </w:tbl>
    <w:p w:rsidR="00E3259F" w:rsidRPr="00E45952" w:rsidRDefault="00E3259F" w:rsidP="00E3259F">
      <w:pPr>
        <w:suppressAutoHyphens/>
        <w:overflowPunct w:val="0"/>
        <w:autoSpaceDE w:val="0"/>
        <w:autoSpaceDN w:val="0"/>
        <w:adjustRightInd w:val="0"/>
        <w:spacing w:line="360" w:lineRule="auto"/>
        <w:ind w:firstLine="567"/>
        <w:jc w:val="both"/>
        <w:textAlignment w:val="baseline"/>
        <w:rPr>
          <w:rFonts w:eastAsia="Calibri"/>
          <w:sz w:val="28"/>
          <w:szCs w:val="28"/>
          <w:lang w:eastAsia="en-US"/>
        </w:rPr>
      </w:pPr>
    </w:p>
    <w:p w:rsidR="00E3259F" w:rsidRPr="00E45952" w:rsidRDefault="00E3259F" w:rsidP="00E3259F">
      <w:pPr>
        <w:suppressAutoHyphens/>
        <w:overflowPunct w:val="0"/>
        <w:autoSpaceDE w:val="0"/>
        <w:autoSpaceDN w:val="0"/>
        <w:adjustRightInd w:val="0"/>
        <w:spacing w:line="360" w:lineRule="auto"/>
        <w:ind w:firstLine="567"/>
        <w:jc w:val="both"/>
        <w:textAlignment w:val="baseline"/>
        <w:rPr>
          <w:sz w:val="28"/>
          <w:szCs w:val="28"/>
          <w:lang w:val="uk-UA"/>
        </w:rPr>
      </w:pPr>
      <w:r w:rsidRPr="00E45952">
        <w:rPr>
          <w:sz w:val="28"/>
          <w:szCs w:val="28"/>
          <w:lang w:val="uk-UA"/>
        </w:rPr>
        <w:t xml:space="preserve">В таблиці 7.3 представлені результати класифікації, у якій реально спостережувані показники приналежності до тієї чи іншої з двох досліджуваних груп зіставляються з передбаченими на основі синтезованої логістичної регресійної моделі. </w:t>
      </w:r>
    </w:p>
    <w:p w:rsidR="00E3259F" w:rsidRPr="00E45952" w:rsidRDefault="00E3259F" w:rsidP="00E3259F">
      <w:pPr>
        <w:spacing w:line="360" w:lineRule="auto"/>
        <w:jc w:val="right"/>
        <w:rPr>
          <w:rFonts w:eastAsia="Calibri"/>
          <w:sz w:val="28"/>
          <w:szCs w:val="28"/>
          <w:lang w:val="uk-UA" w:eastAsia="en-US"/>
        </w:rPr>
      </w:pPr>
      <w:r w:rsidRPr="00E45952">
        <w:rPr>
          <w:sz w:val="28"/>
          <w:szCs w:val="28"/>
          <w:lang w:val="uk-UA"/>
        </w:rPr>
        <w:t xml:space="preserve">Таблиця 7.3 </w:t>
      </w:r>
    </w:p>
    <w:p w:rsidR="00E3259F" w:rsidRPr="00E45952" w:rsidRDefault="00E3259F" w:rsidP="00E3259F">
      <w:pPr>
        <w:spacing w:line="360" w:lineRule="auto"/>
        <w:jc w:val="center"/>
        <w:rPr>
          <w:sz w:val="28"/>
          <w:szCs w:val="28"/>
          <w:lang w:val="uk-UA"/>
        </w:rPr>
      </w:pPr>
      <w:r w:rsidRPr="00E45952">
        <w:rPr>
          <w:sz w:val="28"/>
          <w:szCs w:val="28"/>
          <w:lang w:val="uk-UA"/>
        </w:rPr>
        <w:t>Класифікаційні результати моделі бінарної логістичної регресії, створеної для визначення ймовірності виникнення ССУ в пацієнтів з ГХ та ЦД 2 типу</w:t>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0" w:type="dxa"/>
          <w:right w:w="0" w:type="dxa"/>
        </w:tblCellMar>
        <w:tblLook w:val="04A0" w:firstRow="1" w:lastRow="0" w:firstColumn="1" w:lastColumn="0" w:noHBand="0" w:noVBand="1"/>
      </w:tblPr>
      <w:tblGrid>
        <w:gridCol w:w="569"/>
        <w:gridCol w:w="2453"/>
        <w:gridCol w:w="1752"/>
        <w:gridCol w:w="1545"/>
        <w:gridCol w:w="3042"/>
      </w:tblGrid>
      <w:tr w:rsidR="00E3259F" w:rsidRPr="00E45952" w:rsidTr="00E3259F">
        <w:trPr>
          <w:cantSplit/>
        </w:trPr>
        <w:tc>
          <w:tcPr>
            <w:tcW w:w="1614" w:type="pct"/>
            <w:gridSpan w:val="2"/>
            <w:vMerge w:val="restart"/>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spacing w:line="276" w:lineRule="auto"/>
              <w:jc w:val="both"/>
              <w:rPr>
                <w:rFonts w:eastAsia="Calibri"/>
                <w:sz w:val="28"/>
                <w:szCs w:val="28"/>
                <w:lang w:eastAsia="en-US"/>
              </w:rPr>
            </w:pPr>
            <w:r w:rsidRPr="00E45952">
              <w:rPr>
                <w:sz w:val="28"/>
                <w:szCs w:val="28"/>
                <w:lang w:val="uk-UA" w:eastAsia="en-US"/>
              </w:rPr>
              <w:t>Групи спостереження</w:t>
            </w:r>
          </w:p>
        </w:tc>
        <w:tc>
          <w:tcPr>
            <w:tcW w:w="3386" w:type="pct"/>
            <w:gridSpan w:val="3"/>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both"/>
              <w:rPr>
                <w:rFonts w:eastAsia="Calibri"/>
                <w:sz w:val="28"/>
                <w:szCs w:val="28"/>
                <w:lang w:eastAsia="en-US"/>
              </w:rPr>
            </w:pPr>
            <w:r w:rsidRPr="00E45952">
              <w:rPr>
                <w:sz w:val="28"/>
                <w:szCs w:val="28"/>
                <w:lang w:eastAsia="en-US"/>
              </w:rPr>
              <w:t>П</w:t>
            </w:r>
            <w:r w:rsidRPr="00E45952">
              <w:rPr>
                <w:sz w:val="28"/>
                <w:szCs w:val="28"/>
                <w:lang w:val="uk-UA" w:eastAsia="en-US"/>
              </w:rPr>
              <w:t xml:space="preserve">ередбачені </w:t>
            </w:r>
            <w:r w:rsidRPr="00E45952">
              <w:rPr>
                <w:sz w:val="28"/>
                <w:szCs w:val="28"/>
                <w:lang w:eastAsia="en-US"/>
              </w:rPr>
              <w:t>груп</w:t>
            </w:r>
            <w:r w:rsidRPr="00E45952">
              <w:rPr>
                <w:sz w:val="28"/>
                <w:szCs w:val="28"/>
                <w:lang w:val="uk-UA" w:eastAsia="en-US"/>
              </w:rPr>
              <w:t>и</w:t>
            </w:r>
          </w:p>
        </w:tc>
      </w:tr>
      <w:tr w:rsidR="00E3259F" w:rsidRPr="00E45952" w:rsidTr="00E3259F">
        <w:trPr>
          <w:cantSplit/>
        </w:trPr>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c>
          <w:tcPr>
            <w:tcW w:w="1761" w:type="pct"/>
            <w:gridSpan w:val="2"/>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center"/>
              <w:rPr>
                <w:rFonts w:eastAsia="Calibri"/>
                <w:sz w:val="28"/>
                <w:szCs w:val="28"/>
                <w:lang w:val="uk-UA" w:eastAsia="en-US"/>
              </w:rPr>
            </w:pPr>
            <w:r w:rsidRPr="00E45952">
              <w:rPr>
                <w:sz w:val="28"/>
                <w:szCs w:val="28"/>
                <w:lang w:eastAsia="en-US"/>
              </w:rPr>
              <w:t>СС</w:t>
            </w:r>
            <w:r w:rsidRPr="00E45952">
              <w:rPr>
                <w:sz w:val="28"/>
                <w:szCs w:val="28"/>
                <w:lang w:val="uk-UA" w:eastAsia="en-US"/>
              </w:rPr>
              <w:t>У</w:t>
            </w:r>
          </w:p>
        </w:tc>
        <w:tc>
          <w:tcPr>
            <w:tcW w:w="1625" w:type="pct"/>
            <w:vMerge w:val="restar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rPr>
                <w:rFonts w:eastAsia="Calibri"/>
                <w:sz w:val="28"/>
                <w:szCs w:val="28"/>
                <w:lang w:eastAsia="en-US"/>
              </w:rPr>
            </w:pPr>
            <w:r w:rsidRPr="00E45952">
              <w:rPr>
                <w:sz w:val="28"/>
                <w:szCs w:val="28"/>
                <w:lang w:eastAsia="en-US"/>
              </w:rPr>
              <w:t>% в</w:t>
            </w:r>
            <w:r w:rsidRPr="00E45952">
              <w:rPr>
                <w:sz w:val="28"/>
                <w:szCs w:val="28"/>
                <w:lang w:val="uk-UA" w:eastAsia="en-US"/>
              </w:rPr>
              <w:t>ірно</w:t>
            </w:r>
            <w:r w:rsidRPr="00E45952">
              <w:rPr>
                <w:sz w:val="28"/>
                <w:szCs w:val="28"/>
                <w:lang w:eastAsia="en-US"/>
              </w:rPr>
              <w:t xml:space="preserve"> п</w:t>
            </w:r>
            <w:r w:rsidRPr="00E45952">
              <w:rPr>
                <w:sz w:val="28"/>
                <w:szCs w:val="28"/>
                <w:lang w:val="uk-UA" w:eastAsia="en-US"/>
              </w:rPr>
              <w:t>ередбачених</w:t>
            </w:r>
            <w:r w:rsidRPr="00E45952">
              <w:rPr>
                <w:sz w:val="28"/>
                <w:szCs w:val="28"/>
                <w:lang w:eastAsia="en-US"/>
              </w:rPr>
              <w:t xml:space="preserve">  </w:t>
            </w:r>
          </w:p>
        </w:tc>
      </w:tr>
      <w:tr w:rsidR="00E3259F" w:rsidRPr="00E45952" w:rsidTr="00E3259F">
        <w:trPr>
          <w:cantSplit/>
        </w:trPr>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c>
          <w:tcPr>
            <w:tcW w:w="936"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center"/>
              <w:rPr>
                <w:rFonts w:eastAsia="Calibri"/>
                <w:sz w:val="28"/>
                <w:szCs w:val="28"/>
                <w:lang w:val="uk-UA" w:eastAsia="en-US"/>
              </w:rPr>
            </w:pPr>
            <w:r w:rsidRPr="00E45952">
              <w:rPr>
                <w:sz w:val="28"/>
                <w:szCs w:val="28"/>
                <w:lang w:eastAsia="en-US"/>
              </w:rPr>
              <w:t>не</w:t>
            </w:r>
            <w:r w:rsidRPr="00E45952">
              <w:rPr>
                <w:sz w:val="28"/>
                <w:szCs w:val="28"/>
                <w:lang w:val="uk-UA" w:eastAsia="en-US"/>
              </w:rPr>
              <w:t>має</w:t>
            </w:r>
          </w:p>
        </w:tc>
        <w:tc>
          <w:tcPr>
            <w:tcW w:w="8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center"/>
              <w:rPr>
                <w:rFonts w:eastAsia="Calibri"/>
                <w:sz w:val="28"/>
                <w:szCs w:val="28"/>
                <w:lang w:eastAsia="en-US"/>
              </w:rPr>
            </w:pPr>
            <w:r w:rsidRPr="00E45952">
              <w:rPr>
                <w:sz w:val="28"/>
                <w:szCs w:val="28"/>
                <w:lang w:val="uk-UA" w:eastAsia="en-US"/>
              </w:rPr>
              <w:t>наявність</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r>
      <w:tr w:rsidR="00E3259F" w:rsidRPr="00E45952" w:rsidTr="00E3259F">
        <w:trPr>
          <w:cantSplit/>
        </w:trPr>
        <w:tc>
          <w:tcPr>
            <w:tcW w:w="304" w:type="pct"/>
            <w:vMerge w:val="restar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line="276" w:lineRule="auto"/>
              <w:jc w:val="both"/>
              <w:rPr>
                <w:rFonts w:eastAsia="Calibri"/>
                <w:sz w:val="28"/>
                <w:szCs w:val="28"/>
                <w:lang w:eastAsia="en-US"/>
              </w:rPr>
            </w:pPr>
            <w:r w:rsidRPr="00E45952">
              <w:rPr>
                <w:sz w:val="28"/>
                <w:szCs w:val="28"/>
                <w:lang w:eastAsia="en-US"/>
              </w:rPr>
              <w:t>ОС</w:t>
            </w:r>
          </w:p>
        </w:tc>
        <w:tc>
          <w:tcPr>
            <w:tcW w:w="1310" w:type="pc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after="200" w:line="320" w:lineRule="atLeast"/>
              <w:ind w:left="60" w:right="60"/>
              <w:rPr>
                <w:rFonts w:eastAsia="Calibri"/>
                <w:sz w:val="28"/>
                <w:szCs w:val="28"/>
                <w:lang w:val="uk-UA" w:eastAsia="en-US"/>
              </w:rPr>
            </w:pPr>
            <w:r w:rsidRPr="00E45952">
              <w:rPr>
                <w:sz w:val="28"/>
                <w:szCs w:val="28"/>
                <w:lang w:eastAsia="en-US"/>
              </w:rPr>
              <w:t>не</w:t>
            </w:r>
            <w:r w:rsidRPr="00E45952">
              <w:rPr>
                <w:sz w:val="28"/>
                <w:szCs w:val="28"/>
                <w:lang w:val="uk-UA" w:eastAsia="en-US"/>
              </w:rPr>
              <w:t>має</w:t>
            </w:r>
            <w:r w:rsidRPr="00E45952">
              <w:rPr>
                <w:sz w:val="28"/>
                <w:szCs w:val="28"/>
                <w:lang w:eastAsia="en-US"/>
              </w:rPr>
              <w:t xml:space="preserve"> СС</w:t>
            </w:r>
            <w:r w:rsidRPr="00E45952">
              <w:rPr>
                <w:sz w:val="28"/>
                <w:szCs w:val="28"/>
                <w:lang w:val="uk-UA" w:eastAsia="en-US"/>
              </w:rPr>
              <w:t>У</w:t>
            </w:r>
          </w:p>
        </w:tc>
        <w:tc>
          <w:tcPr>
            <w:tcW w:w="936"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134</w:t>
            </w:r>
          </w:p>
        </w:tc>
        <w:tc>
          <w:tcPr>
            <w:tcW w:w="8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2</w:t>
            </w:r>
          </w:p>
        </w:tc>
        <w:tc>
          <w:tcPr>
            <w:tcW w:w="16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98,5</w:t>
            </w:r>
          </w:p>
        </w:tc>
      </w:tr>
      <w:tr w:rsidR="00E3259F" w:rsidRPr="00E45952" w:rsidTr="00E3259F">
        <w:trPr>
          <w:cantSplit/>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c>
          <w:tcPr>
            <w:tcW w:w="1310" w:type="pc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after="200" w:line="320" w:lineRule="atLeast"/>
              <w:ind w:left="60" w:right="60"/>
              <w:rPr>
                <w:rFonts w:eastAsia="Calibri"/>
                <w:sz w:val="28"/>
                <w:szCs w:val="28"/>
                <w:lang w:val="uk-UA" w:eastAsia="en-US"/>
              </w:rPr>
            </w:pPr>
            <w:r w:rsidRPr="00E45952">
              <w:rPr>
                <w:sz w:val="28"/>
                <w:szCs w:val="28"/>
                <w:lang w:val="uk-UA" w:eastAsia="en-US"/>
              </w:rPr>
              <w:t xml:space="preserve">Наявність  </w:t>
            </w:r>
            <w:r w:rsidRPr="00E45952">
              <w:rPr>
                <w:sz w:val="28"/>
                <w:szCs w:val="28"/>
                <w:lang w:eastAsia="en-US"/>
              </w:rPr>
              <w:t>СС</w:t>
            </w:r>
            <w:r w:rsidRPr="00E45952">
              <w:rPr>
                <w:sz w:val="28"/>
                <w:szCs w:val="28"/>
                <w:lang w:val="uk-UA" w:eastAsia="en-US"/>
              </w:rPr>
              <w:t>У</w:t>
            </w:r>
          </w:p>
        </w:tc>
        <w:tc>
          <w:tcPr>
            <w:tcW w:w="936"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3</w:t>
            </w:r>
          </w:p>
        </w:tc>
        <w:tc>
          <w:tcPr>
            <w:tcW w:w="8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17</w:t>
            </w:r>
          </w:p>
        </w:tc>
        <w:tc>
          <w:tcPr>
            <w:tcW w:w="16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85,0</w:t>
            </w:r>
          </w:p>
        </w:tc>
      </w:tr>
      <w:tr w:rsidR="00E3259F" w:rsidRPr="00E45952" w:rsidTr="00E3259F">
        <w:trPr>
          <w:cantSplit/>
        </w:trPr>
        <w:tc>
          <w:tcPr>
            <w:tcW w:w="3375" w:type="pct"/>
            <w:gridSpan w:val="4"/>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line="276" w:lineRule="auto"/>
              <w:jc w:val="center"/>
              <w:rPr>
                <w:rFonts w:eastAsia="Calibri"/>
                <w:sz w:val="28"/>
                <w:szCs w:val="28"/>
                <w:lang w:val="uk-UA" w:eastAsia="en-US"/>
              </w:rPr>
            </w:pPr>
            <w:r w:rsidRPr="00E45952">
              <w:rPr>
                <w:sz w:val="28"/>
                <w:szCs w:val="28"/>
                <w:lang w:val="uk-UA" w:eastAsia="en-US"/>
              </w:rPr>
              <w:t>Загальний відсоток</w:t>
            </w:r>
          </w:p>
        </w:tc>
        <w:tc>
          <w:tcPr>
            <w:tcW w:w="16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96,8</w:t>
            </w:r>
          </w:p>
        </w:tc>
      </w:tr>
    </w:tbl>
    <w:p w:rsidR="00E3259F" w:rsidRPr="00E45952" w:rsidRDefault="00E3259F" w:rsidP="00E3259F">
      <w:pPr>
        <w:jc w:val="both"/>
        <w:rPr>
          <w:rFonts w:eastAsia="Calibri"/>
          <w:sz w:val="28"/>
          <w:szCs w:val="28"/>
          <w:lang w:eastAsia="en-US"/>
        </w:rPr>
      </w:pP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sz w:val="28"/>
          <w:szCs w:val="28"/>
          <w:lang w:val="uk-UA"/>
        </w:rPr>
      </w:pPr>
      <w:r w:rsidRPr="00E45952">
        <w:rPr>
          <w:sz w:val="28"/>
          <w:szCs w:val="28"/>
          <w:lang w:val="uk-UA"/>
        </w:rPr>
        <w:t>Класифікаційна таблиця 7.3 дозволяє судити про кількість правильних і неправильних прогнозів. З таблиці можна зробити висновок про те, що із загальної кількості пацієнтів без ССУ, рівного 136, тестом були правильно визначені 134 пацієнта і 2 помилково віднесені до групи зі ССУ. Із загальної кількості пацієнтів зі ССУ, рівного 20, тестом правильно були визначені 17 пацієнтів, а 3 помилково віднесені до групи пацієнтів без ССУ. Загалом, правильно були розпізнані 151 випадків з 156, це становить 96,8%.</w:t>
      </w:r>
    </w:p>
    <w:p w:rsidR="00E3259F" w:rsidRPr="00E45952" w:rsidRDefault="00E3259F" w:rsidP="00E45952">
      <w:pPr>
        <w:spacing w:line="360" w:lineRule="auto"/>
        <w:ind w:firstLine="709"/>
        <w:jc w:val="both"/>
        <w:rPr>
          <w:sz w:val="28"/>
          <w:szCs w:val="28"/>
          <w:lang w:val="uk-UA"/>
        </w:rPr>
      </w:pPr>
      <w:r w:rsidRPr="00E45952">
        <w:rPr>
          <w:sz w:val="28"/>
          <w:szCs w:val="28"/>
        </w:rPr>
        <w:t>На рис</w:t>
      </w:r>
      <w:r w:rsidRPr="00E45952">
        <w:rPr>
          <w:sz w:val="28"/>
          <w:szCs w:val="28"/>
          <w:lang w:val="uk-UA"/>
        </w:rPr>
        <w:t>унку 7.1</w:t>
      </w:r>
      <w:r w:rsidRPr="00E45952">
        <w:rPr>
          <w:sz w:val="28"/>
          <w:szCs w:val="28"/>
        </w:rPr>
        <w:t xml:space="preserve"> п</w:t>
      </w:r>
      <w:r w:rsidRPr="00E45952">
        <w:rPr>
          <w:sz w:val="28"/>
          <w:szCs w:val="28"/>
          <w:lang w:val="uk-UA"/>
        </w:rPr>
        <w:t>одано</w:t>
      </w:r>
      <w:r w:rsidRPr="00E45952">
        <w:rPr>
          <w:sz w:val="28"/>
          <w:szCs w:val="28"/>
        </w:rPr>
        <w:t xml:space="preserve"> д</w:t>
      </w:r>
      <w:r w:rsidRPr="00E45952">
        <w:rPr>
          <w:sz w:val="28"/>
          <w:szCs w:val="28"/>
          <w:lang w:val="uk-UA"/>
        </w:rPr>
        <w:t>і</w:t>
      </w:r>
      <w:r w:rsidRPr="00E45952">
        <w:rPr>
          <w:sz w:val="28"/>
          <w:szCs w:val="28"/>
        </w:rPr>
        <w:t>аграм</w:t>
      </w:r>
      <w:r w:rsidRPr="00E45952">
        <w:rPr>
          <w:sz w:val="28"/>
          <w:szCs w:val="28"/>
          <w:lang w:val="uk-UA"/>
        </w:rPr>
        <w:t>у</w:t>
      </w:r>
      <w:r w:rsidRPr="00E45952">
        <w:rPr>
          <w:sz w:val="28"/>
          <w:szCs w:val="28"/>
        </w:rPr>
        <w:t xml:space="preserve"> класиф</w:t>
      </w:r>
      <w:r w:rsidRPr="00E45952">
        <w:rPr>
          <w:sz w:val="28"/>
          <w:szCs w:val="28"/>
          <w:lang w:val="uk-UA"/>
        </w:rPr>
        <w:t>і</w:t>
      </w:r>
      <w:r w:rsidRPr="00E45952">
        <w:rPr>
          <w:sz w:val="28"/>
          <w:szCs w:val="28"/>
        </w:rPr>
        <w:t>кац</w:t>
      </w:r>
      <w:r w:rsidRPr="00E45952">
        <w:rPr>
          <w:sz w:val="28"/>
          <w:szCs w:val="28"/>
          <w:lang w:val="uk-UA"/>
        </w:rPr>
        <w:t>ії</w:t>
      </w:r>
      <w:r w:rsidRPr="00E45952">
        <w:rPr>
          <w:sz w:val="28"/>
          <w:szCs w:val="28"/>
        </w:rPr>
        <w:t>.</w:t>
      </w:r>
      <w:r w:rsidRPr="00E45952">
        <w:rPr>
          <w:sz w:val="28"/>
          <w:szCs w:val="28"/>
          <w:lang w:val="uk-UA"/>
        </w:rPr>
        <w:t xml:space="preserve"> Точкою розподілу слугувало значення р = 0,5. По горизонтальній осі відкладені значення прогнозованої імовірності, які обчислювані за рівнянням регресії, по вертикалі - частоти. Таким чином, кожен стовпчик на діаграмі відповідає певній передбаченій імовірності, а його висота - кількості об'єктів, для яких передбачена ця можливість. Чим ближче значення прогнозованої ймовірності до одиниці, тим імовірніше розвиток ССУ.</w:t>
      </w:r>
    </w:p>
    <w:p w:rsidR="00E3259F" w:rsidRPr="00E45952" w:rsidRDefault="00E3259F" w:rsidP="00E45952">
      <w:pPr>
        <w:shd w:val="clear" w:color="auto" w:fill="FFFFFF"/>
        <w:spacing w:line="360" w:lineRule="auto"/>
        <w:ind w:firstLine="709"/>
        <w:jc w:val="both"/>
        <w:rPr>
          <w:sz w:val="28"/>
          <w:szCs w:val="28"/>
        </w:rPr>
      </w:pPr>
    </w:p>
    <w:p w:rsidR="00E3259F" w:rsidRDefault="00E3259F" w:rsidP="00E3259F">
      <w:pPr>
        <w:shd w:val="clear" w:color="auto" w:fill="FFFFFF"/>
        <w:spacing w:line="360" w:lineRule="auto"/>
        <w:jc w:val="center"/>
        <w:rPr>
          <w:color w:val="000000"/>
          <w:sz w:val="27"/>
          <w:szCs w:val="27"/>
        </w:rPr>
      </w:pPr>
      <w:r>
        <w:rPr>
          <w:noProof/>
        </w:rPr>
        <w:drawing>
          <wp:inline distT="0" distB="0" distL="0" distR="0">
            <wp:extent cx="5257800" cy="23622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57800" cy="2362200"/>
                    </a:xfrm>
                    <a:prstGeom prst="rect">
                      <a:avLst/>
                    </a:prstGeom>
                    <a:noFill/>
                    <a:ln>
                      <a:noFill/>
                    </a:ln>
                  </pic:spPr>
                </pic:pic>
              </a:graphicData>
            </a:graphic>
          </wp:inline>
        </w:drawing>
      </w:r>
    </w:p>
    <w:p w:rsidR="00E3259F" w:rsidRPr="00E45952" w:rsidRDefault="00E3259F" w:rsidP="00E3259F">
      <w:pPr>
        <w:spacing w:line="360" w:lineRule="auto"/>
        <w:jc w:val="center"/>
        <w:rPr>
          <w:sz w:val="28"/>
          <w:szCs w:val="28"/>
        </w:rPr>
      </w:pPr>
      <w:r w:rsidRPr="00E45952">
        <w:rPr>
          <w:sz w:val="28"/>
          <w:szCs w:val="28"/>
        </w:rPr>
        <w:t>Рис</w:t>
      </w:r>
      <w:r w:rsidR="00E45952" w:rsidRPr="00E45952">
        <w:rPr>
          <w:sz w:val="28"/>
          <w:szCs w:val="28"/>
          <w:lang w:val="uk-UA"/>
        </w:rPr>
        <w:t>унок 7</w:t>
      </w:r>
      <w:r w:rsidRPr="00E45952">
        <w:rPr>
          <w:sz w:val="28"/>
          <w:szCs w:val="28"/>
        </w:rPr>
        <w:t>.1  Д</w:t>
      </w:r>
      <w:r w:rsidRPr="00E45952">
        <w:rPr>
          <w:sz w:val="28"/>
          <w:szCs w:val="28"/>
          <w:lang w:val="uk-UA"/>
        </w:rPr>
        <w:t>і</w:t>
      </w:r>
      <w:r w:rsidRPr="00E45952">
        <w:rPr>
          <w:sz w:val="28"/>
          <w:szCs w:val="28"/>
        </w:rPr>
        <w:t>аграма класиф</w:t>
      </w:r>
      <w:r w:rsidRPr="00E45952">
        <w:rPr>
          <w:sz w:val="28"/>
          <w:szCs w:val="28"/>
          <w:lang w:val="uk-UA"/>
        </w:rPr>
        <w:t>і</w:t>
      </w:r>
      <w:r w:rsidRPr="00E45952">
        <w:rPr>
          <w:sz w:val="28"/>
          <w:szCs w:val="28"/>
        </w:rPr>
        <w:t>кац</w:t>
      </w:r>
      <w:r w:rsidRPr="00E45952">
        <w:rPr>
          <w:sz w:val="28"/>
          <w:szCs w:val="28"/>
          <w:lang w:val="uk-UA"/>
        </w:rPr>
        <w:t xml:space="preserve">ії. </w:t>
      </w:r>
      <w:r w:rsidRPr="00E45952">
        <w:rPr>
          <w:sz w:val="28"/>
          <w:szCs w:val="28"/>
        </w:rPr>
        <w:t>Символ</w:t>
      </w:r>
      <w:r w:rsidRPr="00E45952">
        <w:rPr>
          <w:sz w:val="28"/>
          <w:szCs w:val="28"/>
          <w:lang w:val="uk-UA"/>
        </w:rPr>
        <w:t>и</w:t>
      </w:r>
      <w:r w:rsidRPr="00E45952">
        <w:rPr>
          <w:sz w:val="28"/>
          <w:szCs w:val="28"/>
        </w:rPr>
        <w:t xml:space="preserve">: 1 – </w:t>
      </w:r>
      <w:r w:rsidRPr="00E45952">
        <w:rPr>
          <w:sz w:val="28"/>
          <w:szCs w:val="28"/>
          <w:lang w:val="uk-UA"/>
        </w:rPr>
        <w:t>немає</w:t>
      </w:r>
      <w:r w:rsidRPr="00E45952">
        <w:rPr>
          <w:sz w:val="28"/>
          <w:szCs w:val="28"/>
        </w:rPr>
        <w:t xml:space="preserve"> СС</w:t>
      </w:r>
      <w:r w:rsidRPr="00E45952">
        <w:rPr>
          <w:sz w:val="28"/>
          <w:szCs w:val="28"/>
          <w:lang w:val="uk-UA"/>
        </w:rPr>
        <w:t>У</w:t>
      </w:r>
      <w:r w:rsidRPr="00E45952">
        <w:rPr>
          <w:sz w:val="28"/>
          <w:szCs w:val="28"/>
        </w:rPr>
        <w:t xml:space="preserve">; 2 – </w:t>
      </w:r>
      <w:r w:rsidRPr="00E45952">
        <w:rPr>
          <w:sz w:val="28"/>
          <w:szCs w:val="28"/>
          <w:lang w:val="uk-UA"/>
        </w:rPr>
        <w:t>наявність</w:t>
      </w:r>
      <w:r w:rsidRPr="00E45952">
        <w:rPr>
          <w:sz w:val="28"/>
          <w:szCs w:val="28"/>
        </w:rPr>
        <w:t xml:space="preserve"> СС</w:t>
      </w:r>
      <w:r w:rsidRPr="00E45952">
        <w:rPr>
          <w:sz w:val="28"/>
          <w:szCs w:val="28"/>
          <w:lang w:val="uk-UA"/>
        </w:rPr>
        <w:t>У</w:t>
      </w:r>
      <w:r w:rsidRPr="00E45952">
        <w:rPr>
          <w:sz w:val="28"/>
          <w:szCs w:val="28"/>
        </w:rPr>
        <w:t xml:space="preserve">. </w:t>
      </w:r>
    </w:p>
    <w:p w:rsidR="00E3259F" w:rsidRDefault="00E3259F" w:rsidP="00E3259F">
      <w:pPr>
        <w:spacing w:line="360" w:lineRule="auto"/>
        <w:ind w:firstLine="709"/>
        <w:jc w:val="both"/>
        <w:rPr>
          <w:sz w:val="28"/>
          <w:szCs w:val="28"/>
        </w:rPr>
      </w:pPr>
    </w:p>
    <w:p w:rsidR="00E3259F" w:rsidRPr="00E45952" w:rsidRDefault="00E3259F" w:rsidP="00E3259F">
      <w:pPr>
        <w:spacing w:line="360" w:lineRule="auto"/>
        <w:ind w:firstLine="709"/>
        <w:jc w:val="both"/>
        <w:rPr>
          <w:sz w:val="28"/>
          <w:szCs w:val="28"/>
          <w:lang w:val="uk-UA"/>
        </w:rPr>
      </w:pPr>
      <w:r w:rsidRPr="00E45952">
        <w:rPr>
          <w:sz w:val="28"/>
          <w:szCs w:val="28"/>
          <w:lang w:val="uk-UA"/>
        </w:rPr>
        <w:t>Для дослідження якості синтезованої математичної моделі проводився ROC-аналіз (receiver operating characteristic, аналіз операційної характеристичної кривої), який виявив її характеристики. Інтегральна оцінка ефективності виведеного прогностичного правила, яка заснована на співвідношенні чутливості та специфічності тесту, подана на рисунку 7.2 На рисунку 7.2 зелена діагональна лінія відповідає «марному» класифікатору, тобто повної нерозрізненості двох груп; синя крива є ROC-кривою.</w:t>
      </w:r>
    </w:p>
    <w:p w:rsidR="00E3259F" w:rsidRDefault="00E3259F" w:rsidP="00E3259F">
      <w:pPr>
        <w:spacing w:line="360" w:lineRule="auto"/>
        <w:ind w:firstLine="709"/>
        <w:jc w:val="both"/>
        <w:rPr>
          <w:sz w:val="28"/>
          <w:szCs w:val="28"/>
          <w:lang w:val="uk-UA"/>
        </w:rPr>
      </w:pPr>
      <w:r>
        <w:rPr>
          <w:noProof/>
        </w:rPr>
        <w:drawing>
          <wp:inline distT="0" distB="0" distL="0" distR="0">
            <wp:extent cx="3286125" cy="32766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286125" cy="3276600"/>
                    </a:xfrm>
                    <a:prstGeom prst="rect">
                      <a:avLst/>
                    </a:prstGeom>
                    <a:noFill/>
                    <a:ln>
                      <a:noFill/>
                    </a:ln>
                  </pic:spPr>
                </pic:pic>
              </a:graphicData>
            </a:graphic>
          </wp:inline>
        </w:drawing>
      </w:r>
    </w:p>
    <w:p w:rsidR="00E3259F" w:rsidRDefault="00E3259F" w:rsidP="00E3259F">
      <w:pPr>
        <w:widowControl w:val="0"/>
        <w:autoSpaceDE w:val="0"/>
        <w:autoSpaceDN w:val="0"/>
        <w:adjustRightInd w:val="0"/>
        <w:spacing w:line="360" w:lineRule="auto"/>
        <w:rPr>
          <w:bCs/>
          <w:color w:val="000000"/>
          <w:sz w:val="28"/>
          <w:szCs w:val="28"/>
          <w:lang w:val="uk-UA"/>
        </w:rPr>
      </w:pPr>
      <w:r>
        <w:rPr>
          <w:sz w:val="28"/>
          <w:szCs w:val="28"/>
          <w:lang w:val="uk-UA"/>
        </w:rPr>
        <w:t xml:space="preserve">    Рисунок 7.2 – </w:t>
      </w:r>
      <w:r>
        <w:rPr>
          <w:bCs/>
          <w:color w:val="000000"/>
          <w:sz w:val="28"/>
          <w:szCs w:val="28"/>
        </w:rPr>
        <w:t>ROC</w:t>
      </w:r>
      <w:r>
        <w:rPr>
          <w:bCs/>
          <w:color w:val="000000"/>
          <w:sz w:val="28"/>
          <w:szCs w:val="28"/>
          <w:lang w:val="uk-UA"/>
        </w:rPr>
        <w:t xml:space="preserve"> Крива</w:t>
      </w:r>
    </w:p>
    <w:p w:rsidR="00E3259F" w:rsidRPr="00E45952" w:rsidRDefault="00E3259F" w:rsidP="00E45952">
      <w:pPr>
        <w:spacing w:line="360" w:lineRule="auto"/>
        <w:ind w:firstLine="709"/>
        <w:jc w:val="both"/>
        <w:rPr>
          <w:sz w:val="28"/>
          <w:szCs w:val="28"/>
          <w:lang w:val="uk-UA"/>
        </w:rPr>
      </w:pPr>
      <w:r w:rsidRPr="00E45952">
        <w:rPr>
          <w:sz w:val="28"/>
          <w:szCs w:val="28"/>
          <w:lang w:val="uk-UA"/>
        </w:rPr>
        <w:t>Представлене в таблиці 7.4 значення площі під ROC-кривої, що дозволяє оцінити діагностичну цінність моделі, становило 0,950 [0,884; 1,000], що говорить про дуже хорошу якость моделі. Вважають, що значення площі від 0,9 до 1 відповідає відмінній якості моделі, від 0,8-0,9 - дуже хороша якість моделі, 0,7-0,8 - хороша, 0,6-0,7 - середня 0,5 -0,6 - незадовільна.</w:t>
      </w:r>
    </w:p>
    <w:p w:rsidR="00E3259F" w:rsidRDefault="00E3259F" w:rsidP="00E3259F">
      <w:pPr>
        <w:autoSpaceDE w:val="0"/>
        <w:autoSpaceDN w:val="0"/>
        <w:adjustRightInd w:val="0"/>
        <w:spacing w:line="360" w:lineRule="auto"/>
        <w:ind w:firstLine="567"/>
        <w:jc w:val="right"/>
        <w:rPr>
          <w:bCs/>
          <w:sz w:val="28"/>
          <w:szCs w:val="28"/>
          <w:lang w:val="uk-UA"/>
        </w:rPr>
      </w:pPr>
      <w:r>
        <w:rPr>
          <w:bCs/>
          <w:sz w:val="28"/>
          <w:szCs w:val="28"/>
        </w:rPr>
        <w:t>Таблиц</w:t>
      </w:r>
      <w:r>
        <w:rPr>
          <w:bCs/>
          <w:sz w:val="28"/>
          <w:szCs w:val="28"/>
          <w:lang w:val="uk-UA"/>
        </w:rPr>
        <w:t>я 7.</w:t>
      </w:r>
      <w:r>
        <w:rPr>
          <w:bCs/>
          <w:sz w:val="28"/>
          <w:szCs w:val="28"/>
        </w:rPr>
        <w:t xml:space="preserve">4. </w:t>
      </w:r>
    </w:p>
    <w:p w:rsidR="00E3259F" w:rsidRDefault="00E3259F" w:rsidP="00E3259F">
      <w:pPr>
        <w:autoSpaceDE w:val="0"/>
        <w:autoSpaceDN w:val="0"/>
        <w:adjustRightInd w:val="0"/>
        <w:spacing w:line="360" w:lineRule="auto"/>
        <w:ind w:firstLine="567"/>
        <w:jc w:val="center"/>
        <w:rPr>
          <w:sz w:val="28"/>
          <w:szCs w:val="28"/>
          <w:lang w:val="uk-UA"/>
        </w:rPr>
      </w:pPr>
      <w:r>
        <w:rPr>
          <w:bCs/>
          <w:sz w:val="28"/>
          <w:szCs w:val="28"/>
        </w:rPr>
        <w:t>Результат</w:t>
      </w:r>
      <w:r>
        <w:rPr>
          <w:bCs/>
          <w:sz w:val="28"/>
          <w:szCs w:val="28"/>
          <w:lang w:val="uk-UA"/>
        </w:rPr>
        <w:t xml:space="preserve">и </w:t>
      </w:r>
      <w:r>
        <w:rPr>
          <w:sz w:val="28"/>
          <w:szCs w:val="28"/>
        </w:rPr>
        <w:t>ROC-анализ</w:t>
      </w:r>
      <w:r>
        <w:rPr>
          <w:sz w:val="28"/>
          <w:szCs w:val="28"/>
          <w:lang w:val="uk-UA"/>
        </w:rPr>
        <w:t>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448"/>
        <w:gridCol w:w="1700"/>
        <w:gridCol w:w="2051"/>
        <w:gridCol w:w="1968"/>
        <w:gridCol w:w="2248"/>
      </w:tblGrid>
      <w:tr w:rsidR="00E3259F" w:rsidTr="00E3259F">
        <w:trPr>
          <w:cantSplit/>
          <w:tblHeader/>
        </w:trPr>
        <w:tc>
          <w:tcPr>
            <w:tcW w:w="2761" w:type="pct"/>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sz w:val="28"/>
                <w:szCs w:val="28"/>
                <w:lang w:val="uk-UA" w:eastAsia="en-US"/>
              </w:rPr>
            </w:pPr>
            <w:r>
              <w:rPr>
                <w:bCs/>
                <w:sz w:val="28"/>
                <w:szCs w:val="28"/>
                <w:lang w:eastAsia="en-US"/>
              </w:rPr>
              <w:t>Характеристики ROC Криво</w:t>
            </w:r>
            <w:r>
              <w:rPr>
                <w:bCs/>
                <w:sz w:val="28"/>
                <w:szCs w:val="28"/>
                <w:lang w:val="uk-UA" w:eastAsia="en-US"/>
              </w:rPr>
              <w:t>ї</w:t>
            </w:r>
          </w:p>
        </w:tc>
        <w:tc>
          <w:tcPr>
            <w:tcW w:w="2239" w:type="pct"/>
            <w:gridSpan w:val="2"/>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95% Дов</w:t>
            </w:r>
            <w:r>
              <w:rPr>
                <w:color w:val="000000"/>
                <w:sz w:val="28"/>
                <w:szCs w:val="28"/>
                <w:lang w:val="uk-UA" w:eastAsia="en-US"/>
              </w:rPr>
              <w:t>ірчий інтервал</w:t>
            </w:r>
          </w:p>
        </w:tc>
      </w:tr>
      <w:tr w:rsidR="00E3259F" w:rsidTr="00E3259F">
        <w:trPr>
          <w:cantSplit/>
          <w:tblHeader/>
        </w:trPr>
        <w:tc>
          <w:tcPr>
            <w:tcW w:w="76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Площа</w:t>
            </w:r>
          </w:p>
        </w:tc>
        <w:tc>
          <w:tcPr>
            <w:tcW w:w="90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 xml:space="preserve">Стандартна </w:t>
            </w:r>
            <w:r>
              <w:rPr>
                <w:color w:val="000000"/>
                <w:sz w:val="28"/>
                <w:szCs w:val="28"/>
                <w:lang w:val="uk-UA" w:eastAsia="en-US"/>
              </w:rPr>
              <w:t>помилка</w:t>
            </w:r>
          </w:p>
        </w:tc>
        <w:tc>
          <w:tcPr>
            <w:tcW w:w="108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val="en-US" w:eastAsia="en-US"/>
              </w:rPr>
              <w:t>З</w:t>
            </w:r>
            <w:r>
              <w:rPr>
                <w:color w:val="000000"/>
                <w:sz w:val="28"/>
                <w:szCs w:val="28"/>
                <w:lang w:eastAsia="en-US"/>
              </w:rPr>
              <w:t>начим</w:t>
            </w:r>
            <w:r>
              <w:rPr>
                <w:color w:val="000000"/>
                <w:sz w:val="28"/>
                <w:szCs w:val="28"/>
                <w:lang w:val="uk-UA" w:eastAsia="en-US"/>
              </w:rPr>
              <w:t>і</w:t>
            </w:r>
            <w:r>
              <w:rPr>
                <w:color w:val="000000"/>
                <w:sz w:val="28"/>
                <w:szCs w:val="28"/>
                <w:lang w:eastAsia="en-US"/>
              </w:rPr>
              <w:t xml:space="preserve">сть </w:t>
            </w:r>
            <w:r>
              <w:rPr>
                <w:i/>
                <w:color w:val="000000"/>
                <w:sz w:val="28"/>
                <w:szCs w:val="28"/>
                <w:lang w:eastAsia="en-US"/>
              </w:rPr>
              <w:t>Р</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Нижня</w:t>
            </w:r>
            <w:r>
              <w:rPr>
                <w:color w:val="000000"/>
                <w:sz w:val="28"/>
                <w:szCs w:val="28"/>
                <w:lang w:val="uk-UA" w:eastAsia="en-US"/>
              </w:rPr>
              <w:t xml:space="preserve"> межа</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Верхня</w:t>
            </w:r>
            <w:r>
              <w:rPr>
                <w:color w:val="000000"/>
                <w:sz w:val="28"/>
                <w:szCs w:val="28"/>
                <w:lang w:val="uk-UA" w:eastAsia="en-US"/>
              </w:rPr>
              <w:t xml:space="preserve"> межа</w:t>
            </w:r>
          </w:p>
        </w:tc>
      </w:tr>
      <w:tr w:rsidR="00E3259F" w:rsidTr="00E3259F">
        <w:trPr>
          <w:cantSplit/>
          <w:tblHeader/>
        </w:trPr>
        <w:tc>
          <w:tcPr>
            <w:tcW w:w="76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0,950</w:t>
            </w:r>
          </w:p>
        </w:tc>
        <w:tc>
          <w:tcPr>
            <w:tcW w:w="90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0,034</w:t>
            </w:r>
          </w:p>
        </w:tc>
        <w:tc>
          <w:tcPr>
            <w:tcW w:w="108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0,001</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0,884</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widowControl w:val="0"/>
              <w:autoSpaceDE w:val="0"/>
              <w:autoSpaceDN w:val="0"/>
              <w:adjustRightInd w:val="0"/>
              <w:spacing w:line="360" w:lineRule="auto"/>
              <w:jc w:val="center"/>
              <w:rPr>
                <w:color w:val="000000"/>
                <w:sz w:val="28"/>
                <w:szCs w:val="28"/>
                <w:lang w:eastAsia="en-US"/>
              </w:rPr>
            </w:pPr>
            <w:r>
              <w:rPr>
                <w:color w:val="000000"/>
                <w:sz w:val="28"/>
                <w:szCs w:val="28"/>
                <w:lang w:eastAsia="en-US"/>
              </w:rPr>
              <w:t>1,000</w:t>
            </w:r>
          </w:p>
        </w:tc>
      </w:tr>
    </w:tbl>
    <w:p w:rsidR="00E3259F" w:rsidRDefault="00E3259F" w:rsidP="00E3259F">
      <w:pPr>
        <w:spacing w:line="360" w:lineRule="auto"/>
        <w:ind w:firstLine="709"/>
        <w:jc w:val="both"/>
        <w:rPr>
          <w:rFonts w:eastAsia="Calibri"/>
          <w:sz w:val="28"/>
          <w:szCs w:val="28"/>
          <w:lang w:eastAsia="en-US"/>
        </w:rPr>
      </w:pPr>
    </w:p>
    <w:p w:rsidR="00E3259F" w:rsidRDefault="00E3259F" w:rsidP="00E3259F">
      <w:pPr>
        <w:autoSpaceDE w:val="0"/>
        <w:autoSpaceDN w:val="0"/>
        <w:adjustRightInd w:val="0"/>
      </w:pP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rFonts w:eastAsia="Calibri"/>
          <w:sz w:val="28"/>
          <w:szCs w:val="28"/>
        </w:rPr>
      </w:pPr>
      <w:r w:rsidRPr="00E45952">
        <w:rPr>
          <w:sz w:val="28"/>
          <w:szCs w:val="28"/>
        </w:rPr>
        <w:t xml:space="preserve">Для ілюстрації особливостей клінічного перебігу </w:t>
      </w:r>
      <w:r w:rsidRPr="00E45952">
        <w:rPr>
          <w:sz w:val="28"/>
          <w:szCs w:val="28"/>
          <w:lang w:val="uk-UA"/>
        </w:rPr>
        <w:t xml:space="preserve">зазначених коморбідних захворювань </w:t>
      </w:r>
      <w:r w:rsidRPr="00E45952">
        <w:rPr>
          <w:sz w:val="28"/>
          <w:szCs w:val="28"/>
        </w:rPr>
        <w:t xml:space="preserve">представляємо </w:t>
      </w:r>
      <w:r w:rsidRPr="00E45952">
        <w:rPr>
          <w:rFonts w:eastAsia="Calibri"/>
          <w:sz w:val="28"/>
          <w:szCs w:val="28"/>
        </w:rPr>
        <w:t>два клінічні випадки.</w:t>
      </w:r>
    </w:p>
    <w:p w:rsidR="00E3259F" w:rsidRPr="00E45952" w:rsidRDefault="00E3259F" w:rsidP="00E45952">
      <w:pPr>
        <w:tabs>
          <w:tab w:val="left" w:pos="0"/>
        </w:tabs>
        <w:spacing w:line="360" w:lineRule="auto"/>
        <w:ind w:firstLine="709"/>
        <w:jc w:val="both"/>
        <w:rPr>
          <w:sz w:val="28"/>
          <w:szCs w:val="28"/>
          <w:lang w:val="uk-UA"/>
        </w:rPr>
      </w:pPr>
      <w:r w:rsidRPr="00E45952">
        <w:rPr>
          <w:rFonts w:eastAsia="Calibri"/>
          <w:sz w:val="28"/>
          <w:szCs w:val="28"/>
        </w:rPr>
        <w:t>Клінічний випадок 1</w:t>
      </w:r>
      <w:r w:rsidRPr="00E45952">
        <w:rPr>
          <w:rFonts w:eastAsia="Calibri"/>
          <w:sz w:val="28"/>
          <w:szCs w:val="28"/>
          <w:lang w:val="uk-UA"/>
        </w:rPr>
        <w:t xml:space="preserve">. </w:t>
      </w:r>
      <w:r w:rsidRPr="00E45952">
        <w:rPr>
          <w:sz w:val="28"/>
          <w:szCs w:val="28"/>
          <w:lang w:val="uk-UA"/>
        </w:rPr>
        <w:t>Хвора С., 67 років, амбулаторна картка, 2016рік, звернулася зі скаргами на періодичний головний біль, переважно в потиличній ділянці, який частіше за все виникає на тлі підвищення артеріального тиску, важкість в голові, іноді запаморочення, порушення сну, погіршення пам</w:t>
      </w:r>
      <w:r w:rsidRPr="00E45952">
        <w:rPr>
          <w:sz w:val="28"/>
          <w:szCs w:val="28"/>
        </w:rPr>
        <w:t>’</w:t>
      </w:r>
      <w:r w:rsidRPr="00E45952">
        <w:rPr>
          <w:sz w:val="28"/>
          <w:szCs w:val="28"/>
          <w:lang w:val="uk-UA"/>
        </w:rPr>
        <w:t>яті, слабкість, підвищену втомлюваність.</w:t>
      </w:r>
    </w:p>
    <w:p w:rsidR="00E3259F" w:rsidRPr="00E45952" w:rsidRDefault="00E3259F" w:rsidP="00E45952">
      <w:pPr>
        <w:tabs>
          <w:tab w:val="left" w:pos="360"/>
        </w:tabs>
        <w:spacing w:line="360" w:lineRule="auto"/>
        <w:ind w:firstLine="709"/>
        <w:jc w:val="both"/>
        <w:rPr>
          <w:b/>
          <w:bCs/>
          <w:sz w:val="28"/>
          <w:szCs w:val="28"/>
        </w:rPr>
      </w:pPr>
      <w:r w:rsidRPr="00E45952">
        <w:rPr>
          <w:sz w:val="28"/>
          <w:szCs w:val="28"/>
        </w:rPr>
        <w:t>Пров</w:t>
      </w:r>
      <w:r w:rsidRPr="00E45952">
        <w:rPr>
          <w:sz w:val="28"/>
          <w:szCs w:val="28"/>
          <w:lang w:val="uk-UA"/>
        </w:rPr>
        <w:t xml:space="preserve">едено </w:t>
      </w:r>
      <w:r w:rsidRPr="00E45952">
        <w:rPr>
          <w:sz w:val="28"/>
          <w:szCs w:val="28"/>
        </w:rPr>
        <w:t>загальноприйняті методи обстеження: анамнез захворювання та анамнез життя, об’єктивне обстеження.</w:t>
      </w:r>
    </w:p>
    <w:p w:rsidR="00E3259F" w:rsidRPr="00E45952" w:rsidRDefault="00E3259F" w:rsidP="00E45952">
      <w:pPr>
        <w:spacing w:line="360" w:lineRule="auto"/>
        <w:ind w:firstLine="709"/>
        <w:jc w:val="both"/>
        <w:rPr>
          <w:snapToGrid w:val="0"/>
          <w:sz w:val="28"/>
          <w:szCs w:val="28"/>
          <w:lang w:val="uk-UA"/>
        </w:rPr>
      </w:pPr>
      <w:r w:rsidRPr="00E45952">
        <w:rPr>
          <w:sz w:val="28"/>
          <w:szCs w:val="28"/>
        </w:rPr>
        <w:t>А</w:t>
      </w:r>
      <w:r w:rsidRPr="00E45952">
        <w:rPr>
          <w:bCs/>
          <w:sz w:val="28"/>
          <w:szCs w:val="28"/>
        </w:rPr>
        <w:t>намнез захворювання</w:t>
      </w:r>
      <w:r w:rsidRPr="00E45952">
        <w:rPr>
          <w:b/>
          <w:bCs/>
          <w:sz w:val="28"/>
          <w:szCs w:val="28"/>
        </w:rPr>
        <w:t>:</w:t>
      </w:r>
      <w:r w:rsidRPr="00E45952">
        <w:rPr>
          <w:sz w:val="28"/>
          <w:szCs w:val="28"/>
        </w:rPr>
        <w:t xml:space="preserve"> </w:t>
      </w:r>
      <w:r w:rsidRPr="00E45952">
        <w:rPr>
          <w:snapToGrid w:val="0"/>
          <w:sz w:val="28"/>
          <w:szCs w:val="28"/>
        </w:rPr>
        <w:t xml:space="preserve">вважає себе хворою </w:t>
      </w:r>
      <w:r w:rsidRPr="00E45952">
        <w:rPr>
          <w:snapToGrid w:val="0"/>
          <w:sz w:val="28"/>
          <w:szCs w:val="28"/>
          <w:lang w:val="uk-UA"/>
        </w:rPr>
        <w:t>близько 8 років</w:t>
      </w:r>
      <w:r w:rsidRPr="00E45952">
        <w:rPr>
          <w:snapToGrid w:val="0"/>
          <w:sz w:val="28"/>
          <w:szCs w:val="28"/>
        </w:rPr>
        <w:t xml:space="preserve">, коли вперше зафіксовано підвищення </w:t>
      </w:r>
      <w:r w:rsidRPr="00E45952">
        <w:rPr>
          <w:snapToGrid w:val="0"/>
          <w:sz w:val="28"/>
          <w:szCs w:val="28"/>
          <w:lang w:val="uk-UA"/>
        </w:rPr>
        <w:t>АТ</w:t>
      </w:r>
      <w:r w:rsidRPr="00E45952">
        <w:rPr>
          <w:snapToGrid w:val="0"/>
          <w:sz w:val="28"/>
          <w:szCs w:val="28"/>
        </w:rPr>
        <w:t xml:space="preserve"> та діагностовано Г</w:t>
      </w:r>
      <w:r w:rsidRPr="00E45952">
        <w:rPr>
          <w:snapToGrid w:val="0"/>
          <w:sz w:val="28"/>
          <w:szCs w:val="28"/>
          <w:lang w:val="uk-UA"/>
        </w:rPr>
        <w:t>Х</w:t>
      </w:r>
      <w:r w:rsidRPr="00E45952">
        <w:rPr>
          <w:snapToGrid w:val="0"/>
          <w:sz w:val="28"/>
          <w:szCs w:val="28"/>
        </w:rPr>
        <w:t xml:space="preserve"> ІІ ст. </w:t>
      </w:r>
      <w:r w:rsidRPr="00E45952">
        <w:rPr>
          <w:snapToGrid w:val="0"/>
          <w:sz w:val="28"/>
          <w:szCs w:val="28"/>
          <w:lang w:val="uk-UA"/>
        </w:rPr>
        <w:t>ЦД</w:t>
      </w:r>
      <w:r w:rsidRPr="00E45952">
        <w:rPr>
          <w:snapToGrid w:val="0"/>
          <w:sz w:val="28"/>
          <w:szCs w:val="28"/>
        </w:rPr>
        <w:t xml:space="preserve"> 2 типу було діагностовано </w:t>
      </w:r>
      <w:r w:rsidRPr="00E45952">
        <w:rPr>
          <w:snapToGrid w:val="0"/>
          <w:sz w:val="28"/>
          <w:szCs w:val="28"/>
          <w:lang w:val="uk-UA"/>
        </w:rPr>
        <w:t>3</w:t>
      </w:r>
      <w:r w:rsidRPr="00E45952">
        <w:rPr>
          <w:snapToGrid w:val="0"/>
          <w:sz w:val="28"/>
          <w:szCs w:val="28"/>
        </w:rPr>
        <w:t xml:space="preserve"> роки </w:t>
      </w:r>
      <w:r w:rsidRPr="00E45952">
        <w:rPr>
          <w:snapToGrid w:val="0"/>
          <w:sz w:val="28"/>
          <w:szCs w:val="28"/>
          <w:lang w:val="uk-UA"/>
        </w:rPr>
        <w:t>поспіль</w:t>
      </w:r>
      <w:r w:rsidRPr="00E45952">
        <w:rPr>
          <w:snapToGrid w:val="0"/>
          <w:sz w:val="28"/>
          <w:szCs w:val="28"/>
        </w:rPr>
        <w:t>.</w:t>
      </w:r>
      <w:r w:rsidRPr="00E45952">
        <w:rPr>
          <w:snapToGrid w:val="0"/>
          <w:sz w:val="28"/>
          <w:szCs w:val="28"/>
          <w:lang w:val="uk-UA"/>
        </w:rPr>
        <w:t xml:space="preserve"> Сімейний анамнез – без обтяження.</w:t>
      </w:r>
    </w:p>
    <w:p w:rsidR="00E3259F" w:rsidRPr="00E45952" w:rsidRDefault="00E3259F" w:rsidP="00E45952">
      <w:pPr>
        <w:spacing w:line="360" w:lineRule="auto"/>
        <w:ind w:firstLine="709"/>
        <w:jc w:val="both"/>
        <w:rPr>
          <w:sz w:val="28"/>
          <w:szCs w:val="28"/>
          <w:lang w:val="uk-UA"/>
        </w:rPr>
      </w:pPr>
      <w:r w:rsidRPr="00E45952">
        <w:rPr>
          <w:snapToGrid w:val="0"/>
          <w:sz w:val="28"/>
          <w:szCs w:val="28"/>
          <w:lang w:val="uk-UA"/>
        </w:rPr>
        <w:t xml:space="preserve"> </w:t>
      </w:r>
      <w:r w:rsidRPr="00E45952">
        <w:rPr>
          <w:bCs/>
          <w:sz w:val="28"/>
          <w:szCs w:val="28"/>
        </w:rPr>
        <w:t>Об’єктивне обстеження</w:t>
      </w:r>
      <w:r w:rsidRPr="00E45952">
        <w:rPr>
          <w:b/>
          <w:bCs/>
          <w:sz w:val="28"/>
          <w:szCs w:val="28"/>
        </w:rPr>
        <w:t>:</w:t>
      </w:r>
      <w:r w:rsidRPr="00E45952">
        <w:rPr>
          <w:sz w:val="28"/>
          <w:szCs w:val="28"/>
        </w:rPr>
        <w:t xml:space="preserve"> загальний стан відносно задовільний. Шкір</w:t>
      </w:r>
      <w:r w:rsidRPr="00E45952">
        <w:rPr>
          <w:sz w:val="28"/>
          <w:szCs w:val="28"/>
          <w:lang w:val="uk-UA"/>
        </w:rPr>
        <w:t xml:space="preserve">а </w:t>
      </w:r>
      <w:r w:rsidRPr="00E45952">
        <w:rPr>
          <w:sz w:val="28"/>
          <w:szCs w:val="28"/>
        </w:rPr>
        <w:t xml:space="preserve">звичайного кольору, </w:t>
      </w:r>
      <w:r w:rsidRPr="00E45952">
        <w:rPr>
          <w:sz w:val="28"/>
          <w:szCs w:val="28"/>
          <w:lang w:val="uk-UA"/>
        </w:rPr>
        <w:t>чиста</w:t>
      </w:r>
      <w:r w:rsidRPr="00E45952">
        <w:rPr>
          <w:sz w:val="28"/>
          <w:szCs w:val="28"/>
        </w:rPr>
        <w:t xml:space="preserve">. Над легенями везикулярне дихання. Межі відносної серцевої тупості </w:t>
      </w:r>
      <w:r w:rsidRPr="00E45952">
        <w:rPr>
          <w:sz w:val="28"/>
          <w:szCs w:val="28"/>
          <w:lang w:val="uk-UA"/>
        </w:rPr>
        <w:t>не розширені</w:t>
      </w:r>
      <w:r w:rsidRPr="00E45952">
        <w:rPr>
          <w:sz w:val="28"/>
          <w:szCs w:val="28"/>
        </w:rPr>
        <w:t xml:space="preserve">. Серцева діяльність ритмічна, тони приглушені. ЧСС </w:t>
      </w:r>
      <w:r w:rsidRPr="00E45952">
        <w:rPr>
          <w:snapToGrid w:val="0"/>
          <w:sz w:val="28"/>
          <w:szCs w:val="28"/>
        </w:rPr>
        <w:t xml:space="preserve">– </w:t>
      </w:r>
      <w:r w:rsidRPr="00E45952">
        <w:rPr>
          <w:snapToGrid w:val="0"/>
          <w:sz w:val="28"/>
          <w:szCs w:val="28"/>
          <w:lang w:val="uk-UA"/>
        </w:rPr>
        <w:t>70</w:t>
      </w:r>
      <w:r w:rsidRPr="00E45952">
        <w:rPr>
          <w:sz w:val="28"/>
          <w:szCs w:val="28"/>
        </w:rPr>
        <w:t xml:space="preserve"> уд. за хв. АТ </w:t>
      </w:r>
      <w:r w:rsidRPr="00E45952">
        <w:rPr>
          <w:snapToGrid w:val="0"/>
          <w:sz w:val="28"/>
          <w:szCs w:val="28"/>
        </w:rPr>
        <w:t xml:space="preserve">– </w:t>
      </w:r>
      <w:r w:rsidRPr="00E45952">
        <w:rPr>
          <w:sz w:val="28"/>
          <w:szCs w:val="28"/>
        </w:rPr>
        <w:t>1</w:t>
      </w:r>
      <w:r w:rsidRPr="00E45952">
        <w:rPr>
          <w:sz w:val="28"/>
          <w:szCs w:val="28"/>
          <w:lang w:val="uk-UA"/>
        </w:rPr>
        <w:t>50</w:t>
      </w:r>
      <w:r w:rsidRPr="00E45952">
        <w:rPr>
          <w:sz w:val="28"/>
          <w:szCs w:val="28"/>
        </w:rPr>
        <w:t>/</w:t>
      </w:r>
      <w:r w:rsidRPr="00E45952">
        <w:rPr>
          <w:sz w:val="28"/>
          <w:szCs w:val="28"/>
          <w:lang w:val="uk-UA"/>
        </w:rPr>
        <w:t>80</w:t>
      </w:r>
      <w:r w:rsidRPr="00E45952">
        <w:rPr>
          <w:sz w:val="28"/>
          <w:szCs w:val="28"/>
        </w:rPr>
        <w:t xml:space="preserve"> мм. рт. ст. </w:t>
      </w:r>
      <w:r w:rsidRPr="00E45952">
        <w:rPr>
          <w:sz w:val="28"/>
          <w:szCs w:val="28"/>
          <w:lang w:val="uk-UA"/>
        </w:rPr>
        <w:t xml:space="preserve">, ПАТ- </w:t>
      </w:r>
      <w:r w:rsidRPr="00E45952">
        <w:rPr>
          <w:sz w:val="28"/>
          <w:szCs w:val="28"/>
        </w:rPr>
        <w:t>70</w:t>
      </w:r>
      <w:r w:rsidRPr="00E45952">
        <w:rPr>
          <w:sz w:val="28"/>
          <w:szCs w:val="28"/>
          <w:lang w:val="uk-UA"/>
        </w:rPr>
        <w:t xml:space="preserve"> мм.рт.ст. </w:t>
      </w:r>
      <w:r w:rsidRPr="00E45952">
        <w:rPr>
          <w:sz w:val="28"/>
          <w:szCs w:val="28"/>
        </w:rPr>
        <w:t xml:space="preserve">При пальпації живіт збільшений у розмірах за рахунок надлишкової жирової тканини, м'який, безболісний. Печінка  не збільшена в розмірах. Периферійні набряки відсутні. </w:t>
      </w:r>
      <w:r w:rsidRPr="00E45952">
        <w:rPr>
          <w:sz w:val="28"/>
          <w:szCs w:val="28"/>
          <w:lang w:val="uk-UA"/>
        </w:rPr>
        <w:t>Випорожнення</w:t>
      </w:r>
      <w:r w:rsidRPr="00E45952">
        <w:rPr>
          <w:sz w:val="28"/>
          <w:szCs w:val="28"/>
        </w:rPr>
        <w:t xml:space="preserve"> та діурез без відмінностей.</w:t>
      </w:r>
      <w:r w:rsidRPr="00E45952">
        <w:rPr>
          <w:sz w:val="28"/>
          <w:szCs w:val="28"/>
          <w:lang w:val="uk-UA"/>
        </w:rPr>
        <w:t xml:space="preserve"> Маса тіла 107  кг, зріст 167 см;  індекс маси тіла - 38,43 кг/м</w:t>
      </w:r>
      <w:r w:rsidRPr="00E45952">
        <w:rPr>
          <w:sz w:val="28"/>
          <w:szCs w:val="28"/>
          <w:vertAlign w:val="superscript"/>
          <w:lang w:val="uk-UA"/>
        </w:rPr>
        <w:t>2</w:t>
      </w:r>
      <w:r w:rsidRPr="00E45952">
        <w:rPr>
          <w:sz w:val="28"/>
          <w:szCs w:val="28"/>
          <w:lang w:val="uk-UA"/>
        </w:rPr>
        <w:t>, що перевищує норму (25 кг/м</w:t>
      </w:r>
      <w:r w:rsidRPr="00E45952">
        <w:rPr>
          <w:sz w:val="28"/>
          <w:szCs w:val="28"/>
          <w:vertAlign w:val="superscript"/>
          <w:lang w:val="uk-UA"/>
        </w:rPr>
        <w:t>2</w:t>
      </w:r>
      <w:r w:rsidRPr="00E45952">
        <w:rPr>
          <w:sz w:val="28"/>
          <w:szCs w:val="28"/>
          <w:lang w:val="uk-UA"/>
        </w:rPr>
        <w:t xml:space="preserve">) та свідчить про наявність ожиріння ІІІ ступеня. </w:t>
      </w:r>
    </w:p>
    <w:p w:rsidR="00E3259F" w:rsidRPr="00E45952" w:rsidRDefault="00E3259F" w:rsidP="00E45952">
      <w:pPr>
        <w:spacing w:line="360" w:lineRule="auto"/>
        <w:ind w:firstLine="709"/>
        <w:jc w:val="both"/>
        <w:rPr>
          <w:sz w:val="28"/>
          <w:szCs w:val="28"/>
          <w:lang w:val="uk-UA"/>
        </w:rPr>
      </w:pPr>
      <w:r w:rsidRPr="00E45952">
        <w:rPr>
          <w:sz w:val="28"/>
          <w:szCs w:val="28"/>
          <w:lang w:val="uk-UA"/>
        </w:rPr>
        <w:t>Хворій  поряд із загальноприйнятим комплексом досліджень проведені додаткові дослідження (кількості ЦДЕК, рівнів 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ВЕФР, ВДТ крові).</w:t>
      </w:r>
    </w:p>
    <w:p w:rsidR="00E3259F" w:rsidRPr="00E45952" w:rsidRDefault="00E3259F" w:rsidP="00E45952">
      <w:pPr>
        <w:spacing w:line="360" w:lineRule="auto"/>
        <w:ind w:firstLine="709"/>
        <w:jc w:val="both"/>
        <w:rPr>
          <w:sz w:val="28"/>
          <w:szCs w:val="28"/>
          <w:lang w:val="uk-UA"/>
        </w:rPr>
      </w:pPr>
      <w:r w:rsidRPr="00E45952">
        <w:rPr>
          <w:sz w:val="28"/>
          <w:szCs w:val="28"/>
          <w:lang w:val="uk-UA"/>
        </w:rPr>
        <w:t>Результати досліджень:</w:t>
      </w:r>
    </w:p>
    <w:p w:rsidR="00E3259F" w:rsidRPr="00E45952" w:rsidRDefault="00E3259F" w:rsidP="00E45952">
      <w:pPr>
        <w:spacing w:line="360" w:lineRule="auto"/>
        <w:ind w:firstLine="709"/>
        <w:jc w:val="both"/>
        <w:rPr>
          <w:sz w:val="28"/>
          <w:szCs w:val="28"/>
          <w:lang w:val="uk-UA"/>
        </w:rPr>
      </w:pPr>
      <w:r w:rsidRPr="00E45952">
        <w:rPr>
          <w:snapToGrid w:val="0"/>
          <w:sz w:val="28"/>
          <w:szCs w:val="28"/>
          <w:lang w:val="uk-UA"/>
        </w:rPr>
        <w:t xml:space="preserve">У сироватці крові: рівні ЗХС – </w:t>
      </w:r>
      <w:r w:rsidRPr="00E45952">
        <w:rPr>
          <w:sz w:val="28"/>
          <w:szCs w:val="28"/>
          <w:lang w:val="uk-UA"/>
        </w:rPr>
        <w:t xml:space="preserve">5,73 </w:t>
      </w:r>
      <w:r w:rsidRPr="00E45952">
        <w:rPr>
          <w:snapToGrid w:val="0"/>
          <w:sz w:val="28"/>
          <w:szCs w:val="28"/>
          <w:lang w:val="uk-UA"/>
        </w:rPr>
        <w:t xml:space="preserve">ммоль/л, ТГ – </w:t>
      </w:r>
      <w:r w:rsidRPr="00E45952">
        <w:rPr>
          <w:sz w:val="28"/>
          <w:szCs w:val="28"/>
          <w:lang w:val="uk-UA"/>
        </w:rPr>
        <w:t xml:space="preserve">1,52 </w:t>
      </w:r>
      <w:r w:rsidRPr="00E45952">
        <w:rPr>
          <w:snapToGrid w:val="0"/>
          <w:sz w:val="28"/>
          <w:szCs w:val="28"/>
          <w:lang w:val="uk-UA"/>
        </w:rPr>
        <w:t xml:space="preserve">ммоль/л, ХС ЛПНЩ – </w:t>
      </w:r>
      <w:r w:rsidRPr="00E45952">
        <w:rPr>
          <w:sz w:val="28"/>
          <w:szCs w:val="28"/>
          <w:lang w:val="uk-UA"/>
        </w:rPr>
        <w:t xml:space="preserve">1,47 </w:t>
      </w:r>
      <w:r w:rsidRPr="00E45952">
        <w:rPr>
          <w:snapToGrid w:val="0"/>
          <w:sz w:val="28"/>
          <w:szCs w:val="28"/>
          <w:lang w:val="uk-UA"/>
        </w:rPr>
        <w:t xml:space="preserve">ммоль/л;  ХС ЛПВЩ – </w:t>
      </w:r>
      <w:r w:rsidRPr="00E45952">
        <w:rPr>
          <w:sz w:val="28"/>
          <w:szCs w:val="28"/>
          <w:lang w:val="uk-UA"/>
        </w:rPr>
        <w:t xml:space="preserve">1,32 </w:t>
      </w:r>
      <w:r w:rsidRPr="00E45952">
        <w:rPr>
          <w:snapToGrid w:val="0"/>
          <w:sz w:val="28"/>
          <w:szCs w:val="28"/>
          <w:lang w:val="uk-UA"/>
        </w:rPr>
        <w:t>мммоль/л, глюкози крові – 5,73 ммоль/л, глікованого гемоглобіну -6,49%, інсуліну крові – 32,43</w:t>
      </w:r>
      <w:r w:rsidRPr="00E45952">
        <w:rPr>
          <w:sz w:val="28"/>
          <w:szCs w:val="28"/>
          <w:lang w:val="uk-UA"/>
        </w:rPr>
        <w:t xml:space="preserve"> мкОд/мл</w:t>
      </w:r>
      <w:r w:rsidRPr="00E45952">
        <w:rPr>
          <w:snapToGrid w:val="0"/>
          <w:sz w:val="28"/>
          <w:szCs w:val="28"/>
          <w:lang w:val="uk-UA"/>
        </w:rPr>
        <w:t>, НОМА–</w:t>
      </w:r>
      <w:r w:rsidRPr="00E45952">
        <w:rPr>
          <w:snapToGrid w:val="0"/>
          <w:sz w:val="28"/>
          <w:szCs w:val="28"/>
          <w:lang w:val="en-US"/>
        </w:rPr>
        <w:t>IR</w:t>
      </w:r>
      <w:r w:rsidRPr="00E45952">
        <w:rPr>
          <w:snapToGrid w:val="0"/>
          <w:sz w:val="28"/>
          <w:szCs w:val="28"/>
          <w:lang w:val="uk-UA"/>
        </w:rPr>
        <w:t xml:space="preserve">=8,83, що свідчить про наявність дисліпідемії, ІР на тлі ознаків компенсації вуглеводного обміну. </w:t>
      </w:r>
      <w:r w:rsidRPr="00E45952">
        <w:rPr>
          <w:kern w:val="2"/>
          <w:sz w:val="28"/>
          <w:szCs w:val="28"/>
          <w:lang w:val="uk-UA" w:eastAsia="ar-SA"/>
        </w:rPr>
        <w:t xml:space="preserve">Рівень ТТГ становив 1,16 </w:t>
      </w:r>
      <w:r w:rsidRPr="00E45952">
        <w:rPr>
          <w:snapToGrid w:val="0"/>
          <w:sz w:val="28"/>
          <w:szCs w:val="28"/>
          <w:lang w:val="uk-UA"/>
        </w:rPr>
        <w:t>мОд/л</w:t>
      </w:r>
      <w:r w:rsidRPr="00E45952">
        <w:rPr>
          <w:sz w:val="28"/>
          <w:szCs w:val="28"/>
          <w:lang w:val="uk-UA"/>
        </w:rPr>
        <w:t>, Т4 вільний – 13,14 ммоль/л, що свідчить про відсутність порушення функції ЩЗ. Вимірювання ТКІМ = 0,07 мм, атеросклеротичних бляшок не було виявлено.</w:t>
      </w:r>
      <w:r w:rsidRPr="00E45952">
        <w:rPr>
          <w:snapToGrid w:val="0"/>
          <w:sz w:val="28"/>
          <w:szCs w:val="28"/>
          <w:lang w:val="uk-UA"/>
        </w:rPr>
        <w:t xml:space="preserve"> При УЗД ЩЗ – залоза не ущільнена, нормальних розмірів, вузлів немає</w:t>
      </w:r>
      <w:r w:rsidRPr="00E45952">
        <w:rPr>
          <w:sz w:val="28"/>
          <w:szCs w:val="28"/>
          <w:lang w:val="uk-UA"/>
        </w:rPr>
        <w:t>.</w:t>
      </w:r>
    </w:p>
    <w:p w:rsidR="00E3259F" w:rsidRPr="00E45952" w:rsidRDefault="00E3259F" w:rsidP="00E45952">
      <w:pPr>
        <w:spacing w:line="360" w:lineRule="auto"/>
        <w:ind w:firstLine="709"/>
        <w:jc w:val="both"/>
        <w:rPr>
          <w:sz w:val="28"/>
          <w:szCs w:val="28"/>
          <w:lang w:val="uk-UA"/>
        </w:rPr>
      </w:pPr>
      <w:r w:rsidRPr="00E45952">
        <w:rPr>
          <w:rFonts w:eastAsia="Calibri"/>
          <w:bCs/>
          <w:sz w:val="28"/>
          <w:szCs w:val="28"/>
          <w:lang w:val="uk-UA"/>
        </w:rPr>
        <w:t xml:space="preserve">Хворій, згідно корисної моделі, додатково було проведено молекулярно-генетичне дослідження з визначенням </w:t>
      </w:r>
      <w:r w:rsidRPr="00E45952">
        <w:rPr>
          <w:sz w:val="28"/>
          <w:szCs w:val="28"/>
          <w:lang w:val="uk-UA"/>
        </w:rPr>
        <w:t>ВДТ</w:t>
      </w:r>
      <w:r w:rsidRPr="00E45952">
        <w:rPr>
          <w:rFonts w:eastAsia="Calibri"/>
          <w:bCs/>
          <w:sz w:val="28"/>
          <w:szCs w:val="28"/>
          <w:lang w:val="uk-UA"/>
        </w:rPr>
        <w:t xml:space="preserve"> крові, яка дорівнює 0,60, що свідчить про значно коротшу </w:t>
      </w:r>
      <w:r w:rsidRPr="00E45952">
        <w:rPr>
          <w:sz w:val="28"/>
          <w:szCs w:val="28"/>
          <w:lang w:val="uk-UA"/>
        </w:rPr>
        <w:t>ВДТ</w:t>
      </w:r>
      <w:r w:rsidRPr="00E45952">
        <w:rPr>
          <w:rFonts w:eastAsia="Calibri"/>
          <w:bCs/>
          <w:sz w:val="28"/>
          <w:szCs w:val="28"/>
          <w:lang w:val="uk-UA"/>
        </w:rPr>
        <w:t xml:space="preserve"> порівняно з контрольною групою. К</w:t>
      </w:r>
      <w:r w:rsidRPr="00E45952">
        <w:rPr>
          <w:sz w:val="28"/>
          <w:szCs w:val="28"/>
          <w:lang w:val="uk-UA"/>
        </w:rPr>
        <w:t xml:space="preserve">ількість ЦДЕК становила 16 </w:t>
      </w:r>
      <w:r w:rsidRPr="00E45952">
        <w:rPr>
          <w:rFonts w:eastAsia="TimesNewRomanPSMT"/>
          <w:sz w:val="28"/>
          <w:szCs w:val="28"/>
          <w:lang w:eastAsia="en-US"/>
        </w:rPr>
        <w:t>кл./100 мкл</w:t>
      </w:r>
      <w:r w:rsidRPr="00E45952">
        <w:rPr>
          <w:rFonts w:eastAsia="Calibri"/>
          <w:bCs/>
          <w:sz w:val="28"/>
          <w:szCs w:val="28"/>
          <w:lang w:val="uk-UA"/>
        </w:rPr>
        <w:t xml:space="preserve"> , рівень</w:t>
      </w:r>
      <w:r w:rsidRPr="00E45952">
        <w:rPr>
          <w:rFonts w:eastAsia="Calibri"/>
          <w:kern w:val="2"/>
          <w:sz w:val="28"/>
          <w:szCs w:val="28"/>
          <w:lang w:val="uk-UA"/>
        </w:rPr>
        <w:t xml:space="preserve"> </w:t>
      </w:r>
      <w:r w:rsidRPr="00E45952">
        <w:rPr>
          <w:sz w:val="28"/>
          <w:szCs w:val="28"/>
          <w:lang w:val="uk-UA"/>
        </w:rPr>
        <w:t>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xml:space="preserve"> – 18,17 пг/мл</w:t>
      </w:r>
      <w:r w:rsidRPr="00E45952">
        <w:rPr>
          <w:rFonts w:eastAsia="Calibri"/>
          <w:kern w:val="2"/>
          <w:sz w:val="28"/>
          <w:szCs w:val="28"/>
          <w:lang w:val="uk-UA"/>
        </w:rPr>
        <w:t xml:space="preserve"> що свідчить про значне підвищення порівняно з контрольним значенням.</w:t>
      </w:r>
      <w:r w:rsidRPr="00E45952">
        <w:rPr>
          <w:sz w:val="28"/>
          <w:szCs w:val="28"/>
          <w:lang w:val="uk-UA"/>
        </w:rPr>
        <w:t xml:space="preserve"> </w:t>
      </w:r>
    </w:p>
    <w:p w:rsidR="00E3259F" w:rsidRPr="00E45952" w:rsidRDefault="00E3259F" w:rsidP="00E45952">
      <w:pPr>
        <w:spacing w:line="360" w:lineRule="auto"/>
        <w:ind w:firstLine="709"/>
        <w:jc w:val="both"/>
        <w:rPr>
          <w:rFonts w:eastAsia="Calibri"/>
          <w:sz w:val="28"/>
          <w:szCs w:val="28"/>
          <w:lang w:val="uk-UA"/>
        </w:rPr>
      </w:pPr>
      <w:r w:rsidRPr="00E45952">
        <w:rPr>
          <w:rFonts w:eastAsia="Calibri"/>
          <w:sz w:val="28"/>
          <w:szCs w:val="28"/>
          <w:lang w:val="uk-UA"/>
        </w:rPr>
        <w:t xml:space="preserve">Таким чином, у хворої </w:t>
      </w:r>
      <w:r w:rsidRPr="00E45952">
        <w:rPr>
          <w:sz w:val="28"/>
          <w:szCs w:val="28"/>
          <w:lang w:val="uk-UA"/>
        </w:rPr>
        <w:t>при обстеженні визначені такі значення прогностичних критеріїв</w:t>
      </w:r>
      <w:r w:rsidRPr="00E45952">
        <w:rPr>
          <w:rFonts w:eastAsia="Calibri"/>
          <w:sz w:val="28"/>
          <w:szCs w:val="28"/>
          <w:lang w:val="uk-UA" w:eastAsia="ar-SA"/>
        </w:rPr>
        <w:t>: рівень ХС ЛПВЩ (</w:t>
      </w:r>
      <w:r w:rsidRPr="00E45952">
        <w:rPr>
          <w:rFonts w:eastAsia="Calibri"/>
          <w:kern w:val="2"/>
          <w:sz w:val="28"/>
          <w:szCs w:val="28"/>
          <w:lang w:val="uk-UA" w:eastAsia="ar-SA"/>
        </w:rPr>
        <w:t>Х</w:t>
      </w:r>
      <w:r w:rsidRPr="00E45952">
        <w:rPr>
          <w:rFonts w:eastAsia="Calibri"/>
          <w:kern w:val="2"/>
          <w:sz w:val="28"/>
          <w:szCs w:val="28"/>
          <w:vertAlign w:val="subscript"/>
          <w:lang w:val="uk-UA" w:eastAsia="ar-SA"/>
        </w:rPr>
        <w:t>1</w:t>
      </w:r>
      <w:r w:rsidRPr="00E45952">
        <w:rPr>
          <w:rFonts w:eastAsia="Calibri"/>
          <w:kern w:val="2"/>
          <w:sz w:val="28"/>
          <w:szCs w:val="28"/>
          <w:lang w:val="uk-UA" w:eastAsia="ar-SA"/>
        </w:rPr>
        <w:t>)- 1,23 ммоль/л; індекс НОМА-</w:t>
      </w:r>
      <w:r w:rsidRPr="00E45952">
        <w:rPr>
          <w:rFonts w:eastAsia="Calibri"/>
          <w:kern w:val="2"/>
          <w:sz w:val="28"/>
          <w:szCs w:val="28"/>
          <w:lang w:val="en-US" w:eastAsia="ar-SA"/>
        </w:rPr>
        <w:t>IR</w:t>
      </w:r>
      <w:r w:rsidRPr="00E45952">
        <w:rPr>
          <w:rFonts w:eastAsia="Calibri"/>
          <w:kern w:val="2"/>
          <w:sz w:val="28"/>
          <w:szCs w:val="28"/>
          <w:lang w:val="uk-UA" w:eastAsia="ar-SA"/>
        </w:rPr>
        <w:t xml:space="preserve"> (Х</w:t>
      </w:r>
      <w:r w:rsidRPr="00E45952">
        <w:rPr>
          <w:rFonts w:eastAsia="Calibri"/>
          <w:kern w:val="2"/>
          <w:sz w:val="28"/>
          <w:szCs w:val="28"/>
          <w:vertAlign w:val="subscript"/>
          <w:lang w:val="uk-UA" w:eastAsia="ar-SA"/>
        </w:rPr>
        <w:t>2</w:t>
      </w:r>
      <w:r w:rsidRPr="00E45952">
        <w:rPr>
          <w:rFonts w:eastAsia="Calibri"/>
          <w:kern w:val="2"/>
          <w:sz w:val="28"/>
          <w:szCs w:val="28"/>
          <w:lang w:val="uk-UA" w:eastAsia="ar-SA"/>
        </w:rPr>
        <w:t>) - 8,83; рівень глюкози крові натще (Х</w:t>
      </w:r>
      <w:r w:rsidRPr="00E45952">
        <w:rPr>
          <w:rFonts w:eastAsia="Calibri"/>
          <w:kern w:val="2"/>
          <w:sz w:val="28"/>
          <w:szCs w:val="28"/>
          <w:vertAlign w:val="subscript"/>
          <w:lang w:val="uk-UA" w:eastAsia="ar-SA"/>
        </w:rPr>
        <w:t>3</w:t>
      </w:r>
      <w:r w:rsidRPr="00E45952">
        <w:rPr>
          <w:rFonts w:eastAsia="Calibri"/>
          <w:kern w:val="2"/>
          <w:sz w:val="28"/>
          <w:szCs w:val="28"/>
          <w:lang w:val="uk-UA" w:eastAsia="ar-SA"/>
        </w:rPr>
        <w:t>) – 5,73 ммоль/л, кількість ЦДЕК (Х</w:t>
      </w:r>
      <w:r w:rsidRPr="00E45952">
        <w:rPr>
          <w:rFonts w:eastAsia="Calibri"/>
          <w:kern w:val="2"/>
          <w:sz w:val="28"/>
          <w:szCs w:val="28"/>
          <w:vertAlign w:val="subscript"/>
          <w:lang w:val="uk-UA" w:eastAsia="ar-SA"/>
        </w:rPr>
        <w:t>4</w:t>
      </w:r>
      <w:r w:rsidRPr="00E45952">
        <w:rPr>
          <w:rFonts w:eastAsia="Calibri"/>
          <w:kern w:val="2"/>
          <w:sz w:val="28"/>
          <w:szCs w:val="28"/>
          <w:lang w:val="uk-UA" w:eastAsia="ar-SA"/>
        </w:rPr>
        <w:t>) -16</w:t>
      </w:r>
      <w:r w:rsidRPr="00E45952">
        <w:rPr>
          <w:rFonts w:eastAsia="TimesNewRomanPSMT"/>
          <w:sz w:val="28"/>
          <w:szCs w:val="28"/>
          <w:lang w:val="uk-UA" w:eastAsia="en-US"/>
        </w:rPr>
        <w:t xml:space="preserve"> кл./100 мкл</w:t>
      </w:r>
      <w:r w:rsidRPr="00E45952">
        <w:rPr>
          <w:rFonts w:eastAsia="Calibri"/>
          <w:kern w:val="2"/>
          <w:sz w:val="28"/>
          <w:szCs w:val="28"/>
          <w:lang w:val="uk-UA" w:eastAsia="ar-SA"/>
        </w:rPr>
        <w:t xml:space="preserve">, рівень </w:t>
      </w:r>
      <w:r w:rsidRPr="00E45952">
        <w:rPr>
          <w:sz w:val="28"/>
          <w:szCs w:val="28"/>
          <w:lang w:val="uk-UA"/>
        </w:rPr>
        <w:t>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xml:space="preserve"> </w:t>
      </w:r>
      <w:r w:rsidRPr="00E45952">
        <w:rPr>
          <w:rFonts w:eastAsia="Calibri"/>
          <w:kern w:val="2"/>
          <w:sz w:val="28"/>
          <w:szCs w:val="28"/>
          <w:lang w:val="uk-UA" w:eastAsia="ar-SA"/>
        </w:rPr>
        <w:t>(Х</w:t>
      </w:r>
      <w:r w:rsidRPr="00E45952">
        <w:rPr>
          <w:rFonts w:eastAsia="Calibri"/>
          <w:kern w:val="2"/>
          <w:sz w:val="28"/>
          <w:szCs w:val="28"/>
          <w:vertAlign w:val="subscript"/>
          <w:lang w:val="uk-UA" w:eastAsia="ar-SA"/>
        </w:rPr>
        <w:t>5</w:t>
      </w:r>
      <w:r w:rsidRPr="00E45952">
        <w:rPr>
          <w:rFonts w:eastAsia="Calibri"/>
          <w:kern w:val="2"/>
          <w:sz w:val="28"/>
          <w:szCs w:val="28"/>
          <w:lang w:val="uk-UA" w:eastAsia="ar-SA"/>
        </w:rPr>
        <w:t xml:space="preserve">) – 18,17 пг/мл, </w:t>
      </w:r>
      <w:r w:rsidRPr="00E45952">
        <w:rPr>
          <w:sz w:val="28"/>
          <w:szCs w:val="28"/>
          <w:lang w:val="uk-UA"/>
        </w:rPr>
        <w:t>ВДТ</w:t>
      </w:r>
      <w:r w:rsidRPr="00E45952">
        <w:rPr>
          <w:rFonts w:eastAsia="Calibri"/>
          <w:kern w:val="2"/>
          <w:sz w:val="28"/>
          <w:szCs w:val="28"/>
          <w:lang w:val="uk-UA" w:eastAsia="ar-SA"/>
        </w:rPr>
        <w:t>крові (Х</w:t>
      </w:r>
      <w:r w:rsidRPr="00E45952">
        <w:rPr>
          <w:rFonts w:eastAsia="Calibri"/>
          <w:kern w:val="2"/>
          <w:sz w:val="28"/>
          <w:szCs w:val="28"/>
          <w:vertAlign w:val="subscript"/>
          <w:lang w:val="uk-UA" w:eastAsia="ar-SA"/>
        </w:rPr>
        <w:t>6</w:t>
      </w:r>
      <w:r w:rsidRPr="00E45952">
        <w:rPr>
          <w:rFonts w:eastAsia="Calibri"/>
          <w:kern w:val="2"/>
          <w:sz w:val="28"/>
          <w:szCs w:val="28"/>
          <w:lang w:val="uk-UA" w:eastAsia="ar-SA"/>
        </w:rPr>
        <w:t>)- 0,60</w:t>
      </w:r>
      <w:r w:rsidRPr="00E45952">
        <w:rPr>
          <w:rFonts w:eastAsia="Calibri"/>
          <w:sz w:val="28"/>
          <w:szCs w:val="28"/>
          <w:lang w:val="uk-UA"/>
        </w:rPr>
        <w:t>.</w:t>
      </w:r>
    </w:p>
    <w:p w:rsidR="00E3259F" w:rsidRPr="00E45952" w:rsidRDefault="00E3259F" w:rsidP="00E45952">
      <w:pPr>
        <w:spacing w:line="360" w:lineRule="auto"/>
        <w:ind w:firstLine="709"/>
        <w:jc w:val="both"/>
        <w:rPr>
          <w:sz w:val="28"/>
          <w:szCs w:val="28"/>
          <w:lang w:val="uk-UA"/>
        </w:rPr>
      </w:pPr>
      <w:r w:rsidRPr="00E45952">
        <w:rPr>
          <w:sz w:val="28"/>
          <w:szCs w:val="28"/>
          <w:lang w:val="uk-UA"/>
        </w:rPr>
        <w:t xml:space="preserve">Пацієнтці була здійснена індивідуальна кількісна оцінка прогностичних критеріїв та розрахована в автоматичному режимі в </w:t>
      </w:r>
      <w:r w:rsidRPr="00E45952">
        <w:rPr>
          <w:i/>
          <w:sz w:val="28"/>
          <w:szCs w:val="28"/>
        </w:rPr>
        <w:t>Ex</w:t>
      </w:r>
      <w:r w:rsidRPr="00E45952">
        <w:rPr>
          <w:i/>
          <w:sz w:val="28"/>
          <w:szCs w:val="28"/>
          <w:lang w:val="uk-UA"/>
        </w:rPr>
        <w:t>с</w:t>
      </w:r>
      <w:r w:rsidRPr="00E45952">
        <w:rPr>
          <w:i/>
          <w:sz w:val="28"/>
          <w:szCs w:val="28"/>
        </w:rPr>
        <w:t>el</w:t>
      </w:r>
      <w:r w:rsidRPr="00E45952">
        <w:rPr>
          <w:i/>
          <w:sz w:val="28"/>
          <w:szCs w:val="28"/>
          <w:lang w:val="uk-UA"/>
        </w:rPr>
        <w:t xml:space="preserve"> </w:t>
      </w:r>
      <w:r w:rsidRPr="00E45952">
        <w:rPr>
          <w:sz w:val="28"/>
          <w:szCs w:val="28"/>
          <w:lang w:val="uk-UA"/>
        </w:rPr>
        <w:t xml:space="preserve">ймовірність </w:t>
      </w:r>
      <w:r w:rsidRPr="00E45952">
        <w:rPr>
          <w:kern w:val="2"/>
          <w:position w:val="-4"/>
          <w:sz w:val="28"/>
          <w:szCs w:val="28"/>
        </w:rPr>
        <w:object w:dxaOrig="240" w:dyaOrig="420">
          <v:shape id="_x0000_i1057" type="#_x0000_t75" style="width:12.75pt;height:21.75pt" o:ole="">
            <v:imagedata r:id="rId17" o:title=""/>
          </v:shape>
          <o:OLEObject Type="Embed" ProgID="Equation.3" ShapeID="_x0000_i1057" DrawAspect="Content" ObjectID="_1669446841" r:id="rId67"/>
        </w:object>
      </w:r>
      <w:r w:rsidRPr="00E45952">
        <w:rPr>
          <w:sz w:val="28"/>
          <w:szCs w:val="28"/>
          <w:lang w:val="uk-UA"/>
        </w:rPr>
        <w:t>виникнення ССУ для пацієнтів з ГХ та  ЦД 2 типу за розробленою формулою:</w:t>
      </w:r>
    </w:p>
    <w:p w:rsidR="00E3259F" w:rsidRPr="00E45952" w:rsidRDefault="00E3259F" w:rsidP="00E45952">
      <w:pPr>
        <w:autoSpaceDE w:val="0"/>
        <w:autoSpaceDN w:val="0"/>
        <w:adjustRightInd w:val="0"/>
        <w:spacing w:line="360" w:lineRule="auto"/>
        <w:ind w:firstLine="709"/>
        <w:jc w:val="center"/>
        <w:rPr>
          <w:sz w:val="28"/>
          <w:szCs w:val="28"/>
        </w:rPr>
      </w:pPr>
      <w:r w:rsidRPr="00E45952">
        <w:rPr>
          <w:kern w:val="2"/>
          <w:position w:val="-4"/>
          <w:sz w:val="28"/>
          <w:szCs w:val="28"/>
        </w:rPr>
        <w:object w:dxaOrig="240" w:dyaOrig="420">
          <v:shape id="_x0000_i1058" type="#_x0000_t75" style="width:12.75pt;height:21.75pt" o:ole="">
            <v:imagedata r:id="rId17" o:title=""/>
          </v:shape>
          <o:OLEObject Type="Embed" ProgID="Equation.3" ShapeID="_x0000_i1058" DrawAspect="Content" ObjectID="_1669446842" r:id="rId68"/>
        </w:object>
      </w:r>
      <w:r w:rsidRPr="00E45952">
        <w:rPr>
          <w:kern w:val="2"/>
          <w:sz w:val="28"/>
          <w:szCs w:val="28"/>
        </w:rPr>
        <w:t xml:space="preserve">=[1+ </w:t>
      </w:r>
      <w:r w:rsidRPr="00E45952">
        <w:rPr>
          <w:kern w:val="2"/>
          <w:sz w:val="28"/>
          <w:szCs w:val="28"/>
          <w:lang w:val="en-US"/>
        </w:rPr>
        <w:t>exp</w:t>
      </w:r>
      <w:r w:rsidRPr="00E45952">
        <w:rPr>
          <w:kern w:val="2"/>
          <w:sz w:val="28"/>
          <w:szCs w:val="28"/>
        </w:rPr>
        <w:t>(-(</w:t>
      </w:r>
      <w:r w:rsidRPr="00E45952">
        <w:rPr>
          <w:sz w:val="28"/>
          <w:szCs w:val="28"/>
        </w:rPr>
        <w:t>2,156*</w:t>
      </w:r>
      <w:r w:rsidRPr="00E45952">
        <w:rPr>
          <w:kern w:val="2"/>
          <w:sz w:val="28"/>
          <w:szCs w:val="28"/>
        </w:rPr>
        <w:t xml:space="preserve"> </w:t>
      </w:r>
      <w:r w:rsidRPr="00E45952">
        <w:rPr>
          <w:kern w:val="2"/>
          <w:sz w:val="28"/>
          <w:szCs w:val="28"/>
          <w:lang w:val="uk-UA"/>
        </w:rPr>
        <w:t>1,32</w:t>
      </w:r>
      <w:r w:rsidRPr="00E45952">
        <w:rPr>
          <w:kern w:val="2"/>
          <w:sz w:val="28"/>
          <w:szCs w:val="28"/>
          <w:vertAlign w:val="subscript"/>
          <w:lang w:val="uk-UA"/>
        </w:rPr>
        <w:t xml:space="preserve"> </w:t>
      </w:r>
      <w:r w:rsidRPr="00E45952">
        <w:rPr>
          <w:sz w:val="28"/>
          <w:szCs w:val="28"/>
        </w:rPr>
        <w:t>+0,391*</w:t>
      </w:r>
      <w:r w:rsidRPr="00E45952">
        <w:rPr>
          <w:kern w:val="2"/>
          <w:sz w:val="28"/>
          <w:szCs w:val="28"/>
          <w:lang w:val="uk-UA"/>
        </w:rPr>
        <w:t>8,83</w:t>
      </w:r>
      <w:r w:rsidRPr="00E45952">
        <w:rPr>
          <w:kern w:val="2"/>
          <w:sz w:val="28"/>
          <w:szCs w:val="28"/>
          <w:vertAlign w:val="subscript"/>
          <w:lang w:val="uk-UA"/>
        </w:rPr>
        <w:t xml:space="preserve">  </w:t>
      </w:r>
      <w:r w:rsidRPr="00E45952">
        <w:rPr>
          <w:sz w:val="28"/>
          <w:szCs w:val="28"/>
        </w:rPr>
        <w:t>– 1,277*</w:t>
      </w:r>
      <w:r w:rsidRPr="00E45952">
        <w:rPr>
          <w:kern w:val="2"/>
          <w:sz w:val="28"/>
          <w:szCs w:val="28"/>
        </w:rPr>
        <w:t xml:space="preserve"> </w:t>
      </w:r>
      <w:r w:rsidRPr="00E45952">
        <w:rPr>
          <w:kern w:val="2"/>
          <w:sz w:val="28"/>
          <w:szCs w:val="28"/>
          <w:lang w:val="uk-UA"/>
        </w:rPr>
        <w:t>5,73</w:t>
      </w:r>
      <w:r w:rsidRPr="00E45952">
        <w:rPr>
          <w:kern w:val="2"/>
          <w:sz w:val="28"/>
          <w:szCs w:val="28"/>
        </w:rPr>
        <w:t>+0</w:t>
      </w:r>
      <w:r w:rsidRPr="00E45952">
        <w:rPr>
          <w:sz w:val="28"/>
          <w:szCs w:val="28"/>
        </w:rPr>
        <w:t xml:space="preserve">,405* </w:t>
      </w:r>
      <w:r w:rsidRPr="00E45952">
        <w:rPr>
          <w:kern w:val="2"/>
          <w:sz w:val="28"/>
          <w:szCs w:val="28"/>
          <w:lang w:val="uk-UA"/>
        </w:rPr>
        <w:t>16</w:t>
      </w:r>
      <w:r w:rsidRPr="00E45952">
        <w:rPr>
          <w:kern w:val="2"/>
          <w:sz w:val="28"/>
          <w:szCs w:val="28"/>
          <w:vertAlign w:val="subscript"/>
        </w:rPr>
        <w:t xml:space="preserve"> +</w:t>
      </w:r>
      <w:r w:rsidRPr="00E45952">
        <w:rPr>
          <w:kern w:val="2"/>
          <w:sz w:val="28"/>
          <w:szCs w:val="28"/>
        </w:rPr>
        <w:t>0</w:t>
      </w:r>
      <w:r w:rsidRPr="00E45952">
        <w:rPr>
          <w:sz w:val="28"/>
          <w:szCs w:val="28"/>
        </w:rPr>
        <w:t xml:space="preserve">,526* </w:t>
      </w:r>
      <w:r w:rsidRPr="00E45952">
        <w:rPr>
          <w:kern w:val="2"/>
          <w:sz w:val="28"/>
          <w:szCs w:val="28"/>
          <w:lang w:val="uk-UA"/>
        </w:rPr>
        <w:t>18,17</w:t>
      </w:r>
      <w:r w:rsidRPr="00E45952">
        <w:rPr>
          <w:sz w:val="28"/>
          <w:szCs w:val="28"/>
          <w:lang w:val="uk-UA"/>
        </w:rPr>
        <w:t xml:space="preserve"> </w:t>
      </w:r>
      <w:r w:rsidRPr="00E45952">
        <w:rPr>
          <w:sz w:val="28"/>
          <w:szCs w:val="28"/>
        </w:rPr>
        <w:t>–6,240*</w:t>
      </w:r>
      <w:r w:rsidRPr="00E45952">
        <w:rPr>
          <w:kern w:val="2"/>
          <w:sz w:val="28"/>
          <w:szCs w:val="28"/>
          <w:lang w:val="uk-UA"/>
        </w:rPr>
        <w:t>0,60</w:t>
      </w:r>
      <w:r w:rsidRPr="00E45952">
        <w:rPr>
          <w:kern w:val="2"/>
          <w:sz w:val="28"/>
          <w:szCs w:val="28"/>
          <w:vertAlign w:val="subscript"/>
          <w:lang w:val="uk-UA"/>
        </w:rPr>
        <w:t xml:space="preserve"> </w:t>
      </w:r>
      <w:r w:rsidRPr="00E45952">
        <w:rPr>
          <w:sz w:val="28"/>
          <w:szCs w:val="28"/>
        </w:rPr>
        <w:t>–</w:t>
      </w:r>
      <w:r w:rsidRPr="00E45952">
        <w:rPr>
          <w:kern w:val="2"/>
          <w:sz w:val="28"/>
          <w:szCs w:val="28"/>
        </w:rPr>
        <w:t xml:space="preserve"> </w:t>
      </w:r>
      <w:r w:rsidRPr="00E45952">
        <w:rPr>
          <w:sz w:val="28"/>
          <w:szCs w:val="28"/>
        </w:rPr>
        <w:t>7,994)</w:t>
      </w:r>
      <w:r w:rsidRPr="00E45952">
        <w:rPr>
          <w:kern w:val="2"/>
          <w:sz w:val="28"/>
          <w:szCs w:val="28"/>
        </w:rPr>
        <w:t>)]</w:t>
      </w:r>
      <w:r w:rsidRPr="00E45952">
        <w:rPr>
          <w:kern w:val="2"/>
          <w:sz w:val="28"/>
          <w:szCs w:val="28"/>
          <w:vertAlign w:val="superscript"/>
        </w:rPr>
        <w:t>-1</w:t>
      </w:r>
    </w:p>
    <w:p w:rsidR="00E3259F" w:rsidRPr="00E45952" w:rsidRDefault="00E3259F" w:rsidP="00E45952">
      <w:pPr>
        <w:spacing w:line="360" w:lineRule="auto"/>
        <w:ind w:firstLine="709"/>
        <w:jc w:val="both"/>
        <w:rPr>
          <w:sz w:val="28"/>
          <w:szCs w:val="28"/>
          <w:lang w:val="uk-UA"/>
        </w:rPr>
      </w:pPr>
      <w:r w:rsidRPr="00E45952">
        <w:rPr>
          <w:sz w:val="28"/>
          <w:szCs w:val="28"/>
          <w:lang w:val="uk-UA"/>
        </w:rPr>
        <w:t xml:space="preserve">Імовірність виникнення серцево-судинних ускладнень у цієї пацієнтки </w:t>
      </w:r>
      <w:r w:rsidRPr="00E45952">
        <w:rPr>
          <w:rFonts w:eastAsia="Calibri"/>
          <w:sz w:val="28"/>
          <w:szCs w:val="28"/>
          <w:lang w:eastAsia="en-US"/>
        </w:rPr>
        <w:object w:dxaOrig="240" w:dyaOrig="405">
          <v:shape id="_x0000_i1059" type="#_x0000_t75" style="width:12.75pt;height:20.25pt" o:ole="">
            <v:imagedata r:id="rId48" o:title=""/>
          </v:shape>
          <o:OLEObject Type="Embed" ProgID="Equation.3" ShapeID="_x0000_i1059" DrawAspect="Content" ObjectID="_1669446843" r:id="rId69"/>
        </w:object>
      </w:r>
      <w:r w:rsidRPr="00E45952">
        <w:rPr>
          <w:sz w:val="28"/>
          <w:szCs w:val="28"/>
          <w:lang w:val="uk-UA"/>
        </w:rPr>
        <w:t xml:space="preserve"> = 0,964.</w:t>
      </w:r>
    </w:p>
    <w:p w:rsidR="00E3259F" w:rsidRPr="00E45952" w:rsidRDefault="00E3259F" w:rsidP="00E45952">
      <w:pPr>
        <w:overflowPunct w:val="0"/>
        <w:autoSpaceDE w:val="0"/>
        <w:spacing w:line="360" w:lineRule="auto"/>
        <w:ind w:firstLine="709"/>
        <w:jc w:val="both"/>
        <w:textAlignment w:val="baseline"/>
        <w:rPr>
          <w:kern w:val="2"/>
          <w:sz w:val="28"/>
          <w:szCs w:val="28"/>
          <w:lang w:val="uk-UA" w:eastAsia="ar-SA"/>
        </w:rPr>
      </w:pPr>
      <w:r w:rsidRPr="00E45952">
        <w:rPr>
          <w:kern w:val="2"/>
          <w:sz w:val="28"/>
          <w:szCs w:val="28"/>
          <w:lang w:val="uk-UA" w:eastAsia="ar-SA"/>
        </w:rPr>
        <w:t>Висновок: в обстежуваної пацієнтки при наявності поєднаного перебігу ГХ та ЦД 2 типу виявлено високий ризик розвитку ССУ, що підтвердилося протягом періоду спостереження (у пацієнтки у 2017 році була транзиторна ішемічна атака). Рекомендовано: спостереження за пацієнткою з моніторингом та корекцією виявлених порушень досліджувальних показників, корреція лікувальної тактики, що буде сприяти зниженню ризику розвитку ССУ.</w:t>
      </w:r>
    </w:p>
    <w:p w:rsidR="00E3259F" w:rsidRPr="00E45952" w:rsidRDefault="00E3259F" w:rsidP="00E45952">
      <w:pPr>
        <w:tabs>
          <w:tab w:val="left" w:pos="0"/>
        </w:tabs>
        <w:spacing w:line="360" w:lineRule="auto"/>
        <w:ind w:firstLine="709"/>
        <w:jc w:val="both"/>
        <w:rPr>
          <w:sz w:val="28"/>
          <w:szCs w:val="28"/>
          <w:lang w:val="uk-UA"/>
        </w:rPr>
      </w:pPr>
      <w:r w:rsidRPr="00E45952">
        <w:rPr>
          <w:rFonts w:eastAsia="Calibri"/>
          <w:sz w:val="28"/>
          <w:szCs w:val="28"/>
          <w:lang w:val="uk-UA"/>
        </w:rPr>
        <w:t xml:space="preserve">Клінічний випадок 2. </w:t>
      </w:r>
      <w:r w:rsidRPr="00E45952">
        <w:rPr>
          <w:sz w:val="28"/>
          <w:szCs w:val="28"/>
          <w:lang w:val="uk-UA"/>
        </w:rPr>
        <w:t>Хворий А., 50 років, амбулаторна картка,2016 рік, звернувся зі скаргами на періодичний головний біль, переважно в потиличній ділянці, який частіше за все виникає на тлі підвищення АТ, важкість в голові, іноді запаморочення, шум у голові, підвищену втомлюваність, інколи підвищену пітливість.</w:t>
      </w:r>
    </w:p>
    <w:p w:rsidR="00E3259F" w:rsidRPr="00E45952" w:rsidRDefault="00E3259F" w:rsidP="00E45952">
      <w:pPr>
        <w:tabs>
          <w:tab w:val="left" w:pos="360"/>
        </w:tabs>
        <w:spacing w:line="360" w:lineRule="auto"/>
        <w:ind w:firstLine="709"/>
        <w:jc w:val="both"/>
        <w:rPr>
          <w:b/>
          <w:bCs/>
          <w:sz w:val="28"/>
          <w:szCs w:val="28"/>
        </w:rPr>
      </w:pPr>
      <w:r w:rsidRPr="00E45952">
        <w:rPr>
          <w:sz w:val="28"/>
          <w:szCs w:val="28"/>
        </w:rPr>
        <w:t>Пров</w:t>
      </w:r>
      <w:r w:rsidRPr="00E45952">
        <w:rPr>
          <w:sz w:val="28"/>
          <w:szCs w:val="28"/>
          <w:lang w:val="uk-UA"/>
        </w:rPr>
        <w:t xml:space="preserve">едено </w:t>
      </w:r>
      <w:r w:rsidRPr="00E45952">
        <w:rPr>
          <w:sz w:val="28"/>
          <w:szCs w:val="28"/>
        </w:rPr>
        <w:t>загальноприйняті методи обстеження: анамнез захворювання та анамнез життя, об’єктивне обстеження.</w:t>
      </w:r>
    </w:p>
    <w:p w:rsidR="00E3259F" w:rsidRPr="00E45952" w:rsidRDefault="00E3259F" w:rsidP="00E45952">
      <w:pPr>
        <w:spacing w:line="360" w:lineRule="auto"/>
        <w:ind w:firstLine="709"/>
        <w:jc w:val="both"/>
        <w:rPr>
          <w:snapToGrid w:val="0"/>
          <w:sz w:val="28"/>
          <w:szCs w:val="28"/>
          <w:lang w:val="uk-UA"/>
        </w:rPr>
      </w:pPr>
      <w:r w:rsidRPr="00E45952">
        <w:rPr>
          <w:sz w:val="28"/>
          <w:szCs w:val="28"/>
        </w:rPr>
        <w:t>А</w:t>
      </w:r>
      <w:r w:rsidRPr="00E45952">
        <w:rPr>
          <w:bCs/>
          <w:sz w:val="28"/>
          <w:szCs w:val="28"/>
        </w:rPr>
        <w:t>намнез захворювання</w:t>
      </w:r>
      <w:r w:rsidRPr="00E45952">
        <w:rPr>
          <w:b/>
          <w:bCs/>
          <w:sz w:val="28"/>
          <w:szCs w:val="28"/>
        </w:rPr>
        <w:t>:</w:t>
      </w:r>
      <w:r w:rsidRPr="00E45952">
        <w:rPr>
          <w:sz w:val="28"/>
          <w:szCs w:val="28"/>
        </w:rPr>
        <w:t xml:space="preserve"> </w:t>
      </w:r>
      <w:r w:rsidRPr="00E45952">
        <w:rPr>
          <w:snapToGrid w:val="0"/>
          <w:sz w:val="28"/>
          <w:szCs w:val="28"/>
        </w:rPr>
        <w:t>вважає себе хвор</w:t>
      </w:r>
      <w:r w:rsidRPr="00E45952">
        <w:rPr>
          <w:snapToGrid w:val="0"/>
          <w:sz w:val="28"/>
          <w:szCs w:val="28"/>
          <w:lang w:val="uk-UA"/>
        </w:rPr>
        <w:t>им протягом 6 років</w:t>
      </w:r>
      <w:r w:rsidRPr="00E45952">
        <w:rPr>
          <w:snapToGrid w:val="0"/>
          <w:sz w:val="28"/>
          <w:szCs w:val="28"/>
        </w:rPr>
        <w:t xml:space="preserve">, коли вперше зафіксовано підвищення </w:t>
      </w:r>
      <w:r w:rsidRPr="00E45952">
        <w:rPr>
          <w:snapToGrid w:val="0"/>
          <w:sz w:val="28"/>
          <w:szCs w:val="28"/>
          <w:lang w:val="uk-UA"/>
        </w:rPr>
        <w:t>АТ</w:t>
      </w:r>
      <w:r w:rsidRPr="00E45952">
        <w:rPr>
          <w:snapToGrid w:val="0"/>
          <w:sz w:val="28"/>
          <w:szCs w:val="28"/>
        </w:rPr>
        <w:t xml:space="preserve"> та діагностовано Г</w:t>
      </w:r>
      <w:r w:rsidRPr="00E45952">
        <w:rPr>
          <w:snapToGrid w:val="0"/>
          <w:sz w:val="28"/>
          <w:szCs w:val="28"/>
          <w:lang w:val="uk-UA"/>
        </w:rPr>
        <w:t>Х</w:t>
      </w:r>
      <w:r w:rsidRPr="00E45952">
        <w:rPr>
          <w:snapToGrid w:val="0"/>
          <w:sz w:val="28"/>
          <w:szCs w:val="28"/>
        </w:rPr>
        <w:t xml:space="preserve"> ІІ ст. </w:t>
      </w:r>
      <w:r w:rsidRPr="00E45952">
        <w:rPr>
          <w:snapToGrid w:val="0"/>
          <w:sz w:val="28"/>
          <w:szCs w:val="28"/>
          <w:lang w:val="uk-UA"/>
        </w:rPr>
        <w:t>ЦД</w:t>
      </w:r>
      <w:r w:rsidRPr="00E45952">
        <w:rPr>
          <w:snapToGrid w:val="0"/>
          <w:sz w:val="28"/>
          <w:szCs w:val="28"/>
        </w:rPr>
        <w:t xml:space="preserve"> 2 типу було діагностовано </w:t>
      </w:r>
      <w:r w:rsidRPr="00E45952">
        <w:rPr>
          <w:snapToGrid w:val="0"/>
          <w:sz w:val="28"/>
          <w:szCs w:val="28"/>
          <w:lang w:val="uk-UA"/>
        </w:rPr>
        <w:t>2</w:t>
      </w:r>
      <w:r w:rsidRPr="00E45952">
        <w:rPr>
          <w:snapToGrid w:val="0"/>
          <w:sz w:val="28"/>
          <w:szCs w:val="28"/>
        </w:rPr>
        <w:t xml:space="preserve"> роки тому.</w:t>
      </w:r>
      <w:r w:rsidRPr="00E45952">
        <w:rPr>
          <w:snapToGrid w:val="0"/>
          <w:sz w:val="28"/>
          <w:szCs w:val="28"/>
          <w:lang w:val="uk-UA"/>
        </w:rPr>
        <w:t xml:space="preserve"> Сімейний анамнез – без обтяження.</w:t>
      </w:r>
    </w:p>
    <w:p w:rsidR="00E3259F" w:rsidRPr="00E45952" w:rsidRDefault="00E3259F" w:rsidP="00E45952">
      <w:pPr>
        <w:spacing w:line="360" w:lineRule="auto"/>
        <w:ind w:firstLine="709"/>
        <w:jc w:val="both"/>
        <w:rPr>
          <w:sz w:val="28"/>
          <w:szCs w:val="28"/>
          <w:lang w:val="uk-UA"/>
        </w:rPr>
      </w:pPr>
      <w:r w:rsidRPr="00E45952">
        <w:rPr>
          <w:snapToGrid w:val="0"/>
          <w:sz w:val="28"/>
          <w:szCs w:val="28"/>
          <w:lang w:val="uk-UA"/>
        </w:rPr>
        <w:t xml:space="preserve"> </w:t>
      </w:r>
      <w:r w:rsidRPr="00E45952">
        <w:rPr>
          <w:bCs/>
          <w:sz w:val="28"/>
          <w:szCs w:val="28"/>
        </w:rPr>
        <w:t>Об’єктивне обстеження</w:t>
      </w:r>
      <w:r w:rsidRPr="00E45952">
        <w:rPr>
          <w:b/>
          <w:bCs/>
          <w:sz w:val="28"/>
          <w:szCs w:val="28"/>
        </w:rPr>
        <w:t>:</w:t>
      </w:r>
      <w:r w:rsidRPr="00E45952">
        <w:rPr>
          <w:sz w:val="28"/>
          <w:szCs w:val="28"/>
        </w:rPr>
        <w:t xml:space="preserve"> загальний стан відносно задовільний. Шкір</w:t>
      </w:r>
      <w:r w:rsidRPr="00E45952">
        <w:rPr>
          <w:sz w:val="28"/>
          <w:szCs w:val="28"/>
          <w:lang w:val="uk-UA"/>
        </w:rPr>
        <w:t xml:space="preserve">а </w:t>
      </w:r>
      <w:r w:rsidRPr="00E45952">
        <w:rPr>
          <w:sz w:val="28"/>
          <w:szCs w:val="28"/>
        </w:rPr>
        <w:t xml:space="preserve">звичайного кольору, </w:t>
      </w:r>
      <w:r w:rsidRPr="00E45952">
        <w:rPr>
          <w:sz w:val="28"/>
          <w:szCs w:val="28"/>
          <w:lang w:val="uk-UA"/>
        </w:rPr>
        <w:t>чиста</w:t>
      </w:r>
      <w:r w:rsidRPr="00E45952">
        <w:rPr>
          <w:sz w:val="28"/>
          <w:szCs w:val="28"/>
        </w:rPr>
        <w:t xml:space="preserve">. Над легенями везикулярне дихання. Межі відносної серцевої тупості </w:t>
      </w:r>
      <w:r w:rsidRPr="00E45952">
        <w:rPr>
          <w:sz w:val="28"/>
          <w:szCs w:val="28"/>
          <w:lang w:val="uk-UA"/>
        </w:rPr>
        <w:t>не розширені</w:t>
      </w:r>
      <w:r w:rsidRPr="00E45952">
        <w:rPr>
          <w:sz w:val="28"/>
          <w:szCs w:val="28"/>
        </w:rPr>
        <w:t xml:space="preserve">. Серцева діяльність ритмічна, тони приглушені. ЧСС </w:t>
      </w:r>
      <w:r w:rsidRPr="00E45952">
        <w:rPr>
          <w:snapToGrid w:val="0"/>
          <w:sz w:val="28"/>
          <w:szCs w:val="28"/>
        </w:rPr>
        <w:t xml:space="preserve">– </w:t>
      </w:r>
      <w:r w:rsidRPr="00E45952">
        <w:rPr>
          <w:snapToGrid w:val="0"/>
          <w:sz w:val="28"/>
          <w:szCs w:val="28"/>
          <w:lang w:val="uk-UA"/>
        </w:rPr>
        <w:t>66</w:t>
      </w:r>
      <w:r w:rsidRPr="00E45952">
        <w:rPr>
          <w:sz w:val="28"/>
          <w:szCs w:val="28"/>
        </w:rPr>
        <w:t xml:space="preserve"> уд. за хв. АТ </w:t>
      </w:r>
      <w:r w:rsidRPr="00E45952">
        <w:rPr>
          <w:snapToGrid w:val="0"/>
          <w:sz w:val="28"/>
          <w:szCs w:val="28"/>
        </w:rPr>
        <w:t xml:space="preserve">– </w:t>
      </w:r>
      <w:r w:rsidRPr="00E45952">
        <w:rPr>
          <w:sz w:val="28"/>
          <w:szCs w:val="28"/>
        </w:rPr>
        <w:t>1</w:t>
      </w:r>
      <w:r w:rsidRPr="00E45952">
        <w:rPr>
          <w:sz w:val="28"/>
          <w:szCs w:val="28"/>
          <w:lang w:val="uk-UA"/>
        </w:rPr>
        <w:t>45</w:t>
      </w:r>
      <w:r w:rsidRPr="00E45952">
        <w:rPr>
          <w:sz w:val="28"/>
          <w:szCs w:val="28"/>
        </w:rPr>
        <w:t>/</w:t>
      </w:r>
      <w:r w:rsidRPr="00E45952">
        <w:rPr>
          <w:sz w:val="28"/>
          <w:szCs w:val="28"/>
          <w:lang w:val="uk-UA"/>
        </w:rPr>
        <w:t>90</w:t>
      </w:r>
      <w:r w:rsidRPr="00E45952">
        <w:rPr>
          <w:sz w:val="28"/>
          <w:szCs w:val="28"/>
        </w:rPr>
        <w:t xml:space="preserve"> мм. рт. ст. </w:t>
      </w:r>
      <w:r w:rsidRPr="00E45952">
        <w:rPr>
          <w:sz w:val="28"/>
          <w:szCs w:val="28"/>
          <w:lang w:val="uk-UA"/>
        </w:rPr>
        <w:t xml:space="preserve">, ПАТ- 55 мм.рт.ст. </w:t>
      </w:r>
      <w:r w:rsidRPr="00E45952">
        <w:rPr>
          <w:sz w:val="28"/>
          <w:szCs w:val="28"/>
        </w:rPr>
        <w:t xml:space="preserve">При пальпації живіт </w:t>
      </w:r>
      <w:r w:rsidRPr="00E45952">
        <w:rPr>
          <w:sz w:val="28"/>
          <w:szCs w:val="28"/>
          <w:lang w:val="uk-UA"/>
        </w:rPr>
        <w:t xml:space="preserve">не </w:t>
      </w:r>
      <w:r w:rsidRPr="00E45952">
        <w:rPr>
          <w:sz w:val="28"/>
          <w:szCs w:val="28"/>
        </w:rPr>
        <w:t xml:space="preserve">збільшений у розмірах, м'який, безболісний. Печінка  не збільшена в розмірах. Периферійні набряки відсутні. </w:t>
      </w:r>
      <w:r w:rsidRPr="00E45952">
        <w:rPr>
          <w:sz w:val="28"/>
          <w:szCs w:val="28"/>
          <w:lang w:val="uk-UA"/>
        </w:rPr>
        <w:t>Випорожнення</w:t>
      </w:r>
      <w:r w:rsidRPr="00E45952">
        <w:rPr>
          <w:sz w:val="28"/>
          <w:szCs w:val="28"/>
        </w:rPr>
        <w:t xml:space="preserve"> та діурез без відмінностей.</w:t>
      </w:r>
      <w:r w:rsidRPr="00E45952">
        <w:rPr>
          <w:sz w:val="28"/>
          <w:szCs w:val="28"/>
          <w:lang w:val="uk-UA"/>
        </w:rPr>
        <w:t xml:space="preserve"> Маса тіла 80 кг, зріст 184 см;  індекс маси тіла - 23,60 кг/м</w:t>
      </w:r>
      <w:r w:rsidRPr="00E45952">
        <w:rPr>
          <w:sz w:val="28"/>
          <w:szCs w:val="28"/>
          <w:vertAlign w:val="superscript"/>
          <w:lang w:val="uk-UA"/>
        </w:rPr>
        <w:t xml:space="preserve">2 </w:t>
      </w:r>
      <w:r w:rsidRPr="00E45952">
        <w:rPr>
          <w:sz w:val="28"/>
          <w:szCs w:val="28"/>
          <w:lang w:val="uk-UA"/>
        </w:rPr>
        <w:t xml:space="preserve">(норма). </w:t>
      </w:r>
    </w:p>
    <w:p w:rsidR="00E3259F" w:rsidRPr="00E45952" w:rsidRDefault="00E3259F" w:rsidP="00E45952">
      <w:pPr>
        <w:spacing w:line="360" w:lineRule="auto"/>
        <w:ind w:firstLine="709"/>
        <w:jc w:val="both"/>
        <w:rPr>
          <w:sz w:val="28"/>
          <w:szCs w:val="28"/>
          <w:lang w:val="uk-UA"/>
        </w:rPr>
      </w:pPr>
      <w:r w:rsidRPr="00E45952">
        <w:rPr>
          <w:sz w:val="28"/>
          <w:szCs w:val="28"/>
          <w:lang w:val="uk-UA"/>
        </w:rPr>
        <w:t>Хворому  поряд із загальноприйнятим комплексом досліджень проведені додаткові дослідження (кількість ЦДЕК, рівнів 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ВЕФР, ВДТ крові).</w:t>
      </w:r>
    </w:p>
    <w:p w:rsidR="00E3259F" w:rsidRPr="00E45952" w:rsidRDefault="00E3259F" w:rsidP="00E45952">
      <w:pPr>
        <w:spacing w:line="360" w:lineRule="auto"/>
        <w:ind w:firstLine="709"/>
        <w:jc w:val="both"/>
        <w:rPr>
          <w:snapToGrid w:val="0"/>
          <w:sz w:val="28"/>
          <w:szCs w:val="28"/>
          <w:lang w:val="uk-UA"/>
        </w:rPr>
      </w:pPr>
      <w:r w:rsidRPr="00E45952">
        <w:rPr>
          <w:sz w:val="28"/>
          <w:szCs w:val="28"/>
          <w:lang w:val="uk-UA"/>
        </w:rPr>
        <w:t>Результати досліджень: у</w:t>
      </w:r>
      <w:r w:rsidRPr="00E45952">
        <w:rPr>
          <w:snapToGrid w:val="0"/>
          <w:sz w:val="28"/>
          <w:szCs w:val="28"/>
          <w:lang w:val="uk-UA"/>
        </w:rPr>
        <w:t xml:space="preserve"> сироватці крові: загальний холестерин – </w:t>
      </w:r>
      <w:r w:rsidRPr="00E45952">
        <w:rPr>
          <w:sz w:val="28"/>
          <w:szCs w:val="28"/>
          <w:lang w:val="uk-UA"/>
        </w:rPr>
        <w:t xml:space="preserve">3,88 </w:t>
      </w:r>
      <w:r w:rsidRPr="00E45952">
        <w:rPr>
          <w:snapToGrid w:val="0"/>
          <w:sz w:val="28"/>
          <w:szCs w:val="28"/>
          <w:lang w:val="uk-UA"/>
        </w:rPr>
        <w:t xml:space="preserve">ммоль/л, тригліцериди – </w:t>
      </w:r>
      <w:r w:rsidRPr="00E45952">
        <w:rPr>
          <w:sz w:val="28"/>
          <w:szCs w:val="28"/>
          <w:lang w:val="uk-UA"/>
        </w:rPr>
        <w:t xml:space="preserve">1,79 </w:t>
      </w:r>
      <w:r w:rsidRPr="00E45952">
        <w:rPr>
          <w:snapToGrid w:val="0"/>
          <w:sz w:val="28"/>
          <w:szCs w:val="28"/>
          <w:lang w:val="uk-UA"/>
        </w:rPr>
        <w:t>ммоль/л, ХС ЛПНЩ – 0</w:t>
      </w:r>
      <w:r w:rsidRPr="00E45952">
        <w:rPr>
          <w:sz w:val="28"/>
          <w:szCs w:val="28"/>
          <w:lang w:val="uk-UA"/>
        </w:rPr>
        <w:t xml:space="preserve">,98 </w:t>
      </w:r>
      <w:r w:rsidRPr="00E45952">
        <w:rPr>
          <w:snapToGrid w:val="0"/>
          <w:sz w:val="28"/>
          <w:szCs w:val="28"/>
          <w:lang w:val="uk-UA"/>
        </w:rPr>
        <w:t xml:space="preserve">ммоль/л; значення ХС ЛПВЩ – </w:t>
      </w:r>
      <w:r w:rsidRPr="00E45952">
        <w:rPr>
          <w:sz w:val="28"/>
          <w:szCs w:val="28"/>
          <w:lang w:val="uk-UA"/>
        </w:rPr>
        <w:t xml:space="preserve">1,09 </w:t>
      </w:r>
      <w:r w:rsidRPr="00E45952">
        <w:rPr>
          <w:snapToGrid w:val="0"/>
          <w:sz w:val="28"/>
          <w:szCs w:val="28"/>
          <w:lang w:val="uk-UA"/>
        </w:rPr>
        <w:t>ммоль/л, глюкоза – 13,02 ммоль/л, глікований гемоглобін -9,12%, інсулін крові – 15,92</w:t>
      </w:r>
      <w:r w:rsidRPr="00E45952">
        <w:rPr>
          <w:sz w:val="28"/>
          <w:szCs w:val="28"/>
          <w:lang w:val="uk-UA"/>
        </w:rPr>
        <w:t xml:space="preserve"> мкОд/мл</w:t>
      </w:r>
      <w:r w:rsidRPr="00E45952">
        <w:rPr>
          <w:snapToGrid w:val="0"/>
          <w:sz w:val="28"/>
          <w:szCs w:val="28"/>
          <w:lang w:val="uk-UA"/>
        </w:rPr>
        <w:t>, НОМА –</w:t>
      </w:r>
      <w:r w:rsidRPr="00E45952">
        <w:rPr>
          <w:snapToGrid w:val="0"/>
          <w:sz w:val="28"/>
          <w:szCs w:val="28"/>
          <w:lang w:val="en-US"/>
        </w:rPr>
        <w:t>IR</w:t>
      </w:r>
      <w:r w:rsidRPr="00E45952">
        <w:rPr>
          <w:snapToGrid w:val="0"/>
          <w:sz w:val="28"/>
          <w:szCs w:val="28"/>
          <w:lang w:val="uk-UA"/>
        </w:rPr>
        <w:t>=9,21, що свідчить про наявність декомпенсації вуглеводного обміну та вираженої інсулінорезистентності на тлі відсутності порушень ліпідного обміну.</w:t>
      </w:r>
    </w:p>
    <w:p w:rsidR="00E3259F" w:rsidRPr="00E45952" w:rsidRDefault="00E3259F" w:rsidP="00E45952">
      <w:pPr>
        <w:spacing w:line="360" w:lineRule="auto"/>
        <w:ind w:firstLine="709"/>
        <w:jc w:val="both"/>
        <w:rPr>
          <w:sz w:val="28"/>
          <w:szCs w:val="28"/>
          <w:lang w:val="uk-UA"/>
        </w:rPr>
      </w:pPr>
      <w:r w:rsidRPr="00E45952">
        <w:rPr>
          <w:kern w:val="2"/>
          <w:sz w:val="28"/>
          <w:szCs w:val="28"/>
          <w:lang w:val="uk-UA" w:eastAsia="ar-SA"/>
        </w:rPr>
        <w:t xml:space="preserve">Рівень ТТГ становив 1,10 </w:t>
      </w:r>
      <w:r w:rsidRPr="00E45952">
        <w:rPr>
          <w:snapToGrid w:val="0"/>
          <w:sz w:val="28"/>
          <w:szCs w:val="28"/>
          <w:lang w:val="uk-UA"/>
        </w:rPr>
        <w:t>мОд/л</w:t>
      </w:r>
      <w:r w:rsidRPr="00E45952">
        <w:rPr>
          <w:sz w:val="28"/>
          <w:szCs w:val="28"/>
          <w:lang w:val="uk-UA"/>
        </w:rPr>
        <w:t>, Т4 вільний – 14,45 ммоль/л, що свідчить про відсутність порушення функції ЩЗ. Вимірювання ТКІМ=0,09 мм, атеросклеротичних бляшок не було виявлено.</w:t>
      </w:r>
      <w:r w:rsidRPr="00E45952">
        <w:rPr>
          <w:snapToGrid w:val="0"/>
          <w:sz w:val="28"/>
          <w:szCs w:val="28"/>
          <w:lang w:val="uk-UA"/>
        </w:rPr>
        <w:t xml:space="preserve"> При УЗД ЩЗ – залоза не ущільнена, нормальних розмірів, вузлів немає</w:t>
      </w:r>
      <w:r w:rsidRPr="00E45952">
        <w:rPr>
          <w:sz w:val="28"/>
          <w:szCs w:val="28"/>
          <w:lang w:val="uk-UA"/>
        </w:rPr>
        <w:t>.</w:t>
      </w:r>
    </w:p>
    <w:p w:rsidR="00E3259F" w:rsidRPr="00E45952" w:rsidRDefault="00E3259F" w:rsidP="00E45952">
      <w:pPr>
        <w:spacing w:line="360" w:lineRule="auto"/>
        <w:ind w:firstLine="709"/>
        <w:jc w:val="both"/>
        <w:rPr>
          <w:sz w:val="28"/>
          <w:szCs w:val="28"/>
          <w:lang w:val="uk-UA"/>
        </w:rPr>
      </w:pPr>
      <w:r w:rsidRPr="00E45952">
        <w:rPr>
          <w:rFonts w:eastAsia="Calibri"/>
          <w:bCs/>
          <w:sz w:val="28"/>
          <w:szCs w:val="28"/>
          <w:lang w:val="uk-UA"/>
        </w:rPr>
        <w:t xml:space="preserve">Хворому, згідно моделі, додатково  було проведено молекулярно-генетичне дослідження з визначенням </w:t>
      </w:r>
      <w:r w:rsidRPr="00E45952">
        <w:rPr>
          <w:sz w:val="28"/>
          <w:szCs w:val="28"/>
          <w:lang w:val="uk-UA"/>
        </w:rPr>
        <w:t xml:space="preserve">ВДТ </w:t>
      </w:r>
      <w:r w:rsidRPr="00E45952">
        <w:rPr>
          <w:rFonts w:eastAsia="Calibri"/>
          <w:bCs/>
          <w:sz w:val="28"/>
          <w:szCs w:val="28"/>
          <w:lang w:val="uk-UA"/>
        </w:rPr>
        <w:t>крові, яка дорівнює 1,45, що свідчить про коротшу ВДТ порівняно з контрольною групою. К</w:t>
      </w:r>
      <w:r w:rsidRPr="00E45952">
        <w:rPr>
          <w:sz w:val="28"/>
          <w:szCs w:val="28"/>
          <w:lang w:val="uk-UA"/>
        </w:rPr>
        <w:t xml:space="preserve">ількість ЦДЕК становила 8 </w:t>
      </w:r>
      <w:r w:rsidRPr="00E45952">
        <w:rPr>
          <w:rFonts w:eastAsia="TimesNewRomanPSMT"/>
          <w:sz w:val="28"/>
          <w:szCs w:val="28"/>
          <w:lang w:eastAsia="en-US"/>
        </w:rPr>
        <w:t>кл./100 мкл</w:t>
      </w:r>
      <w:r w:rsidRPr="00E45952">
        <w:rPr>
          <w:rFonts w:eastAsia="Calibri"/>
          <w:bCs/>
          <w:sz w:val="28"/>
          <w:szCs w:val="28"/>
          <w:lang w:val="uk-UA"/>
        </w:rPr>
        <w:t>, рівень</w:t>
      </w:r>
      <w:r w:rsidRPr="00E45952">
        <w:rPr>
          <w:rFonts w:eastAsia="Calibri"/>
          <w:kern w:val="2"/>
          <w:sz w:val="28"/>
          <w:szCs w:val="28"/>
          <w:lang w:val="uk-UA"/>
        </w:rPr>
        <w:t xml:space="preserve"> </w:t>
      </w:r>
      <w:r w:rsidRPr="00E45952">
        <w:rPr>
          <w:sz w:val="28"/>
          <w:szCs w:val="28"/>
          <w:lang w:val="uk-UA"/>
        </w:rPr>
        <w:t>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xml:space="preserve"> – 16,44 пг/мл,</w:t>
      </w:r>
      <w:r w:rsidRPr="00E45952">
        <w:rPr>
          <w:rFonts w:eastAsia="Calibri"/>
          <w:kern w:val="2"/>
          <w:sz w:val="28"/>
          <w:szCs w:val="28"/>
          <w:lang w:val="uk-UA"/>
        </w:rPr>
        <w:t xml:space="preserve"> що свідчить про значне підвищення порівняно з контрольним значенням.</w:t>
      </w:r>
      <w:r w:rsidRPr="00E45952">
        <w:rPr>
          <w:sz w:val="28"/>
          <w:szCs w:val="28"/>
          <w:lang w:val="uk-UA"/>
        </w:rPr>
        <w:t xml:space="preserve"> </w:t>
      </w:r>
    </w:p>
    <w:p w:rsidR="00E3259F" w:rsidRPr="00E45952" w:rsidRDefault="00E3259F" w:rsidP="00E45952">
      <w:pPr>
        <w:spacing w:line="360" w:lineRule="auto"/>
        <w:ind w:firstLine="709"/>
        <w:jc w:val="both"/>
        <w:rPr>
          <w:rFonts w:eastAsia="Calibri"/>
          <w:sz w:val="28"/>
          <w:szCs w:val="28"/>
          <w:lang w:val="uk-UA"/>
        </w:rPr>
      </w:pPr>
      <w:r w:rsidRPr="00E45952">
        <w:rPr>
          <w:rFonts w:eastAsia="Calibri"/>
          <w:sz w:val="28"/>
          <w:szCs w:val="28"/>
          <w:lang w:val="uk-UA"/>
        </w:rPr>
        <w:t xml:space="preserve">Таким чином, у хворого </w:t>
      </w:r>
      <w:r w:rsidRPr="00E45952">
        <w:rPr>
          <w:sz w:val="28"/>
          <w:szCs w:val="28"/>
          <w:lang w:val="uk-UA"/>
        </w:rPr>
        <w:t>при обстеженні визначені такі значення прогностичних критеріїв</w:t>
      </w:r>
      <w:r w:rsidRPr="00E45952">
        <w:rPr>
          <w:rFonts w:eastAsia="Calibri"/>
          <w:sz w:val="28"/>
          <w:szCs w:val="28"/>
          <w:lang w:val="uk-UA" w:eastAsia="ar-SA"/>
        </w:rPr>
        <w:t>: рівень ХС ЛПВЩ (</w:t>
      </w:r>
      <w:r w:rsidRPr="00E45952">
        <w:rPr>
          <w:rFonts w:eastAsia="Calibri"/>
          <w:kern w:val="2"/>
          <w:sz w:val="28"/>
          <w:szCs w:val="28"/>
          <w:lang w:val="uk-UA" w:eastAsia="ar-SA"/>
        </w:rPr>
        <w:t>Х</w:t>
      </w:r>
      <w:r w:rsidRPr="00E45952">
        <w:rPr>
          <w:rFonts w:eastAsia="Calibri"/>
          <w:kern w:val="2"/>
          <w:sz w:val="28"/>
          <w:szCs w:val="28"/>
          <w:vertAlign w:val="subscript"/>
          <w:lang w:val="uk-UA" w:eastAsia="ar-SA"/>
        </w:rPr>
        <w:t>1</w:t>
      </w:r>
      <w:r w:rsidRPr="00E45952">
        <w:rPr>
          <w:rFonts w:eastAsia="Calibri"/>
          <w:kern w:val="2"/>
          <w:sz w:val="28"/>
          <w:szCs w:val="28"/>
          <w:lang w:val="uk-UA" w:eastAsia="ar-SA"/>
        </w:rPr>
        <w:t>)- 1,09 ммоль/л; індекс НОМА-</w:t>
      </w:r>
      <w:r w:rsidRPr="00E45952">
        <w:rPr>
          <w:rFonts w:eastAsia="Calibri"/>
          <w:kern w:val="2"/>
          <w:sz w:val="28"/>
          <w:szCs w:val="28"/>
          <w:lang w:val="en-US" w:eastAsia="ar-SA"/>
        </w:rPr>
        <w:t>IR</w:t>
      </w:r>
      <w:r w:rsidRPr="00E45952">
        <w:rPr>
          <w:rFonts w:eastAsia="Calibri"/>
          <w:kern w:val="2"/>
          <w:sz w:val="28"/>
          <w:szCs w:val="28"/>
          <w:lang w:val="uk-UA" w:eastAsia="ar-SA"/>
        </w:rPr>
        <w:t xml:space="preserve"> (Х</w:t>
      </w:r>
      <w:r w:rsidRPr="00E45952">
        <w:rPr>
          <w:rFonts w:eastAsia="Calibri"/>
          <w:kern w:val="2"/>
          <w:sz w:val="28"/>
          <w:szCs w:val="28"/>
          <w:vertAlign w:val="subscript"/>
          <w:lang w:val="uk-UA" w:eastAsia="ar-SA"/>
        </w:rPr>
        <w:t>2</w:t>
      </w:r>
      <w:r w:rsidRPr="00E45952">
        <w:rPr>
          <w:rFonts w:eastAsia="Calibri"/>
          <w:kern w:val="2"/>
          <w:sz w:val="28"/>
          <w:szCs w:val="28"/>
          <w:lang w:val="uk-UA" w:eastAsia="ar-SA"/>
        </w:rPr>
        <w:t>) - 9,21; рівень глюкози крові натще (Х</w:t>
      </w:r>
      <w:r w:rsidRPr="00E45952">
        <w:rPr>
          <w:rFonts w:eastAsia="Calibri"/>
          <w:kern w:val="2"/>
          <w:sz w:val="28"/>
          <w:szCs w:val="28"/>
          <w:vertAlign w:val="subscript"/>
          <w:lang w:val="uk-UA" w:eastAsia="ar-SA"/>
        </w:rPr>
        <w:t>3</w:t>
      </w:r>
      <w:r w:rsidRPr="00E45952">
        <w:rPr>
          <w:rFonts w:eastAsia="Calibri"/>
          <w:kern w:val="2"/>
          <w:sz w:val="28"/>
          <w:szCs w:val="28"/>
          <w:lang w:val="uk-UA" w:eastAsia="ar-SA"/>
        </w:rPr>
        <w:t>) – 13,02 ммоль/л, кількість ЦДЕК (Х</w:t>
      </w:r>
      <w:r w:rsidRPr="00E45952">
        <w:rPr>
          <w:rFonts w:eastAsia="Calibri"/>
          <w:kern w:val="2"/>
          <w:sz w:val="28"/>
          <w:szCs w:val="28"/>
          <w:vertAlign w:val="subscript"/>
          <w:lang w:val="uk-UA" w:eastAsia="ar-SA"/>
        </w:rPr>
        <w:t>4</w:t>
      </w:r>
      <w:r w:rsidRPr="00E45952">
        <w:rPr>
          <w:rFonts w:eastAsia="Calibri"/>
          <w:kern w:val="2"/>
          <w:sz w:val="28"/>
          <w:szCs w:val="28"/>
          <w:lang w:val="uk-UA" w:eastAsia="ar-SA"/>
        </w:rPr>
        <w:t>) -8</w:t>
      </w:r>
      <w:r w:rsidRPr="00E45952">
        <w:rPr>
          <w:rFonts w:eastAsia="TimesNewRomanPSMT"/>
          <w:sz w:val="28"/>
          <w:szCs w:val="28"/>
          <w:lang w:val="uk-UA" w:eastAsia="en-US"/>
        </w:rPr>
        <w:t xml:space="preserve"> кл./100 мкл</w:t>
      </w:r>
      <w:r w:rsidRPr="00E45952">
        <w:rPr>
          <w:rFonts w:eastAsia="Calibri"/>
          <w:kern w:val="2"/>
          <w:sz w:val="28"/>
          <w:szCs w:val="28"/>
          <w:lang w:val="uk-UA" w:eastAsia="ar-SA"/>
        </w:rPr>
        <w:t xml:space="preserve">, рівень </w:t>
      </w:r>
      <w:r w:rsidRPr="00E45952">
        <w:rPr>
          <w:sz w:val="28"/>
          <w:szCs w:val="28"/>
          <w:lang w:val="uk-UA"/>
        </w:rPr>
        <w:t>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xml:space="preserve"> </w:t>
      </w:r>
      <w:r w:rsidRPr="00E45952">
        <w:rPr>
          <w:rFonts w:eastAsia="Calibri"/>
          <w:kern w:val="2"/>
          <w:sz w:val="28"/>
          <w:szCs w:val="28"/>
          <w:lang w:val="uk-UA" w:eastAsia="ar-SA"/>
        </w:rPr>
        <w:t>(Х</w:t>
      </w:r>
      <w:r w:rsidRPr="00E45952">
        <w:rPr>
          <w:rFonts w:eastAsia="Calibri"/>
          <w:kern w:val="2"/>
          <w:sz w:val="28"/>
          <w:szCs w:val="28"/>
          <w:vertAlign w:val="subscript"/>
          <w:lang w:val="uk-UA" w:eastAsia="ar-SA"/>
        </w:rPr>
        <w:t>5</w:t>
      </w:r>
      <w:r w:rsidRPr="00E45952">
        <w:rPr>
          <w:rFonts w:eastAsia="Calibri"/>
          <w:kern w:val="2"/>
          <w:sz w:val="28"/>
          <w:szCs w:val="28"/>
          <w:lang w:val="uk-UA" w:eastAsia="ar-SA"/>
        </w:rPr>
        <w:t xml:space="preserve">) – 16,44 пг/мл, </w:t>
      </w:r>
      <w:r w:rsidRPr="00E45952">
        <w:rPr>
          <w:sz w:val="28"/>
          <w:szCs w:val="28"/>
          <w:lang w:val="uk-UA"/>
        </w:rPr>
        <w:t xml:space="preserve">ВДТ </w:t>
      </w:r>
      <w:r w:rsidRPr="00E45952">
        <w:rPr>
          <w:rFonts w:eastAsia="Calibri"/>
          <w:kern w:val="2"/>
          <w:sz w:val="28"/>
          <w:szCs w:val="28"/>
          <w:lang w:val="uk-UA" w:eastAsia="ar-SA"/>
        </w:rPr>
        <w:t>крові (Х</w:t>
      </w:r>
      <w:r w:rsidRPr="00E45952">
        <w:rPr>
          <w:rFonts w:eastAsia="Calibri"/>
          <w:kern w:val="2"/>
          <w:sz w:val="28"/>
          <w:szCs w:val="28"/>
          <w:vertAlign w:val="subscript"/>
          <w:lang w:val="uk-UA" w:eastAsia="ar-SA"/>
        </w:rPr>
        <w:t>6</w:t>
      </w:r>
      <w:r w:rsidRPr="00E45952">
        <w:rPr>
          <w:rFonts w:eastAsia="Calibri"/>
          <w:kern w:val="2"/>
          <w:sz w:val="28"/>
          <w:szCs w:val="28"/>
          <w:lang w:val="uk-UA" w:eastAsia="ar-SA"/>
        </w:rPr>
        <w:t>)- 1,45</w:t>
      </w:r>
      <w:r w:rsidRPr="00E45952">
        <w:rPr>
          <w:rFonts w:eastAsia="Calibri"/>
          <w:sz w:val="28"/>
          <w:szCs w:val="28"/>
          <w:lang w:val="uk-UA"/>
        </w:rPr>
        <w:t>.</w:t>
      </w:r>
    </w:p>
    <w:p w:rsidR="00E3259F" w:rsidRPr="00E45952" w:rsidRDefault="00E3259F" w:rsidP="00E45952">
      <w:pPr>
        <w:spacing w:line="360" w:lineRule="auto"/>
        <w:ind w:firstLine="709"/>
        <w:jc w:val="both"/>
        <w:rPr>
          <w:sz w:val="28"/>
          <w:szCs w:val="28"/>
          <w:lang w:val="uk-UA"/>
        </w:rPr>
      </w:pPr>
      <w:r w:rsidRPr="00E45952">
        <w:rPr>
          <w:sz w:val="28"/>
          <w:szCs w:val="28"/>
          <w:lang w:val="uk-UA"/>
        </w:rPr>
        <w:t xml:space="preserve">Пацієнту була здійснена індивідуальна кількісна оцінка прогностичних критеріїв та розрахована в автоматичному режимі в </w:t>
      </w:r>
      <w:r w:rsidRPr="00E45952">
        <w:rPr>
          <w:i/>
          <w:sz w:val="28"/>
          <w:szCs w:val="28"/>
        </w:rPr>
        <w:t>Ex</w:t>
      </w:r>
      <w:r w:rsidRPr="00E45952">
        <w:rPr>
          <w:i/>
          <w:sz w:val="28"/>
          <w:szCs w:val="28"/>
          <w:lang w:val="uk-UA"/>
        </w:rPr>
        <w:t>с</w:t>
      </w:r>
      <w:r w:rsidRPr="00E45952">
        <w:rPr>
          <w:i/>
          <w:sz w:val="28"/>
          <w:szCs w:val="28"/>
        </w:rPr>
        <w:t>el</w:t>
      </w:r>
      <w:r w:rsidRPr="00E45952">
        <w:rPr>
          <w:i/>
          <w:sz w:val="28"/>
          <w:szCs w:val="28"/>
          <w:lang w:val="uk-UA"/>
        </w:rPr>
        <w:t xml:space="preserve"> </w:t>
      </w:r>
      <w:r w:rsidRPr="00E45952">
        <w:rPr>
          <w:sz w:val="28"/>
          <w:szCs w:val="28"/>
          <w:lang w:val="uk-UA"/>
        </w:rPr>
        <w:t xml:space="preserve">ймовірність </w:t>
      </w:r>
      <w:r w:rsidRPr="00E45952">
        <w:rPr>
          <w:kern w:val="2"/>
          <w:position w:val="-4"/>
          <w:sz w:val="28"/>
          <w:szCs w:val="28"/>
        </w:rPr>
        <w:object w:dxaOrig="240" w:dyaOrig="420">
          <v:shape id="_x0000_i1060" type="#_x0000_t75" style="width:12.75pt;height:21.75pt" o:ole="">
            <v:imagedata r:id="rId17" o:title=""/>
          </v:shape>
          <o:OLEObject Type="Embed" ProgID="Equation.3" ShapeID="_x0000_i1060" DrawAspect="Content" ObjectID="_1669446844" r:id="rId70"/>
        </w:object>
      </w:r>
      <w:r w:rsidRPr="00E45952">
        <w:rPr>
          <w:sz w:val="28"/>
          <w:szCs w:val="28"/>
          <w:lang w:val="uk-UA"/>
        </w:rPr>
        <w:t>виникнення ССУ для пацієнтів з ГХ та  ЦД 2 тиу за розробленою формулою:</w:t>
      </w:r>
    </w:p>
    <w:p w:rsidR="00E3259F" w:rsidRPr="00E45952" w:rsidRDefault="00E3259F" w:rsidP="00E45952">
      <w:pPr>
        <w:autoSpaceDE w:val="0"/>
        <w:autoSpaceDN w:val="0"/>
        <w:adjustRightInd w:val="0"/>
        <w:spacing w:line="360" w:lineRule="auto"/>
        <w:ind w:firstLine="709"/>
        <w:jc w:val="center"/>
        <w:rPr>
          <w:sz w:val="28"/>
          <w:szCs w:val="28"/>
          <w:lang w:val="uk-UA"/>
        </w:rPr>
      </w:pPr>
      <w:r w:rsidRPr="00E45952">
        <w:rPr>
          <w:kern w:val="2"/>
          <w:position w:val="-4"/>
          <w:sz w:val="28"/>
          <w:szCs w:val="28"/>
        </w:rPr>
        <w:object w:dxaOrig="240" w:dyaOrig="420">
          <v:shape id="_x0000_i1061" type="#_x0000_t75" style="width:12.75pt;height:21.75pt" o:ole="">
            <v:imagedata r:id="rId17" o:title=""/>
          </v:shape>
          <o:OLEObject Type="Embed" ProgID="Equation.3" ShapeID="_x0000_i1061" DrawAspect="Content" ObjectID="_1669446845" r:id="rId71"/>
        </w:object>
      </w:r>
      <w:r w:rsidRPr="00E45952">
        <w:rPr>
          <w:kern w:val="2"/>
          <w:sz w:val="28"/>
          <w:szCs w:val="28"/>
          <w:lang w:val="uk-UA"/>
        </w:rPr>
        <w:t xml:space="preserve">=[1+ </w:t>
      </w:r>
      <w:r w:rsidRPr="00E45952">
        <w:rPr>
          <w:kern w:val="2"/>
          <w:sz w:val="28"/>
          <w:szCs w:val="28"/>
          <w:lang w:val="en-US"/>
        </w:rPr>
        <w:t>exp</w:t>
      </w:r>
      <w:r w:rsidRPr="00E45952">
        <w:rPr>
          <w:kern w:val="2"/>
          <w:sz w:val="28"/>
          <w:szCs w:val="28"/>
          <w:lang w:val="uk-UA"/>
        </w:rPr>
        <w:t>(-(</w:t>
      </w:r>
      <w:r w:rsidRPr="00E45952">
        <w:rPr>
          <w:sz w:val="28"/>
          <w:szCs w:val="28"/>
          <w:lang w:val="uk-UA"/>
        </w:rPr>
        <w:t>2,156*</w:t>
      </w:r>
      <w:r w:rsidRPr="00E45952">
        <w:rPr>
          <w:kern w:val="2"/>
          <w:sz w:val="28"/>
          <w:szCs w:val="28"/>
          <w:lang w:val="uk-UA"/>
        </w:rPr>
        <w:t xml:space="preserve"> 1,09</w:t>
      </w:r>
      <w:r w:rsidRPr="00E45952">
        <w:rPr>
          <w:kern w:val="2"/>
          <w:sz w:val="28"/>
          <w:szCs w:val="28"/>
          <w:vertAlign w:val="subscript"/>
          <w:lang w:val="uk-UA"/>
        </w:rPr>
        <w:t xml:space="preserve"> </w:t>
      </w:r>
      <w:r w:rsidRPr="00E45952">
        <w:rPr>
          <w:sz w:val="28"/>
          <w:szCs w:val="28"/>
          <w:lang w:val="uk-UA"/>
        </w:rPr>
        <w:t>+0,391*</w:t>
      </w:r>
      <w:r w:rsidRPr="00E45952">
        <w:rPr>
          <w:kern w:val="2"/>
          <w:sz w:val="28"/>
          <w:szCs w:val="28"/>
          <w:lang w:val="uk-UA"/>
        </w:rPr>
        <w:t>9,21</w:t>
      </w:r>
      <w:r w:rsidRPr="00E45952">
        <w:rPr>
          <w:kern w:val="2"/>
          <w:sz w:val="28"/>
          <w:szCs w:val="28"/>
          <w:vertAlign w:val="subscript"/>
          <w:lang w:val="uk-UA"/>
        </w:rPr>
        <w:t xml:space="preserve">  </w:t>
      </w:r>
      <w:r w:rsidRPr="00E45952">
        <w:rPr>
          <w:sz w:val="28"/>
          <w:szCs w:val="28"/>
          <w:lang w:val="uk-UA"/>
        </w:rPr>
        <w:t>– 1,277*</w:t>
      </w:r>
      <w:r w:rsidRPr="00E45952">
        <w:rPr>
          <w:kern w:val="2"/>
          <w:sz w:val="28"/>
          <w:szCs w:val="28"/>
          <w:lang w:val="uk-UA"/>
        </w:rPr>
        <w:t xml:space="preserve"> 13,02+0</w:t>
      </w:r>
      <w:r w:rsidRPr="00E45952">
        <w:rPr>
          <w:sz w:val="28"/>
          <w:szCs w:val="28"/>
          <w:lang w:val="uk-UA"/>
        </w:rPr>
        <w:t xml:space="preserve">,405* </w:t>
      </w:r>
      <w:r w:rsidRPr="00E45952">
        <w:rPr>
          <w:kern w:val="2"/>
          <w:sz w:val="28"/>
          <w:szCs w:val="28"/>
          <w:lang w:val="uk-UA"/>
        </w:rPr>
        <w:t>8</w:t>
      </w:r>
      <w:r w:rsidRPr="00E45952">
        <w:rPr>
          <w:kern w:val="2"/>
          <w:sz w:val="28"/>
          <w:szCs w:val="28"/>
          <w:vertAlign w:val="subscript"/>
          <w:lang w:val="uk-UA"/>
        </w:rPr>
        <w:t xml:space="preserve"> +</w:t>
      </w:r>
      <w:r w:rsidRPr="00E45952">
        <w:rPr>
          <w:kern w:val="2"/>
          <w:sz w:val="28"/>
          <w:szCs w:val="28"/>
          <w:lang w:val="uk-UA"/>
        </w:rPr>
        <w:t>0</w:t>
      </w:r>
      <w:r w:rsidRPr="00E45952">
        <w:rPr>
          <w:sz w:val="28"/>
          <w:szCs w:val="28"/>
          <w:lang w:val="uk-UA"/>
        </w:rPr>
        <w:t xml:space="preserve">,526* </w:t>
      </w:r>
      <w:r w:rsidRPr="00E45952">
        <w:rPr>
          <w:kern w:val="2"/>
          <w:sz w:val="28"/>
          <w:szCs w:val="28"/>
          <w:lang w:val="uk-UA"/>
        </w:rPr>
        <w:t>16,44</w:t>
      </w:r>
      <w:r w:rsidRPr="00E45952">
        <w:rPr>
          <w:sz w:val="28"/>
          <w:szCs w:val="28"/>
          <w:lang w:val="uk-UA"/>
        </w:rPr>
        <w:t xml:space="preserve"> –6,240*</w:t>
      </w:r>
      <w:r w:rsidRPr="00E45952">
        <w:rPr>
          <w:kern w:val="2"/>
          <w:sz w:val="28"/>
          <w:szCs w:val="28"/>
          <w:lang w:val="uk-UA"/>
        </w:rPr>
        <w:t>1,45</w:t>
      </w:r>
      <w:r w:rsidRPr="00E45952">
        <w:rPr>
          <w:kern w:val="2"/>
          <w:sz w:val="28"/>
          <w:szCs w:val="28"/>
          <w:vertAlign w:val="subscript"/>
          <w:lang w:val="uk-UA"/>
        </w:rPr>
        <w:t xml:space="preserve"> </w:t>
      </w:r>
      <w:r w:rsidRPr="00E45952">
        <w:rPr>
          <w:sz w:val="28"/>
          <w:szCs w:val="28"/>
          <w:lang w:val="uk-UA"/>
        </w:rPr>
        <w:t>–</w:t>
      </w:r>
      <w:r w:rsidRPr="00E45952">
        <w:rPr>
          <w:kern w:val="2"/>
          <w:sz w:val="28"/>
          <w:szCs w:val="28"/>
          <w:lang w:val="uk-UA"/>
        </w:rPr>
        <w:t xml:space="preserve"> </w:t>
      </w:r>
      <w:r w:rsidRPr="00E45952">
        <w:rPr>
          <w:sz w:val="28"/>
          <w:szCs w:val="28"/>
          <w:lang w:val="uk-UA"/>
        </w:rPr>
        <w:t>7,994)</w:t>
      </w:r>
      <w:r w:rsidRPr="00E45952">
        <w:rPr>
          <w:kern w:val="2"/>
          <w:sz w:val="28"/>
          <w:szCs w:val="28"/>
          <w:lang w:val="uk-UA"/>
        </w:rPr>
        <w:t>)]</w:t>
      </w:r>
      <w:r w:rsidRPr="00E45952">
        <w:rPr>
          <w:kern w:val="2"/>
          <w:sz w:val="28"/>
          <w:szCs w:val="28"/>
          <w:vertAlign w:val="superscript"/>
          <w:lang w:val="uk-UA"/>
        </w:rPr>
        <w:t>-1</w:t>
      </w:r>
    </w:p>
    <w:p w:rsidR="00E3259F" w:rsidRPr="00E45952" w:rsidRDefault="00E3259F" w:rsidP="00E45952">
      <w:pPr>
        <w:spacing w:line="360" w:lineRule="auto"/>
        <w:ind w:firstLine="709"/>
        <w:jc w:val="both"/>
        <w:rPr>
          <w:sz w:val="28"/>
          <w:szCs w:val="28"/>
          <w:lang w:val="uk-UA"/>
        </w:rPr>
      </w:pPr>
      <w:r w:rsidRPr="00E45952">
        <w:rPr>
          <w:sz w:val="28"/>
          <w:szCs w:val="28"/>
          <w:lang w:val="uk-UA"/>
        </w:rPr>
        <w:t xml:space="preserve">Імовірність виникнення ССУ у цього пацієнта </w:t>
      </w:r>
      <w:r w:rsidRPr="00E45952">
        <w:rPr>
          <w:rFonts w:eastAsia="Calibri"/>
          <w:sz w:val="28"/>
          <w:szCs w:val="28"/>
          <w:lang w:eastAsia="en-US"/>
        </w:rPr>
        <w:object w:dxaOrig="240" w:dyaOrig="405">
          <v:shape id="_x0000_i1062" type="#_x0000_t75" style="width:12.75pt;height:20.25pt" o:ole="">
            <v:imagedata r:id="rId48" o:title=""/>
          </v:shape>
          <o:OLEObject Type="Embed" ProgID="Equation.3" ShapeID="_x0000_i1062" DrawAspect="Content" ObjectID="_1669446846" r:id="rId72"/>
        </w:object>
      </w:r>
      <w:r w:rsidRPr="00E45952">
        <w:rPr>
          <w:sz w:val="28"/>
          <w:szCs w:val="28"/>
          <w:lang w:val="uk-UA"/>
        </w:rPr>
        <w:t xml:space="preserve"> = 0,001.</w:t>
      </w:r>
    </w:p>
    <w:p w:rsidR="00E3259F" w:rsidRPr="00E45952" w:rsidRDefault="00E3259F" w:rsidP="00E45952">
      <w:pPr>
        <w:overflowPunct w:val="0"/>
        <w:autoSpaceDE w:val="0"/>
        <w:spacing w:line="360" w:lineRule="auto"/>
        <w:ind w:firstLine="709"/>
        <w:jc w:val="both"/>
        <w:textAlignment w:val="baseline"/>
        <w:rPr>
          <w:kern w:val="2"/>
          <w:sz w:val="28"/>
          <w:szCs w:val="28"/>
          <w:lang w:val="uk-UA" w:eastAsia="ar-SA"/>
        </w:rPr>
      </w:pPr>
      <w:r w:rsidRPr="00E45952">
        <w:rPr>
          <w:kern w:val="2"/>
          <w:sz w:val="28"/>
          <w:szCs w:val="28"/>
          <w:lang w:val="uk-UA" w:eastAsia="ar-SA"/>
        </w:rPr>
        <w:t xml:space="preserve">Висновок: у цього пацієнта з поєднаним перебігом  ГХ та ЦД 2 типу має місце низький ризик розвитку ССУ, що підтвердилося через 1 рік спостереження (відсутність ССУ). </w:t>
      </w:r>
    </w:p>
    <w:p w:rsidR="00E3259F" w:rsidRPr="00E45952" w:rsidRDefault="00E3259F" w:rsidP="00E45952">
      <w:pPr>
        <w:overflowPunct w:val="0"/>
        <w:autoSpaceDE w:val="0"/>
        <w:spacing w:line="360" w:lineRule="auto"/>
        <w:ind w:firstLine="709"/>
        <w:jc w:val="both"/>
        <w:textAlignment w:val="baseline"/>
        <w:rPr>
          <w:kern w:val="2"/>
          <w:sz w:val="28"/>
          <w:szCs w:val="28"/>
          <w:lang w:val="uk-UA" w:eastAsia="ar-SA"/>
        </w:rPr>
      </w:pPr>
      <w:r w:rsidRPr="00E45952">
        <w:rPr>
          <w:kern w:val="2"/>
          <w:sz w:val="28"/>
          <w:szCs w:val="28"/>
          <w:lang w:val="uk-UA" w:eastAsia="ar-SA"/>
        </w:rPr>
        <w:t>Рекомендовано: спостереження за пацієнтом з моніторингом досліджуваних показників, своєчасний контроль за показниками з метою корекції виявлених порушень, що буде сприяти подальшому низькому ризику розвитку ССУ.</w:t>
      </w:r>
    </w:p>
    <w:p w:rsidR="00E3259F" w:rsidRPr="00E45952" w:rsidRDefault="00E3259F" w:rsidP="00E45952">
      <w:pPr>
        <w:widowControl w:val="0"/>
        <w:autoSpaceDE w:val="0"/>
        <w:autoSpaceDN w:val="0"/>
        <w:adjustRightInd w:val="0"/>
        <w:spacing w:line="360" w:lineRule="auto"/>
        <w:ind w:firstLine="709"/>
        <w:jc w:val="both"/>
        <w:rPr>
          <w:bCs/>
          <w:sz w:val="28"/>
          <w:szCs w:val="28"/>
          <w:lang w:val="uk-UA"/>
        </w:rPr>
      </w:pPr>
      <w:r w:rsidRPr="00E45952">
        <w:rPr>
          <w:bCs/>
          <w:sz w:val="28"/>
          <w:szCs w:val="28"/>
          <w:lang w:val="uk-UA"/>
        </w:rPr>
        <w:t xml:space="preserve">Таким чином, параметри </w:t>
      </w:r>
      <w:r w:rsidRPr="00E45952">
        <w:rPr>
          <w:kern w:val="2"/>
          <w:sz w:val="28"/>
          <w:szCs w:val="28"/>
          <w:lang w:val="uk-UA"/>
        </w:rPr>
        <w:t xml:space="preserve"> ХС ЛПВЩ, індекс </w:t>
      </w:r>
      <w:r w:rsidRPr="00E45952">
        <w:rPr>
          <w:kern w:val="2"/>
          <w:sz w:val="28"/>
          <w:szCs w:val="28"/>
          <w:lang w:val="en-US"/>
        </w:rPr>
        <w:t>HOMA</w:t>
      </w:r>
      <w:r w:rsidRPr="00E45952">
        <w:rPr>
          <w:kern w:val="2"/>
          <w:sz w:val="28"/>
          <w:szCs w:val="28"/>
          <w:lang w:val="uk-UA"/>
        </w:rPr>
        <w:t>-</w:t>
      </w:r>
      <w:r w:rsidRPr="00E45952">
        <w:rPr>
          <w:kern w:val="2"/>
          <w:sz w:val="28"/>
          <w:szCs w:val="28"/>
          <w:lang w:val="en-US"/>
        </w:rPr>
        <w:t>IR</w:t>
      </w:r>
      <w:r w:rsidRPr="00E45952">
        <w:rPr>
          <w:kern w:val="2"/>
          <w:sz w:val="28"/>
          <w:szCs w:val="28"/>
          <w:lang w:val="uk-UA"/>
        </w:rPr>
        <w:t xml:space="preserve">, рівень глюкози натще, ЦДЕК, </w:t>
      </w:r>
      <w:r w:rsidRPr="00E45952">
        <w:rPr>
          <w:sz w:val="28"/>
          <w:szCs w:val="28"/>
          <w:lang w:val="uk-UA"/>
        </w:rPr>
        <w:t>8-OH-dG плазми та ВДТ крові</w:t>
      </w:r>
      <w:r w:rsidRPr="00E45952">
        <w:rPr>
          <w:bCs/>
          <w:sz w:val="28"/>
          <w:szCs w:val="28"/>
          <w:lang w:val="uk-UA"/>
        </w:rPr>
        <w:t xml:space="preserve"> можуть </w:t>
      </w:r>
      <w:r w:rsidRPr="00E45952">
        <w:rPr>
          <w:kern w:val="2"/>
          <w:sz w:val="28"/>
          <w:szCs w:val="28"/>
          <w:lang w:val="uk-UA"/>
        </w:rPr>
        <w:t>слугувати факторами, що обумовлюють вірогідність розвитку</w:t>
      </w:r>
      <w:r w:rsidRPr="00E45952">
        <w:rPr>
          <w:bCs/>
          <w:sz w:val="28"/>
          <w:szCs w:val="28"/>
          <w:lang w:val="uk-UA"/>
        </w:rPr>
        <w:t xml:space="preserve"> ССУ у пацієнтів з поєднаним перебігом ГХ та ЦД 2 типу.</w:t>
      </w:r>
    </w:p>
    <w:p w:rsidR="00E3259F" w:rsidRPr="00E45952" w:rsidRDefault="00E3259F" w:rsidP="00E45952">
      <w:pPr>
        <w:spacing w:line="360" w:lineRule="auto"/>
        <w:ind w:firstLine="709"/>
        <w:jc w:val="both"/>
        <w:rPr>
          <w:rFonts w:ascii="Calibri" w:hAnsi="Calibri"/>
          <w:sz w:val="28"/>
          <w:szCs w:val="28"/>
          <w:lang w:val="uk-UA"/>
        </w:rPr>
      </w:pPr>
      <w:r w:rsidRPr="00E45952">
        <w:rPr>
          <w:sz w:val="28"/>
          <w:szCs w:val="28"/>
          <w:lang w:val="uk-UA"/>
        </w:rPr>
        <w:t>Застосування синтезованої логістичної моделі дозволить проводити прогнозування розвитку ускладнень з боку серцево-судинної системи у хворих з поєднаним перебігом ГХ та ЦД 2 типу, що забезпечить сучасну діагностику та призначення лікувально-профілактичних заходів з метою попередження іх  розвитку.</w:t>
      </w:r>
    </w:p>
    <w:p w:rsidR="00E3259F" w:rsidRDefault="00E3259F" w:rsidP="00E3259F">
      <w:pPr>
        <w:rPr>
          <w:rFonts w:asciiTheme="minorHAnsi" w:hAnsiTheme="minorHAnsi"/>
          <w:sz w:val="22"/>
          <w:szCs w:val="22"/>
          <w:lang w:val="uk-UA"/>
        </w:rPr>
      </w:pPr>
    </w:p>
    <w:p w:rsidR="00E3259F" w:rsidRDefault="00E3259F" w:rsidP="00E3259F">
      <w:pPr>
        <w:jc w:val="both"/>
        <w:rPr>
          <w:rFonts w:asciiTheme="minorHAnsi" w:hAnsiTheme="minorHAnsi"/>
          <w:sz w:val="28"/>
          <w:szCs w:val="28"/>
          <w:lang w:val="uk-UA"/>
        </w:rPr>
      </w:pPr>
    </w:p>
    <w:p w:rsidR="00E3259F" w:rsidRDefault="00E3259F" w:rsidP="00E3259F">
      <w:pPr>
        <w:spacing w:line="360" w:lineRule="auto"/>
        <w:rPr>
          <w:sz w:val="28"/>
          <w:szCs w:val="28"/>
          <w:lang w:val="uk-UA"/>
        </w:rPr>
      </w:pPr>
      <w:r>
        <w:rPr>
          <w:sz w:val="28"/>
          <w:szCs w:val="28"/>
          <w:lang w:val="uk-UA"/>
        </w:rPr>
        <w:t>7.2. Модель індивідуалізованого прогнозування розвитку серцево-судинних ускладнень у хворих на гіпертонічну хворобу у поєднанні з цукровим діабетом 2 типу та субклінічним гіпотиреозом.</w:t>
      </w:r>
    </w:p>
    <w:p w:rsidR="00E3259F" w:rsidRDefault="00E3259F" w:rsidP="00E3259F">
      <w:pPr>
        <w:rPr>
          <w:sz w:val="28"/>
          <w:szCs w:val="28"/>
          <w:lang w:val="uk-UA"/>
        </w:rPr>
      </w:pPr>
    </w:p>
    <w:p w:rsidR="00E3259F" w:rsidRPr="00E45952" w:rsidRDefault="00E3259F" w:rsidP="00E45952">
      <w:pPr>
        <w:spacing w:line="360" w:lineRule="auto"/>
        <w:ind w:firstLine="709"/>
        <w:jc w:val="both"/>
        <w:rPr>
          <w:sz w:val="28"/>
          <w:szCs w:val="28"/>
          <w:lang w:val="uk-UA"/>
        </w:rPr>
      </w:pPr>
      <w:r w:rsidRPr="00E45952">
        <w:rPr>
          <w:sz w:val="28"/>
          <w:szCs w:val="28"/>
          <w:lang w:val="uk-UA"/>
        </w:rPr>
        <w:t>В групі  пацієнтів з ГХ, ЦД 2 типу та СГТ</w:t>
      </w:r>
      <w:r w:rsidRPr="00E45952">
        <w:rPr>
          <w:bCs/>
          <w:sz w:val="28"/>
          <w:szCs w:val="28"/>
          <w:lang w:val="uk-UA"/>
        </w:rPr>
        <w:t xml:space="preserve"> протягом періоду спостереження</w:t>
      </w:r>
      <w:r w:rsidRPr="00E45952">
        <w:rPr>
          <w:sz w:val="28"/>
          <w:szCs w:val="28"/>
          <w:lang w:val="uk-UA"/>
        </w:rPr>
        <w:t xml:space="preserve"> було зафіксовано 15 випадків розвитку ССУ, що становило 16,31% щодо хворих цієї групи. Для ранньої діагностики ймовірних ускладнень була створена модель індивідуалізованого прогнозування розвитку ССУ для пацієнтів з ГХ, ЦД 2 типу та СГТ.</w:t>
      </w:r>
    </w:p>
    <w:p w:rsidR="00E3259F" w:rsidRPr="00E45952" w:rsidRDefault="00E3259F" w:rsidP="00E45952">
      <w:pPr>
        <w:spacing w:line="360" w:lineRule="auto"/>
        <w:ind w:firstLine="709"/>
        <w:jc w:val="both"/>
        <w:rPr>
          <w:sz w:val="28"/>
          <w:szCs w:val="28"/>
          <w:lang w:val="uk-UA"/>
        </w:rPr>
      </w:pPr>
      <w:r w:rsidRPr="00E45952">
        <w:rPr>
          <w:sz w:val="28"/>
          <w:szCs w:val="28"/>
          <w:lang w:val="uk-UA"/>
        </w:rPr>
        <w:t>У дослідженні брало участь 93 пацієнта з ГХ в поєднанні з ЦД 2 типу та СГТ. Усі пацієнти були розділені на дві групи в такий спосіб:</w:t>
      </w:r>
    </w:p>
    <w:p w:rsidR="00E3259F" w:rsidRPr="00E45952" w:rsidRDefault="00E3259F" w:rsidP="00E45952">
      <w:pPr>
        <w:spacing w:line="360" w:lineRule="auto"/>
        <w:ind w:firstLine="709"/>
        <w:jc w:val="both"/>
        <w:rPr>
          <w:sz w:val="28"/>
          <w:szCs w:val="28"/>
          <w:lang w:val="uk-UA"/>
        </w:rPr>
      </w:pPr>
      <w:r w:rsidRPr="00E45952">
        <w:rPr>
          <w:sz w:val="28"/>
          <w:szCs w:val="28"/>
          <w:lang w:val="uk-UA"/>
        </w:rPr>
        <w:t>1-а група - 78 пацієнтів без серцево-судинних ускладнень;</w:t>
      </w:r>
    </w:p>
    <w:p w:rsidR="00E3259F" w:rsidRPr="00E45952" w:rsidRDefault="00E3259F" w:rsidP="00E45952">
      <w:pPr>
        <w:spacing w:line="360" w:lineRule="auto"/>
        <w:ind w:firstLine="709"/>
        <w:jc w:val="both"/>
        <w:rPr>
          <w:sz w:val="28"/>
          <w:szCs w:val="28"/>
          <w:lang w:val="uk-UA"/>
        </w:rPr>
      </w:pPr>
      <w:r w:rsidRPr="00E45952">
        <w:rPr>
          <w:sz w:val="28"/>
          <w:szCs w:val="28"/>
          <w:lang w:val="uk-UA"/>
        </w:rPr>
        <w:t>2-я група - 15 пацієнтів із серцево-судинними ускладненнями.</w:t>
      </w:r>
    </w:p>
    <w:p w:rsidR="00E3259F" w:rsidRPr="00E45952" w:rsidRDefault="00E3259F" w:rsidP="00E45952">
      <w:pPr>
        <w:spacing w:line="360" w:lineRule="auto"/>
        <w:ind w:firstLine="709"/>
        <w:jc w:val="both"/>
        <w:rPr>
          <w:sz w:val="28"/>
          <w:szCs w:val="28"/>
          <w:lang w:val="uk-UA"/>
        </w:rPr>
      </w:pPr>
      <w:r w:rsidRPr="00E45952">
        <w:rPr>
          <w:sz w:val="28"/>
          <w:szCs w:val="28"/>
          <w:lang w:val="uk-UA"/>
        </w:rPr>
        <w:t>При визначенні клініко-діагностичних факторів у пацієнтів використовували такі ознаки: дані анамнезу, лабораторних, клінічних, біохімічних інструментальних досліджень.</w:t>
      </w:r>
    </w:p>
    <w:p w:rsidR="00E3259F" w:rsidRPr="00E45952" w:rsidRDefault="00E3259F" w:rsidP="00E45952">
      <w:pPr>
        <w:spacing w:line="360" w:lineRule="auto"/>
        <w:ind w:firstLine="709"/>
        <w:jc w:val="both"/>
        <w:rPr>
          <w:sz w:val="28"/>
          <w:szCs w:val="28"/>
          <w:lang w:val="uk-UA"/>
        </w:rPr>
      </w:pPr>
      <w:r w:rsidRPr="00E45952">
        <w:rPr>
          <w:sz w:val="28"/>
          <w:szCs w:val="28"/>
          <w:lang w:val="uk-UA"/>
        </w:rPr>
        <w:t>Для синтезу математичної моделі прогнозу  ССУ у с пацієнтів з ГХ в поєднанні зі ЦД 2 типу та СГТ застосовувалася бінарна логістична регресія. Для проведення цього аналізу використовували комп'ютерну програму SPSS 19.0.</w:t>
      </w:r>
    </w:p>
    <w:p w:rsidR="00E3259F" w:rsidRPr="00E45952" w:rsidRDefault="00E3259F" w:rsidP="00E45952">
      <w:pPr>
        <w:spacing w:line="360" w:lineRule="auto"/>
        <w:ind w:firstLine="567"/>
        <w:jc w:val="both"/>
        <w:rPr>
          <w:sz w:val="28"/>
          <w:szCs w:val="28"/>
          <w:lang w:val="uk-UA"/>
        </w:rPr>
      </w:pPr>
      <w:r w:rsidRPr="00E45952">
        <w:rPr>
          <w:sz w:val="28"/>
          <w:szCs w:val="28"/>
          <w:lang w:val="uk-UA"/>
        </w:rPr>
        <w:t xml:space="preserve">Імовірність </w:t>
      </w:r>
      <w:r w:rsidRPr="00E45952">
        <w:rPr>
          <w:kern w:val="2"/>
          <w:position w:val="-4"/>
          <w:sz w:val="28"/>
          <w:szCs w:val="28"/>
        </w:rPr>
        <w:object w:dxaOrig="240" w:dyaOrig="420">
          <v:shape id="_x0000_i1063" type="#_x0000_t75" style="width:12.75pt;height:21.75pt" o:ole="">
            <v:imagedata r:id="rId17" o:title=""/>
          </v:shape>
          <o:OLEObject Type="Embed" ProgID="Equation.3" ShapeID="_x0000_i1063" DrawAspect="Content" ObjectID="_1669446847" r:id="rId73"/>
        </w:object>
      </w:r>
      <w:r w:rsidRPr="00E45952">
        <w:rPr>
          <w:sz w:val="28"/>
          <w:szCs w:val="28"/>
          <w:lang w:val="uk-UA"/>
        </w:rPr>
        <w:t xml:space="preserve"> виникнення ССУ у пацієнтів з ГХ, ЦД 2 типу та СГТ визначається за формулою:</w:t>
      </w:r>
    </w:p>
    <w:p w:rsidR="00E3259F" w:rsidRPr="00E45952" w:rsidRDefault="00E3259F" w:rsidP="00E45952">
      <w:pPr>
        <w:autoSpaceDE w:val="0"/>
        <w:autoSpaceDN w:val="0"/>
        <w:adjustRightInd w:val="0"/>
        <w:spacing w:line="360" w:lineRule="auto"/>
        <w:jc w:val="center"/>
        <w:rPr>
          <w:color w:val="000000"/>
          <w:sz w:val="28"/>
          <w:szCs w:val="28"/>
          <w:lang w:val="uk-UA"/>
        </w:rPr>
      </w:pPr>
      <w:r w:rsidRPr="00E45952">
        <w:rPr>
          <w:kern w:val="2"/>
          <w:position w:val="-4"/>
          <w:sz w:val="28"/>
          <w:szCs w:val="28"/>
        </w:rPr>
        <w:object w:dxaOrig="240" w:dyaOrig="420">
          <v:shape id="_x0000_i1064" type="#_x0000_t75" style="width:12.75pt;height:21.75pt" o:ole="">
            <v:imagedata r:id="rId17" o:title=""/>
          </v:shape>
          <o:OLEObject Type="Embed" ProgID="Equation.3" ShapeID="_x0000_i1064" DrawAspect="Content" ObjectID="_1669446848" r:id="rId74"/>
        </w:object>
      </w:r>
      <w:r w:rsidRPr="00E45952">
        <w:rPr>
          <w:kern w:val="2"/>
          <w:sz w:val="28"/>
          <w:szCs w:val="28"/>
          <w:lang w:val="en-US"/>
        </w:rPr>
        <w:t>=[1+ exp(-(</w:t>
      </w:r>
      <w:r w:rsidRPr="00E45952">
        <w:rPr>
          <w:sz w:val="28"/>
          <w:szCs w:val="28"/>
          <w:lang w:val="en-US"/>
        </w:rPr>
        <w:t>-10,826 *</w:t>
      </w:r>
      <w:r w:rsidRPr="00E45952">
        <w:rPr>
          <w:kern w:val="2"/>
          <w:sz w:val="28"/>
          <w:szCs w:val="28"/>
          <w:lang w:val="en-US"/>
        </w:rPr>
        <w:t xml:space="preserve"> X</w:t>
      </w:r>
      <w:r w:rsidRPr="00E45952">
        <w:rPr>
          <w:kern w:val="2"/>
          <w:sz w:val="28"/>
          <w:szCs w:val="28"/>
          <w:vertAlign w:val="subscript"/>
          <w:lang w:val="en-US"/>
        </w:rPr>
        <w:t xml:space="preserve">1 </w:t>
      </w:r>
      <w:r w:rsidRPr="00E45952">
        <w:rPr>
          <w:sz w:val="28"/>
          <w:szCs w:val="28"/>
          <w:lang w:val="en-US"/>
        </w:rPr>
        <w:t>–</w:t>
      </w:r>
      <w:r w:rsidRPr="00E45952">
        <w:rPr>
          <w:kern w:val="2"/>
          <w:sz w:val="28"/>
          <w:szCs w:val="28"/>
          <w:lang w:val="en-US"/>
        </w:rPr>
        <w:t xml:space="preserve"> </w:t>
      </w:r>
      <w:r w:rsidRPr="00E45952">
        <w:rPr>
          <w:sz w:val="28"/>
          <w:szCs w:val="28"/>
          <w:lang w:val="en-US"/>
        </w:rPr>
        <w:t>25,252*</w:t>
      </w:r>
      <w:r w:rsidRPr="00E45952">
        <w:rPr>
          <w:kern w:val="2"/>
          <w:sz w:val="28"/>
          <w:szCs w:val="28"/>
          <w:lang w:val="en-US"/>
        </w:rPr>
        <w:t>X</w:t>
      </w:r>
      <w:r w:rsidRPr="00E45952">
        <w:rPr>
          <w:kern w:val="2"/>
          <w:sz w:val="28"/>
          <w:szCs w:val="28"/>
          <w:vertAlign w:val="subscript"/>
          <w:lang w:val="en-US"/>
        </w:rPr>
        <w:t xml:space="preserve">2 </w:t>
      </w:r>
      <w:r w:rsidRPr="00E45952">
        <w:rPr>
          <w:sz w:val="28"/>
          <w:szCs w:val="28"/>
          <w:lang w:val="en-US"/>
        </w:rPr>
        <w:t>–0,382 *</w:t>
      </w:r>
      <w:r w:rsidRPr="00E45952">
        <w:rPr>
          <w:kern w:val="2"/>
          <w:sz w:val="28"/>
          <w:szCs w:val="28"/>
          <w:lang w:val="en-US"/>
        </w:rPr>
        <w:t xml:space="preserve"> X</w:t>
      </w:r>
      <w:r w:rsidRPr="00E45952">
        <w:rPr>
          <w:kern w:val="2"/>
          <w:sz w:val="28"/>
          <w:szCs w:val="28"/>
          <w:vertAlign w:val="subscript"/>
          <w:lang w:val="en-US"/>
        </w:rPr>
        <w:t>3</w:t>
      </w:r>
      <w:r w:rsidRPr="00E45952">
        <w:rPr>
          <w:kern w:val="2"/>
          <w:sz w:val="28"/>
          <w:szCs w:val="28"/>
          <w:lang w:val="en-US"/>
        </w:rPr>
        <w:t>+0</w:t>
      </w:r>
      <w:r w:rsidRPr="00E45952">
        <w:rPr>
          <w:sz w:val="28"/>
          <w:szCs w:val="28"/>
          <w:lang w:val="en-US"/>
        </w:rPr>
        <w:t>,523*</w:t>
      </w:r>
      <w:r w:rsidRPr="00E45952">
        <w:rPr>
          <w:color w:val="000000"/>
          <w:sz w:val="28"/>
          <w:szCs w:val="28"/>
          <w:lang w:val="en-US"/>
        </w:rPr>
        <w:t xml:space="preserve"> </w:t>
      </w:r>
      <w:r w:rsidRPr="00E45952">
        <w:rPr>
          <w:kern w:val="2"/>
          <w:sz w:val="28"/>
          <w:szCs w:val="28"/>
          <w:lang w:val="en-US"/>
        </w:rPr>
        <w:t>X</w:t>
      </w:r>
      <w:r w:rsidRPr="00E45952">
        <w:rPr>
          <w:kern w:val="2"/>
          <w:sz w:val="28"/>
          <w:szCs w:val="28"/>
          <w:vertAlign w:val="subscript"/>
          <w:lang w:val="en-US"/>
        </w:rPr>
        <w:t xml:space="preserve">4 </w:t>
      </w:r>
      <w:r w:rsidRPr="00E45952">
        <w:rPr>
          <w:sz w:val="28"/>
          <w:szCs w:val="28"/>
          <w:lang w:val="en-US"/>
        </w:rPr>
        <w:t>– 1,438 *</w:t>
      </w:r>
      <w:r w:rsidRPr="00E45952">
        <w:rPr>
          <w:color w:val="000000"/>
          <w:sz w:val="28"/>
          <w:szCs w:val="28"/>
          <w:lang w:val="en-US"/>
        </w:rPr>
        <w:t xml:space="preserve"> </w:t>
      </w:r>
      <w:r w:rsidRPr="00E45952">
        <w:rPr>
          <w:kern w:val="2"/>
          <w:sz w:val="28"/>
          <w:szCs w:val="28"/>
          <w:lang w:val="en-US"/>
        </w:rPr>
        <w:t>X</w:t>
      </w:r>
      <w:r w:rsidRPr="00E45952">
        <w:rPr>
          <w:kern w:val="2"/>
          <w:sz w:val="28"/>
          <w:szCs w:val="28"/>
          <w:vertAlign w:val="subscript"/>
          <w:lang w:val="en-US"/>
        </w:rPr>
        <w:t>5</w:t>
      </w:r>
      <w:r w:rsidRPr="00E45952">
        <w:rPr>
          <w:color w:val="000000"/>
          <w:sz w:val="28"/>
          <w:szCs w:val="28"/>
          <w:lang w:val="en-US"/>
        </w:rPr>
        <w:t xml:space="preserve"> </w:t>
      </w:r>
      <w:r w:rsidRPr="00E45952">
        <w:rPr>
          <w:color w:val="000000"/>
          <w:sz w:val="28"/>
          <w:szCs w:val="28"/>
          <w:lang w:val="uk-UA"/>
        </w:rPr>
        <w:t xml:space="preserve">   </w:t>
      </w:r>
    </w:p>
    <w:p w:rsidR="00E3259F" w:rsidRPr="00E45952" w:rsidRDefault="00E3259F" w:rsidP="00E45952">
      <w:pPr>
        <w:autoSpaceDE w:val="0"/>
        <w:autoSpaceDN w:val="0"/>
        <w:adjustRightInd w:val="0"/>
        <w:spacing w:line="360" w:lineRule="auto"/>
        <w:jc w:val="center"/>
        <w:rPr>
          <w:rFonts w:eastAsia="Calibri"/>
          <w:sz w:val="28"/>
          <w:szCs w:val="28"/>
          <w:lang w:val="uk-UA"/>
        </w:rPr>
      </w:pPr>
      <w:r w:rsidRPr="00E45952">
        <w:rPr>
          <w:color w:val="000000"/>
          <w:sz w:val="28"/>
          <w:szCs w:val="28"/>
          <w:lang w:val="uk-UA"/>
        </w:rPr>
        <w:t xml:space="preserve">                     </w:t>
      </w:r>
      <w:r w:rsidRPr="00E45952">
        <w:rPr>
          <w:color w:val="000000"/>
          <w:sz w:val="28"/>
          <w:szCs w:val="28"/>
          <w:lang w:val="en-US"/>
        </w:rPr>
        <w:t>+</w:t>
      </w:r>
      <w:r w:rsidRPr="00E45952">
        <w:rPr>
          <w:sz w:val="28"/>
          <w:szCs w:val="28"/>
          <w:lang w:val="en-US"/>
        </w:rPr>
        <w:t>2,935 *</w:t>
      </w:r>
      <w:r w:rsidRPr="00E45952">
        <w:rPr>
          <w:kern w:val="2"/>
          <w:sz w:val="28"/>
          <w:szCs w:val="28"/>
          <w:lang w:val="en-US"/>
        </w:rPr>
        <w:t>X</w:t>
      </w:r>
      <w:r w:rsidRPr="00E45952">
        <w:rPr>
          <w:kern w:val="2"/>
          <w:sz w:val="28"/>
          <w:szCs w:val="28"/>
          <w:vertAlign w:val="subscript"/>
          <w:lang w:val="en-US"/>
        </w:rPr>
        <w:t xml:space="preserve">6 </w:t>
      </w:r>
      <w:r w:rsidRPr="00E45952">
        <w:rPr>
          <w:sz w:val="28"/>
          <w:szCs w:val="28"/>
          <w:lang w:val="en-US"/>
        </w:rPr>
        <w:t>+0,016 *</w:t>
      </w:r>
      <w:r w:rsidRPr="00E45952">
        <w:rPr>
          <w:kern w:val="2"/>
          <w:sz w:val="28"/>
          <w:szCs w:val="28"/>
          <w:lang w:val="en-US"/>
        </w:rPr>
        <w:t xml:space="preserve"> X</w:t>
      </w:r>
      <w:r w:rsidRPr="00E45952">
        <w:rPr>
          <w:kern w:val="2"/>
          <w:sz w:val="28"/>
          <w:szCs w:val="28"/>
          <w:vertAlign w:val="subscript"/>
          <w:lang w:val="en-US"/>
        </w:rPr>
        <w:t xml:space="preserve">7 </w:t>
      </w:r>
      <w:r w:rsidRPr="00E45952">
        <w:rPr>
          <w:kern w:val="2"/>
          <w:sz w:val="28"/>
          <w:szCs w:val="28"/>
          <w:lang w:val="en-US"/>
        </w:rPr>
        <w:t xml:space="preserve">+ </w:t>
      </w:r>
      <w:r w:rsidRPr="00E45952">
        <w:rPr>
          <w:sz w:val="28"/>
          <w:szCs w:val="28"/>
          <w:lang w:val="en-US"/>
        </w:rPr>
        <w:t>41,554)</w:t>
      </w:r>
      <w:r w:rsidRPr="00E45952">
        <w:rPr>
          <w:kern w:val="2"/>
          <w:sz w:val="28"/>
          <w:szCs w:val="28"/>
          <w:lang w:val="en-US"/>
        </w:rPr>
        <w:t>)]</w:t>
      </w:r>
      <w:r w:rsidRPr="00E45952">
        <w:rPr>
          <w:kern w:val="2"/>
          <w:sz w:val="28"/>
          <w:szCs w:val="28"/>
          <w:vertAlign w:val="superscript"/>
          <w:lang w:val="en-US"/>
        </w:rPr>
        <w:t>-1</w:t>
      </w:r>
      <w:r w:rsidRPr="00E45952">
        <w:rPr>
          <w:kern w:val="2"/>
          <w:sz w:val="28"/>
          <w:szCs w:val="28"/>
          <w:vertAlign w:val="superscript"/>
          <w:lang w:val="uk-UA"/>
        </w:rPr>
        <w:t xml:space="preserve">   </w:t>
      </w:r>
      <w:r w:rsidRPr="00E45952">
        <w:rPr>
          <w:kern w:val="2"/>
          <w:sz w:val="28"/>
          <w:szCs w:val="28"/>
          <w:lang w:val="uk-UA"/>
        </w:rPr>
        <w:t xml:space="preserve">                                   (7.2)      </w:t>
      </w:r>
    </w:p>
    <w:p w:rsidR="00E3259F" w:rsidRPr="00E45952" w:rsidRDefault="00E3259F" w:rsidP="00E45952">
      <w:pPr>
        <w:spacing w:line="360" w:lineRule="auto"/>
        <w:ind w:firstLine="709"/>
        <w:jc w:val="both"/>
        <w:rPr>
          <w:sz w:val="28"/>
          <w:szCs w:val="28"/>
          <w:lang w:val="uk-UA"/>
        </w:rPr>
      </w:pPr>
      <w:r w:rsidRPr="00E45952">
        <w:rPr>
          <w:kern w:val="2"/>
          <w:sz w:val="28"/>
          <w:szCs w:val="28"/>
        </w:rPr>
        <w:t xml:space="preserve">де </w:t>
      </w:r>
      <w:r w:rsidRPr="00E45952">
        <w:rPr>
          <w:kern w:val="2"/>
          <w:sz w:val="28"/>
          <w:szCs w:val="28"/>
          <w:lang w:val="en-US"/>
        </w:rPr>
        <w:t>X</w:t>
      </w:r>
      <w:r w:rsidRPr="00E45952">
        <w:rPr>
          <w:kern w:val="2"/>
          <w:sz w:val="28"/>
          <w:szCs w:val="28"/>
          <w:vertAlign w:val="subscript"/>
        </w:rPr>
        <w:t xml:space="preserve">1 </w:t>
      </w:r>
      <w:r w:rsidRPr="00E45952">
        <w:rPr>
          <w:kern w:val="2"/>
          <w:sz w:val="28"/>
          <w:szCs w:val="28"/>
        </w:rPr>
        <w:t xml:space="preserve">– </w:t>
      </w:r>
      <w:r w:rsidRPr="00E45952">
        <w:rPr>
          <w:sz w:val="28"/>
          <w:szCs w:val="28"/>
          <w:lang w:val="uk-UA"/>
        </w:rPr>
        <w:t>ВДТ</w:t>
      </w:r>
      <w:r w:rsidRPr="00E45952">
        <w:rPr>
          <w:kern w:val="2"/>
          <w:sz w:val="28"/>
          <w:szCs w:val="28"/>
          <w:lang w:val="uk-UA"/>
        </w:rPr>
        <w:t>крові, ум.од</w:t>
      </w:r>
      <w:r w:rsidRPr="00E45952">
        <w:rPr>
          <w:sz w:val="28"/>
          <w:szCs w:val="28"/>
        </w:rPr>
        <w:t>;</w:t>
      </w:r>
      <w:r w:rsidRPr="00E45952">
        <w:rPr>
          <w:sz w:val="28"/>
          <w:szCs w:val="28"/>
          <w:lang w:val="uk-UA"/>
        </w:rPr>
        <w:t xml:space="preserve"> </w:t>
      </w:r>
    </w:p>
    <w:p w:rsidR="00E3259F" w:rsidRPr="00E45952" w:rsidRDefault="00E3259F" w:rsidP="00E45952">
      <w:pPr>
        <w:spacing w:line="360" w:lineRule="auto"/>
        <w:ind w:firstLine="709"/>
        <w:jc w:val="both"/>
        <w:rPr>
          <w:rFonts w:eastAsiaTheme="minorHAnsi"/>
          <w:sz w:val="28"/>
          <w:szCs w:val="28"/>
        </w:rPr>
      </w:pPr>
      <w:r w:rsidRPr="00E45952">
        <w:rPr>
          <w:kern w:val="2"/>
          <w:sz w:val="28"/>
          <w:szCs w:val="28"/>
          <w:lang w:val="en-US"/>
        </w:rPr>
        <w:t>X</w:t>
      </w:r>
      <w:r w:rsidRPr="00E45952">
        <w:rPr>
          <w:kern w:val="2"/>
          <w:sz w:val="28"/>
          <w:szCs w:val="28"/>
          <w:vertAlign w:val="subscript"/>
        </w:rPr>
        <w:t xml:space="preserve">2  </w:t>
      </w:r>
      <w:r w:rsidRPr="00E45952">
        <w:rPr>
          <w:kern w:val="2"/>
          <w:sz w:val="28"/>
          <w:szCs w:val="28"/>
        </w:rPr>
        <w:t xml:space="preserve">- </w:t>
      </w:r>
      <w:r w:rsidRPr="00E45952">
        <w:rPr>
          <w:kern w:val="2"/>
          <w:sz w:val="28"/>
          <w:szCs w:val="28"/>
          <w:lang w:val="uk-UA"/>
        </w:rPr>
        <w:t xml:space="preserve"> </w:t>
      </w:r>
      <w:r w:rsidRPr="00E45952">
        <w:rPr>
          <w:sz w:val="28"/>
          <w:szCs w:val="28"/>
          <w:lang w:val="uk-UA"/>
        </w:rPr>
        <w:t xml:space="preserve">ВДТ клітин </w:t>
      </w:r>
      <w:r w:rsidRPr="00E45952">
        <w:rPr>
          <w:kern w:val="2"/>
          <w:sz w:val="28"/>
          <w:szCs w:val="28"/>
          <w:lang w:val="uk-UA"/>
        </w:rPr>
        <w:t>букального епітелію, ум.од</w:t>
      </w:r>
      <w:r w:rsidRPr="00E45952">
        <w:rPr>
          <w:sz w:val="28"/>
          <w:szCs w:val="28"/>
        </w:rPr>
        <w:t>;</w:t>
      </w:r>
    </w:p>
    <w:p w:rsidR="00E3259F" w:rsidRPr="00E45952" w:rsidRDefault="00E3259F" w:rsidP="00E45952">
      <w:pPr>
        <w:spacing w:line="360" w:lineRule="auto"/>
        <w:ind w:firstLine="709"/>
        <w:jc w:val="both"/>
        <w:rPr>
          <w:sz w:val="28"/>
          <w:szCs w:val="28"/>
          <w:lang w:val="uk-UA"/>
        </w:rPr>
      </w:pPr>
      <w:r w:rsidRPr="00E45952">
        <w:rPr>
          <w:kern w:val="2"/>
          <w:sz w:val="28"/>
          <w:szCs w:val="28"/>
          <w:lang w:val="en-US"/>
        </w:rPr>
        <w:t>X</w:t>
      </w:r>
      <w:r w:rsidRPr="00E45952">
        <w:rPr>
          <w:kern w:val="2"/>
          <w:sz w:val="28"/>
          <w:szCs w:val="28"/>
          <w:vertAlign w:val="subscript"/>
        </w:rPr>
        <w:t xml:space="preserve">3  </w:t>
      </w:r>
      <w:r w:rsidRPr="00E45952">
        <w:rPr>
          <w:kern w:val="2"/>
          <w:sz w:val="28"/>
          <w:szCs w:val="28"/>
        </w:rPr>
        <w:t xml:space="preserve">- </w:t>
      </w:r>
      <w:r w:rsidRPr="00E45952">
        <w:rPr>
          <w:kern w:val="2"/>
          <w:sz w:val="28"/>
          <w:szCs w:val="28"/>
          <w:lang w:val="uk-UA"/>
        </w:rPr>
        <w:t>рівень САТ</w:t>
      </w:r>
      <w:r w:rsidRPr="00E45952">
        <w:rPr>
          <w:sz w:val="28"/>
          <w:szCs w:val="28"/>
        </w:rPr>
        <w:t>;</w:t>
      </w:r>
      <w:r w:rsidRPr="00E45952">
        <w:rPr>
          <w:sz w:val="28"/>
          <w:szCs w:val="28"/>
          <w:lang w:val="uk-UA"/>
        </w:rPr>
        <w:t xml:space="preserve"> </w:t>
      </w:r>
    </w:p>
    <w:p w:rsidR="00E3259F" w:rsidRPr="00E45952" w:rsidRDefault="00E3259F" w:rsidP="00E45952">
      <w:pPr>
        <w:spacing w:line="360" w:lineRule="auto"/>
        <w:ind w:firstLine="709"/>
        <w:jc w:val="both"/>
        <w:rPr>
          <w:kern w:val="2"/>
          <w:sz w:val="28"/>
          <w:szCs w:val="28"/>
          <w:lang w:val="uk-UA"/>
        </w:rPr>
      </w:pPr>
      <w:r w:rsidRPr="00E45952">
        <w:rPr>
          <w:kern w:val="2"/>
          <w:sz w:val="28"/>
          <w:szCs w:val="28"/>
          <w:lang w:val="en-US"/>
        </w:rPr>
        <w:t>X</w:t>
      </w:r>
      <w:r w:rsidRPr="00E45952">
        <w:rPr>
          <w:kern w:val="2"/>
          <w:sz w:val="28"/>
          <w:szCs w:val="28"/>
          <w:vertAlign w:val="subscript"/>
        </w:rPr>
        <w:t xml:space="preserve">4 </w:t>
      </w:r>
      <w:r w:rsidRPr="00E45952">
        <w:rPr>
          <w:kern w:val="2"/>
          <w:sz w:val="28"/>
          <w:szCs w:val="28"/>
        </w:rPr>
        <w:t xml:space="preserve">– </w:t>
      </w:r>
      <w:r w:rsidRPr="00E45952">
        <w:rPr>
          <w:kern w:val="2"/>
          <w:sz w:val="28"/>
          <w:szCs w:val="28"/>
          <w:lang w:val="uk-UA"/>
        </w:rPr>
        <w:t>рівень ПАТ</w:t>
      </w:r>
      <w:r w:rsidRPr="00E45952">
        <w:rPr>
          <w:sz w:val="28"/>
          <w:szCs w:val="28"/>
        </w:rPr>
        <w:t>;</w:t>
      </w:r>
      <w:r w:rsidRPr="00E45952">
        <w:rPr>
          <w:sz w:val="28"/>
          <w:szCs w:val="28"/>
          <w:lang w:val="uk-UA"/>
        </w:rPr>
        <w:t xml:space="preserve"> </w:t>
      </w:r>
      <w:r w:rsidRPr="00E45952">
        <w:rPr>
          <w:kern w:val="2"/>
          <w:sz w:val="28"/>
          <w:szCs w:val="28"/>
          <w:lang w:val="uk-UA"/>
        </w:rPr>
        <w:t xml:space="preserve"> </w:t>
      </w:r>
    </w:p>
    <w:p w:rsidR="00E3259F" w:rsidRPr="00E45952" w:rsidRDefault="00E3259F" w:rsidP="00E45952">
      <w:pPr>
        <w:spacing w:line="360" w:lineRule="auto"/>
        <w:ind w:firstLine="709"/>
        <w:jc w:val="both"/>
        <w:rPr>
          <w:color w:val="000000"/>
          <w:sz w:val="28"/>
          <w:szCs w:val="28"/>
          <w:lang w:val="uk-UA"/>
        </w:rPr>
      </w:pPr>
      <w:r w:rsidRPr="00E45952">
        <w:rPr>
          <w:kern w:val="2"/>
          <w:sz w:val="28"/>
          <w:szCs w:val="28"/>
          <w:lang w:val="en-US"/>
        </w:rPr>
        <w:t>X</w:t>
      </w:r>
      <w:r w:rsidRPr="00E45952">
        <w:rPr>
          <w:kern w:val="2"/>
          <w:sz w:val="28"/>
          <w:szCs w:val="28"/>
          <w:vertAlign w:val="subscript"/>
          <w:lang w:val="uk-UA"/>
        </w:rPr>
        <w:t xml:space="preserve">5 </w:t>
      </w:r>
      <w:r w:rsidRPr="00E45952">
        <w:rPr>
          <w:kern w:val="2"/>
          <w:sz w:val="28"/>
          <w:szCs w:val="28"/>
          <w:lang w:val="uk-UA"/>
        </w:rPr>
        <w:t xml:space="preserve">– рівень </w:t>
      </w:r>
      <w:r w:rsidRPr="00E45952">
        <w:rPr>
          <w:sz w:val="28"/>
          <w:szCs w:val="28"/>
          <w:lang w:val="uk-UA"/>
        </w:rPr>
        <w:t>8-OH-dG плазми, пкг/мл</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sz w:val="28"/>
          <w:szCs w:val="28"/>
          <w:lang w:val="uk-UA"/>
        </w:rPr>
      </w:pPr>
      <w:r w:rsidRPr="00E45952">
        <w:rPr>
          <w:kern w:val="2"/>
          <w:sz w:val="28"/>
          <w:szCs w:val="28"/>
          <w:lang w:val="en-US"/>
        </w:rPr>
        <w:t>X</w:t>
      </w:r>
      <w:r w:rsidRPr="00E45952">
        <w:rPr>
          <w:kern w:val="2"/>
          <w:sz w:val="28"/>
          <w:szCs w:val="28"/>
          <w:vertAlign w:val="subscript"/>
        </w:rPr>
        <w:t xml:space="preserve">6 </w:t>
      </w:r>
      <w:r w:rsidRPr="00E45952">
        <w:rPr>
          <w:kern w:val="2"/>
          <w:sz w:val="28"/>
          <w:szCs w:val="28"/>
        </w:rPr>
        <w:t xml:space="preserve">– </w:t>
      </w:r>
      <w:r w:rsidRPr="00E45952">
        <w:rPr>
          <w:kern w:val="2"/>
          <w:sz w:val="28"/>
          <w:szCs w:val="28"/>
          <w:lang w:val="uk-UA"/>
        </w:rPr>
        <w:t xml:space="preserve"> рівень ТТГ, мкМО/мл</w:t>
      </w:r>
      <w:r w:rsidRPr="00E45952">
        <w:rPr>
          <w:sz w:val="28"/>
          <w:szCs w:val="28"/>
        </w:rPr>
        <w:t>;</w:t>
      </w:r>
      <w:r w:rsidRPr="00E45952">
        <w:rPr>
          <w:sz w:val="28"/>
          <w:szCs w:val="28"/>
          <w:lang w:val="uk-UA"/>
        </w:rPr>
        <w:t xml:space="preserve"> </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sz w:val="28"/>
          <w:szCs w:val="28"/>
        </w:rPr>
      </w:pPr>
      <w:r w:rsidRPr="00E45952">
        <w:rPr>
          <w:kern w:val="2"/>
          <w:sz w:val="28"/>
          <w:szCs w:val="28"/>
          <w:lang w:val="en-US"/>
        </w:rPr>
        <w:t>X</w:t>
      </w:r>
      <w:r w:rsidRPr="00E45952">
        <w:rPr>
          <w:kern w:val="2"/>
          <w:sz w:val="28"/>
          <w:szCs w:val="28"/>
          <w:vertAlign w:val="subscript"/>
        </w:rPr>
        <w:t>7</w:t>
      </w:r>
      <w:r w:rsidRPr="00E45952">
        <w:rPr>
          <w:sz w:val="28"/>
          <w:szCs w:val="28"/>
        </w:rPr>
        <w:t xml:space="preserve"> </w:t>
      </w:r>
      <w:r w:rsidRPr="00E45952">
        <w:rPr>
          <w:kern w:val="2"/>
          <w:sz w:val="28"/>
          <w:szCs w:val="28"/>
        </w:rPr>
        <w:t xml:space="preserve">– </w:t>
      </w:r>
      <w:r w:rsidRPr="00E45952">
        <w:rPr>
          <w:kern w:val="2"/>
          <w:sz w:val="28"/>
          <w:szCs w:val="28"/>
          <w:lang w:val="uk-UA"/>
        </w:rPr>
        <w:t>рівень ВЕФР, пкг/мл</w:t>
      </w:r>
      <w:r w:rsidRPr="00E45952">
        <w:rPr>
          <w:sz w:val="28"/>
          <w:szCs w:val="28"/>
        </w:rPr>
        <w:t>.</w:t>
      </w:r>
    </w:p>
    <w:p w:rsidR="00E3259F" w:rsidRPr="00E45952" w:rsidRDefault="00E3259F" w:rsidP="00E45952">
      <w:pPr>
        <w:spacing w:line="360" w:lineRule="auto"/>
        <w:ind w:firstLine="567"/>
        <w:jc w:val="both"/>
        <w:rPr>
          <w:sz w:val="28"/>
          <w:szCs w:val="28"/>
          <w:lang w:val="uk-UA"/>
        </w:rPr>
      </w:pPr>
      <w:r w:rsidRPr="00E45952">
        <w:rPr>
          <w:sz w:val="28"/>
          <w:szCs w:val="28"/>
          <w:lang w:val="uk-UA"/>
        </w:rPr>
        <w:t xml:space="preserve">Значення </w:t>
      </w:r>
      <w:r w:rsidRPr="00E45952">
        <w:rPr>
          <w:kern w:val="2"/>
          <w:position w:val="-4"/>
          <w:sz w:val="28"/>
          <w:szCs w:val="28"/>
        </w:rPr>
        <w:object w:dxaOrig="240" w:dyaOrig="420">
          <v:shape id="_x0000_i1065" type="#_x0000_t75" style="width:12.75pt;height:21.75pt" o:ole="">
            <v:imagedata r:id="rId17" o:title=""/>
          </v:shape>
          <o:OLEObject Type="Embed" ProgID="Equation.3" ShapeID="_x0000_i1065" DrawAspect="Content" ObjectID="_1669446849" r:id="rId75"/>
        </w:object>
      </w:r>
      <w:r w:rsidRPr="00E45952">
        <w:rPr>
          <w:kern w:val="2"/>
          <w:position w:val="-4"/>
          <w:sz w:val="28"/>
          <w:szCs w:val="28"/>
          <w:lang w:val="uk-UA"/>
        </w:rPr>
        <w:t xml:space="preserve"> </w:t>
      </w:r>
      <w:r w:rsidRPr="00E45952">
        <w:rPr>
          <w:sz w:val="28"/>
          <w:szCs w:val="28"/>
          <w:lang w:val="uk-UA"/>
        </w:rPr>
        <w:t>лежить в межах від 0 до 1. Чим ближче до 1, тим вище ймовірність розвитку ССУ. Коли значення знаходиться в діапазоні від 0 до 0,5, із цього можна зробити висновок, що в пацієнта нижча ймовірність розвитку серцево-судинних ускладнень.</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kern w:val="2"/>
          <w:sz w:val="28"/>
          <w:szCs w:val="28"/>
          <w:lang w:val="uk-UA"/>
        </w:rPr>
      </w:pPr>
      <w:r w:rsidRPr="00E45952">
        <w:rPr>
          <w:kern w:val="2"/>
          <w:sz w:val="28"/>
          <w:szCs w:val="28"/>
          <w:lang w:val="uk-UA"/>
        </w:rPr>
        <w:t xml:space="preserve">Коефіцієнти підібраної моделі бінарної логістичної регресії представлені в табл. 7.5. Перевірка значущості підібраних коефіцієнтів </w:t>
      </w:r>
      <w:r w:rsidRPr="00E45952">
        <w:rPr>
          <w:kern w:val="2"/>
          <w:position w:val="-10"/>
          <w:sz w:val="28"/>
          <w:szCs w:val="28"/>
        </w:rPr>
        <w:object w:dxaOrig="255" w:dyaOrig="345">
          <v:shape id="_x0000_i1066" type="#_x0000_t75" style="width:12.75pt;height:18pt" o:ole="">
            <v:imagedata r:id="rId21" o:title=""/>
          </v:shape>
          <o:OLEObject Type="Embed" ProgID="Equation.3" ShapeID="_x0000_i1066" DrawAspect="Content" ObjectID="_1669446850" r:id="rId76"/>
        </w:object>
      </w:r>
      <w:r w:rsidRPr="00E45952">
        <w:rPr>
          <w:kern w:val="2"/>
          <w:sz w:val="28"/>
          <w:szCs w:val="28"/>
          <w:lang w:val="uk-UA"/>
        </w:rPr>
        <w:t xml:space="preserve"> проводилася за допомогою статистики Вальда. Усі змінні, згідно статистики Вальда, значимі (p &lt;0,05) і підібрані правильно.</w:t>
      </w:r>
    </w:p>
    <w:p w:rsidR="00E3259F" w:rsidRPr="00E45952" w:rsidRDefault="00E3259F" w:rsidP="00E45952">
      <w:pPr>
        <w:spacing w:line="360" w:lineRule="auto"/>
        <w:ind w:firstLine="567"/>
        <w:jc w:val="right"/>
        <w:rPr>
          <w:rFonts w:eastAsiaTheme="minorHAnsi"/>
          <w:sz w:val="28"/>
          <w:szCs w:val="28"/>
          <w:lang w:val="uk-UA" w:eastAsia="en-US"/>
        </w:rPr>
      </w:pPr>
      <w:r w:rsidRPr="00E45952">
        <w:rPr>
          <w:bCs/>
          <w:sz w:val="28"/>
          <w:szCs w:val="28"/>
          <w:lang w:val="uk-UA"/>
        </w:rPr>
        <w:t>Таблиця 7.5</w:t>
      </w:r>
      <w:r w:rsidRPr="00E45952">
        <w:rPr>
          <w:sz w:val="28"/>
          <w:szCs w:val="28"/>
          <w:lang w:val="uk-UA"/>
        </w:rPr>
        <w:t xml:space="preserve"> </w:t>
      </w:r>
    </w:p>
    <w:p w:rsidR="00E3259F" w:rsidRPr="00E45952" w:rsidRDefault="00E3259F" w:rsidP="00E45952">
      <w:pPr>
        <w:suppressAutoHyphens/>
        <w:overflowPunct w:val="0"/>
        <w:autoSpaceDE w:val="0"/>
        <w:autoSpaceDN w:val="0"/>
        <w:adjustRightInd w:val="0"/>
        <w:spacing w:line="360" w:lineRule="auto"/>
        <w:ind w:firstLine="709"/>
        <w:jc w:val="center"/>
        <w:textAlignment w:val="baseline"/>
        <w:rPr>
          <w:kern w:val="2"/>
          <w:sz w:val="28"/>
          <w:szCs w:val="28"/>
          <w:lang w:val="uk-UA"/>
        </w:rPr>
      </w:pPr>
      <w:r w:rsidRPr="00E45952">
        <w:rPr>
          <w:kern w:val="2"/>
          <w:sz w:val="28"/>
          <w:szCs w:val="28"/>
          <w:lang w:val="uk-UA"/>
        </w:rPr>
        <w:t>Коефіцієнти моделі бінарної логістичної регресії, створеної для прогнозування серцево-судинних ускладнень у пацієнтів з ГХ, ЦД 2 типу та СГТ</w:t>
      </w:r>
    </w:p>
    <w:tbl>
      <w:tblPr>
        <w:tblW w:w="49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433"/>
        <w:gridCol w:w="2132"/>
        <w:gridCol w:w="2182"/>
        <w:gridCol w:w="2130"/>
        <w:gridCol w:w="1465"/>
      </w:tblGrid>
      <w:tr w:rsidR="00E3259F" w:rsidRPr="00E45952" w:rsidTr="00E3259F">
        <w:trPr>
          <w:cantSplit/>
          <w:trHeight w:val="690"/>
          <w:tblHeader/>
        </w:trPr>
        <w:tc>
          <w:tcPr>
            <w:tcW w:w="767"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t>Показ</w:t>
            </w:r>
            <w:r w:rsidRPr="00E45952">
              <w:rPr>
                <w:kern w:val="2"/>
                <w:sz w:val="28"/>
                <w:szCs w:val="28"/>
                <w:lang w:val="uk-UA" w:eastAsia="en-US"/>
              </w:rPr>
              <w:t>никі</w:t>
            </w:r>
          </w:p>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t>Х</w:t>
            </w:r>
            <w:r w:rsidRPr="00E45952">
              <w:rPr>
                <w:kern w:val="2"/>
                <w:sz w:val="28"/>
                <w:szCs w:val="28"/>
                <w:vertAlign w:val="subscript"/>
                <w:lang w:val="en-US" w:eastAsia="en-US"/>
              </w:rPr>
              <w:t>i</w:t>
            </w:r>
          </w:p>
        </w:tc>
        <w:tc>
          <w:tcPr>
            <w:tcW w:w="1141"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Ко</w:t>
            </w:r>
            <w:r w:rsidRPr="00E45952">
              <w:rPr>
                <w:sz w:val="28"/>
                <w:szCs w:val="28"/>
                <w:lang w:val="uk-UA" w:eastAsia="en-US"/>
              </w:rPr>
              <w:t>ефіцієнти</w:t>
            </w:r>
          </w:p>
        </w:tc>
        <w:tc>
          <w:tcPr>
            <w:tcW w:w="1168"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Стандартн</w:t>
            </w:r>
            <w:r w:rsidRPr="00E45952">
              <w:rPr>
                <w:sz w:val="28"/>
                <w:szCs w:val="28"/>
                <w:lang w:val="uk-UA" w:eastAsia="en-US"/>
              </w:rPr>
              <w:t>і помилки</w:t>
            </w:r>
          </w:p>
        </w:tc>
        <w:tc>
          <w:tcPr>
            <w:tcW w:w="1140"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rFonts w:eastAsia="Calibri"/>
                <w:sz w:val="28"/>
                <w:szCs w:val="28"/>
                <w:lang w:eastAsia="en-US"/>
              </w:rPr>
            </w:pPr>
            <w:r w:rsidRPr="00E45952">
              <w:rPr>
                <w:sz w:val="28"/>
                <w:szCs w:val="28"/>
                <w:lang w:eastAsia="en-US"/>
              </w:rPr>
              <w:t>Критер</w:t>
            </w:r>
            <w:r w:rsidRPr="00E45952">
              <w:rPr>
                <w:sz w:val="28"/>
                <w:szCs w:val="28"/>
                <w:lang w:val="uk-UA" w:eastAsia="en-US"/>
              </w:rPr>
              <w:t>і</w:t>
            </w:r>
            <w:r w:rsidRPr="00E45952">
              <w:rPr>
                <w:sz w:val="28"/>
                <w:szCs w:val="28"/>
                <w:lang w:eastAsia="en-US"/>
              </w:rPr>
              <w:t>й</w:t>
            </w:r>
          </w:p>
          <w:p w:rsidR="00E3259F" w:rsidRPr="00E45952" w:rsidRDefault="00E3259F" w:rsidP="00E45952">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Вальда</w:t>
            </w:r>
          </w:p>
        </w:tc>
        <w:tc>
          <w:tcPr>
            <w:tcW w:w="784"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rFonts w:eastAsia="Calibri"/>
                <w:sz w:val="28"/>
                <w:szCs w:val="28"/>
                <w:lang w:val="uk-UA" w:eastAsia="en-US"/>
              </w:rPr>
            </w:pPr>
            <w:r w:rsidRPr="00E45952">
              <w:rPr>
                <w:sz w:val="28"/>
                <w:szCs w:val="28"/>
                <w:lang w:eastAsia="en-US"/>
              </w:rPr>
              <w:t>Значим</w:t>
            </w:r>
            <w:r w:rsidRPr="00E45952">
              <w:rPr>
                <w:sz w:val="28"/>
                <w:szCs w:val="28"/>
                <w:lang w:val="uk-UA" w:eastAsia="en-US"/>
              </w:rPr>
              <w:t>і</w:t>
            </w:r>
            <w:r w:rsidRPr="00E45952">
              <w:rPr>
                <w:sz w:val="28"/>
                <w:szCs w:val="28"/>
                <w:lang w:eastAsia="en-US"/>
              </w:rPr>
              <w:t>сть (</w:t>
            </w:r>
            <w:r w:rsidRPr="00E45952">
              <w:rPr>
                <w:i/>
                <w:sz w:val="28"/>
                <w:szCs w:val="28"/>
                <w:lang w:eastAsia="en-US"/>
              </w:rPr>
              <w:t>p</w:t>
            </w:r>
            <w:r w:rsidRPr="00E45952">
              <w:rPr>
                <w:i/>
                <w:sz w:val="28"/>
                <w:szCs w:val="28"/>
                <w:vertAlign w:val="subscript"/>
                <w:lang w:eastAsia="en-US"/>
              </w:rPr>
              <w:t>i</w:t>
            </w:r>
            <w:r w:rsidRPr="00E45952">
              <w:rPr>
                <w:sz w:val="28"/>
                <w:szCs w:val="28"/>
                <w:lang w:eastAsia="en-US"/>
              </w:rPr>
              <w:t>)</w:t>
            </w:r>
          </w:p>
        </w:tc>
      </w:tr>
      <w:tr w:rsidR="00E3259F" w:rsidRPr="00E45952" w:rsidTr="00E3259F">
        <w:trPr>
          <w:cantSplit/>
          <w:trHeight w:val="614"/>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rsidP="00E45952">
            <w:pPr>
              <w:spacing w:line="360" w:lineRule="auto"/>
              <w:rPr>
                <w:kern w:val="2"/>
                <w:sz w:val="28"/>
                <w:szCs w:val="2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rsidP="00E45952">
            <w:pPr>
              <w:spacing w:line="360" w:lineRule="auto"/>
              <w:rPr>
                <w:rFonts w:eastAsia="Calibri"/>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rsidP="00E45952">
            <w:pPr>
              <w:spacing w:line="360" w:lineRule="auto"/>
              <w:rPr>
                <w:rFonts w:eastAsia="Calibri"/>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rsidP="00E45952">
            <w:pPr>
              <w:spacing w:line="360" w:lineRule="auto"/>
              <w:rPr>
                <w:rFonts w:eastAsia="Calibri"/>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rsidP="00E45952">
            <w:pPr>
              <w:spacing w:line="360" w:lineRule="auto"/>
              <w:rPr>
                <w:rFonts w:eastAsia="Calibri"/>
                <w:sz w:val="28"/>
                <w:szCs w:val="28"/>
                <w:lang w:val="uk-UA" w:eastAsia="en-US"/>
              </w:rPr>
            </w:pP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object w:dxaOrig="315" w:dyaOrig="345">
                <v:shape id="_x0000_i1067" type="#_x0000_t75" style="width:15pt;height:18pt" o:ole="">
                  <v:imagedata r:id="rId30" o:title=""/>
                </v:shape>
                <o:OLEObject Type="Embed" ProgID="Equation.3" ShapeID="_x0000_i1067" DrawAspect="Content" ObjectID="_1669446851" r:id="rId77"/>
              </w:objec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-10,826</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5,457</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3,935</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0,047</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object w:dxaOrig="345" w:dyaOrig="345">
                <v:shape id="_x0000_i1068" type="#_x0000_t75" style="width:18pt;height:18pt" o:ole="">
                  <v:imagedata r:id="rId32" o:title=""/>
                </v:shape>
                <o:OLEObject Type="Embed" ProgID="Equation.3" ShapeID="_x0000_i1068" DrawAspect="Content" ObjectID="_1669446852" r:id="rId78"/>
              </w:objec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-25,252</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11,530</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4,797</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0,029</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object w:dxaOrig="315" w:dyaOrig="375">
                <v:shape id="_x0000_i1069" type="#_x0000_t75" style="width:15pt;height:18.75pt" o:ole="">
                  <v:imagedata r:id="rId34" o:title=""/>
                </v:shape>
                <o:OLEObject Type="Embed" ProgID="Equation.3" ShapeID="_x0000_i1069" DrawAspect="Content" ObjectID="_1669446853" r:id="rId79"/>
              </w:objec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-0,382</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0,181</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4,423</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0,035</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position w:val="-10"/>
                <w:sz w:val="28"/>
                <w:szCs w:val="28"/>
                <w:lang w:eastAsia="en-US"/>
              </w:rPr>
              <w:object w:dxaOrig="345" w:dyaOrig="345">
                <v:shape id="_x0000_i1070" type="#_x0000_t75" style="width:18pt;height:18pt" o:ole="">
                  <v:imagedata r:id="rId36" o:title=""/>
                </v:shape>
                <o:OLEObject Type="Embed" ProgID="Equation.3" ShapeID="_x0000_i1070" DrawAspect="Content" ObjectID="_1669446854" r:id="rId80"/>
              </w:objec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0,523</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0,211</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6,123</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0,013</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val="en-US" w:eastAsia="en-US"/>
              </w:rPr>
              <w:t>X</w:t>
            </w:r>
            <w:r w:rsidRPr="00E45952">
              <w:rPr>
                <w:kern w:val="2"/>
                <w:sz w:val="28"/>
                <w:szCs w:val="28"/>
                <w:vertAlign w:val="subscript"/>
                <w:lang w:eastAsia="en-US"/>
              </w:rPr>
              <w:t>5</w: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-1,438</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0,701</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4,206</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0,040</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val="en-US" w:eastAsia="en-US"/>
              </w:rPr>
              <w:t>X</w:t>
            </w:r>
            <w:r w:rsidRPr="00E45952">
              <w:rPr>
                <w:kern w:val="2"/>
                <w:sz w:val="28"/>
                <w:szCs w:val="28"/>
                <w:vertAlign w:val="subscript"/>
                <w:lang w:eastAsia="en-US"/>
              </w:rPr>
              <w:t>6</w: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2,935</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1,238</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5,619</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0,018</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val="en-US" w:eastAsia="en-US"/>
              </w:rPr>
              <w:t>X</w:t>
            </w:r>
            <w:r w:rsidRPr="00E45952">
              <w:rPr>
                <w:kern w:val="2"/>
                <w:sz w:val="28"/>
                <w:szCs w:val="28"/>
                <w:vertAlign w:val="subscript"/>
                <w:lang w:eastAsia="en-US"/>
              </w:rPr>
              <w:t>7</w: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0,016</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0,007</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4,813</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0,028</w:t>
            </w:r>
          </w:p>
        </w:tc>
      </w:tr>
      <w:tr w:rsidR="00E3259F" w:rsidRPr="00E45952" w:rsidTr="00E3259F">
        <w:trPr>
          <w:cantSplit/>
          <w:tblHeader/>
        </w:trPr>
        <w:tc>
          <w:tcPr>
            <w:tcW w:w="767"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uppressAutoHyphens/>
              <w:overflowPunct w:val="0"/>
              <w:autoSpaceDE w:val="0"/>
              <w:autoSpaceDN w:val="0"/>
              <w:adjustRightInd w:val="0"/>
              <w:spacing w:line="360" w:lineRule="auto"/>
              <w:jc w:val="center"/>
              <w:textAlignment w:val="baseline"/>
              <w:rPr>
                <w:kern w:val="2"/>
                <w:sz w:val="28"/>
                <w:szCs w:val="28"/>
                <w:lang w:eastAsia="en-US"/>
              </w:rPr>
            </w:pPr>
            <w:r w:rsidRPr="00E45952">
              <w:rPr>
                <w:kern w:val="2"/>
                <w:sz w:val="28"/>
                <w:szCs w:val="28"/>
                <w:lang w:eastAsia="en-US"/>
              </w:rPr>
              <w:t>Константа</w:t>
            </w:r>
          </w:p>
        </w:tc>
        <w:tc>
          <w:tcPr>
            <w:tcW w:w="1141"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41,554</w:t>
            </w:r>
          </w:p>
        </w:tc>
        <w:tc>
          <w:tcPr>
            <w:tcW w:w="116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22,881</w:t>
            </w:r>
          </w:p>
        </w:tc>
        <w:tc>
          <w:tcPr>
            <w:tcW w:w="1140"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3,998</w:t>
            </w:r>
          </w:p>
        </w:tc>
        <w:tc>
          <w:tcPr>
            <w:tcW w:w="78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0,049</w:t>
            </w:r>
          </w:p>
        </w:tc>
      </w:tr>
    </w:tbl>
    <w:p w:rsidR="00E3259F" w:rsidRPr="00E45952" w:rsidRDefault="00E3259F" w:rsidP="00E45952">
      <w:pPr>
        <w:pStyle w:val="a4"/>
        <w:spacing w:line="360" w:lineRule="auto"/>
        <w:ind w:left="0" w:firstLine="567"/>
        <w:jc w:val="both"/>
        <w:rPr>
          <w:rFonts w:eastAsiaTheme="minorHAnsi"/>
          <w:kern w:val="2"/>
          <w:sz w:val="28"/>
          <w:szCs w:val="28"/>
          <w:lang w:val="uk-UA" w:eastAsia="en-US"/>
        </w:rPr>
      </w:pPr>
    </w:p>
    <w:p w:rsidR="00E3259F" w:rsidRPr="00E45952" w:rsidRDefault="00E3259F" w:rsidP="00E45952">
      <w:pPr>
        <w:widowControl w:val="0"/>
        <w:autoSpaceDE w:val="0"/>
        <w:autoSpaceDN w:val="0"/>
        <w:adjustRightInd w:val="0"/>
        <w:spacing w:line="360" w:lineRule="auto"/>
        <w:ind w:firstLine="709"/>
        <w:jc w:val="both"/>
        <w:rPr>
          <w:sz w:val="28"/>
          <w:szCs w:val="28"/>
          <w:shd w:val="clear" w:color="auto" w:fill="FFFFFF"/>
          <w:lang w:val="uk-UA"/>
        </w:rPr>
      </w:pPr>
      <w:r w:rsidRPr="00E45952">
        <w:rPr>
          <w:rFonts w:eastAsiaTheme="minorHAnsi"/>
          <w:kern w:val="2"/>
          <w:sz w:val="28"/>
          <w:szCs w:val="28"/>
          <w:lang w:eastAsia="en-US"/>
        </w:rPr>
        <w:t>Якість наближення регресійній моделі оцінювали за допомогою функції подібності (табл. 7.</w:t>
      </w:r>
      <w:r w:rsidRPr="00E45952">
        <w:rPr>
          <w:rFonts w:eastAsiaTheme="minorHAnsi"/>
          <w:kern w:val="2"/>
          <w:sz w:val="28"/>
          <w:szCs w:val="28"/>
          <w:lang w:val="uk-UA" w:eastAsia="en-US"/>
        </w:rPr>
        <w:t>6</w:t>
      </w:r>
      <w:r w:rsidRPr="00E45952">
        <w:rPr>
          <w:rFonts w:eastAsiaTheme="minorHAnsi"/>
          <w:kern w:val="2"/>
          <w:sz w:val="28"/>
          <w:szCs w:val="28"/>
          <w:lang w:eastAsia="en-US"/>
        </w:rPr>
        <w:t xml:space="preserve">). </w:t>
      </w:r>
    </w:p>
    <w:p w:rsidR="00E3259F" w:rsidRPr="00E45952" w:rsidRDefault="00E3259F" w:rsidP="00E45952">
      <w:pPr>
        <w:spacing w:line="360" w:lineRule="auto"/>
        <w:ind w:firstLine="567"/>
        <w:jc w:val="right"/>
        <w:rPr>
          <w:sz w:val="28"/>
          <w:szCs w:val="28"/>
          <w:lang w:val="uk-UA"/>
        </w:rPr>
      </w:pPr>
      <w:r w:rsidRPr="00E45952">
        <w:rPr>
          <w:sz w:val="28"/>
          <w:szCs w:val="28"/>
          <w:lang w:val="uk-UA"/>
        </w:rPr>
        <w:t xml:space="preserve">Таблиця 7.6 </w:t>
      </w:r>
    </w:p>
    <w:p w:rsidR="00E3259F" w:rsidRPr="00E45952" w:rsidRDefault="00E3259F" w:rsidP="00E45952">
      <w:pPr>
        <w:spacing w:line="360" w:lineRule="auto"/>
        <w:ind w:firstLine="567"/>
        <w:jc w:val="center"/>
        <w:rPr>
          <w:sz w:val="28"/>
          <w:szCs w:val="28"/>
          <w:lang w:val="uk-UA"/>
        </w:rPr>
      </w:pPr>
      <w:r w:rsidRPr="00E45952">
        <w:rPr>
          <w:sz w:val="28"/>
          <w:szCs w:val="28"/>
          <w:lang w:val="uk-UA"/>
        </w:rPr>
        <w:t>Характеристики моделі бінарної логістичної регресії, створеної для прогнозування серцево-судинних ускладнень у пацієнтів з ГХ, ЦД 2 типу та СГТ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7"/>
        <w:gridCol w:w="2300"/>
        <w:gridCol w:w="1953"/>
        <w:gridCol w:w="1493"/>
        <w:gridCol w:w="1598"/>
      </w:tblGrid>
      <w:tr w:rsidR="00E3259F" w:rsidRPr="00E45952" w:rsidTr="00E3259F">
        <w:trPr>
          <w:cantSplit/>
        </w:trPr>
        <w:tc>
          <w:tcPr>
            <w:tcW w:w="1192" w:type="pct"/>
            <w:vMerge w:val="restar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val="uk-UA" w:eastAsia="en-US"/>
              </w:rPr>
            </w:pPr>
            <w:r w:rsidRPr="00E45952">
              <w:rPr>
                <w:sz w:val="28"/>
                <w:szCs w:val="28"/>
                <w:lang w:eastAsia="en-US"/>
              </w:rPr>
              <w:t>Результат</w:t>
            </w:r>
            <w:r w:rsidRPr="00E45952">
              <w:rPr>
                <w:sz w:val="28"/>
                <w:szCs w:val="28"/>
                <w:lang w:val="uk-UA" w:eastAsia="en-US"/>
              </w:rPr>
              <w:t>и заключного  кроку</w:t>
            </w:r>
            <w:r w:rsidRPr="00E45952">
              <w:rPr>
                <w:sz w:val="28"/>
                <w:szCs w:val="28"/>
                <w:lang w:eastAsia="en-US"/>
              </w:rPr>
              <w:t xml:space="preserve"> анализ</w:t>
            </w:r>
            <w:r w:rsidRPr="00E45952">
              <w:rPr>
                <w:sz w:val="28"/>
                <w:szCs w:val="28"/>
                <w:lang w:val="uk-UA" w:eastAsia="en-US"/>
              </w:rPr>
              <w:t>у</w:t>
            </w:r>
          </w:p>
        </w:tc>
        <w:tc>
          <w:tcPr>
            <w:tcW w:w="1088"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val="uk-UA" w:eastAsia="en-US"/>
              </w:rPr>
            </w:pPr>
            <w:r w:rsidRPr="00E45952">
              <w:rPr>
                <w:sz w:val="28"/>
                <w:szCs w:val="28"/>
                <w:lang w:eastAsia="en-US"/>
              </w:rPr>
              <w:t>-</w:t>
            </w:r>
            <w:r w:rsidRPr="00E45952">
              <w:rPr>
                <w:sz w:val="28"/>
                <w:szCs w:val="28"/>
                <w:lang w:val="uk-UA" w:eastAsia="en-US"/>
              </w:rPr>
              <w:t xml:space="preserve">2 Log </w:t>
            </w:r>
            <w:r w:rsidRPr="00E45952">
              <w:rPr>
                <w:sz w:val="28"/>
                <w:szCs w:val="28"/>
                <w:lang w:eastAsia="en-US"/>
              </w:rPr>
              <w:t>правдопод</w:t>
            </w:r>
            <w:r w:rsidRPr="00E45952">
              <w:rPr>
                <w:sz w:val="28"/>
                <w:szCs w:val="28"/>
                <w:lang w:val="uk-UA" w:eastAsia="en-US"/>
              </w:rPr>
              <w:t>ібність (</w:t>
            </w:r>
            <w:r w:rsidRPr="00E45952">
              <w:rPr>
                <w:i/>
                <w:sz w:val="28"/>
                <w:szCs w:val="28"/>
                <w:lang w:val="uk-UA" w:eastAsia="en-US"/>
              </w:rPr>
              <w:t>G</w:t>
            </w:r>
            <w:r w:rsidRPr="00E45952">
              <w:rPr>
                <w:sz w:val="28"/>
                <w:szCs w:val="28"/>
                <w:lang w:val="uk-UA" w:eastAsia="en-US"/>
              </w:rPr>
              <w:t>)</w:t>
            </w:r>
          </w:p>
        </w:tc>
        <w:tc>
          <w:tcPr>
            <w:tcW w:w="1045"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i/>
                <w:sz w:val="28"/>
                <w:szCs w:val="28"/>
                <w:lang w:val="uk-UA" w:eastAsia="en-US"/>
              </w:rPr>
            </w:pPr>
            <w:r w:rsidRPr="00E45952">
              <w:rPr>
                <w:i/>
                <w:sz w:val="28"/>
                <w:szCs w:val="28"/>
                <w:lang w:val="uk-UA" w:eastAsia="en-US"/>
              </w:rPr>
              <w:t>R²</w:t>
            </w:r>
          </w:p>
          <w:p w:rsidR="00E3259F" w:rsidRPr="00E45952" w:rsidRDefault="00E3259F" w:rsidP="00E45952">
            <w:pPr>
              <w:spacing w:line="360" w:lineRule="auto"/>
              <w:jc w:val="center"/>
              <w:rPr>
                <w:rFonts w:eastAsia="Calibri"/>
                <w:sz w:val="28"/>
                <w:szCs w:val="28"/>
                <w:lang w:val="uk-UA" w:eastAsia="en-US"/>
              </w:rPr>
            </w:pPr>
            <w:r w:rsidRPr="00E45952">
              <w:rPr>
                <w:sz w:val="28"/>
                <w:szCs w:val="28"/>
                <w:lang w:val="uk-UA" w:eastAsia="en-US"/>
              </w:rPr>
              <w:t>Нейджелкерка</w:t>
            </w:r>
          </w:p>
        </w:tc>
        <w:tc>
          <w:tcPr>
            <w:tcW w:w="812"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i/>
                <w:sz w:val="28"/>
                <w:szCs w:val="28"/>
                <w:lang w:val="uk-UA" w:eastAsia="en-US"/>
              </w:rPr>
            </w:pPr>
            <w:r w:rsidRPr="00E45952">
              <w:rPr>
                <w:i/>
                <w:sz w:val="28"/>
                <w:szCs w:val="28"/>
                <w:lang w:val="uk-UA" w:eastAsia="en-US"/>
              </w:rPr>
              <w:t>χ²</w:t>
            </w:r>
          </w:p>
        </w:tc>
        <w:tc>
          <w:tcPr>
            <w:tcW w:w="863"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val="uk-UA" w:eastAsia="en-US"/>
              </w:rPr>
            </w:pPr>
            <w:r w:rsidRPr="00E45952">
              <w:rPr>
                <w:sz w:val="28"/>
                <w:szCs w:val="28"/>
                <w:lang w:eastAsia="en-US"/>
              </w:rPr>
              <w:t>Значим</w:t>
            </w:r>
            <w:r w:rsidRPr="00E45952">
              <w:rPr>
                <w:sz w:val="28"/>
                <w:szCs w:val="28"/>
                <w:lang w:val="uk-UA" w:eastAsia="en-US"/>
              </w:rPr>
              <w:t>і</w:t>
            </w:r>
            <w:r w:rsidRPr="00E45952">
              <w:rPr>
                <w:sz w:val="28"/>
                <w:szCs w:val="28"/>
                <w:lang w:eastAsia="en-US"/>
              </w:rPr>
              <w:t>сть</w:t>
            </w:r>
          </w:p>
          <w:p w:rsidR="00E3259F" w:rsidRPr="00E45952" w:rsidRDefault="00E3259F" w:rsidP="00E45952">
            <w:pPr>
              <w:spacing w:line="360" w:lineRule="auto"/>
              <w:jc w:val="center"/>
              <w:rPr>
                <w:rFonts w:eastAsia="Calibri"/>
                <w:sz w:val="28"/>
                <w:szCs w:val="28"/>
                <w:lang w:val="uk-UA" w:eastAsia="en-US"/>
              </w:rPr>
            </w:pPr>
            <w:r w:rsidRPr="00E45952">
              <w:rPr>
                <w:sz w:val="28"/>
                <w:szCs w:val="28"/>
                <w:lang w:val="uk-UA" w:eastAsia="en-US"/>
              </w:rPr>
              <w:t>(</w:t>
            </w:r>
            <w:r w:rsidRPr="00E45952">
              <w:rPr>
                <w:i/>
                <w:sz w:val="28"/>
                <w:szCs w:val="28"/>
                <w:lang w:val="uk-UA" w:eastAsia="en-US"/>
              </w:rPr>
              <w:t>p</w:t>
            </w:r>
            <w:r w:rsidRPr="00E45952">
              <w:rPr>
                <w:sz w:val="28"/>
                <w:szCs w:val="28"/>
                <w:lang w:val="uk-UA" w:eastAsia="en-US"/>
              </w:rPr>
              <w:t>)</w:t>
            </w:r>
          </w:p>
        </w:tc>
      </w:tr>
      <w:tr w:rsidR="00E3259F" w:rsidRPr="00E45952" w:rsidTr="00E3259F">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Pr="00E45952" w:rsidRDefault="00E3259F" w:rsidP="00E45952">
            <w:pPr>
              <w:spacing w:line="360" w:lineRule="auto"/>
              <w:rPr>
                <w:rFonts w:eastAsia="Calibri"/>
                <w:sz w:val="28"/>
                <w:szCs w:val="28"/>
                <w:lang w:val="uk-UA" w:eastAsia="en-US"/>
              </w:rPr>
            </w:pPr>
          </w:p>
        </w:tc>
        <w:tc>
          <w:tcPr>
            <w:tcW w:w="1088"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16,073</w:t>
            </w:r>
          </w:p>
        </w:tc>
        <w:tc>
          <w:tcPr>
            <w:tcW w:w="1045"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0,867</w:t>
            </w:r>
          </w:p>
        </w:tc>
        <w:tc>
          <w:tcPr>
            <w:tcW w:w="812"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66,103</w:t>
            </w:r>
          </w:p>
        </w:tc>
        <w:tc>
          <w:tcPr>
            <w:tcW w:w="863" w:type="pct"/>
            <w:tcBorders>
              <w:top w:val="single" w:sz="4" w:space="0" w:color="auto"/>
              <w:left w:val="single" w:sz="4" w:space="0" w:color="auto"/>
              <w:bottom w:val="single" w:sz="4" w:space="0" w:color="auto"/>
              <w:right w:val="single" w:sz="4" w:space="0" w:color="auto"/>
            </w:tcBorders>
            <w:hideMark/>
          </w:tcPr>
          <w:p w:rsidR="00E3259F" w:rsidRPr="00E45952" w:rsidRDefault="00E3259F" w:rsidP="00E45952">
            <w:pPr>
              <w:spacing w:line="360" w:lineRule="auto"/>
              <w:jc w:val="center"/>
              <w:rPr>
                <w:rFonts w:eastAsia="Calibri"/>
                <w:sz w:val="28"/>
                <w:szCs w:val="28"/>
                <w:lang w:eastAsia="en-US"/>
              </w:rPr>
            </w:pPr>
            <w:r w:rsidRPr="00E45952">
              <w:rPr>
                <w:sz w:val="28"/>
                <w:szCs w:val="28"/>
                <w:lang w:eastAsia="en-US"/>
              </w:rPr>
              <w:t>0,001</w:t>
            </w:r>
          </w:p>
        </w:tc>
      </w:tr>
    </w:tbl>
    <w:p w:rsidR="00E3259F" w:rsidRPr="00E45952" w:rsidRDefault="00E45952" w:rsidP="00E45952">
      <w:pPr>
        <w:widowControl w:val="0"/>
        <w:autoSpaceDE w:val="0"/>
        <w:autoSpaceDN w:val="0"/>
        <w:adjustRightInd w:val="0"/>
        <w:spacing w:line="360" w:lineRule="auto"/>
        <w:ind w:firstLine="709"/>
        <w:jc w:val="both"/>
        <w:rPr>
          <w:sz w:val="28"/>
          <w:szCs w:val="28"/>
          <w:shd w:val="clear" w:color="auto" w:fill="FFFFFF"/>
          <w:lang w:val="uk-UA"/>
        </w:rPr>
      </w:pPr>
      <w:r w:rsidRPr="00E45952">
        <w:rPr>
          <w:rFonts w:eastAsiaTheme="minorHAnsi"/>
          <w:kern w:val="2"/>
          <w:sz w:val="28"/>
          <w:szCs w:val="28"/>
          <w:lang w:eastAsia="en-US"/>
        </w:rPr>
        <w:t xml:space="preserve">У дослідженні, G = 16,073 при р = 0,001, що вказує на те, що в цілому незалежні змінні мають значний </w:t>
      </w:r>
      <w:r w:rsidRPr="00E45952">
        <w:rPr>
          <w:rFonts w:eastAsiaTheme="minorHAnsi"/>
          <w:kern w:val="2"/>
          <w:sz w:val="28"/>
          <w:szCs w:val="28"/>
          <w:lang w:val="uk-UA" w:eastAsia="en-US"/>
        </w:rPr>
        <w:t>унесок у</w:t>
      </w:r>
      <w:r w:rsidRPr="00E45952">
        <w:rPr>
          <w:rFonts w:eastAsiaTheme="minorHAnsi"/>
          <w:kern w:val="2"/>
          <w:sz w:val="28"/>
          <w:szCs w:val="28"/>
          <w:lang w:eastAsia="en-US"/>
        </w:rPr>
        <w:t xml:space="preserve"> прогнозуванні залежною змінною.</w:t>
      </w:r>
      <w:r w:rsidRPr="00E45952">
        <w:rPr>
          <w:sz w:val="28"/>
          <w:szCs w:val="28"/>
          <w:shd w:val="clear" w:color="auto" w:fill="FFFFFF"/>
          <w:lang w:val="uk-UA"/>
        </w:rPr>
        <w:t xml:space="preserve"> Частина дисперсії, зрозумілої за допомогою логістичної регресії, становила 86,7%.</w:t>
      </w:r>
    </w:p>
    <w:p w:rsidR="00E3259F" w:rsidRPr="00E45952" w:rsidRDefault="00E3259F" w:rsidP="00E45952">
      <w:pPr>
        <w:widowControl w:val="0"/>
        <w:autoSpaceDE w:val="0"/>
        <w:autoSpaceDN w:val="0"/>
        <w:adjustRightInd w:val="0"/>
        <w:spacing w:line="360" w:lineRule="auto"/>
        <w:ind w:firstLine="709"/>
        <w:jc w:val="both"/>
        <w:rPr>
          <w:sz w:val="28"/>
          <w:szCs w:val="28"/>
          <w:shd w:val="clear" w:color="auto" w:fill="FFFFFF"/>
          <w:lang w:val="uk-UA"/>
        </w:rPr>
      </w:pPr>
      <w:r w:rsidRPr="00E45952">
        <w:rPr>
          <w:sz w:val="28"/>
          <w:szCs w:val="28"/>
          <w:shd w:val="clear" w:color="auto" w:fill="FFFFFF"/>
          <w:lang w:val="uk-UA"/>
        </w:rPr>
        <w:t>Далі представлені результати класифікації (таблиця 7.7), в якій реально спостережувані показники приналежності до тієї чи іншої з двох досліджуваних груп зіставляються з передбаченими на основі синтезованої логістичної регресійної моделі. Класифікаційна таблиця 7.7 дозволяє судити про кількість правильних і неправильних прогнозів. З таблиці можна зробити висновок про те, що із загальної кількості пацієнтів без ССУ, рівного 78, тестом були правильно визначені 76 пацієнтів і 2 помилково віднесені до групи зі ССУ. Із загальної кількості пацієнтів зі ССУ, рівного 15, тестом правильно були визначені 14 пацієнтів, а 1 помилково віднесений до групи пацієнтів без ССУ. Загалом, правильно були розпізнані 90 випадків з 93, це становить 96,8%.</w:t>
      </w:r>
    </w:p>
    <w:p w:rsidR="00E3259F" w:rsidRPr="00E45952" w:rsidRDefault="00E3259F" w:rsidP="00E3259F">
      <w:pPr>
        <w:spacing w:line="360" w:lineRule="auto"/>
        <w:jc w:val="right"/>
        <w:rPr>
          <w:rFonts w:eastAsiaTheme="minorHAnsi"/>
          <w:sz w:val="28"/>
          <w:szCs w:val="28"/>
          <w:lang w:val="uk-UA" w:eastAsia="en-US"/>
        </w:rPr>
      </w:pPr>
      <w:r w:rsidRPr="00E45952">
        <w:rPr>
          <w:sz w:val="28"/>
          <w:szCs w:val="28"/>
          <w:lang w:val="uk-UA"/>
        </w:rPr>
        <w:t xml:space="preserve">Таблиця 7.7 </w:t>
      </w:r>
    </w:p>
    <w:p w:rsidR="00E3259F" w:rsidRPr="00E45952" w:rsidRDefault="00E3259F" w:rsidP="00E3259F">
      <w:pPr>
        <w:spacing w:line="360" w:lineRule="auto"/>
        <w:jc w:val="center"/>
        <w:rPr>
          <w:sz w:val="28"/>
          <w:szCs w:val="28"/>
          <w:lang w:val="uk-UA"/>
        </w:rPr>
      </w:pPr>
      <w:r w:rsidRPr="00E45952">
        <w:rPr>
          <w:sz w:val="28"/>
          <w:szCs w:val="28"/>
          <w:lang w:val="uk-UA"/>
        </w:rPr>
        <w:t>Класифікаційні результати моделі бінарної логістичної регресії, створеної для визначення ймовірності виникнення серцево-судинних ускладнень у пацієнтів з ГХ, ЦД 2 типу та СГТ</w:t>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0" w:type="dxa"/>
          <w:right w:w="0" w:type="dxa"/>
        </w:tblCellMar>
        <w:tblLook w:val="04A0" w:firstRow="1" w:lastRow="0" w:firstColumn="1" w:lastColumn="0" w:noHBand="0" w:noVBand="1"/>
      </w:tblPr>
      <w:tblGrid>
        <w:gridCol w:w="569"/>
        <w:gridCol w:w="2453"/>
        <w:gridCol w:w="1752"/>
        <w:gridCol w:w="1545"/>
        <w:gridCol w:w="3042"/>
      </w:tblGrid>
      <w:tr w:rsidR="00E3259F" w:rsidRPr="00E45952" w:rsidTr="00E3259F">
        <w:trPr>
          <w:cantSplit/>
        </w:trPr>
        <w:tc>
          <w:tcPr>
            <w:tcW w:w="1614" w:type="pct"/>
            <w:gridSpan w:val="2"/>
            <w:vMerge w:val="restart"/>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spacing w:line="276" w:lineRule="auto"/>
              <w:jc w:val="both"/>
              <w:rPr>
                <w:rFonts w:eastAsia="Calibri"/>
                <w:sz w:val="28"/>
                <w:szCs w:val="28"/>
                <w:lang w:eastAsia="en-US"/>
              </w:rPr>
            </w:pPr>
            <w:r w:rsidRPr="00E45952">
              <w:rPr>
                <w:sz w:val="28"/>
                <w:lang w:val="uk-UA" w:eastAsia="en-US"/>
              </w:rPr>
              <w:t>Групи спостереження</w:t>
            </w:r>
          </w:p>
        </w:tc>
        <w:tc>
          <w:tcPr>
            <w:tcW w:w="3386" w:type="pct"/>
            <w:gridSpan w:val="3"/>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both"/>
              <w:rPr>
                <w:rFonts w:eastAsia="Calibri"/>
                <w:sz w:val="28"/>
                <w:szCs w:val="28"/>
                <w:lang w:val="uk-UA" w:eastAsia="en-US"/>
              </w:rPr>
            </w:pPr>
            <w:r w:rsidRPr="00E45952">
              <w:rPr>
                <w:sz w:val="28"/>
                <w:lang w:val="uk-UA" w:eastAsia="en-US"/>
              </w:rPr>
              <w:t>Передбачувані групи</w:t>
            </w:r>
          </w:p>
        </w:tc>
      </w:tr>
      <w:tr w:rsidR="00E3259F" w:rsidRPr="00E45952" w:rsidTr="00E3259F">
        <w:trPr>
          <w:cantSplit/>
        </w:trPr>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c>
          <w:tcPr>
            <w:tcW w:w="1761" w:type="pct"/>
            <w:gridSpan w:val="2"/>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center"/>
              <w:rPr>
                <w:rFonts w:eastAsia="Calibri"/>
                <w:sz w:val="28"/>
                <w:szCs w:val="28"/>
                <w:lang w:val="uk-UA" w:eastAsia="en-US"/>
              </w:rPr>
            </w:pPr>
            <w:r w:rsidRPr="00E45952">
              <w:rPr>
                <w:sz w:val="28"/>
                <w:lang w:eastAsia="en-US"/>
              </w:rPr>
              <w:t>СС</w:t>
            </w:r>
            <w:r w:rsidRPr="00E45952">
              <w:rPr>
                <w:sz w:val="28"/>
                <w:lang w:val="uk-UA" w:eastAsia="en-US"/>
              </w:rPr>
              <w:t>У</w:t>
            </w:r>
          </w:p>
        </w:tc>
        <w:tc>
          <w:tcPr>
            <w:tcW w:w="1625" w:type="pct"/>
            <w:vMerge w:val="restar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rPr>
                <w:rFonts w:eastAsia="Calibri"/>
                <w:sz w:val="28"/>
                <w:szCs w:val="28"/>
                <w:lang w:eastAsia="en-US"/>
              </w:rPr>
            </w:pPr>
            <w:r w:rsidRPr="00E45952">
              <w:rPr>
                <w:sz w:val="28"/>
                <w:lang w:eastAsia="en-US"/>
              </w:rPr>
              <w:t>% в</w:t>
            </w:r>
            <w:r w:rsidRPr="00E45952">
              <w:rPr>
                <w:sz w:val="28"/>
                <w:lang w:val="uk-UA" w:eastAsia="en-US"/>
              </w:rPr>
              <w:t>ірно</w:t>
            </w:r>
            <w:r w:rsidRPr="00E45952">
              <w:rPr>
                <w:sz w:val="28"/>
                <w:lang w:eastAsia="en-US"/>
              </w:rPr>
              <w:t xml:space="preserve"> п</w:t>
            </w:r>
            <w:r w:rsidRPr="00E45952">
              <w:rPr>
                <w:sz w:val="28"/>
                <w:lang w:val="uk-UA" w:eastAsia="en-US"/>
              </w:rPr>
              <w:t xml:space="preserve">ередбачених </w:t>
            </w:r>
          </w:p>
        </w:tc>
      </w:tr>
      <w:tr w:rsidR="00E3259F" w:rsidRPr="00E45952" w:rsidTr="00E3259F">
        <w:trPr>
          <w:cantSplit/>
        </w:trPr>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c>
          <w:tcPr>
            <w:tcW w:w="936"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center"/>
              <w:rPr>
                <w:rFonts w:eastAsia="Calibri"/>
                <w:sz w:val="28"/>
                <w:szCs w:val="28"/>
                <w:lang w:eastAsia="en-US"/>
              </w:rPr>
            </w:pPr>
            <w:r w:rsidRPr="00E45952">
              <w:rPr>
                <w:sz w:val="28"/>
                <w:szCs w:val="28"/>
                <w:lang w:eastAsia="en-US"/>
              </w:rPr>
              <w:t>не</w:t>
            </w:r>
            <w:r w:rsidRPr="00E45952">
              <w:rPr>
                <w:sz w:val="28"/>
                <w:szCs w:val="28"/>
                <w:lang w:val="uk-UA" w:eastAsia="en-US"/>
              </w:rPr>
              <w:t>має</w:t>
            </w:r>
          </w:p>
        </w:tc>
        <w:tc>
          <w:tcPr>
            <w:tcW w:w="8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line="276" w:lineRule="auto"/>
              <w:jc w:val="center"/>
              <w:rPr>
                <w:rFonts w:eastAsia="Calibri"/>
                <w:sz w:val="28"/>
                <w:szCs w:val="28"/>
                <w:lang w:eastAsia="en-US"/>
              </w:rPr>
            </w:pPr>
            <w:r w:rsidRPr="00E45952">
              <w:rPr>
                <w:sz w:val="28"/>
                <w:szCs w:val="28"/>
                <w:lang w:val="uk-UA" w:eastAsia="en-US"/>
              </w:rPr>
              <w:t>є</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8"/>
                <w:lang w:eastAsia="en-US"/>
              </w:rPr>
            </w:pPr>
          </w:p>
        </w:tc>
      </w:tr>
      <w:tr w:rsidR="00E3259F" w:rsidRPr="00E45952" w:rsidTr="00E3259F">
        <w:trPr>
          <w:cantSplit/>
        </w:trPr>
        <w:tc>
          <w:tcPr>
            <w:tcW w:w="304" w:type="pct"/>
            <w:vMerge w:val="restar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line="276" w:lineRule="auto"/>
              <w:jc w:val="both"/>
              <w:rPr>
                <w:rFonts w:eastAsia="Calibri"/>
                <w:sz w:val="28"/>
                <w:szCs w:val="22"/>
                <w:lang w:eastAsia="en-US"/>
              </w:rPr>
            </w:pPr>
            <w:r w:rsidRPr="00E45952">
              <w:rPr>
                <w:sz w:val="28"/>
                <w:lang w:eastAsia="en-US"/>
              </w:rPr>
              <w:t>ОС</w:t>
            </w:r>
          </w:p>
        </w:tc>
        <w:tc>
          <w:tcPr>
            <w:tcW w:w="1310" w:type="pc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after="200" w:line="320" w:lineRule="atLeast"/>
              <w:ind w:left="60" w:right="60"/>
              <w:rPr>
                <w:rFonts w:eastAsia="Calibri"/>
                <w:sz w:val="28"/>
                <w:szCs w:val="22"/>
                <w:lang w:val="uk-UA" w:eastAsia="en-US"/>
              </w:rPr>
            </w:pPr>
            <w:r w:rsidRPr="00E45952">
              <w:rPr>
                <w:sz w:val="28"/>
                <w:lang w:val="uk-UA" w:eastAsia="en-US"/>
              </w:rPr>
              <w:t xml:space="preserve">Немає </w:t>
            </w:r>
            <w:r w:rsidRPr="00E45952">
              <w:rPr>
                <w:sz w:val="28"/>
                <w:lang w:eastAsia="en-US"/>
              </w:rPr>
              <w:t>СС</w:t>
            </w:r>
            <w:r w:rsidRPr="00E45952">
              <w:rPr>
                <w:sz w:val="28"/>
                <w:lang w:val="uk-UA" w:eastAsia="en-US"/>
              </w:rPr>
              <w:t>У</w:t>
            </w:r>
          </w:p>
        </w:tc>
        <w:tc>
          <w:tcPr>
            <w:tcW w:w="936"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76</w:t>
            </w:r>
          </w:p>
        </w:tc>
        <w:tc>
          <w:tcPr>
            <w:tcW w:w="8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2</w:t>
            </w:r>
          </w:p>
        </w:tc>
        <w:tc>
          <w:tcPr>
            <w:tcW w:w="16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97,4</w:t>
            </w:r>
          </w:p>
        </w:tc>
      </w:tr>
      <w:tr w:rsidR="00E3259F" w:rsidRPr="00E45952" w:rsidTr="00E3259F">
        <w:trPr>
          <w:cantSplit/>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E3259F" w:rsidRPr="00E45952" w:rsidRDefault="00E3259F">
            <w:pPr>
              <w:rPr>
                <w:rFonts w:eastAsia="Calibri"/>
                <w:sz w:val="28"/>
                <w:szCs w:val="22"/>
                <w:lang w:eastAsia="en-US"/>
              </w:rPr>
            </w:pPr>
          </w:p>
        </w:tc>
        <w:tc>
          <w:tcPr>
            <w:tcW w:w="1310" w:type="pc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after="200" w:line="320" w:lineRule="atLeast"/>
              <w:ind w:left="60" w:right="60"/>
              <w:rPr>
                <w:rFonts w:eastAsia="Calibri"/>
                <w:sz w:val="28"/>
                <w:szCs w:val="22"/>
                <w:lang w:val="uk-UA" w:eastAsia="en-US"/>
              </w:rPr>
            </w:pPr>
            <w:r w:rsidRPr="00E45952">
              <w:rPr>
                <w:sz w:val="28"/>
                <w:lang w:val="uk-UA" w:eastAsia="en-US"/>
              </w:rPr>
              <w:t>наявність</w:t>
            </w:r>
            <w:r w:rsidRPr="00E45952">
              <w:rPr>
                <w:sz w:val="28"/>
                <w:lang w:eastAsia="en-US"/>
              </w:rPr>
              <w:t xml:space="preserve"> СС</w:t>
            </w:r>
            <w:r w:rsidRPr="00E45952">
              <w:rPr>
                <w:sz w:val="28"/>
                <w:lang w:val="uk-UA" w:eastAsia="en-US"/>
              </w:rPr>
              <w:t>У</w:t>
            </w:r>
          </w:p>
        </w:tc>
        <w:tc>
          <w:tcPr>
            <w:tcW w:w="936"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1</w:t>
            </w:r>
          </w:p>
        </w:tc>
        <w:tc>
          <w:tcPr>
            <w:tcW w:w="8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14</w:t>
            </w:r>
          </w:p>
        </w:tc>
        <w:tc>
          <w:tcPr>
            <w:tcW w:w="16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93,3</w:t>
            </w:r>
          </w:p>
        </w:tc>
      </w:tr>
      <w:tr w:rsidR="00E3259F" w:rsidRPr="00E45952" w:rsidTr="00E3259F">
        <w:trPr>
          <w:cantSplit/>
        </w:trPr>
        <w:tc>
          <w:tcPr>
            <w:tcW w:w="3375" w:type="pct"/>
            <w:gridSpan w:val="4"/>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Pr="00E45952" w:rsidRDefault="00E3259F">
            <w:pPr>
              <w:spacing w:line="276" w:lineRule="auto"/>
              <w:jc w:val="center"/>
              <w:rPr>
                <w:rFonts w:eastAsia="Calibri"/>
                <w:sz w:val="28"/>
                <w:szCs w:val="28"/>
                <w:lang w:eastAsia="en-US"/>
              </w:rPr>
            </w:pPr>
            <w:r w:rsidRPr="00E45952">
              <w:rPr>
                <w:sz w:val="28"/>
                <w:szCs w:val="28"/>
                <w:lang w:val="uk-UA" w:eastAsia="en-US"/>
              </w:rPr>
              <w:t>Загальний відсоток</w:t>
            </w:r>
          </w:p>
        </w:tc>
        <w:tc>
          <w:tcPr>
            <w:tcW w:w="162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Pr="00E45952" w:rsidRDefault="00E3259F">
            <w:pPr>
              <w:spacing w:after="200" w:line="320" w:lineRule="atLeast"/>
              <w:ind w:left="60" w:right="60"/>
              <w:jc w:val="center"/>
              <w:rPr>
                <w:rFonts w:eastAsia="Calibri"/>
                <w:sz w:val="28"/>
                <w:szCs w:val="28"/>
                <w:lang w:eastAsia="en-US"/>
              </w:rPr>
            </w:pPr>
            <w:r w:rsidRPr="00E45952">
              <w:rPr>
                <w:sz w:val="28"/>
                <w:szCs w:val="28"/>
                <w:lang w:eastAsia="en-US"/>
              </w:rPr>
              <w:t>96,8</w:t>
            </w:r>
          </w:p>
        </w:tc>
      </w:tr>
    </w:tbl>
    <w:p w:rsidR="00E3259F" w:rsidRDefault="00E3259F" w:rsidP="00E3259F">
      <w:pPr>
        <w:jc w:val="both"/>
        <w:rPr>
          <w:rFonts w:eastAsia="Calibri" w:cstheme="minorBidi"/>
          <w:sz w:val="28"/>
          <w:szCs w:val="28"/>
          <w:lang w:eastAsia="en-US"/>
        </w:rPr>
      </w:pPr>
    </w:p>
    <w:p w:rsidR="00E3259F" w:rsidRDefault="00E3259F" w:rsidP="00E3259F">
      <w:pPr>
        <w:shd w:val="clear" w:color="auto" w:fill="FFFFFF"/>
        <w:spacing w:line="360" w:lineRule="auto"/>
        <w:ind w:firstLine="709"/>
        <w:jc w:val="both"/>
        <w:rPr>
          <w:rFonts w:eastAsiaTheme="minorHAnsi"/>
          <w:sz w:val="28"/>
          <w:szCs w:val="28"/>
        </w:rPr>
      </w:pPr>
      <w:r>
        <w:rPr>
          <w:sz w:val="28"/>
          <w:szCs w:val="28"/>
        </w:rPr>
        <w:t>На рис</w:t>
      </w:r>
      <w:r w:rsidR="00E45952">
        <w:rPr>
          <w:sz w:val="28"/>
          <w:szCs w:val="28"/>
          <w:lang w:val="uk-UA"/>
        </w:rPr>
        <w:t>унку</w:t>
      </w:r>
      <w:r>
        <w:rPr>
          <w:sz w:val="28"/>
          <w:szCs w:val="28"/>
        </w:rPr>
        <w:t xml:space="preserve"> </w:t>
      </w:r>
      <w:r>
        <w:rPr>
          <w:sz w:val="28"/>
          <w:szCs w:val="28"/>
          <w:lang w:val="uk-UA"/>
        </w:rPr>
        <w:t>7.3</w:t>
      </w:r>
      <w:r>
        <w:rPr>
          <w:sz w:val="28"/>
          <w:szCs w:val="28"/>
        </w:rPr>
        <w:t xml:space="preserve"> п</w:t>
      </w:r>
      <w:r>
        <w:rPr>
          <w:sz w:val="28"/>
          <w:szCs w:val="28"/>
          <w:lang w:val="uk-UA"/>
        </w:rPr>
        <w:t>одана</w:t>
      </w:r>
      <w:r>
        <w:rPr>
          <w:sz w:val="28"/>
          <w:szCs w:val="28"/>
        </w:rPr>
        <w:t xml:space="preserve"> діаграма класифікації.</w:t>
      </w:r>
    </w:p>
    <w:p w:rsidR="00E3259F" w:rsidRDefault="00E3259F" w:rsidP="00E3259F">
      <w:pPr>
        <w:shd w:val="clear" w:color="auto" w:fill="FFFFFF"/>
        <w:spacing w:line="360" w:lineRule="auto"/>
        <w:jc w:val="center"/>
        <w:rPr>
          <w:color w:val="000000"/>
          <w:sz w:val="27"/>
          <w:szCs w:val="27"/>
        </w:rPr>
      </w:pPr>
      <w:r>
        <w:rPr>
          <w:noProof/>
        </w:rPr>
        <w:drawing>
          <wp:inline distT="0" distB="0" distL="0" distR="0">
            <wp:extent cx="4857750" cy="22764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857750" cy="2276475"/>
                    </a:xfrm>
                    <a:prstGeom prst="rect">
                      <a:avLst/>
                    </a:prstGeom>
                    <a:noFill/>
                    <a:ln>
                      <a:noFill/>
                    </a:ln>
                  </pic:spPr>
                </pic:pic>
              </a:graphicData>
            </a:graphic>
          </wp:inline>
        </w:drawing>
      </w:r>
    </w:p>
    <w:p w:rsidR="00E3259F" w:rsidRDefault="00E3259F" w:rsidP="00E3259F">
      <w:pPr>
        <w:spacing w:line="360" w:lineRule="auto"/>
        <w:jc w:val="center"/>
        <w:rPr>
          <w:sz w:val="28"/>
          <w:szCs w:val="28"/>
          <w:lang w:val="uk-UA"/>
        </w:rPr>
      </w:pPr>
      <w:r w:rsidRPr="00E45952">
        <w:rPr>
          <w:sz w:val="28"/>
          <w:szCs w:val="28"/>
        </w:rPr>
        <w:t>Рис</w:t>
      </w:r>
      <w:r w:rsidR="00E45952">
        <w:rPr>
          <w:sz w:val="28"/>
          <w:szCs w:val="28"/>
          <w:lang w:val="uk-UA"/>
        </w:rPr>
        <w:t>унок</w:t>
      </w:r>
      <w:r w:rsidRPr="00E45952">
        <w:rPr>
          <w:sz w:val="28"/>
          <w:szCs w:val="28"/>
        </w:rPr>
        <w:t xml:space="preserve"> </w:t>
      </w:r>
      <w:r w:rsidRPr="00E45952">
        <w:rPr>
          <w:sz w:val="28"/>
          <w:szCs w:val="28"/>
          <w:lang w:val="uk-UA"/>
        </w:rPr>
        <w:t>7.3</w:t>
      </w:r>
      <w:r>
        <w:rPr>
          <w:sz w:val="28"/>
          <w:szCs w:val="28"/>
        </w:rPr>
        <w:t xml:space="preserve"> – Д</w:t>
      </w:r>
      <w:r>
        <w:rPr>
          <w:sz w:val="28"/>
          <w:szCs w:val="28"/>
          <w:lang w:val="uk-UA"/>
        </w:rPr>
        <w:t>і</w:t>
      </w:r>
      <w:r>
        <w:rPr>
          <w:sz w:val="28"/>
          <w:szCs w:val="28"/>
        </w:rPr>
        <w:t>аграма класиф</w:t>
      </w:r>
      <w:r>
        <w:rPr>
          <w:sz w:val="28"/>
          <w:szCs w:val="28"/>
          <w:lang w:val="uk-UA"/>
        </w:rPr>
        <w:t>і</w:t>
      </w:r>
      <w:r>
        <w:rPr>
          <w:sz w:val="28"/>
          <w:szCs w:val="28"/>
        </w:rPr>
        <w:t>кац</w:t>
      </w:r>
      <w:r>
        <w:rPr>
          <w:sz w:val="28"/>
          <w:szCs w:val="28"/>
          <w:lang w:val="uk-UA"/>
        </w:rPr>
        <w:t>ії. Символи: 1 - немає ССУ; 2 - є ССУ.</w:t>
      </w:r>
    </w:p>
    <w:p w:rsidR="00E45952" w:rsidRDefault="00E45952" w:rsidP="00E3259F">
      <w:pPr>
        <w:spacing w:line="360" w:lineRule="auto"/>
        <w:ind w:firstLine="709"/>
        <w:jc w:val="both"/>
        <w:rPr>
          <w:sz w:val="28"/>
          <w:szCs w:val="28"/>
          <w:lang w:val="uk-UA"/>
        </w:rPr>
      </w:pPr>
    </w:p>
    <w:p w:rsidR="00E3259F" w:rsidRDefault="00E3259F" w:rsidP="00E3259F">
      <w:pPr>
        <w:spacing w:line="360" w:lineRule="auto"/>
        <w:ind w:firstLine="709"/>
        <w:jc w:val="both"/>
        <w:rPr>
          <w:sz w:val="28"/>
          <w:szCs w:val="28"/>
          <w:lang w:val="uk-UA"/>
        </w:rPr>
      </w:pPr>
      <w:r>
        <w:rPr>
          <w:sz w:val="28"/>
          <w:szCs w:val="28"/>
          <w:lang w:val="uk-UA"/>
        </w:rPr>
        <w:t>Точкою розподілу слугувало значення р = 0,5.</w:t>
      </w:r>
    </w:p>
    <w:p w:rsidR="00E3259F" w:rsidRPr="00E45952" w:rsidRDefault="00E3259F" w:rsidP="00E3259F">
      <w:pPr>
        <w:spacing w:line="360" w:lineRule="auto"/>
        <w:ind w:firstLine="709"/>
        <w:jc w:val="both"/>
        <w:rPr>
          <w:sz w:val="28"/>
          <w:szCs w:val="28"/>
          <w:lang w:val="uk-UA"/>
        </w:rPr>
      </w:pPr>
      <w:r w:rsidRPr="00E45952">
        <w:rPr>
          <w:sz w:val="28"/>
          <w:szCs w:val="28"/>
          <w:lang w:val="uk-UA"/>
        </w:rPr>
        <w:t>По горизонтальній осі відкладені значення прогнозованої ймовірності, які обчислюють за рівнянням регресії, по вертикалі - частоти. Таким чином, кожен стовпчик на діаграмі відповідає певній передбаченій ймовірності, а його висота - кількості об'єктів, для яких передбачена ця можливість. Чим ближче значення прогнозованої імовірності до одиниці, тим імовірніше розвиток серцево-судинних ускладнень.</w:t>
      </w:r>
    </w:p>
    <w:p w:rsidR="00E3259F" w:rsidRPr="00E45952" w:rsidRDefault="00E3259F" w:rsidP="00E3259F">
      <w:pPr>
        <w:pStyle w:val="a4"/>
        <w:spacing w:line="360" w:lineRule="auto"/>
        <w:ind w:left="283" w:firstLine="567"/>
        <w:jc w:val="both"/>
        <w:rPr>
          <w:rStyle w:val="shorttext"/>
          <w:rFonts w:asciiTheme="minorHAnsi" w:eastAsiaTheme="minorHAnsi" w:hAnsiTheme="minorHAnsi" w:cstheme="minorBidi"/>
          <w:sz w:val="22"/>
          <w:szCs w:val="22"/>
          <w:lang w:eastAsia="en-US"/>
        </w:rPr>
      </w:pPr>
      <w:r w:rsidRPr="00E45952">
        <w:rPr>
          <w:rStyle w:val="shorttext"/>
          <w:rFonts w:eastAsiaTheme="minorHAnsi" w:cstheme="minorBidi"/>
          <w:sz w:val="28"/>
          <w:szCs w:val="28"/>
          <w:lang w:val="uk-UA" w:eastAsia="en-US"/>
        </w:rPr>
        <w:t>Загальна оцінка згоди між впливом виявлених у моделі факторами ризику та реально зафіксованим настанням несприятливого результату проводилася з використанням тесту згоди Хосмера-Лемешова, значення якого (= 0,554, p = 1,000), свідчить про високу якість підібраної моделі.</w:t>
      </w:r>
    </w:p>
    <w:p w:rsidR="00E3259F" w:rsidRPr="00E45952" w:rsidRDefault="00E3259F" w:rsidP="00E3259F">
      <w:pPr>
        <w:pStyle w:val="a4"/>
        <w:spacing w:line="360" w:lineRule="auto"/>
        <w:ind w:left="0" w:firstLine="567"/>
        <w:jc w:val="both"/>
        <w:rPr>
          <w:rStyle w:val="shorttext"/>
          <w:rFonts w:eastAsiaTheme="minorHAnsi" w:cstheme="minorBidi"/>
          <w:sz w:val="28"/>
          <w:szCs w:val="28"/>
          <w:lang w:val="uk-UA" w:eastAsia="en-US"/>
        </w:rPr>
      </w:pPr>
      <w:r w:rsidRPr="00E45952">
        <w:rPr>
          <w:rStyle w:val="shorttext"/>
          <w:rFonts w:eastAsiaTheme="minorHAnsi" w:cstheme="minorBidi"/>
          <w:sz w:val="28"/>
          <w:szCs w:val="28"/>
          <w:lang w:val="uk-UA" w:eastAsia="en-US"/>
        </w:rPr>
        <w:t>Для дослідження якості синтезованої математичної моделі проводився ROC-аналіз (receiver operating characteristic, аналіз операційної характеристичної кривої), який виявив її характеристики. Інтегральна оцінка ефективності виведеного прогностичного правила, заснована на співвідношенні чутливості і специфічності тесту, представлена ​​на рисунку 7.4. На рисунку 7.4 зелена діагональна лінія відповідає «марному» класифікатору, тобто повній нерозрізненості двох груп; синя крива є ROC-кривою.</w:t>
      </w:r>
    </w:p>
    <w:p w:rsidR="00E3259F" w:rsidRPr="00E45952" w:rsidRDefault="00E3259F" w:rsidP="00E3259F">
      <w:pPr>
        <w:pStyle w:val="a4"/>
        <w:spacing w:line="360" w:lineRule="auto"/>
        <w:ind w:left="0" w:firstLine="567"/>
        <w:jc w:val="both"/>
        <w:rPr>
          <w:rStyle w:val="shorttext"/>
          <w:rFonts w:eastAsiaTheme="minorHAnsi" w:cstheme="minorBidi"/>
          <w:sz w:val="28"/>
          <w:szCs w:val="28"/>
          <w:lang w:val="uk-UA" w:eastAsia="en-US"/>
        </w:rPr>
      </w:pPr>
    </w:p>
    <w:p w:rsidR="00E3259F" w:rsidRPr="00E45952" w:rsidRDefault="00E3259F" w:rsidP="00E3259F">
      <w:pPr>
        <w:pStyle w:val="a4"/>
        <w:spacing w:line="360" w:lineRule="auto"/>
        <w:ind w:left="0" w:firstLine="567"/>
        <w:jc w:val="both"/>
        <w:rPr>
          <w:rStyle w:val="shorttext"/>
          <w:rFonts w:eastAsiaTheme="minorHAnsi" w:cstheme="minorBidi"/>
          <w:sz w:val="28"/>
          <w:szCs w:val="28"/>
          <w:lang w:val="uk-UA" w:eastAsia="en-US"/>
        </w:rPr>
      </w:pPr>
      <w:r w:rsidRPr="00E45952">
        <w:rPr>
          <w:rFonts w:ascii="Tahoma" w:hAnsi="Tahoma" w:cs="Tahoma"/>
          <w:noProof/>
          <w:sz w:val="16"/>
          <w:szCs w:val="16"/>
        </w:rPr>
        <w:drawing>
          <wp:inline distT="0" distB="0" distL="0" distR="0" wp14:anchorId="3C08FF45" wp14:editId="4035C957">
            <wp:extent cx="2990850" cy="28765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990850" cy="2876550"/>
                    </a:xfrm>
                    <a:prstGeom prst="rect">
                      <a:avLst/>
                    </a:prstGeom>
                    <a:noFill/>
                    <a:ln>
                      <a:noFill/>
                    </a:ln>
                  </pic:spPr>
                </pic:pic>
              </a:graphicData>
            </a:graphic>
          </wp:inline>
        </w:drawing>
      </w:r>
    </w:p>
    <w:p w:rsidR="00E3259F" w:rsidRPr="00E45952" w:rsidRDefault="00E3259F" w:rsidP="00E3259F">
      <w:pPr>
        <w:widowControl w:val="0"/>
        <w:autoSpaceDE w:val="0"/>
        <w:autoSpaceDN w:val="0"/>
        <w:adjustRightInd w:val="0"/>
        <w:spacing w:line="360" w:lineRule="auto"/>
        <w:rPr>
          <w:bCs/>
          <w:lang w:val="uk-UA"/>
        </w:rPr>
      </w:pPr>
      <w:r w:rsidRPr="00E45952">
        <w:rPr>
          <w:sz w:val="28"/>
          <w:szCs w:val="28"/>
          <w:lang w:val="uk-UA"/>
        </w:rPr>
        <w:t xml:space="preserve">               Рисунок 7.4 – </w:t>
      </w:r>
      <w:r w:rsidRPr="00E45952">
        <w:rPr>
          <w:bCs/>
          <w:sz w:val="28"/>
          <w:szCs w:val="28"/>
        </w:rPr>
        <w:t>ROC</w:t>
      </w:r>
      <w:r w:rsidRPr="00E45952">
        <w:rPr>
          <w:bCs/>
          <w:sz w:val="28"/>
          <w:szCs w:val="28"/>
          <w:lang w:val="uk-UA"/>
        </w:rPr>
        <w:t xml:space="preserve"> крива</w:t>
      </w:r>
    </w:p>
    <w:p w:rsidR="00E3259F" w:rsidRDefault="00E3259F" w:rsidP="00E3259F">
      <w:pPr>
        <w:widowControl w:val="0"/>
        <w:autoSpaceDE w:val="0"/>
        <w:autoSpaceDN w:val="0"/>
        <w:adjustRightInd w:val="0"/>
        <w:spacing w:line="360" w:lineRule="auto"/>
        <w:rPr>
          <w:bCs/>
          <w:color w:val="000000"/>
          <w:sz w:val="28"/>
          <w:szCs w:val="28"/>
          <w:lang w:val="uk-UA"/>
        </w:rPr>
      </w:pPr>
    </w:p>
    <w:p w:rsidR="00E3259F" w:rsidRPr="00E45952" w:rsidRDefault="00E3259F" w:rsidP="00E45952">
      <w:pPr>
        <w:spacing w:line="360" w:lineRule="auto"/>
        <w:jc w:val="both"/>
        <w:rPr>
          <w:rFonts w:eastAsiaTheme="majorEastAsia"/>
          <w:lang w:val="uk-UA"/>
        </w:rPr>
      </w:pPr>
      <w:r w:rsidRPr="00E45952">
        <w:rPr>
          <w:sz w:val="28"/>
          <w:szCs w:val="28"/>
          <w:lang w:val="uk-UA"/>
        </w:rPr>
        <w:t>Представлене в таблиці 7.2.4 значення площі під ROC-кривою, що дозволяє оцінити діагностичну цінність моделі, становило 0,991 [0,978; 1,000], що свідчить про дуже хорошу якість моделі. Вважають, що значення площі від 0,9 до 1 відповідає відмінній якості моделі, від 0,8-0,9 - дуже хороша якість моделі, 0,7-0,8 - хороша, 0,6-0,7 - середня 0,5 -0,6 - незадовільна.</w:t>
      </w:r>
    </w:p>
    <w:p w:rsidR="00E3259F" w:rsidRPr="00E45952" w:rsidRDefault="00E3259F" w:rsidP="00E45952">
      <w:pPr>
        <w:autoSpaceDE w:val="0"/>
        <w:autoSpaceDN w:val="0"/>
        <w:adjustRightInd w:val="0"/>
        <w:spacing w:line="360" w:lineRule="auto"/>
        <w:jc w:val="right"/>
        <w:rPr>
          <w:bCs/>
          <w:sz w:val="28"/>
          <w:szCs w:val="28"/>
          <w:lang w:val="uk-UA"/>
        </w:rPr>
      </w:pPr>
      <w:r w:rsidRPr="00E45952">
        <w:rPr>
          <w:bCs/>
          <w:sz w:val="28"/>
          <w:szCs w:val="28"/>
        </w:rPr>
        <w:t>Таблиц</w:t>
      </w:r>
      <w:r w:rsidRPr="00E45952">
        <w:rPr>
          <w:bCs/>
          <w:sz w:val="28"/>
          <w:szCs w:val="28"/>
          <w:lang w:val="uk-UA"/>
        </w:rPr>
        <w:t>я 7.8</w:t>
      </w:r>
    </w:p>
    <w:p w:rsidR="00E3259F" w:rsidRPr="00E45952" w:rsidRDefault="00E3259F" w:rsidP="00E45952">
      <w:pPr>
        <w:autoSpaceDE w:val="0"/>
        <w:autoSpaceDN w:val="0"/>
        <w:adjustRightInd w:val="0"/>
        <w:spacing w:line="360" w:lineRule="auto"/>
        <w:jc w:val="center"/>
        <w:rPr>
          <w:sz w:val="28"/>
          <w:szCs w:val="28"/>
          <w:lang w:val="uk-UA"/>
        </w:rPr>
      </w:pPr>
      <w:r w:rsidRPr="00E45952">
        <w:rPr>
          <w:bCs/>
          <w:sz w:val="28"/>
          <w:szCs w:val="28"/>
        </w:rPr>
        <w:t>Результат</w:t>
      </w:r>
      <w:r w:rsidRPr="00E45952">
        <w:rPr>
          <w:bCs/>
          <w:sz w:val="28"/>
          <w:szCs w:val="28"/>
          <w:lang w:val="uk-UA"/>
        </w:rPr>
        <w:t xml:space="preserve">и </w:t>
      </w:r>
      <w:r w:rsidRPr="00E45952">
        <w:rPr>
          <w:sz w:val="28"/>
          <w:szCs w:val="28"/>
        </w:rPr>
        <w:t>ROC-анал</w:t>
      </w:r>
      <w:r w:rsidRPr="00E45952">
        <w:rPr>
          <w:sz w:val="28"/>
          <w:szCs w:val="28"/>
          <w:lang w:val="uk-UA"/>
        </w:rPr>
        <w:t>і</w:t>
      </w:r>
      <w:r w:rsidRPr="00E45952">
        <w:rPr>
          <w:sz w:val="28"/>
          <w:szCs w:val="28"/>
        </w:rPr>
        <w:t>з</w:t>
      </w:r>
      <w:r w:rsidRPr="00E45952">
        <w:rPr>
          <w:sz w:val="28"/>
          <w:szCs w:val="28"/>
          <w:lang w:val="uk-UA"/>
        </w:rPr>
        <w:t>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448"/>
        <w:gridCol w:w="1700"/>
        <w:gridCol w:w="2051"/>
        <w:gridCol w:w="1968"/>
        <w:gridCol w:w="2248"/>
      </w:tblGrid>
      <w:tr w:rsidR="00E3259F" w:rsidRPr="00E45952" w:rsidTr="00E3259F">
        <w:trPr>
          <w:cantSplit/>
          <w:tblHeader/>
        </w:trPr>
        <w:tc>
          <w:tcPr>
            <w:tcW w:w="2761" w:type="pct"/>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val="uk-UA" w:eastAsia="en-US"/>
              </w:rPr>
            </w:pPr>
            <w:r w:rsidRPr="00E45952">
              <w:rPr>
                <w:bCs/>
                <w:sz w:val="28"/>
                <w:szCs w:val="28"/>
                <w:lang w:eastAsia="en-US"/>
              </w:rPr>
              <w:t xml:space="preserve">Характеристики ROC </w:t>
            </w:r>
            <w:r w:rsidRPr="00E45952">
              <w:rPr>
                <w:bCs/>
                <w:sz w:val="28"/>
                <w:szCs w:val="28"/>
                <w:lang w:val="uk-UA" w:eastAsia="en-US"/>
              </w:rPr>
              <w:t>-к</w:t>
            </w:r>
            <w:r w:rsidRPr="00E45952">
              <w:rPr>
                <w:bCs/>
                <w:sz w:val="28"/>
                <w:szCs w:val="28"/>
                <w:lang w:eastAsia="en-US"/>
              </w:rPr>
              <w:t>риво</w:t>
            </w:r>
            <w:r w:rsidRPr="00E45952">
              <w:rPr>
                <w:bCs/>
                <w:sz w:val="28"/>
                <w:szCs w:val="28"/>
                <w:lang w:val="uk-UA" w:eastAsia="en-US"/>
              </w:rPr>
              <w:t>ї</w:t>
            </w:r>
          </w:p>
        </w:tc>
        <w:tc>
          <w:tcPr>
            <w:tcW w:w="2239" w:type="pct"/>
            <w:gridSpan w:val="2"/>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 xml:space="preserve">95% </w:t>
            </w:r>
            <w:r w:rsidRPr="00E45952">
              <w:rPr>
                <w:sz w:val="28"/>
                <w:szCs w:val="28"/>
                <w:lang w:val="uk-UA" w:eastAsia="en-US"/>
              </w:rPr>
              <w:t>д</w:t>
            </w:r>
            <w:r w:rsidRPr="00E45952">
              <w:rPr>
                <w:sz w:val="28"/>
                <w:szCs w:val="28"/>
                <w:lang w:eastAsia="en-US"/>
              </w:rPr>
              <w:t>овірчий інтервал</w:t>
            </w:r>
          </w:p>
        </w:tc>
      </w:tr>
      <w:tr w:rsidR="00E3259F" w:rsidRPr="00E45952" w:rsidTr="00E3259F">
        <w:trPr>
          <w:cantSplit/>
          <w:tblHeader/>
        </w:trPr>
        <w:tc>
          <w:tcPr>
            <w:tcW w:w="76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Площа</w:t>
            </w:r>
          </w:p>
        </w:tc>
        <w:tc>
          <w:tcPr>
            <w:tcW w:w="90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val="uk-UA" w:eastAsia="en-US"/>
              </w:rPr>
            </w:pPr>
            <w:r w:rsidRPr="00E45952">
              <w:rPr>
                <w:sz w:val="28"/>
                <w:szCs w:val="28"/>
                <w:lang w:eastAsia="en-US"/>
              </w:rPr>
              <w:t xml:space="preserve">Стандартна </w:t>
            </w:r>
            <w:r w:rsidRPr="00E45952">
              <w:rPr>
                <w:sz w:val="28"/>
                <w:szCs w:val="28"/>
                <w:lang w:val="uk-UA" w:eastAsia="en-US"/>
              </w:rPr>
              <w:t>помилка</w:t>
            </w:r>
          </w:p>
        </w:tc>
        <w:tc>
          <w:tcPr>
            <w:tcW w:w="108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Значим</w:t>
            </w:r>
            <w:r w:rsidRPr="00E45952">
              <w:rPr>
                <w:sz w:val="28"/>
                <w:szCs w:val="28"/>
                <w:lang w:val="uk-UA" w:eastAsia="en-US"/>
              </w:rPr>
              <w:t>і</w:t>
            </w:r>
            <w:r w:rsidRPr="00E45952">
              <w:rPr>
                <w:sz w:val="28"/>
                <w:szCs w:val="28"/>
                <w:lang w:eastAsia="en-US"/>
              </w:rPr>
              <w:t xml:space="preserve">сть </w:t>
            </w:r>
            <w:r w:rsidRPr="00E45952">
              <w:rPr>
                <w:i/>
                <w:sz w:val="28"/>
                <w:szCs w:val="28"/>
                <w:lang w:eastAsia="en-US"/>
              </w:rPr>
              <w:t>Р</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val="uk-UA" w:eastAsia="en-US"/>
              </w:rPr>
            </w:pPr>
            <w:r w:rsidRPr="00E45952">
              <w:rPr>
                <w:sz w:val="28"/>
                <w:szCs w:val="28"/>
                <w:lang w:eastAsia="en-US"/>
              </w:rPr>
              <w:t xml:space="preserve">Нижня </w:t>
            </w:r>
            <w:r w:rsidRPr="00E45952">
              <w:rPr>
                <w:sz w:val="28"/>
                <w:szCs w:val="28"/>
                <w:lang w:val="uk-UA" w:eastAsia="en-US"/>
              </w:rPr>
              <w:t>межа</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Верхня</w:t>
            </w:r>
            <w:r w:rsidRPr="00E45952">
              <w:rPr>
                <w:sz w:val="28"/>
                <w:szCs w:val="28"/>
                <w:lang w:val="uk-UA" w:eastAsia="en-US"/>
              </w:rPr>
              <w:t>я межа</w:t>
            </w:r>
          </w:p>
        </w:tc>
      </w:tr>
      <w:tr w:rsidR="00E3259F" w:rsidRPr="00E45952" w:rsidTr="00E3259F">
        <w:trPr>
          <w:cantSplit/>
          <w:tblHeader/>
        </w:trPr>
        <w:tc>
          <w:tcPr>
            <w:tcW w:w="76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0,991</w:t>
            </w:r>
          </w:p>
        </w:tc>
        <w:tc>
          <w:tcPr>
            <w:tcW w:w="90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0,007</w:t>
            </w:r>
          </w:p>
        </w:tc>
        <w:tc>
          <w:tcPr>
            <w:tcW w:w="1089"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0,001</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0,978</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E45952" w:rsidRDefault="00E3259F" w:rsidP="00E45952">
            <w:pPr>
              <w:widowControl w:val="0"/>
              <w:autoSpaceDE w:val="0"/>
              <w:autoSpaceDN w:val="0"/>
              <w:adjustRightInd w:val="0"/>
              <w:spacing w:line="360" w:lineRule="auto"/>
              <w:jc w:val="center"/>
              <w:rPr>
                <w:sz w:val="28"/>
                <w:szCs w:val="28"/>
                <w:lang w:eastAsia="en-US"/>
              </w:rPr>
            </w:pPr>
            <w:r w:rsidRPr="00E45952">
              <w:rPr>
                <w:sz w:val="28"/>
                <w:szCs w:val="28"/>
                <w:lang w:eastAsia="en-US"/>
              </w:rPr>
              <w:t>1,000</w:t>
            </w:r>
          </w:p>
        </w:tc>
      </w:tr>
    </w:tbl>
    <w:p w:rsidR="00E3259F" w:rsidRPr="00E45952" w:rsidRDefault="00E3259F" w:rsidP="00E45952">
      <w:pPr>
        <w:spacing w:line="360" w:lineRule="auto"/>
        <w:jc w:val="both"/>
        <w:rPr>
          <w:rFonts w:eastAsia="Calibri" w:cstheme="minorBidi"/>
          <w:sz w:val="28"/>
          <w:szCs w:val="28"/>
          <w:lang w:eastAsia="en-US"/>
        </w:rPr>
      </w:pPr>
    </w:p>
    <w:p w:rsidR="00E3259F" w:rsidRPr="00E45952" w:rsidRDefault="00E3259F" w:rsidP="00E45952">
      <w:pPr>
        <w:spacing w:line="360" w:lineRule="auto"/>
        <w:ind w:firstLine="709"/>
        <w:jc w:val="both"/>
        <w:rPr>
          <w:rFonts w:eastAsiaTheme="minorHAnsi"/>
          <w:sz w:val="28"/>
          <w:szCs w:val="28"/>
          <w:lang w:val="uk-UA" w:eastAsia="en-US"/>
        </w:rPr>
      </w:pPr>
      <w:r w:rsidRPr="00E45952">
        <w:rPr>
          <w:sz w:val="28"/>
          <w:szCs w:val="28"/>
          <w:lang w:val="uk-UA"/>
        </w:rPr>
        <w:t>Таким чином, параметри ВДТ крові, ВДТ клітин букального епітелію; САТ; ПАТ; 8-OH-dG плазми; ТТГ; ВЕФР можуть слугувати ризиком виникнення ССУ у пацієнтів на ГХ та ЦД  2 типу в поєднанні з СГТ.</w:t>
      </w:r>
    </w:p>
    <w:p w:rsidR="00E3259F" w:rsidRPr="00E45952" w:rsidRDefault="00E3259F" w:rsidP="00E45952">
      <w:pPr>
        <w:spacing w:line="360" w:lineRule="auto"/>
        <w:ind w:firstLine="709"/>
        <w:jc w:val="both"/>
        <w:rPr>
          <w:sz w:val="28"/>
          <w:szCs w:val="28"/>
          <w:lang w:val="uk-UA"/>
        </w:rPr>
      </w:pPr>
      <w:r w:rsidRPr="00E45952">
        <w:rPr>
          <w:sz w:val="28"/>
          <w:szCs w:val="28"/>
          <w:lang w:val="uk-UA"/>
        </w:rPr>
        <w:t xml:space="preserve">Застосування синтезованої логістичної моделі дозволить проводити своєчасну оцінку ризику розвитку ССУ в пацієнтів з коморбідним перебігом ГХ, ЦД 2 типу та СГТ та проводити необхідні лікувально-профілактичні заходи щодо запобігання їх розвитку. </w:t>
      </w:r>
    </w:p>
    <w:p w:rsidR="00E3259F" w:rsidRPr="00E45952" w:rsidRDefault="00E3259F" w:rsidP="00E45952">
      <w:pPr>
        <w:suppressAutoHyphens/>
        <w:overflowPunct w:val="0"/>
        <w:autoSpaceDE w:val="0"/>
        <w:autoSpaceDN w:val="0"/>
        <w:adjustRightInd w:val="0"/>
        <w:spacing w:line="360" w:lineRule="auto"/>
        <w:ind w:firstLine="709"/>
        <w:jc w:val="both"/>
        <w:textAlignment w:val="baseline"/>
        <w:rPr>
          <w:rFonts w:eastAsia="Calibri"/>
          <w:sz w:val="28"/>
          <w:szCs w:val="28"/>
        </w:rPr>
      </w:pPr>
      <w:r w:rsidRPr="00E45952">
        <w:rPr>
          <w:sz w:val="28"/>
          <w:szCs w:val="28"/>
        </w:rPr>
        <w:t xml:space="preserve">Для ілюстрації особливостей клінічного перебігу </w:t>
      </w:r>
      <w:r w:rsidRPr="00E45952">
        <w:rPr>
          <w:sz w:val="28"/>
          <w:szCs w:val="28"/>
          <w:lang w:val="uk-UA"/>
        </w:rPr>
        <w:t xml:space="preserve">зазначених коморбідних захворювань наводимо </w:t>
      </w:r>
      <w:r w:rsidRPr="00E45952">
        <w:rPr>
          <w:rFonts w:eastAsia="Calibri"/>
          <w:sz w:val="28"/>
          <w:szCs w:val="28"/>
        </w:rPr>
        <w:t>два клінічні випадки.</w:t>
      </w:r>
    </w:p>
    <w:p w:rsidR="00E3259F" w:rsidRPr="00E45952" w:rsidRDefault="00E3259F" w:rsidP="00E45952">
      <w:pPr>
        <w:tabs>
          <w:tab w:val="left" w:pos="0"/>
        </w:tabs>
        <w:spacing w:line="360" w:lineRule="auto"/>
        <w:ind w:firstLine="709"/>
        <w:jc w:val="both"/>
        <w:rPr>
          <w:sz w:val="28"/>
          <w:szCs w:val="28"/>
          <w:lang w:val="uk-UA"/>
        </w:rPr>
      </w:pPr>
      <w:r w:rsidRPr="00E45952">
        <w:rPr>
          <w:rFonts w:eastAsia="Calibri"/>
          <w:sz w:val="28"/>
          <w:szCs w:val="28"/>
        </w:rPr>
        <w:t>Клінічний випадок 1</w:t>
      </w:r>
      <w:r w:rsidRPr="00E45952">
        <w:rPr>
          <w:rFonts w:eastAsia="Calibri"/>
          <w:sz w:val="28"/>
          <w:szCs w:val="28"/>
          <w:lang w:val="uk-UA"/>
        </w:rPr>
        <w:t xml:space="preserve">. </w:t>
      </w:r>
      <w:r w:rsidRPr="00E45952">
        <w:rPr>
          <w:sz w:val="28"/>
          <w:szCs w:val="28"/>
          <w:lang w:val="uk-UA"/>
        </w:rPr>
        <w:t>Хвора Б., 65 років, амбулаторна картка,2017,звернулася зі скаргами на періодичне відчуття болі в ділянці серця, слабкість, запаморочення, порушення сну, погіршення пам’яті, плаксивість, задишку, періодичне відчуття прискоренного серцебиття, іноді підвищену спрагу.</w:t>
      </w:r>
    </w:p>
    <w:p w:rsidR="00E3259F" w:rsidRPr="00E45952" w:rsidRDefault="00E3259F" w:rsidP="00E45952">
      <w:pPr>
        <w:tabs>
          <w:tab w:val="left" w:pos="360"/>
        </w:tabs>
        <w:spacing w:line="360" w:lineRule="auto"/>
        <w:ind w:firstLine="709"/>
        <w:jc w:val="both"/>
        <w:rPr>
          <w:b/>
          <w:bCs/>
          <w:sz w:val="28"/>
          <w:szCs w:val="28"/>
        </w:rPr>
      </w:pPr>
      <w:r w:rsidRPr="00E45952">
        <w:rPr>
          <w:sz w:val="28"/>
          <w:szCs w:val="28"/>
        </w:rPr>
        <w:t>Пров</w:t>
      </w:r>
      <w:r w:rsidRPr="00E45952">
        <w:rPr>
          <w:sz w:val="28"/>
          <w:szCs w:val="28"/>
          <w:lang w:val="uk-UA"/>
        </w:rPr>
        <w:t xml:space="preserve">едено </w:t>
      </w:r>
      <w:r w:rsidRPr="00E45952">
        <w:rPr>
          <w:sz w:val="28"/>
          <w:szCs w:val="28"/>
        </w:rPr>
        <w:t>загальноприйняті методи обстеження: анамнез захворювання та анамнез життя, об’єктивне обстеження.</w:t>
      </w:r>
    </w:p>
    <w:p w:rsidR="00E3259F" w:rsidRPr="00E45952" w:rsidRDefault="00E3259F" w:rsidP="00E45952">
      <w:pPr>
        <w:spacing w:line="360" w:lineRule="auto"/>
        <w:ind w:firstLine="709"/>
        <w:jc w:val="both"/>
        <w:rPr>
          <w:sz w:val="28"/>
          <w:szCs w:val="28"/>
          <w:lang w:val="uk-UA"/>
        </w:rPr>
      </w:pPr>
      <w:r w:rsidRPr="00E45952">
        <w:rPr>
          <w:sz w:val="28"/>
          <w:szCs w:val="28"/>
        </w:rPr>
        <w:t>А</w:t>
      </w:r>
      <w:r w:rsidRPr="00E45952">
        <w:rPr>
          <w:bCs/>
          <w:sz w:val="28"/>
          <w:szCs w:val="28"/>
        </w:rPr>
        <w:t>намнез захворювання</w:t>
      </w:r>
      <w:r w:rsidRPr="00E45952">
        <w:rPr>
          <w:b/>
          <w:bCs/>
          <w:sz w:val="28"/>
          <w:szCs w:val="28"/>
        </w:rPr>
        <w:t>:</w:t>
      </w:r>
      <w:r w:rsidRPr="00E45952">
        <w:rPr>
          <w:sz w:val="28"/>
          <w:szCs w:val="28"/>
        </w:rPr>
        <w:t xml:space="preserve"> </w:t>
      </w:r>
      <w:r w:rsidRPr="00E45952">
        <w:rPr>
          <w:snapToGrid w:val="0"/>
          <w:sz w:val="28"/>
          <w:szCs w:val="28"/>
        </w:rPr>
        <w:t xml:space="preserve">вважає себе хворою </w:t>
      </w:r>
      <w:r w:rsidRPr="00E45952">
        <w:rPr>
          <w:snapToGrid w:val="0"/>
          <w:sz w:val="28"/>
          <w:szCs w:val="28"/>
          <w:lang w:val="uk-UA"/>
        </w:rPr>
        <w:t>7,5 роки</w:t>
      </w:r>
      <w:r w:rsidRPr="00E45952">
        <w:rPr>
          <w:snapToGrid w:val="0"/>
          <w:sz w:val="28"/>
          <w:szCs w:val="28"/>
        </w:rPr>
        <w:t>, коли вперше зафіксовано підвищення артеріального тиску та діагностовано Г</w:t>
      </w:r>
      <w:r w:rsidRPr="00E45952">
        <w:rPr>
          <w:snapToGrid w:val="0"/>
          <w:sz w:val="28"/>
          <w:szCs w:val="28"/>
          <w:lang w:val="uk-UA"/>
        </w:rPr>
        <w:t>Х</w:t>
      </w:r>
      <w:r w:rsidRPr="00E45952">
        <w:rPr>
          <w:snapToGrid w:val="0"/>
          <w:sz w:val="28"/>
          <w:szCs w:val="28"/>
        </w:rPr>
        <w:t xml:space="preserve"> ІІ ст., цукровий діабет 2 типу було діагностовано </w:t>
      </w:r>
      <w:r w:rsidRPr="00E45952">
        <w:rPr>
          <w:snapToGrid w:val="0"/>
          <w:sz w:val="28"/>
          <w:szCs w:val="28"/>
          <w:lang w:val="uk-UA"/>
        </w:rPr>
        <w:t>4,5</w:t>
      </w:r>
      <w:r w:rsidRPr="00E45952">
        <w:rPr>
          <w:snapToGrid w:val="0"/>
          <w:sz w:val="28"/>
          <w:szCs w:val="28"/>
        </w:rPr>
        <w:t xml:space="preserve"> роки </w:t>
      </w:r>
      <w:r w:rsidRPr="00E45952">
        <w:rPr>
          <w:snapToGrid w:val="0"/>
          <w:sz w:val="28"/>
          <w:szCs w:val="28"/>
          <w:lang w:val="uk-UA"/>
        </w:rPr>
        <w:t>поспіль</w:t>
      </w:r>
      <w:r w:rsidRPr="00E45952">
        <w:rPr>
          <w:snapToGrid w:val="0"/>
          <w:sz w:val="28"/>
          <w:szCs w:val="28"/>
        </w:rPr>
        <w:t xml:space="preserve">. При плановому обстеженні </w:t>
      </w:r>
      <w:r w:rsidRPr="00E45952">
        <w:rPr>
          <w:snapToGrid w:val="0"/>
          <w:sz w:val="28"/>
          <w:szCs w:val="28"/>
          <w:lang w:val="uk-UA"/>
        </w:rPr>
        <w:t xml:space="preserve">6 місяців по тому діагностований </w:t>
      </w:r>
      <w:r w:rsidRPr="00E45952">
        <w:rPr>
          <w:snapToGrid w:val="0"/>
          <w:sz w:val="28"/>
          <w:szCs w:val="28"/>
        </w:rPr>
        <w:t>субклінічн</w:t>
      </w:r>
      <w:r w:rsidRPr="00E45952">
        <w:rPr>
          <w:snapToGrid w:val="0"/>
          <w:sz w:val="28"/>
          <w:szCs w:val="28"/>
          <w:lang w:val="uk-UA"/>
        </w:rPr>
        <w:t>ий</w:t>
      </w:r>
      <w:r w:rsidRPr="00E45952">
        <w:rPr>
          <w:snapToGrid w:val="0"/>
          <w:sz w:val="28"/>
          <w:szCs w:val="28"/>
        </w:rPr>
        <w:t xml:space="preserve"> гіпотиреоз</w:t>
      </w:r>
      <w:r w:rsidRPr="00E45952">
        <w:rPr>
          <w:snapToGrid w:val="0"/>
          <w:sz w:val="28"/>
          <w:szCs w:val="28"/>
          <w:lang w:val="uk-UA"/>
        </w:rPr>
        <w:t xml:space="preserve">. </w:t>
      </w:r>
      <w:r w:rsidRPr="00E45952">
        <w:rPr>
          <w:bCs/>
          <w:sz w:val="28"/>
          <w:szCs w:val="28"/>
        </w:rPr>
        <w:t>Об’єктивне обстеження</w:t>
      </w:r>
      <w:r w:rsidRPr="00E45952">
        <w:rPr>
          <w:b/>
          <w:bCs/>
          <w:sz w:val="28"/>
          <w:szCs w:val="28"/>
        </w:rPr>
        <w:t>:</w:t>
      </w:r>
      <w:r w:rsidRPr="00E45952">
        <w:rPr>
          <w:sz w:val="28"/>
          <w:szCs w:val="28"/>
        </w:rPr>
        <w:t xml:space="preserve"> загальний стан відносно задовільний. Шкір</w:t>
      </w:r>
      <w:r w:rsidRPr="00E45952">
        <w:rPr>
          <w:sz w:val="28"/>
          <w:szCs w:val="28"/>
          <w:lang w:val="uk-UA"/>
        </w:rPr>
        <w:t xml:space="preserve">а </w:t>
      </w:r>
      <w:r w:rsidRPr="00E45952">
        <w:rPr>
          <w:sz w:val="28"/>
          <w:szCs w:val="28"/>
        </w:rPr>
        <w:t xml:space="preserve">звичайного кольору, </w:t>
      </w:r>
      <w:r w:rsidRPr="00E45952">
        <w:rPr>
          <w:sz w:val="28"/>
          <w:szCs w:val="28"/>
          <w:lang w:val="uk-UA"/>
        </w:rPr>
        <w:t>чисті</w:t>
      </w:r>
      <w:r w:rsidRPr="00E45952">
        <w:rPr>
          <w:sz w:val="28"/>
          <w:szCs w:val="28"/>
        </w:rPr>
        <w:t xml:space="preserve">. Над легенями везикулярне дихання. Межі відносної серцевої тупості </w:t>
      </w:r>
      <w:r w:rsidRPr="00E45952">
        <w:rPr>
          <w:sz w:val="28"/>
          <w:szCs w:val="28"/>
          <w:lang w:val="uk-UA"/>
        </w:rPr>
        <w:t>не розширені</w:t>
      </w:r>
      <w:r w:rsidRPr="00E45952">
        <w:rPr>
          <w:sz w:val="28"/>
          <w:szCs w:val="28"/>
        </w:rPr>
        <w:t xml:space="preserve">. Серцева діяльність ритмічна, тони приглушені. ЧСС </w:t>
      </w:r>
      <w:r w:rsidRPr="00E45952">
        <w:rPr>
          <w:snapToGrid w:val="0"/>
          <w:sz w:val="28"/>
          <w:szCs w:val="28"/>
        </w:rPr>
        <w:t xml:space="preserve">– </w:t>
      </w:r>
      <w:r w:rsidRPr="00E45952">
        <w:rPr>
          <w:snapToGrid w:val="0"/>
          <w:sz w:val="28"/>
          <w:szCs w:val="28"/>
          <w:lang w:val="uk-UA"/>
        </w:rPr>
        <w:t>74</w:t>
      </w:r>
      <w:r w:rsidRPr="00E45952">
        <w:rPr>
          <w:sz w:val="28"/>
          <w:szCs w:val="28"/>
        </w:rPr>
        <w:t xml:space="preserve"> уд. за хв. АТ </w:t>
      </w:r>
      <w:r w:rsidRPr="00E45952">
        <w:rPr>
          <w:snapToGrid w:val="0"/>
          <w:sz w:val="28"/>
          <w:szCs w:val="28"/>
        </w:rPr>
        <w:t xml:space="preserve">– </w:t>
      </w:r>
      <w:r w:rsidRPr="00E45952">
        <w:rPr>
          <w:sz w:val="28"/>
          <w:szCs w:val="28"/>
        </w:rPr>
        <w:t>1</w:t>
      </w:r>
      <w:r w:rsidRPr="00E45952">
        <w:rPr>
          <w:sz w:val="28"/>
          <w:szCs w:val="28"/>
          <w:lang w:val="uk-UA"/>
        </w:rPr>
        <w:t>40</w:t>
      </w:r>
      <w:r w:rsidRPr="00E45952">
        <w:rPr>
          <w:sz w:val="28"/>
          <w:szCs w:val="28"/>
        </w:rPr>
        <w:t>/</w:t>
      </w:r>
      <w:r w:rsidRPr="00E45952">
        <w:rPr>
          <w:sz w:val="28"/>
          <w:szCs w:val="28"/>
          <w:lang w:val="uk-UA"/>
        </w:rPr>
        <w:t>80</w:t>
      </w:r>
      <w:r w:rsidRPr="00E45952">
        <w:rPr>
          <w:sz w:val="28"/>
          <w:szCs w:val="28"/>
        </w:rPr>
        <w:t xml:space="preserve"> мм. рт. ст. </w:t>
      </w:r>
      <w:r w:rsidRPr="00E45952">
        <w:rPr>
          <w:sz w:val="28"/>
          <w:szCs w:val="28"/>
          <w:lang w:val="uk-UA"/>
        </w:rPr>
        <w:t xml:space="preserve">, ПАТ-60 мм.рт.ст. </w:t>
      </w:r>
      <w:r w:rsidRPr="00E45952">
        <w:rPr>
          <w:sz w:val="28"/>
          <w:szCs w:val="28"/>
        </w:rPr>
        <w:t xml:space="preserve">При пальпації живіт збільшений у розмірах за рахунок надлишкової жирової тканини, м'який, безболісний. Печінка  не збільшена в розмірах. Периферійні набряки відсутні. </w:t>
      </w:r>
      <w:r w:rsidRPr="00E45952">
        <w:rPr>
          <w:sz w:val="28"/>
          <w:szCs w:val="28"/>
          <w:lang w:val="uk-UA"/>
        </w:rPr>
        <w:t xml:space="preserve">Випорожнення </w:t>
      </w:r>
      <w:r w:rsidRPr="00E45952">
        <w:rPr>
          <w:sz w:val="28"/>
          <w:szCs w:val="28"/>
        </w:rPr>
        <w:t>та діурез без відмінностей.</w:t>
      </w:r>
      <w:r w:rsidRPr="00E45952">
        <w:rPr>
          <w:sz w:val="28"/>
          <w:szCs w:val="28"/>
          <w:lang w:val="uk-UA"/>
        </w:rPr>
        <w:t xml:space="preserve"> Маса тіла 91 кг, зріст 173 см;  індекс маси тіла - 30,31 кг/м</w:t>
      </w:r>
      <w:r w:rsidRPr="00E45952">
        <w:rPr>
          <w:sz w:val="28"/>
          <w:szCs w:val="28"/>
          <w:vertAlign w:val="superscript"/>
          <w:lang w:val="uk-UA"/>
        </w:rPr>
        <w:t>2</w:t>
      </w:r>
      <w:r w:rsidRPr="00E45952">
        <w:rPr>
          <w:sz w:val="28"/>
          <w:szCs w:val="28"/>
          <w:lang w:val="uk-UA"/>
        </w:rPr>
        <w:t>, що перевищує норму (25 кг/м</w:t>
      </w:r>
      <w:r w:rsidRPr="00E45952">
        <w:rPr>
          <w:sz w:val="28"/>
          <w:szCs w:val="28"/>
          <w:vertAlign w:val="superscript"/>
          <w:lang w:val="uk-UA"/>
        </w:rPr>
        <w:t>2</w:t>
      </w:r>
      <w:r w:rsidRPr="00E45952">
        <w:rPr>
          <w:sz w:val="28"/>
          <w:szCs w:val="28"/>
          <w:lang w:val="uk-UA"/>
        </w:rPr>
        <w:t xml:space="preserve">) та свідчить про наявність ожиріння І ступеня. </w:t>
      </w:r>
    </w:p>
    <w:p w:rsidR="00E3259F" w:rsidRPr="00E45952" w:rsidRDefault="00E3259F" w:rsidP="00E45952">
      <w:pPr>
        <w:spacing w:line="360" w:lineRule="auto"/>
        <w:ind w:firstLine="709"/>
        <w:jc w:val="both"/>
        <w:rPr>
          <w:sz w:val="28"/>
          <w:szCs w:val="28"/>
          <w:lang w:val="uk-UA"/>
        </w:rPr>
      </w:pPr>
      <w:r w:rsidRPr="00E45952">
        <w:rPr>
          <w:sz w:val="28"/>
          <w:szCs w:val="28"/>
          <w:lang w:val="uk-UA"/>
        </w:rPr>
        <w:t>Хворій  поряд із загальноприйнятим комплексом досліджень проведені додаткові дослідження (дослідження рівнів 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ВЕФР, ВДТ крові та клітин букального епітелію).</w:t>
      </w:r>
    </w:p>
    <w:p w:rsidR="00E3259F" w:rsidRPr="00E45952" w:rsidRDefault="00E3259F" w:rsidP="00E45952">
      <w:pPr>
        <w:spacing w:line="360" w:lineRule="auto"/>
        <w:ind w:firstLine="709"/>
        <w:jc w:val="both"/>
        <w:rPr>
          <w:sz w:val="28"/>
          <w:szCs w:val="28"/>
          <w:lang w:val="uk-UA"/>
        </w:rPr>
      </w:pPr>
      <w:r w:rsidRPr="00E45952">
        <w:rPr>
          <w:sz w:val="28"/>
          <w:szCs w:val="28"/>
          <w:lang w:val="uk-UA"/>
        </w:rPr>
        <w:t>Результати досліджень: у</w:t>
      </w:r>
      <w:r w:rsidRPr="00E45952">
        <w:rPr>
          <w:snapToGrid w:val="0"/>
          <w:sz w:val="28"/>
          <w:szCs w:val="28"/>
          <w:lang w:val="uk-UA"/>
        </w:rPr>
        <w:t xml:space="preserve"> сироватці крові: рівень ЗХС – 6,18 ммоль/л, ТГ – 3,04 ммоль/л, ХС ЛПНЩ – 3,53 ммоль/л; ХС ЛПВЩ – 1,28 мммоль/л, глюкоза крові – 5,48 ммоль/л, глікований гемоглобін -5,98%, інсулін крові – 20,18</w:t>
      </w:r>
      <w:r w:rsidRPr="00E45952">
        <w:rPr>
          <w:sz w:val="28"/>
          <w:szCs w:val="28"/>
          <w:lang w:val="uk-UA"/>
        </w:rPr>
        <w:t xml:space="preserve"> мкОд/мл</w:t>
      </w:r>
      <w:r w:rsidRPr="00E45952">
        <w:rPr>
          <w:snapToGrid w:val="0"/>
          <w:sz w:val="28"/>
          <w:szCs w:val="28"/>
          <w:lang w:val="uk-UA"/>
        </w:rPr>
        <w:t>, НОМА –</w:t>
      </w:r>
      <w:r w:rsidRPr="00E45952">
        <w:rPr>
          <w:snapToGrid w:val="0"/>
          <w:sz w:val="28"/>
          <w:szCs w:val="28"/>
          <w:lang w:val="en-US"/>
        </w:rPr>
        <w:t>IR</w:t>
      </w:r>
      <w:r w:rsidRPr="00E45952">
        <w:rPr>
          <w:snapToGrid w:val="0"/>
          <w:sz w:val="28"/>
          <w:szCs w:val="28"/>
          <w:lang w:val="uk-UA"/>
        </w:rPr>
        <w:t xml:space="preserve">=4,91, що свідчить про наявність вираженої дисліпідемії, інсулінорезистентності на тлі ознаків компенсації вуглеводного обміну. </w:t>
      </w:r>
      <w:r w:rsidRPr="00E45952">
        <w:rPr>
          <w:kern w:val="2"/>
          <w:sz w:val="28"/>
          <w:szCs w:val="28"/>
          <w:lang w:val="uk-UA" w:eastAsia="ar-SA"/>
        </w:rPr>
        <w:t xml:space="preserve">Рівень ТТГ становив 5,98 </w:t>
      </w:r>
      <w:r w:rsidRPr="00E45952">
        <w:rPr>
          <w:snapToGrid w:val="0"/>
          <w:sz w:val="28"/>
          <w:szCs w:val="28"/>
          <w:lang w:val="uk-UA"/>
        </w:rPr>
        <w:t>мОд/л</w:t>
      </w:r>
      <w:r w:rsidRPr="00E45952">
        <w:rPr>
          <w:sz w:val="28"/>
          <w:szCs w:val="28"/>
          <w:lang w:val="uk-UA"/>
        </w:rPr>
        <w:t xml:space="preserve">, Т4 вільний – 13,56 ммоль/л, що свідчить про наявність СГТ. </w:t>
      </w:r>
      <w:r w:rsidRPr="00E45952">
        <w:rPr>
          <w:sz w:val="28"/>
          <w:szCs w:val="28"/>
        </w:rPr>
        <w:t>Вимірювання ТКІМ сонних артерій виявило збільшення ТКІМ=</w:t>
      </w:r>
      <w:r w:rsidRPr="00E45952">
        <w:rPr>
          <w:sz w:val="28"/>
          <w:szCs w:val="28"/>
          <w:lang w:val="uk-UA"/>
        </w:rPr>
        <w:t>0</w:t>
      </w:r>
      <w:r w:rsidRPr="00E45952">
        <w:rPr>
          <w:sz w:val="28"/>
          <w:szCs w:val="28"/>
        </w:rPr>
        <w:t>,</w:t>
      </w:r>
      <w:r w:rsidRPr="00E45952">
        <w:rPr>
          <w:sz w:val="28"/>
          <w:szCs w:val="28"/>
          <w:lang w:val="uk-UA"/>
        </w:rPr>
        <w:t xml:space="preserve">08 </w:t>
      </w:r>
      <w:r w:rsidRPr="00E45952">
        <w:rPr>
          <w:sz w:val="28"/>
          <w:szCs w:val="28"/>
        </w:rPr>
        <w:t>мм, атеросклеротичних бляшок не було виявлено.</w:t>
      </w:r>
      <w:r w:rsidRPr="00E45952">
        <w:rPr>
          <w:snapToGrid w:val="0"/>
          <w:sz w:val="28"/>
          <w:szCs w:val="28"/>
          <w:lang w:val="uk-UA"/>
        </w:rPr>
        <w:t xml:space="preserve"> При УЗД ЩЗ – підвищена ехогенність та розміри ЩЗ, ознаки аутоімунного тиреоїдиту, </w:t>
      </w:r>
      <w:r w:rsidRPr="00E45952">
        <w:rPr>
          <w:sz w:val="28"/>
          <w:szCs w:val="28"/>
          <w:lang w:val="uk-UA"/>
        </w:rPr>
        <w:t>вузли ЩЗ.</w:t>
      </w:r>
    </w:p>
    <w:p w:rsidR="00E3259F" w:rsidRPr="00E45952" w:rsidRDefault="00E3259F" w:rsidP="00E45952">
      <w:pPr>
        <w:spacing w:line="360" w:lineRule="auto"/>
        <w:ind w:firstLine="709"/>
        <w:jc w:val="both"/>
        <w:rPr>
          <w:rFonts w:eastAsia="Calibri"/>
          <w:kern w:val="2"/>
          <w:sz w:val="28"/>
          <w:szCs w:val="28"/>
          <w:lang w:val="uk-UA"/>
        </w:rPr>
      </w:pPr>
      <w:r w:rsidRPr="00E45952">
        <w:rPr>
          <w:rFonts w:eastAsia="Calibri"/>
          <w:bCs/>
          <w:sz w:val="28"/>
          <w:szCs w:val="28"/>
          <w:lang w:val="uk-UA"/>
        </w:rPr>
        <w:t xml:space="preserve">Хворій, згідно моделі, додатково було проведено молекулярно-генетичне дослідження з визначенням </w:t>
      </w:r>
      <w:r w:rsidRPr="00E45952">
        <w:rPr>
          <w:sz w:val="28"/>
          <w:szCs w:val="28"/>
          <w:lang w:val="uk-UA"/>
        </w:rPr>
        <w:t>ВДТ</w:t>
      </w:r>
      <w:r w:rsidRPr="00E45952">
        <w:rPr>
          <w:rFonts w:eastAsia="Calibri"/>
          <w:bCs/>
          <w:sz w:val="28"/>
          <w:szCs w:val="28"/>
          <w:lang w:val="uk-UA"/>
        </w:rPr>
        <w:t>, яка в крові дорівнює 0,47 та в клітинах букального епітелію – 0,61, що свідчить про значно коротші теломери порівняно з контрольним значенням. Р</w:t>
      </w:r>
      <w:r w:rsidRPr="00E45952">
        <w:rPr>
          <w:rFonts w:eastAsia="Calibri"/>
          <w:kern w:val="2"/>
          <w:sz w:val="28"/>
          <w:szCs w:val="28"/>
        </w:rPr>
        <w:t>івень ВЕФР</w:t>
      </w:r>
      <w:r w:rsidRPr="00E45952">
        <w:rPr>
          <w:rFonts w:eastAsia="Calibri"/>
          <w:kern w:val="2"/>
          <w:sz w:val="28"/>
          <w:szCs w:val="28"/>
          <w:lang w:val="uk-UA"/>
        </w:rPr>
        <w:t xml:space="preserve"> = 523,62</w:t>
      </w:r>
      <w:r w:rsidRPr="00E45952">
        <w:rPr>
          <w:rFonts w:eastAsia="Calibri"/>
          <w:kern w:val="2"/>
          <w:sz w:val="28"/>
          <w:szCs w:val="28"/>
        </w:rPr>
        <w:t xml:space="preserve"> пг/мл, </w:t>
      </w:r>
      <w:r w:rsidRPr="00E45952">
        <w:rPr>
          <w:sz w:val="28"/>
          <w:szCs w:val="28"/>
        </w:rPr>
        <w:t>8-</w:t>
      </w:r>
      <w:r w:rsidRPr="00E45952">
        <w:rPr>
          <w:sz w:val="28"/>
          <w:szCs w:val="28"/>
          <w:lang w:val="en-US"/>
        </w:rPr>
        <w:t>OH</w:t>
      </w:r>
      <w:r w:rsidRPr="00E45952">
        <w:rPr>
          <w:sz w:val="28"/>
          <w:szCs w:val="28"/>
        </w:rPr>
        <w:t>-</w:t>
      </w:r>
      <w:r w:rsidRPr="00E45952">
        <w:rPr>
          <w:sz w:val="28"/>
          <w:szCs w:val="28"/>
          <w:lang w:val="en-US"/>
        </w:rPr>
        <w:t>dG</w:t>
      </w:r>
      <w:r w:rsidRPr="00E45952">
        <w:rPr>
          <w:sz w:val="28"/>
          <w:szCs w:val="28"/>
          <w:lang w:val="uk-UA"/>
        </w:rPr>
        <w:t xml:space="preserve"> - 12,28 пг/мл</w:t>
      </w:r>
      <w:r w:rsidRPr="00E45952">
        <w:rPr>
          <w:rFonts w:eastAsia="Calibri"/>
          <w:kern w:val="2"/>
          <w:sz w:val="28"/>
          <w:szCs w:val="28"/>
          <w:lang w:val="uk-UA"/>
        </w:rPr>
        <w:t xml:space="preserve"> </w:t>
      </w:r>
      <w:r w:rsidRPr="00E45952">
        <w:rPr>
          <w:rFonts w:eastAsia="Calibri"/>
          <w:kern w:val="2"/>
          <w:sz w:val="28"/>
          <w:szCs w:val="28"/>
        </w:rPr>
        <w:t xml:space="preserve">що свідчить про </w:t>
      </w:r>
      <w:r w:rsidRPr="00E45952">
        <w:rPr>
          <w:rFonts w:eastAsia="Calibri"/>
          <w:kern w:val="2"/>
          <w:sz w:val="28"/>
          <w:szCs w:val="28"/>
          <w:lang w:val="uk-UA"/>
        </w:rPr>
        <w:t xml:space="preserve">значне </w:t>
      </w:r>
      <w:r w:rsidRPr="00E45952">
        <w:rPr>
          <w:rFonts w:eastAsia="Calibri"/>
          <w:kern w:val="2"/>
          <w:sz w:val="28"/>
          <w:szCs w:val="28"/>
        </w:rPr>
        <w:t xml:space="preserve">підвищення порівняно </w:t>
      </w:r>
      <w:r w:rsidRPr="00E45952">
        <w:rPr>
          <w:rFonts w:eastAsia="Calibri"/>
          <w:kern w:val="2"/>
          <w:sz w:val="28"/>
          <w:szCs w:val="28"/>
          <w:lang w:val="uk-UA"/>
        </w:rPr>
        <w:t>з</w:t>
      </w:r>
      <w:r w:rsidRPr="00E45952">
        <w:rPr>
          <w:rFonts w:eastAsia="Calibri"/>
          <w:kern w:val="2"/>
          <w:sz w:val="28"/>
          <w:szCs w:val="28"/>
        </w:rPr>
        <w:t xml:space="preserve"> контрольним значенням</w:t>
      </w:r>
      <w:r w:rsidRPr="00E45952">
        <w:rPr>
          <w:rFonts w:eastAsia="Calibri"/>
          <w:kern w:val="2"/>
          <w:sz w:val="28"/>
          <w:szCs w:val="28"/>
          <w:lang w:val="uk-UA"/>
        </w:rPr>
        <w:t>.</w:t>
      </w:r>
    </w:p>
    <w:p w:rsidR="00E3259F" w:rsidRPr="00E45952" w:rsidRDefault="00E3259F" w:rsidP="00E45952">
      <w:pPr>
        <w:spacing w:line="360" w:lineRule="auto"/>
        <w:ind w:firstLine="709"/>
        <w:jc w:val="both"/>
        <w:rPr>
          <w:rFonts w:eastAsia="Calibri"/>
          <w:sz w:val="28"/>
          <w:szCs w:val="28"/>
          <w:lang w:val="uk-UA"/>
        </w:rPr>
      </w:pPr>
      <w:r w:rsidRPr="00E45952">
        <w:rPr>
          <w:rFonts w:eastAsia="Calibri"/>
          <w:sz w:val="28"/>
          <w:szCs w:val="28"/>
        </w:rPr>
        <w:t>Таким чином, у хворо</w:t>
      </w:r>
      <w:r w:rsidRPr="00E45952">
        <w:rPr>
          <w:rFonts w:eastAsia="Calibri"/>
          <w:sz w:val="28"/>
          <w:szCs w:val="28"/>
          <w:lang w:val="uk-UA"/>
        </w:rPr>
        <w:t xml:space="preserve">ї </w:t>
      </w:r>
      <w:r w:rsidRPr="00E45952">
        <w:rPr>
          <w:sz w:val="28"/>
          <w:szCs w:val="28"/>
          <w:lang w:val="uk-UA"/>
        </w:rPr>
        <w:t>при обстежені визначені наступні значення прогностичних критеріїв</w:t>
      </w:r>
      <w:r w:rsidRPr="00E45952">
        <w:rPr>
          <w:rFonts w:eastAsia="Calibri"/>
          <w:sz w:val="28"/>
          <w:szCs w:val="28"/>
          <w:lang w:eastAsia="ar-SA"/>
        </w:rPr>
        <w:t xml:space="preserve">: </w:t>
      </w:r>
      <w:r w:rsidRPr="00E45952">
        <w:rPr>
          <w:sz w:val="28"/>
          <w:szCs w:val="28"/>
          <w:lang w:val="uk-UA"/>
        </w:rPr>
        <w:t xml:space="preserve">ВДТ </w:t>
      </w:r>
      <w:r w:rsidRPr="00E45952">
        <w:rPr>
          <w:rFonts w:eastAsia="Calibri"/>
          <w:sz w:val="28"/>
          <w:szCs w:val="28"/>
          <w:lang w:val="uk-UA" w:eastAsia="ar-SA"/>
        </w:rPr>
        <w:t>крові</w:t>
      </w:r>
      <w:r w:rsidRPr="00E45952">
        <w:rPr>
          <w:rFonts w:eastAsia="Calibri"/>
          <w:sz w:val="28"/>
          <w:szCs w:val="28"/>
          <w:lang w:eastAsia="ar-SA"/>
        </w:rPr>
        <w:t xml:space="preserve"> (</w:t>
      </w:r>
      <w:r w:rsidRPr="00E45952">
        <w:rPr>
          <w:rFonts w:eastAsia="Calibri"/>
          <w:kern w:val="2"/>
          <w:sz w:val="28"/>
          <w:szCs w:val="28"/>
          <w:lang w:eastAsia="ar-SA"/>
        </w:rPr>
        <w:t>Х</w:t>
      </w:r>
      <w:r w:rsidRPr="00E45952">
        <w:rPr>
          <w:rFonts w:eastAsia="Calibri"/>
          <w:kern w:val="2"/>
          <w:sz w:val="28"/>
          <w:szCs w:val="28"/>
          <w:vertAlign w:val="subscript"/>
          <w:lang w:eastAsia="ar-SA"/>
        </w:rPr>
        <w:t>1</w:t>
      </w:r>
      <w:r w:rsidRPr="00E45952">
        <w:rPr>
          <w:rFonts w:eastAsia="Calibri"/>
          <w:kern w:val="2"/>
          <w:sz w:val="28"/>
          <w:szCs w:val="28"/>
          <w:lang w:eastAsia="ar-SA"/>
        </w:rPr>
        <w:t>)- 0,</w:t>
      </w:r>
      <w:r w:rsidRPr="00E45952">
        <w:rPr>
          <w:rFonts w:eastAsia="Calibri"/>
          <w:kern w:val="2"/>
          <w:sz w:val="28"/>
          <w:szCs w:val="28"/>
          <w:lang w:val="uk-UA" w:eastAsia="ar-SA"/>
        </w:rPr>
        <w:t xml:space="preserve">47; </w:t>
      </w:r>
      <w:r w:rsidRPr="00E45952">
        <w:rPr>
          <w:sz w:val="28"/>
          <w:szCs w:val="28"/>
          <w:lang w:val="uk-UA"/>
        </w:rPr>
        <w:t xml:space="preserve">ВДТ </w:t>
      </w:r>
      <w:r w:rsidRPr="00E45952">
        <w:rPr>
          <w:rFonts w:eastAsia="Calibri"/>
          <w:kern w:val="2"/>
          <w:sz w:val="28"/>
          <w:szCs w:val="28"/>
          <w:lang w:val="uk-UA" w:eastAsia="ar-SA"/>
        </w:rPr>
        <w:t>клітин букального епітелію (Х</w:t>
      </w:r>
      <w:r w:rsidRPr="00E45952">
        <w:rPr>
          <w:rFonts w:eastAsia="Calibri"/>
          <w:kern w:val="2"/>
          <w:sz w:val="28"/>
          <w:szCs w:val="28"/>
          <w:vertAlign w:val="subscript"/>
          <w:lang w:val="uk-UA" w:eastAsia="ar-SA"/>
        </w:rPr>
        <w:t>2</w:t>
      </w:r>
      <w:r w:rsidRPr="00E45952">
        <w:rPr>
          <w:rFonts w:eastAsia="Calibri"/>
          <w:kern w:val="2"/>
          <w:sz w:val="28"/>
          <w:szCs w:val="28"/>
          <w:lang w:val="uk-UA" w:eastAsia="ar-SA"/>
        </w:rPr>
        <w:t>)-0,61; рівень САТ (Х</w:t>
      </w:r>
      <w:r w:rsidRPr="00E45952">
        <w:rPr>
          <w:rFonts w:eastAsia="Calibri"/>
          <w:kern w:val="2"/>
          <w:sz w:val="28"/>
          <w:szCs w:val="28"/>
          <w:vertAlign w:val="subscript"/>
          <w:lang w:val="uk-UA" w:eastAsia="ar-SA"/>
        </w:rPr>
        <w:t>3</w:t>
      </w:r>
      <w:r w:rsidRPr="00E45952">
        <w:rPr>
          <w:rFonts w:eastAsia="Calibri"/>
          <w:kern w:val="2"/>
          <w:sz w:val="28"/>
          <w:szCs w:val="28"/>
          <w:lang w:val="uk-UA" w:eastAsia="ar-SA"/>
        </w:rPr>
        <w:t>) – 140 мм.рт.ст., рівень ПАТ(Х</w:t>
      </w:r>
      <w:r w:rsidRPr="00E45952">
        <w:rPr>
          <w:rFonts w:eastAsia="Calibri"/>
          <w:kern w:val="2"/>
          <w:sz w:val="28"/>
          <w:szCs w:val="28"/>
          <w:vertAlign w:val="subscript"/>
          <w:lang w:val="uk-UA" w:eastAsia="ar-SA"/>
        </w:rPr>
        <w:t>4</w:t>
      </w:r>
      <w:r w:rsidRPr="00E45952">
        <w:rPr>
          <w:rFonts w:eastAsia="Calibri"/>
          <w:kern w:val="2"/>
          <w:sz w:val="28"/>
          <w:szCs w:val="28"/>
          <w:lang w:val="uk-UA" w:eastAsia="ar-SA"/>
        </w:rPr>
        <w:t xml:space="preserve">) - 60 мм.рт.ст., рівень </w:t>
      </w:r>
      <w:r w:rsidRPr="00E45952">
        <w:rPr>
          <w:sz w:val="28"/>
          <w:szCs w:val="28"/>
          <w:lang w:val="uk-UA"/>
        </w:rPr>
        <w:t>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xml:space="preserve"> </w:t>
      </w:r>
      <w:r w:rsidRPr="00E45952">
        <w:rPr>
          <w:rFonts w:eastAsia="Calibri"/>
          <w:kern w:val="2"/>
          <w:sz w:val="28"/>
          <w:szCs w:val="28"/>
          <w:lang w:val="uk-UA" w:eastAsia="ar-SA"/>
        </w:rPr>
        <w:t>(Х</w:t>
      </w:r>
      <w:r w:rsidRPr="00E45952">
        <w:rPr>
          <w:rFonts w:eastAsia="Calibri"/>
          <w:kern w:val="2"/>
          <w:sz w:val="28"/>
          <w:szCs w:val="28"/>
          <w:vertAlign w:val="subscript"/>
          <w:lang w:val="uk-UA" w:eastAsia="ar-SA"/>
        </w:rPr>
        <w:t>5</w:t>
      </w:r>
      <w:r w:rsidRPr="00E45952">
        <w:rPr>
          <w:rFonts w:eastAsia="Calibri"/>
          <w:kern w:val="2"/>
          <w:sz w:val="28"/>
          <w:szCs w:val="28"/>
          <w:lang w:val="uk-UA" w:eastAsia="ar-SA"/>
        </w:rPr>
        <w:t>) – 12,28 пг/мл, ТТГ (Х</w:t>
      </w:r>
      <w:r w:rsidRPr="00E45952">
        <w:rPr>
          <w:rFonts w:eastAsia="Calibri"/>
          <w:kern w:val="2"/>
          <w:sz w:val="28"/>
          <w:szCs w:val="28"/>
          <w:vertAlign w:val="subscript"/>
          <w:lang w:val="uk-UA" w:eastAsia="ar-SA"/>
        </w:rPr>
        <w:t>6</w:t>
      </w:r>
      <w:r w:rsidRPr="00E45952">
        <w:rPr>
          <w:rFonts w:eastAsia="Calibri"/>
          <w:kern w:val="2"/>
          <w:sz w:val="28"/>
          <w:szCs w:val="28"/>
          <w:lang w:val="uk-UA" w:eastAsia="ar-SA"/>
        </w:rPr>
        <w:t>)- 5,98 мкМОд/мл,  ВЕФР (Х</w:t>
      </w:r>
      <w:r w:rsidRPr="00E45952">
        <w:rPr>
          <w:rFonts w:eastAsia="Calibri"/>
          <w:kern w:val="2"/>
          <w:sz w:val="28"/>
          <w:szCs w:val="28"/>
          <w:vertAlign w:val="subscript"/>
          <w:lang w:val="uk-UA" w:eastAsia="ar-SA"/>
        </w:rPr>
        <w:t>7</w:t>
      </w:r>
      <w:r w:rsidRPr="00E45952">
        <w:rPr>
          <w:rFonts w:eastAsia="Calibri"/>
          <w:kern w:val="2"/>
          <w:sz w:val="28"/>
          <w:szCs w:val="28"/>
          <w:lang w:val="uk-UA" w:eastAsia="ar-SA"/>
        </w:rPr>
        <w:t>) – 523,62</w:t>
      </w:r>
      <w:r w:rsidRPr="00E45952">
        <w:rPr>
          <w:rFonts w:eastAsia="Calibri"/>
          <w:sz w:val="28"/>
          <w:szCs w:val="28"/>
          <w:lang w:val="uk-UA"/>
        </w:rPr>
        <w:t xml:space="preserve"> пг/мл.</w:t>
      </w:r>
    </w:p>
    <w:p w:rsidR="00E3259F" w:rsidRPr="00E45952" w:rsidRDefault="00E3259F" w:rsidP="00E45952">
      <w:pPr>
        <w:spacing w:line="360" w:lineRule="auto"/>
        <w:ind w:firstLine="709"/>
        <w:jc w:val="both"/>
        <w:rPr>
          <w:sz w:val="28"/>
          <w:szCs w:val="28"/>
          <w:lang w:val="uk-UA"/>
        </w:rPr>
      </w:pPr>
      <w:r w:rsidRPr="00E45952">
        <w:rPr>
          <w:sz w:val="28"/>
          <w:szCs w:val="28"/>
          <w:lang w:val="uk-UA"/>
        </w:rPr>
        <w:t xml:space="preserve">Пацієнтці була здійснена індивідуальна кількісна оцінка прогностичних критеріїв та розрахована в автоматичному режимі в </w:t>
      </w:r>
      <w:r w:rsidRPr="00E45952">
        <w:rPr>
          <w:i/>
          <w:sz w:val="28"/>
          <w:szCs w:val="28"/>
        </w:rPr>
        <w:t>Ex</w:t>
      </w:r>
      <w:r w:rsidRPr="00E45952">
        <w:rPr>
          <w:i/>
          <w:sz w:val="28"/>
          <w:szCs w:val="28"/>
          <w:lang w:val="uk-UA"/>
        </w:rPr>
        <w:t>с</w:t>
      </w:r>
      <w:r w:rsidRPr="00E45952">
        <w:rPr>
          <w:i/>
          <w:sz w:val="28"/>
          <w:szCs w:val="28"/>
        </w:rPr>
        <w:t>el</w:t>
      </w:r>
      <w:r w:rsidRPr="00E45952">
        <w:rPr>
          <w:i/>
          <w:sz w:val="28"/>
          <w:szCs w:val="28"/>
          <w:lang w:val="uk-UA"/>
        </w:rPr>
        <w:t xml:space="preserve"> </w:t>
      </w:r>
      <w:r w:rsidRPr="00E45952">
        <w:rPr>
          <w:sz w:val="28"/>
          <w:szCs w:val="28"/>
          <w:lang w:val="uk-UA"/>
        </w:rPr>
        <w:t xml:space="preserve">ймовірність </w:t>
      </w:r>
      <w:r w:rsidRPr="00E45952">
        <w:rPr>
          <w:kern w:val="2"/>
          <w:position w:val="-4"/>
          <w:sz w:val="28"/>
          <w:szCs w:val="28"/>
        </w:rPr>
        <w:object w:dxaOrig="240" w:dyaOrig="420">
          <v:shape id="_x0000_i1071" type="#_x0000_t75" style="width:12.75pt;height:21.75pt" o:ole="">
            <v:imagedata r:id="rId17" o:title=""/>
          </v:shape>
          <o:OLEObject Type="Embed" ProgID="Equation.3" ShapeID="_x0000_i1071" DrawAspect="Content" ObjectID="_1669446855" r:id="rId83"/>
        </w:object>
      </w:r>
      <w:r w:rsidRPr="00E45952">
        <w:rPr>
          <w:sz w:val="28"/>
          <w:szCs w:val="28"/>
          <w:lang w:val="uk-UA"/>
        </w:rPr>
        <w:t>виникнення ССУ для пацієнтів з ГХ, ЦД 2 типу та СГТ за розробленою формулою:</w:t>
      </w:r>
    </w:p>
    <w:p w:rsidR="00E3259F" w:rsidRPr="00E45952" w:rsidRDefault="00E3259F" w:rsidP="00E45952">
      <w:pPr>
        <w:autoSpaceDE w:val="0"/>
        <w:autoSpaceDN w:val="0"/>
        <w:adjustRightInd w:val="0"/>
        <w:spacing w:line="360" w:lineRule="auto"/>
        <w:ind w:firstLine="709"/>
        <w:jc w:val="center"/>
        <w:rPr>
          <w:sz w:val="28"/>
          <w:szCs w:val="28"/>
        </w:rPr>
      </w:pPr>
      <w:r w:rsidRPr="00E45952">
        <w:rPr>
          <w:kern w:val="2"/>
          <w:position w:val="-4"/>
          <w:sz w:val="28"/>
          <w:szCs w:val="28"/>
        </w:rPr>
        <w:object w:dxaOrig="240" w:dyaOrig="420">
          <v:shape id="_x0000_i1072" type="#_x0000_t75" style="width:12.75pt;height:21.75pt" o:ole="">
            <v:imagedata r:id="rId17" o:title=""/>
          </v:shape>
          <o:OLEObject Type="Embed" ProgID="Equation.3" ShapeID="_x0000_i1072" DrawAspect="Content" ObjectID="_1669446856" r:id="rId84"/>
        </w:object>
      </w:r>
      <w:r w:rsidRPr="00E45952">
        <w:rPr>
          <w:kern w:val="2"/>
          <w:sz w:val="28"/>
          <w:szCs w:val="28"/>
        </w:rPr>
        <w:t xml:space="preserve">=[1+ </w:t>
      </w:r>
      <w:r w:rsidRPr="00E45952">
        <w:rPr>
          <w:kern w:val="2"/>
          <w:sz w:val="28"/>
          <w:szCs w:val="28"/>
          <w:lang w:val="en-US"/>
        </w:rPr>
        <w:t>exp</w:t>
      </w:r>
      <w:r w:rsidRPr="00E45952">
        <w:rPr>
          <w:kern w:val="2"/>
          <w:sz w:val="28"/>
          <w:szCs w:val="28"/>
        </w:rPr>
        <w:t>(-(</w:t>
      </w:r>
      <w:r w:rsidRPr="00E45952">
        <w:rPr>
          <w:sz w:val="28"/>
          <w:szCs w:val="28"/>
        </w:rPr>
        <w:t>-10,826 *</w:t>
      </w:r>
      <w:r w:rsidRPr="00E45952">
        <w:rPr>
          <w:kern w:val="2"/>
          <w:sz w:val="28"/>
          <w:szCs w:val="28"/>
        </w:rPr>
        <w:t xml:space="preserve"> </w:t>
      </w:r>
      <w:r w:rsidRPr="00E45952">
        <w:rPr>
          <w:kern w:val="2"/>
          <w:sz w:val="28"/>
          <w:szCs w:val="28"/>
          <w:lang w:val="uk-UA"/>
        </w:rPr>
        <w:t>0,47</w:t>
      </w:r>
      <w:r w:rsidRPr="00E45952">
        <w:rPr>
          <w:kern w:val="2"/>
          <w:sz w:val="28"/>
          <w:szCs w:val="28"/>
          <w:vertAlign w:val="subscript"/>
          <w:lang w:val="uk-UA"/>
        </w:rPr>
        <w:t xml:space="preserve"> </w:t>
      </w:r>
      <w:r w:rsidRPr="00E45952">
        <w:rPr>
          <w:sz w:val="28"/>
          <w:szCs w:val="28"/>
        </w:rPr>
        <w:t>–</w:t>
      </w:r>
      <w:r w:rsidRPr="00E45952">
        <w:rPr>
          <w:kern w:val="2"/>
          <w:sz w:val="28"/>
          <w:szCs w:val="28"/>
        </w:rPr>
        <w:t xml:space="preserve"> </w:t>
      </w:r>
      <w:r w:rsidRPr="00E45952">
        <w:rPr>
          <w:sz w:val="28"/>
          <w:szCs w:val="28"/>
        </w:rPr>
        <w:t>25,252*</w:t>
      </w:r>
      <w:r w:rsidRPr="00E45952">
        <w:rPr>
          <w:kern w:val="2"/>
          <w:sz w:val="28"/>
          <w:szCs w:val="28"/>
          <w:lang w:val="uk-UA"/>
        </w:rPr>
        <w:t>0,61</w:t>
      </w:r>
      <w:r w:rsidRPr="00E45952">
        <w:rPr>
          <w:kern w:val="2"/>
          <w:sz w:val="28"/>
          <w:szCs w:val="28"/>
          <w:vertAlign w:val="subscript"/>
          <w:lang w:val="uk-UA"/>
        </w:rPr>
        <w:t xml:space="preserve"> </w:t>
      </w:r>
      <w:r w:rsidRPr="00E45952">
        <w:rPr>
          <w:sz w:val="28"/>
          <w:szCs w:val="28"/>
        </w:rPr>
        <w:t>–0,382 *</w:t>
      </w:r>
      <w:r w:rsidRPr="00E45952">
        <w:rPr>
          <w:kern w:val="2"/>
          <w:sz w:val="28"/>
          <w:szCs w:val="28"/>
        </w:rPr>
        <w:t xml:space="preserve"> </w:t>
      </w:r>
      <w:r w:rsidRPr="00E45952">
        <w:rPr>
          <w:kern w:val="2"/>
          <w:sz w:val="28"/>
          <w:szCs w:val="28"/>
          <w:lang w:val="uk-UA"/>
        </w:rPr>
        <w:t>140</w:t>
      </w:r>
      <w:r w:rsidRPr="00E45952">
        <w:rPr>
          <w:kern w:val="2"/>
          <w:sz w:val="28"/>
          <w:szCs w:val="28"/>
        </w:rPr>
        <w:t>+0</w:t>
      </w:r>
      <w:r w:rsidRPr="00E45952">
        <w:rPr>
          <w:sz w:val="28"/>
          <w:szCs w:val="28"/>
        </w:rPr>
        <w:t xml:space="preserve">,523* </w:t>
      </w:r>
      <w:r w:rsidRPr="00E45952">
        <w:rPr>
          <w:kern w:val="2"/>
          <w:sz w:val="28"/>
          <w:szCs w:val="28"/>
          <w:lang w:val="uk-UA"/>
        </w:rPr>
        <w:t>60</w:t>
      </w:r>
      <w:r w:rsidRPr="00E45952">
        <w:rPr>
          <w:kern w:val="2"/>
          <w:sz w:val="28"/>
          <w:szCs w:val="28"/>
          <w:vertAlign w:val="subscript"/>
          <w:lang w:val="uk-UA"/>
        </w:rPr>
        <w:t xml:space="preserve"> </w:t>
      </w:r>
      <w:r w:rsidRPr="00E45952">
        <w:rPr>
          <w:sz w:val="28"/>
          <w:szCs w:val="28"/>
        </w:rPr>
        <w:t xml:space="preserve">– 1,438 * </w:t>
      </w:r>
      <w:r w:rsidRPr="00E45952">
        <w:rPr>
          <w:kern w:val="2"/>
          <w:sz w:val="28"/>
          <w:szCs w:val="28"/>
          <w:lang w:val="uk-UA"/>
        </w:rPr>
        <w:t>12,28</w:t>
      </w:r>
      <w:r w:rsidRPr="00E45952">
        <w:rPr>
          <w:sz w:val="28"/>
          <w:szCs w:val="28"/>
        </w:rPr>
        <w:t xml:space="preserve"> +2,935 *</w:t>
      </w:r>
      <w:r w:rsidRPr="00E45952">
        <w:rPr>
          <w:kern w:val="2"/>
          <w:sz w:val="28"/>
          <w:szCs w:val="28"/>
          <w:lang w:val="uk-UA"/>
        </w:rPr>
        <w:t>5,98</w:t>
      </w:r>
      <w:r w:rsidRPr="00E45952">
        <w:rPr>
          <w:kern w:val="2"/>
          <w:sz w:val="28"/>
          <w:szCs w:val="28"/>
          <w:vertAlign w:val="subscript"/>
          <w:lang w:val="uk-UA"/>
        </w:rPr>
        <w:t xml:space="preserve"> </w:t>
      </w:r>
      <w:r w:rsidRPr="00E45952">
        <w:rPr>
          <w:sz w:val="28"/>
          <w:szCs w:val="28"/>
        </w:rPr>
        <w:t>+0,016 *</w:t>
      </w:r>
      <w:r w:rsidRPr="00E45952">
        <w:rPr>
          <w:kern w:val="2"/>
          <w:sz w:val="28"/>
          <w:szCs w:val="28"/>
        </w:rPr>
        <w:t xml:space="preserve"> </w:t>
      </w:r>
      <w:r w:rsidRPr="00E45952">
        <w:rPr>
          <w:kern w:val="2"/>
          <w:sz w:val="28"/>
          <w:szCs w:val="28"/>
          <w:lang w:val="uk-UA"/>
        </w:rPr>
        <w:t>523,62</w:t>
      </w:r>
      <w:r w:rsidRPr="00E45952">
        <w:rPr>
          <w:kern w:val="2"/>
          <w:sz w:val="28"/>
          <w:szCs w:val="28"/>
          <w:vertAlign w:val="subscript"/>
          <w:lang w:val="uk-UA"/>
        </w:rPr>
        <w:t xml:space="preserve"> </w:t>
      </w:r>
      <w:r w:rsidRPr="00E45952">
        <w:rPr>
          <w:kern w:val="2"/>
          <w:sz w:val="28"/>
          <w:szCs w:val="28"/>
        </w:rPr>
        <w:t xml:space="preserve">+ </w:t>
      </w:r>
      <w:r w:rsidRPr="00E45952">
        <w:rPr>
          <w:sz w:val="28"/>
          <w:szCs w:val="28"/>
        </w:rPr>
        <w:t>41,554)</w:t>
      </w:r>
      <w:r w:rsidRPr="00E45952">
        <w:rPr>
          <w:kern w:val="2"/>
          <w:sz w:val="28"/>
          <w:szCs w:val="28"/>
        </w:rPr>
        <w:t>)]</w:t>
      </w:r>
      <w:r w:rsidRPr="00E45952">
        <w:rPr>
          <w:kern w:val="2"/>
          <w:sz w:val="28"/>
          <w:szCs w:val="28"/>
          <w:vertAlign w:val="superscript"/>
        </w:rPr>
        <w:t>-1</w:t>
      </w:r>
    </w:p>
    <w:p w:rsidR="00E3259F" w:rsidRPr="00E45952" w:rsidRDefault="00E3259F" w:rsidP="00E3259F">
      <w:pPr>
        <w:spacing w:line="360" w:lineRule="auto"/>
        <w:ind w:firstLine="709"/>
        <w:jc w:val="both"/>
        <w:rPr>
          <w:sz w:val="28"/>
          <w:szCs w:val="28"/>
          <w:lang w:val="uk-UA"/>
        </w:rPr>
      </w:pPr>
      <w:r w:rsidRPr="00E45952">
        <w:rPr>
          <w:sz w:val="28"/>
          <w:szCs w:val="28"/>
          <w:lang w:val="uk-UA"/>
        </w:rPr>
        <w:t>Імовірність виникнення серцево-судинних ускладнень у цієї пацієнтки</w:t>
      </w:r>
      <w:r w:rsidRPr="00E45952">
        <w:rPr>
          <w:rFonts w:eastAsia="Calibri"/>
          <w:sz w:val="28"/>
          <w:szCs w:val="28"/>
          <w:lang w:eastAsia="en-US"/>
        </w:rPr>
        <w:object w:dxaOrig="240" w:dyaOrig="405">
          <v:shape id="_x0000_i1073" type="#_x0000_t75" style="width:12.75pt;height:20.25pt" o:ole="">
            <v:imagedata r:id="rId48" o:title=""/>
          </v:shape>
          <o:OLEObject Type="Embed" ProgID="Equation.3" ShapeID="_x0000_i1073" DrawAspect="Content" ObjectID="_1669446857" r:id="rId85"/>
        </w:object>
      </w:r>
      <w:r w:rsidRPr="00E45952">
        <w:rPr>
          <w:sz w:val="28"/>
          <w:szCs w:val="28"/>
          <w:lang w:val="uk-UA"/>
        </w:rPr>
        <w:t xml:space="preserve"> = 0,999.</w:t>
      </w:r>
    </w:p>
    <w:p w:rsidR="00E3259F" w:rsidRPr="00E45952" w:rsidRDefault="00E3259F" w:rsidP="00E3259F">
      <w:pPr>
        <w:overflowPunct w:val="0"/>
        <w:autoSpaceDE w:val="0"/>
        <w:spacing w:line="360" w:lineRule="auto"/>
        <w:ind w:firstLine="709"/>
        <w:jc w:val="both"/>
        <w:textAlignment w:val="baseline"/>
        <w:rPr>
          <w:rFonts w:eastAsia="Calibri"/>
          <w:sz w:val="28"/>
          <w:szCs w:val="28"/>
          <w:lang w:val="uk-UA" w:eastAsia="ar-SA"/>
        </w:rPr>
      </w:pPr>
      <w:r w:rsidRPr="00E45952">
        <w:rPr>
          <w:kern w:val="2"/>
          <w:sz w:val="28"/>
          <w:szCs w:val="28"/>
          <w:lang w:val="uk-UA" w:eastAsia="ar-SA"/>
        </w:rPr>
        <w:t xml:space="preserve">Висновок: в обстежуваної високий ризик розвитку ССУ при наявності ГХ, ЦД 2 типу у поєднанні зі СГТ, що підтвердилося через 1 рік спостереження (пацієнтка у 2018 році перенесла гостре порушення мозкового кровообігу-ішемічний інсульт). </w:t>
      </w:r>
      <w:r w:rsidRPr="00E45952">
        <w:rPr>
          <w:rFonts w:eastAsia="Calibri"/>
          <w:sz w:val="28"/>
          <w:szCs w:val="28"/>
          <w:lang w:val="uk-UA" w:eastAsia="ar-SA"/>
        </w:rPr>
        <w:t xml:space="preserve">Рекомендовано: корекція лікувально- профілактичних методів з постійним моніторингом додаткових клініко-інструментальних показників з метою зменьшення виражених кардіометаболічних змін, що буде сприяти зниженню подальшого прогресування захворювань та загального КВР у хворої. </w:t>
      </w:r>
    </w:p>
    <w:p w:rsidR="00E3259F" w:rsidRPr="00E45952" w:rsidRDefault="00E3259F" w:rsidP="00E3259F">
      <w:pPr>
        <w:tabs>
          <w:tab w:val="left" w:pos="0"/>
        </w:tabs>
        <w:spacing w:line="360" w:lineRule="auto"/>
        <w:ind w:firstLine="709"/>
        <w:jc w:val="both"/>
        <w:rPr>
          <w:sz w:val="28"/>
          <w:szCs w:val="28"/>
          <w:lang w:val="uk-UA"/>
        </w:rPr>
      </w:pPr>
      <w:r w:rsidRPr="00E45952">
        <w:rPr>
          <w:rFonts w:eastAsia="Calibri"/>
          <w:sz w:val="28"/>
          <w:szCs w:val="28"/>
          <w:lang w:val="uk-UA"/>
        </w:rPr>
        <w:t xml:space="preserve">Клінічний випадок 2. </w:t>
      </w:r>
      <w:r w:rsidRPr="00E45952">
        <w:rPr>
          <w:sz w:val="28"/>
          <w:szCs w:val="28"/>
          <w:lang w:val="uk-UA"/>
        </w:rPr>
        <w:t>Пацієнтка Т., 52 роки, амбулаторна картка, 2016, звернулася зі скаргами на періодичне відчуття болі в ділянці серця, запаморочення, погіршення сну, погіршення пам’яті та концентрації уваги, періодично набряки стоп.</w:t>
      </w:r>
    </w:p>
    <w:p w:rsidR="00E3259F" w:rsidRPr="00E45952" w:rsidRDefault="00E3259F" w:rsidP="00E3259F">
      <w:pPr>
        <w:tabs>
          <w:tab w:val="left" w:pos="360"/>
        </w:tabs>
        <w:spacing w:line="360" w:lineRule="auto"/>
        <w:ind w:firstLine="709"/>
        <w:jc w:val="both"/>
        <w:rPr>
          <w:b/>
          <w:bCs/>
          <w:sz w:val="28"/>
          <w:szCs w:val="28"/>
          <w:lang w:val="uk-UA"/>
        </w:rPr>
      </w:pPr>
      <w:r w:rsidRPr="00E45952">
        <w:rPr>
          <w:sz w:val="28"/>
          <w:szCs w:val="28"/>
          <w:lang w:val="uk-UA"/>
        </w:rPr>
        <w:t>Проведено загальноприйняті методи обстеження: анамнез захворювання та анамнез життя, об’єктивне обстеження.</w:t>
      </w:r>
    </w:p>
    <w:p w:rsidR="00E3259F" w:rsidRPr="00E45952" w:rsidRDefault="00E3259F" w:rsidP="00E3259F">
      <w:pPr>
        <w:spacing w:line="348" w:lineRule="auto"/>
        <w:ind w:firstLine="709"/>
        <w:jc w:val="both"/>
        <w:rPr>
          <w:snapToGrid w:val="0"/>
          <w:sz w:val="28"/>
          <w:szCs w:val="28"/>
          <w:lang w:val="uk-UA"/>
        </w:rPr>
      </w:pPr>
      <w:r w:rsidRPr="00E45952">
        <w:rPr>
          <w:sz w:val="28"/>
          <w:szCs w:val="28"/>
          <w:lang w:val="uk-UA"/>
        </w:rPr>
        <w:t>А</w:t>
      </w:r>
      <w:r w:rsidRPr="00E45952">
        <w:rPr>
          <w:bCs/>
          <w:sz w:val="28"/>
          <w:szCs w:val="28"/>
          <w:lang w:val="uk-UA"/>
        </w:rPr>
        <w:t>намнез захворювання</w:t>
      </w:r>
      <w:r w:rsidRPr="00E45952">
        <w:rPr>
          <w:b/>
          <w:bCs/>
          <w:sz w:val="28"/>
          <w:szCs w:val="28"/>
          <w:lang w:val="uk-UA"/>
        </w:rPr>
        <w:t>:</w:t>
      </w:r>
      <w:r w:rsidRPr="00E45952">
        <w:rPr>
          <w:sz w:val="28"/>
          <w:szCs w:val="28"/>
          <w:lang w:val="uk-UA"/>
        </w:rPr>
        <w:t xml:space="preserve"> </w:t>
      </w:r>
      <w:r w:rsidRPr="00E45952">
        <w:rPr>
          <w:snapToGrid w:val="0"/>
          <w:sz w:val="28"/>
          <w:szCs w:val="28"/>
          <w:lang w:val="uk-UA"/>
        </w:rPr>
        <w:t xml:space="preserve">вважає себе хворою 5 років, коли вперше зафіксовано підвищення артеріального тиску та діагностовано ГХ ІІ ст. ЦД 2 типу було діагностовано  3 роки поспіль. </w:t>
      </w:r>
      <w:r w:rsidRPr="00E45952">
        <w:rPr>
          <w:snapToGrid w:val="0"/>
          <w:sz w:val="28"/>
          <w:szCs w:val="28"/>
        </w:rPr>
        <w:t>П</w:t>
      </w:r>
      <w:r w:rsidRPr="00E45952">
        <w:rPr>
          <w:snapToGrid w:val="0"/>
          <w:sz w:val="28"/>
          <w:szCs w:val="28"/>
          <w:lang w:val="uk-UA"/>
        </w:rPr>
        <w:t>ід час</w:t>
      </w:r>
      <w:r w:rsidRPr="00E45952">
        <w:rPr>
          <w:snapToGrid w:val="0"/>
          <w:sz w:val="28"/>
          <w:szCs w:val="28"/>
        </w:rPr>
        <w:t xml:space="preserve"> планово</w:t>
      </w:r>
      <w:r w:rsidRPr="00E45952">
        <w:rPr>
          <w:snapToGrid w:val="0"/>
          <w:sz w:val="28"/>
          <w:szCs w:val="28"/>
          <w:lang w:val="uk-UA"/>
        </w:rPr>
        <w:t>го</w:t>
      </w:r>
      <w:r w:rsidRPr="00E45952">
        <w:rPr>
          <w:snapToGrid w:val="0"/>
          <w:sz w:val="28"/>
          <w:szCs w:val="28"/>
        </w:rPr>
        <w:t xml:space="preserve"> обстеженн</w:t>
      </w:r>
      <w:r w:rsidRPr="00E45952">
        <w:rPr>
          <w:snapToGrid w:val="0"/>
          <w:sz w:val="28"/>
          <w:szCs w:val="28"/>
          <w:lang w:val="uk-UA"/>
        </w:rPr>
        <w:t>я 6 місяців по тому був діагностований СГТ. На ЕКГ: ритм синусовий, ознаки гіпертрофії лівого шлуночка. УЗД: ЩЗ –  дифузно збільшена в розмірі, ущільнена.</w:t>
      </w:r>
    </w:p>
    <w:p w:rsidR="00E3259F" w:rsidRPr="00E45952" w:rsidRDefault="00E3259F" w:rsidP="00E3259F">
      <w:pPr>
        <w:spacing w:line="348" w:lineRule="auto"/>
        <w:ind w:firstLine="709"/>
        <w:jc w:val="both"/>
        <w:rPr>
          <w:sz w:val="28"/>
          <w:szCs w:val="28"/>
          <w:lang w:val="uk-UA"/>
        </w:rPr>
      </w:pPr>
      <w:r w:rsidRPr="00E45952">
        <w:rPr>
          <w:bCs/>
          <w:sz w:val="28"/>
          <w:szCs w:val="28"/>
        </w:rPr>
        <w:t>Об’єктивне обстеження</w:t>
      </w:r>
      <w:r w:rsidRPr="00E45952">
        <w:rPr>
          <w:b/>
          <w:bCs/>
          <w:sz w:val="28"/>
          <w:szCs w:val="28"/>
        </w:rPr>
        <w:t>:</w:t>
      </w:r>
      <w:r w:rsidRPr="00E45952">
        <w:rPr>
          <w:sz w:val="28"/>
          <w:szCs w:val="28"/>
        </w:rPr>
        <w:t xml:space="preserve"> загальний стан відносно задовільний. Шкір</w:t>
      </w:r>
      <w:r w:rsidRPr="00E45952">
        <w:rPr>
          <w:sz w:val="28"/>
          <w:szCs w:val="28"/>
          <w:lang w:val="uk-UA"/>
        </w:rPr>
        <w:t xml:space="preserve">а </w:t>
      </w:r>
      <w:r w:rsidRPr="00E45952">
        <w:rPr>
          <w:sz w:val="28"/>
          <w:szCs w:val="28"/>
        </w:rPr>
        <w:t xml:space="preserve">звичайного кольору, </w:t>
      </w:r>
      <w:r w:rsidRPr="00E45952">
        <w:rPr>
          <w:sz w:val="28"/>
          <w:szCs w:val="28"/>
          <w:lang w:val="uk-UA"/>
        </w:rPr>
        <w:t>чиста</w:t>
      </w:r>
      <w:r w:rsidRPr="00E45952">
        <w:rPr>
          <w:sz w:val="28"/>
          <w:szCs w:val="28"/>
        </w:rPr>
        <w:t xml:space="preserve">. Над легенями везикулярне дихання. Межі відносної серцевої тупості </w:t>
      </w:r>
      <w:r w:rsidRPr="00E45952">
        <w:rPr>
          <w:sz w:val="28"/>
          <w:szCs w:val="28"/>
          <w:lang w:val="uk-UA"/>
        </w:rPr>
        <w:t>не розширені</w:t>
      </w:r>
      <w:r w:rsidRPr="00E45952">
        <w:rPr>
          <w:sz w:val="28"/>
          <w:szCs w:val="28"/>
        </w:rPr>
        <w:t xml:space="preserve">. Серцева діяльність ритмічна, тони приглушені. ЧСС </w:t>
      </w:r>
      <w:r w:rsidRPr="00E45952">
        <w:rPr>
          <w:snapToGrid w:val="0"/>
          <w:sz w:val="28"/>
          <w:szCs w:val="28"/>
        </w:rPr>
        <w:t xml:space="preserve">– </w:t>
      </w:r>
      <w:r w:rsidRPr="00E45952">
        <w:rPr>
          <w:snapToGrid w:val="0"/>
          <w:sz w:val="28"/>
          <w:szCs w:val="28"/>
          <w:lang w:val="uk-UA"/>
        </w:rPr>
        <w:t>70</w:t>
      </w:r>
      <w:r w:rsidRPr="00E45952">
        <w:rPr>
          <w:sz w:val="28"/>
          <w:szCs w:val="28"/>
        </w:rPr>
        <w:t xml:space="preserve"> уд. за хв. АТ </w:t>
      </w:r>
      <w:r w:rsidRPr="00E45952">
        <w:rPr>
          <w:snapToGrid w:val="0"/>
          <w:sz w:val="28"/>
          <w:szCs w:val="28"/>
        </w:rPr>
        <w:t xml:space="preserve">– </w:t>
      </w:r>
      <w:r w:rsidRPr="00E45952">
        <w:rPr>
          <w:sz w:val="28"/>
          <w:szCs w:val="28"/>
        </w:rPr>
        <w:t>1</w:t>
      </w:r>
      <w:r w:rsidRPr="00E45952">
        <w:rPr>
          <w:sz w:val="28"/>
          <w:szCs w:val="28"/>
          <w:lang w:val="uk-UA"/>
        </w:rPr>
        <w:t>42</w:t>
      </w:r>
      <w:r w:rsidRPr="00E45952">
        <w:rPr>
          <w:sz w:val="28"/>
          <w:szCs w:val="28"/>
        </w:rPr>
        <w:t>/</w:t>
      </w:r>
      <w:r w:rsidRPr="00E45952">
        <w:rPr>
          <w:sz w:val="28"/>
          <w:szCs w:val="28"/>
          <w:lang w:val="uk-UA"/>
        </w:rPr>
        <w:t>80</w:t>
      </w:r>
      <w:r w:rsidRPr="00E45952">
        <w:rPr>
          <w:sz w:val="28"/>
          <w:szCs w:val="28"/>
        </w:rPr>
        <w:t xml:space="preserve"> мм. рт. ст.</w:t>
      </w:r>
      <w:r w:rsidRPr="00E45952">
        <w:rPr>
          <w:sz w:val="28"/>
          <w:szCs w:val="28"/>
          <w:lang w:val="uk-UA"/>
        </w:rPr>
        <w:t xml:space="preserve">, ПАТ-62 мм.рт.ст. </w:t>
      </w:r>
      <w:r w:rsidRPr="00E45952">
        <w:rPr>
          <w:sz w:val="28"/>
          <w:szCs w:val="28"/>
        </w:rPr>
        <w:t xml:space="preserve">При пальпації живіт </w:t>
      </w:r>
      <w:r w:rsidRPr="00E45952">
        <w:rPr>
          <w:sz w:val="28"/>
          <w:szCs w:val="28"/>
          <w:lang w:val="uk-UA"/>
        </w:rPr>
        <w:t xml:space="preserve"> не </w:t>
      </w:r>
      <w:r w:rsidRPr="00E45952">
        <w:rPr>
          <w:sz w:val="28"/>
          <w:szCs w:val="28"/>
        </w:rPr>
        <w:t xml:space="preserve">збільшений у розмірах, м'який, безболісний. Печінка  не збільшена в розмірах.Периферійні набряки відсутні. </w:t>
      </w:r>
      <w:r w:rsidRPr="00E45952">
        <w:rPr>
          <w:sz w:val="28"/>
          <w:szCs w:val="28"/>
          <w:lang w:val="uk-UA"/>
        </w:rPr>
        <w:t>Випорожнення</w:t>
      </w:r>
      <w:r w:rsidRPr="00E45952">
        <w:rPr>
          <w:sz w:val="28"/>
          <w:szCs w:val="28"/>
        </w:rPr>
        <w:t xml:space="preserve"> та діурез без відмінностей.</w:t>
      </w:r>
      <w:r w:rsidRPr="00E45952">
        <w:rPr>
          <w:sz w:val="28"/>
          <w:szCs w:val="28"/>
          <w:lang w:val="uk-UA"/>
        </w:rPr>
        <w:t xml:space="preserve"> Маса тіла 73 кг, зріст 162 см;  індекс маси тіла -   27,86 кг/м</w:t>
      </w:r>
      <w:r w:rsidRPr="00E45952">
        <w:rPr>
          <w:sz w:val="28"/>
          <w:szCs w:val="28"/>
          <w:vertAlign w:val="superscript"/>
          <w:lang w:val="uk-UA"/>
        </w:rPr>
        <w:t>2</w:t>
      </w:r>
      <w:r w:rsidRPr="00E45952">
        <w:rPr>
          <w:sz w:val="28"/>
          <w:szCs w:val="28"/>
          <w:lang w:val="uk-UA"/>
        </w:rPr>
        <w:t>, що перевищує норму (25 кг/м</w:t>
      </w:r>
      <w:r w:rsidRPr="00E45952">
        <w:rPr>
          <w:sz w:val="28"/>
          <w:szCs w:val="28"/>
          <w:vertAlign w:val="superscript"/>
          <w:lang w:val="uk-UA"/>
        </w:rPr>
        <w:t>2</w:t>
      </w:r>
      <w:r w:rsidRPr="00E45952">
        <w:rPr>
          <w:sz w:val="28"/>
          <w:szCs w:val="28"/>
          <w:lang w:val="uk-UA"/>
        </w:rPr>
        <w:t xml:space="preserve">) та свідчить про наявність надлишкової маси тіла. </w:t>
      </w:r>
    </w:p>
    <w:p w:rsidR="00E3259F" w:rsidRPr="00E45952" w:rsidRDefault="00E3259F" w:rsidP="00E3259F">
      <w:pPr>
        <w:spacing w:line="348" w:lineRule="auto"/>
        <w:ind w:firstLine="709"/>
        <w:jc w:val="both"/>
        <w:rPr>
          <w:sz w:val="28"/>
          <w:szCs w:val="28"/>
          <w:lang w:val="uk-UA"/>
        </w:rPr>
      </w:pPr>
      <w:r w:rsidRPr="00E45952">
        <w:rPr>
          <w:sz w:val="28"/>
          <w:szCs w:val="28"/>
          <w:lang w:val="uk-UA"/>
        </w:rPr>
        <w:t>Хворій  поряд із загальноприйнятим комплексом досліджень проведені додаткові дослідження (дослідження рівнів 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ВЕФР, ВДТ крові та клітин букального епітелію).</w:t>
      </w:r>
    </w:p>
    <w:p w:rsidR="00E3259F" w:rsidRPr="00E45952" w:rsidRDefault="00E3259F" w:rsidP="00E3259F">
      <w:pPr>
        <w:spacing w:line="360" w:lineRule="auto"/>
        <w:ind w:firstLine="709"/>
        <w:jc w:val="both"/>
        <w:rPr>
          <w:sz w:val="28"/>
          <w:szCs w:val="28"/>
          <w:lang w:val="uk-UA"/>
        </w:rPr>
      </w:pPr>
      <w:r w:rsidRPr="00E45952">
        <w:rPr>
          <w:sz w:val="28"/>
          <w:szCs w:val="28"/>
          <w:lang w:val="uk-UA"/>
        </w:rPr>
        <w:t>Результати досліджень: у</w:t>
      </w:r>
      <w:r w:rsidRPr="00E45952">
        <w:rPr>
          <w:snapToGrid w:val="0"/>
          <w:sz w:val="28"/>
          <w:szCs w:val="28"/>
          <w:lang w:val="uk-UA"/>
        </w:rPr>
        <w:t xml:space="preserve"> сироватці крові: рівні ЗХС  – </w:t>
      </w:r>
      <w:r w:rsidRPr="00E45952">
        <w:rPr>
          <w:sz w:val="28"/>
          <w:szCs w:val="28"/>
          <w:lang w:val="uk-UA"/>
        </w:rPr>
        <w:t xml:space="preserve">5,2 </w:t>
      </w:r>
      <w:r w:rsidRPr="00E45952">
        <w:rPr>
          <w:snapToGrid w:val="0"/>
          <w:sz w:val="28"/>
          <w:szCs w:val="28"/>
          <w:lang w:val="uk-UA"/>
        </w:rPr>
        <w:t>ммоль/л, ТГ – 3</w:t>
      </w:r>
      <w:r w:rsidRPr="00E45952">
        <w:rPr>
          <w:sz w:val="28"/>
          <w:szCs w:val="28"/>
          <w:lang w:val="uk-UA"/>
        </w:rPr>
        <w:t xml:space="preserve">,2 </w:t>
      </w:r>
      <w:r w:rsidRPr="00E45952">
        <w:rPr>
          <w:snapToGrid w:val="0"/>
          <w:sz w:val="28"/>
          <w:szCs w:val="28"/>
          <w:lang w:val="uk-UA"/>
        </w:rPr>
        <w:t xml:space="preserve">ммоль/л, ХС ЛПНЩ – </w:t>
      </w:r>
      <w:r w:rsidRPr="00E45952">
        <w:rPr>
          <w:sz w:val="28"/>
          <w:szCs w:val="28"/>
          <w:lang w:val="uk-UA"/>
        </w:rPr>
        <w:t xml:space="preserve">3,2 </w:t>
      </w:r>
      <w:r w:rsidRPr="00E45952">
        <w:rPr>
          <w:snapToGrid w:val="0"/>
          <w:sz w:val="28"/>
          <w:szCs w:val="28"/>
          <w:lang w:val="uk-UA"/>
        </w:rPr>
        <w:t>ммоль/л; ХС ЛПВЩ – 1</w:t>
      </w:r>
      <w:r w:rsidRPr="00E45952">
        <w:rPr>
          <w:sz w:val="28"/>
          <w:szCs w:val="28"/>
          <w:lang w:val="uk-UA"/>
        </w:rPr>
        <w:t xml:space="preserve">,56 </w:t>
      </w:r>
      <w:r w:rsidRPr="00E45952">
        <w:rPr>
          <w:snapToGrid w:val="0"/>
          <w:sz w:val="28"/>
          <w:szCs w:val="28"/>
          <w:lang w:val="uk-UA"/>
        </w:rPr>
        <w:t>мммоль/л, глюкози крові – 5</w:t>
      </w:r>
      <w:r w:rsidRPr="00E45952">
        <w:rPr>
          <w:sz w:val="28"/>
          <w:szCs w:val="28"/>
          <w:lang w:val="uk-UA"/>
        </w:rPr>
        <w:t xml:space="preserve">,6 </w:t>
      </w:r>
      <w:r w:rsidRPr="00E45952">
        <w:rPr>
          <w:snapToGrid w:val="0"/>
          <w:sz w:val="28"/>
          <w:szCs w:val="28"/>
          <w:lang w:val="uk-UA"/>
        </w:rPr>
        <w:t>ммоль/л, глікованого гемоглобіну -</w:t>
      </w:r>
      <w:r w:rsidRPr="00E45952">
        <w:rPr>
          <w:sz w:val="28"/>
          <w:szCs w:val="28"/>
          <w:lang w:val="uk-UA"/>
        </w:rPr>
        <w:t xml:space="preserve"> 6,32 </w:t>
      </w:r>
      <w:r w:rsidRPr="00E45952">
        <w:rPr>
          <w:snapToGrid w:val="0"/>
          <w:sz w:val="28"/>
          <w:szCs w:val="28"/>
          <w:lang w:val="uk-UA"/>
        </w:rPr>
        <w:t xml:space="preserve">%, інсуліну крові – 9,87 </w:t>
      </w:r>
      <w:r w:rsidRPr="00E45952">
        <w:rPr>
          <w:sz w:val="28"/>
          <w:szCs w:val="28"/>
          <w:lang w:val="uk-UA"/>
        </w:rPr>
        <w:t>мкОд/мл</w:t>
      </w:r>
      <w:r w:rsidRPr="00E45952">
        <w:rPr>
          <w:snapToGrid w:val="0"/>
          <w:sz w:val="28"/>
          <w:szCs w:val="28"/>
          <w:lang w:val="uk-UA"/>
        </w:rPr>
        <w:t>, НОМА –</w:t>
      </w:r>
      <w:r w:rsidRPr="00E45952">
        <w:rPr>
          <w:snapToGrid w:val="0"/>
          <w:sz w:val="28"/>
          <w:szCs w:val="28"/>
          <w:lang w:val="en-US"/>
        </w:rPr>
        <w:t>IR</w:t>
      </w:r>
      <w:r w:rsidRPr="00E45952">
        <w:rPr>
          <w:snapToGrid w:val="0"/>
          <w:sz w:val="28"/>
          <w:szCs w:val="28"/>
          <w:lang w:val="uk-UA"/>
        </w:rPr>
        <w:t>=</w:t>
      </w:r>
      <w:r w:rsidRPr="00E45952">
        <w:rPr>
          <w:sz w:val="28"/>
          <w:szCs w:val="28"/>
          <w:lang w:val="uk-UA"/>
        </w:rPr>
        <w:t xml:space="preserve"> 2,46</w:t>
      </w:r>
      <w:r w:rsidRPr="00E45952">
        <w:rPr>
          <w:snapToGrid w:val="0"/>
          <w:sz w:val="28"/>
          <w:szCs w:val="28"/>
          <w:lang w:val="uk-UA"/>
        </w:rPr>
        <w:t xml:space="preserve">, що свідчить про наявність дисліпідемії, ознаків компенсації вуглеводного обміну. </w:t>
      </w:r>
      <w:r w:rsidRPr="00E45952">
        <w:rPr>
          <w:kern w:val="2"/>
          <w:sz w:val="28"/>
          <w:szCs w:val="28"/>
          <w:lang w:val="uk-UA" w:eastAsia="ar-SA"/>
        </w:rPr>
        <w:t>Рівень ТТГ становив 4</w:t>
      </w:r>
      <w:r w:rsidRPr="00E45952">
        <w:rPr>
          <w:sz w:val="28"/>
          <w:szCs w:val="28"/>
          <w:lang w:val="uk-UA"/>
        </w:rPr>
        <w:t xml:space="preserve">,94 </w:t>
      </w:r>
      <w:r w:rsidRPr="00E45952">
        <w:rPr>
          <w:snapToGrid w:val="0"/>
          <w:sz w:val="28"/>
          <w:szCs w:val="28"/>
          <w:lang w:val="uk-UA"/>
        </w:rPr>
        <w:t>мОд/л</w:t>
      </w:r>
      <w:r w:rsidRPr="00E45952">
        <w:rPr>
          <w:sz w:val="28"/>
          <w:szCs w:val="28"/>
          <w:lang w:val="uk-UA"/>
        </w:rPr>
        <w:t>, Т4 вільний – 11,91 ммоль/л, що свідчить про наявність СГТ. Вимірювання ТКІМ сонних артерій дорівнювало 0,08 мм, наявність атеросклеротичних  бляшок, гемодинамічно не значущих.</w:t>
      </w:r>
      <w:r w:rsidRPr="00E45952">
        <w:rPr>
          <w:snapToGrid w:val="0"/>
          <w:sz w:val="28"/>
          <w:szCs w:val="28"/>
          <w:lang w:val="uk-UA"/>
        </w:rPr>
        <w:t xml:space="preserve"> Під час УЗД ЩЗ – підвищена ехогенність, ЩЗ збільшена в розмірах, вузли ЩЗ</w:t>
      </w:r>
      <w:r w:rsidRPr="00E45952">
        <w:rPr>
          <w:sz w:val="28"/>
          <w:szCs w:val="28"/>
          <w:lang w:val="uk-UA"/>
        </w:rPr>
        <w:t>.</w:t>
      </w:r>
    </w:p>
    <w:p w:rsidR="00E3259F" w:rsidRPr="00E45952" w:rsidRDefault="00E3259F" w:rsidP="00E3259F">
      <w:pPr>
        <w:spacing w:line="360" w:lineRule="auto"/>
        <w:ind w:firstLine="709"/>
        <w:jc w:val="both"/>
        <w:rPr>
          <w:rFonts w:eastAsia="Calibri"/>
          <w:kern w:val="2"/>
          <w:sz w:val="28"/>
          <w:szCs w:val="28"/>
          <w:lang w:val="uk-UA"/>
        </w:rPr>
      </w:pPr>
      <w:r w:rsidRPr="00E45952">
        <w:rPr>
          <w:rFonts w:eastAsia="Calibri"/>
          <w:bCs/>
          <w:sz w:val="28"/>
          <w:szCs w:val="28"/>
          <w:lang w:val="uk-UA"/>
        </w:rPr>
        <w:t xml:space="preserve">Хворій, згідно моделі, додатково проводять молекулярно-генетичне дослідження з визначенням </w:t>
      </w:r>
      <w:r w:rsidRPr="00E45952">
        <w:rPr>
          <w:sz w:val="28"/>
          <w:szCs w:val="28"/>
          <w:lang w:val="uk-UA"/>
        </w:rPr>
        <w:t>ВДТ</w:t>
      </w:r>
      <w:r w:rsidRPr="00E45952">
        <w:rPr>
          <w:rFonts w:eastAsia="Calibri"/>
          <w:bCs/>
          <w:sz w:val="28"/>
          <w:szCs w:val="28"/>
          <w:lang w:val="uk-UA"/>
        </w:rPr>
        <w:t xml:space="preserve">, яка в крові дорівнює 1,64, що порівняно зі значенням в групі контрою, та в клітинах букального епітелію – 1,46, це свідчить про вкорочення порівняно з контрольним значенням. </w:t>
      </w:r>
      <w:r w:rsidRPr="00E45952">
        <w:rPr>
          <w:rFonts w:eastAsia="Calibri"/>
          <w:kern w:val="2"/>
          <w:sz w:val="28"/>
          <w:szCs w:val="28"/>
        </w:rPr>
        <w:t>Визнач</w:t>
      </w:r>
      <w:r w:rsidRPr="00E45952">
        <w:rPr>
          <w:rFonts w:eastAsia="Calibri"/>
          <w:kern w:val="2"/>
          <w:sz w:val="28"/>
          <w:szCs w:val="28"/>
          <w:lang w:val="uk-UA"/>
        </w:rPr>
        <w:t>ено</w:t>
      </w:r>
      <w:r w:rsidRPr="00E45952">
        <w:rPr>
          <w:rFonts w:eastAsia="Calibri"/>
          <w:kern w:val="2"/>
          <w:sz w:val="28"/>
          <w:szCs w:val="28"/>
        </w:rPr>
        <w:t xml:space="preserve"> рівень ВЕФР</w:t>
      </w:r>
      <w:r w:rsidRPr="00E45952">
        <w:rPr>
          <w:rFonts w:eastAsia="Calibri"/>
          <w:kern w:val="2"/>
          <w:sz w:val="28"/>
          <w:szCs w:val="28"/>
          <w:lang w:val="uk-UA"/>
        </w:rPr>
        <w:t>=364,76</w:t>
      </w:r>
      <w:r w:rsidRPr="00E45952">
        <w:rPr>
          <w:rFonts w:eastAsia="Calibri"/>
          <w:kern w:val="2"/>
          <w:sz w:val="28"/>
          <w:szCs w:val="28"/>
        </w:rPr>
        <w:t xml:space="preserve"> пг/мл</w:t>
      </w:r>
      <w:r w:rsidRPr="00E45952">
        <w:rPr>
          <w:rFonts w:eastAsia="Calibri"/>
          <w:kern w:val="2"/>
          <w:sz w:val="28"/>
          <w:szCs w:val="28"/>
          <w:lang w:val="uk-UA"/>
        </w:rPr>
        <w:t xml:space="preserve">, рівень </w:t>
      </w:r>
      <w:r w:rsidRPr="00E45952">
        <w:rPr>
          <w:sz w:val="28"/>
          <w:szCs w:val="28"/>
          <w:lang w:val="uk-UA"/>
        </w:rPr>
        <w:t xml:space="preserve"> </w:t>
      </w:r>
      <w:r w:rsidRPr="00E45952">
        <w:rPr>
          <w:sz w:val="28"/>
          <w:szCs w:val="28"/>
        </w:rPr>
        <w:t>8-</w:t>
      </w:r>
      <w:r w:rsidRPr="00E45952">
        <w:rPr>
          <w:sz w:val="28"/>
          <w:szCs w:val="28"/>
          <w:lang w:val="en-US"/>
        </w:rPr>
        <w:t>OH</w:t>
      </w:r>
      <w:r w:rsidRPr="00E45952">
        <w:rPr>
          <w:sz w:val="28"/>
          <w:szCs w:val="28"/>
        </w:rPr>
        <w:t>-</w:t>
      </w:r>
      <w:r w:rsidRPr="00E45952">
        <w:rPr>
          <w:sz w:val="28"/>
          <w:szCs w:val="28"/>
          <w:lang w:val="en-US"/>
        </w:rPr>
        <w:t>dG</w:t>
      </w:r>
      <w:r w:rsidRPr="00E45952">
        <w:rPr>
          <w:sz w:val="28"/>
          <w:szCs w:val="28"/>
          <w:lang w:val="uk-UA"/>
        </w:rPr>
        <w:t xml:space="preserve"> = 13,07 пг/мл</w:t>
      </w:r>
      <w:r w:rsidRPr="00E45952">
        <w:rPr>
          <w:rFonts w:eastAsia="Calibri"/>
          <w:kern w:val="2"/>
          <w:sz w:val="28"/>
          <w:szCs w:val="28"/>
        </w:rPr>
        <w:t xml:space="preserve">, що свідчить про </w:t>
      </w:r>
      <w:r w:rsidRPr="00E45952">
        <w:rPr>
          <w:rFonts w:eastAsia="Calibri"/>
          <w:kern w:val="2"/>
          <w:sz w:val="28"/>
          <w:szCs w:val="28"/>
          <w:lang w:val="uk-UA"/>
        </w:rPr>
        <w:t xml:space="preserve">значне </w:t>
      </w:r>
      <w:r w:rsidRPr="00E45952">
        <w:rPr>
          <w:rFonts w:eastAsia="Calibri"/>
          <w:kern w:val="2"/>
          <w:sz w:val="28"/>
          <w:szCs w:val="28"/>
        </w:rPr>
        <w:t>підвищення порівняно с контрольним значенням</w:t>
      </w:r>
      <w:r w:rsidRPr="00E45952">
        <w:rPr>
          <w:rFonts w:eastAsia="Calibri"/>
          <w:kern w:val="2"/>
          <w:sz w:val="28"/>
          <w:szCs w:val="28"/>
          <w:lang w:val="uk-UA"/>
        </w:rPr>
        <w:t xml:space="preserve">. </w:t>
      </w:r>
    </w:p>
    <w:p w:rsidR="00E3259F" w:rsidRPr="00E45952" w:rsidRDefault="00E3259F" w:rsidP="00E3259F">
      <w:pPr>
        <w:spacing w:line="360" w:lineRule="auto"/>
        <w:ind w:firstLine="709"/>
        <w:jc w:val="both"/>
        <w:rPr>
          <w:rFonts w:eastAsia="Calibri"/>
          <w:sz w:val="28"/>
          <w:szCs w:val="28"/>
          <w:lang w:val="uk-UA"/>
        </w:rPr>
      </w:pPr>
      <w:r w:rsidRPr="00E45952">
        <w:rPr>
          <w:rFonts w:eastAsia="Calibri"/>
          <w:sz w:val="28"/>
          <w:szCs w:val="28"/>
        </w:rPr>
        <w:t>Таким чином, у хворо</w:t>
      </w:r>
      <w:r w:rsidRPr="00E45952">
        <w:rPr>
          <w:rFonts w:eastAsia="Calibri"/>
          <w:sz w:val="28"/>
          <w:szCs w:val="28"/>
          <w:lang w:val="uk-UA"/>
        </w:rPr>
        <w:t xml:space="preserve">ї </w:t>
      </w:r>
      <w:r w:rsidRPr="00E45952">
        <w:rPr>
          <w:sz w:val="28"/>
          <w:szCs w:val="28"/>
          <w:lang w:val="uk-UA"/>
        </w:rPr>
        <w:t>при обстеженні визначені такі значення прогностичних критеріїв</w:t>
      </w:r>
      <w:r w:rsidRPr="00E45952">
        <w:rPr>
          <w:rFonts w:eastAsia="Calibri"/>
          <w:sz w:val="28"/>
          <w:szCs w:val="28"/>
          <w:lang w:eastAsia="ar-SA"/>
        </w:rPr>
        <w:t xml:space="preserve">: </w:t>
      </w:r>
      <w:r w:rsidRPr="00E45952">
        <w:rPr>
          <w:sz w:val="28"/>
          <w:szCs w:val="28"/>
          <w:lang w:val="uk-UA"/>
        </w:rPr>
        <w:t xml:space="preserve">ВДТ </w:t>
      </w:r>
      <w:r w:rsidRPr="00E45952">
        <w:rPr>
          <w:rFonts w:eastAsia="Calibri"/>
          <w:sz w:val="28"/>
          <w:szCs w:val="28"/>
          <w:lang w:val="uk-UA" w:eastAsia="ar-SA"/>
        </w:rPr>
        <w:t>крові</w:t>
      </w:r>
      <w:r w:rsidRPr="00E45952">
        <w:rPr>
          <w:rFonts w:eastAsia="Calibri"/>
          <w:sz w:val="28"/>
          <w:szCs w:val="28"/>
          <w:lang w:eastAsia="ar-SA"/>
        </w:rPr>
        <w:t xml:space="preserve"> (</w:t>
      </w:r>
      <w:r w:rsidRPr="00E45952">
        <w:rPr>
          <w:rFonts w:eastAsia="Calibri"/>
          <w:kern w:val="2"/>
          <w:sz w:val="28"/>
          <w:szCs w:val="28"/>
          <w:lang w:eastAsia="ar-SA"/>
        </w:rPr>
        <w:t>Х</w:t>
      </w:r>
      <w:r w:rsidRPr="00E45952">
        <w:rPr>
          <w:rFonts w:eastAsia="Calibri"/>
          <w:kern w:val="2"/>
          <w:sz w:val="28"/>
          <w:szCs w:val="28"/>
          <w:vertAlign w:val="subscript"/>
          <w:lang w:eastAsia="ar-SA"/>
        </w:rPr>
        <w:t>1</w:t>
      </w:r>
      <w:r w:rsidRPr="00E45952">
        <w:rPr>
          <w:rFonts w:eastAsia="Calibri"/>
          <w:kern w:val="2"/>
          <w:sz w:val="28"/>
          <w:szCs w:val="28"/>
          <w:lang w:eastAsia="ar-SA"/>
        </w:rPr>
        <w:t xml:space="preserve">)- </w:t>
      </w:r>
      <w:r w:rsidRPr="00E45952">
        <w:rPr>
          <w:sz w:val="28"/>
          <w:szCs w:val="28"/>
          <w:lang w:val="uk-UA"/>
        </w:rPr>
        <w:t>1,64</w:t>
      </w:r>
      <w:r w:rsidRPr="00E45952">
        <w:rPr>
          <w:rFonts w:eastAsia="Calibri"/>
          <w:kern w:val="2"/>
          <w:sz w:val="28"/>
          <w:szCs w:val="28"/>
          <w:lang w:val="uk-UA" w:eastAsia="ar-SA"/>
        </w:rPr>
        <w:t xml:space="preserve">; </w:t>
      </w:r>
      <w:r w:rsidRPr="00E45952">
        <w:rPr>
          <w:sz w:val="28"/>
          <w:szCs w:val="28"/>
          <w:lang w:val="uk-UA"/>
        </w:rPr>
        <w:t xml:space="preserve">ВДТ </w:t>
      </w:r>
      <w:r w:rsidRPr="00E45952">
        <w:rPr>
          <w:rFonts w:eastAsia="Calibri"/>
          <w:kern w:val="2"/>
          <w:sz w:val="28"/>
          <w:szCs w:val="28"/>
          <w:lang w:val="uk-UA" w:eastAsia="ar-SA"/>
        </w:rPr>
        <w:t>клітин букального епітелію (Х</w:t>
      </w:r>
      <w:r w:rsidRPr="00E45952">
        <w:rPr>
          <w:rFonts w:eastAsia="Calibri"/>
          <w:kern w:val="2"/>
          <w:sz w:val="28"/>
          <w:szCs w:val="28"/>
          <w:vertAlign w:val="subscript"/>
          <w:lang w:val="uk-UA" w:eastAsia="ar-SA"/>
        </w:rPr>
        <w:t>2</w:t>
      </w:r>
      <w:r w:rsidRPr="00E45952">
        <w:rPr>
          <w:rFonts w:eastAsia="Calibri"/>
          <w:kern w:val="2"/>
          <w:sz w:val="28"/>
          <w:szCs w:val="28"/>
          <w:lang w:val="uk-UA" w:eastAsia="ar-SA"/>
        </w:rPr>
        <w:t>)-</w:t>
      </w:r>
      <w:r w:rsidRPr="00E45952">
        <w:rPr>
          <w:sz w:val="28"/>
          <w:szCs w:val="28"/>
          <w:lang w:val="uk-UA"/>
        </w:rPr>
        <w:t xml:space="preserve"> 1,46</w:t>
      </w:r>
      <w:r w:rsidRPr="00E45952">
        <w:rPr>
          <w:rFonts w:eastAsia="Calibri"/>
          <w:kern w:val="2"/>
          <w:sz w:val="28"/>
          <w:szCs w:val="28"/>
          <w:lang w:val="uk-UA" w:eastAsia="ar-SA"/>
        </w:rPr>
        <w:t>; рівень САТ (Х</w:t>
      </w:r>
      <w:r w:rsidRPr="00E45952">
        <w:rPr>
          <w:rFonts w:eastAsia="Calibri"/>
          <w:kern w:val="2"/>
          <w:sz w:val="28"/>
          <w:szCs w:val="28"/>
          <w:vertAlign w:val="subscript"/>
          <w:lang w:val="uk-UA" w:eastAsia="ar-SA"/>
        </w:rPr>
        <w:t>3</w:t>
      </w:r>
      <w:r w:rsidRPr="00E45952">
        <w:rPr>
          <w:rFonts w:eastAsia="Calibri"/>
          <w:kern w:val="2"/>
          <w:sz w:val="28"/>
          <w:szCs w:val="28"/>
          <w:lang w:val="uk-UA" w:eastAsia="ar-SA"/>
        </w:rPr>
        <w:t xml:space="preserve">) – </w:t>
      </w:r>
      <w:r w:rsidRPr="00E45952">
        <w:rPr>
          <w:sz w:val="28"/>
          <w:szCs w:val="28"/>
          <w:lang w:val="uk-UA"/>
        </w:rPr>
        <w:t>142</w:t>
      </w:r>
      <w:r w:rsidRPr="00E45952">
        <w:rPr>
          <w:rFonts w:eastAsia="Calibri"/>
          <w:kern w:val="2"/>
          <w:sz w:val="28"/>
          <w:szCs w:val="28"/>
          <w:lang w:val="uk-UA" w:eastAsia="ar-SA"/>
        </w:rPr>
        <w:t xml:space="preserve"> мм.рт.ст., рівень ПАТ(Х</w:t>
      </w:r>
      <w:r w:rsidRPr="00E45952">
        <w:rPr>
          <w:rFonts w:eastAsia="Calibri"/>
          <w:kern w:val="2"/>
          <w:sz w:val="28"/>
          <w:szCs w:val="28"/>
          <w:vertAlign w:val="subscript"/>
          <w:lang w:val="uk-UA" w:eastAsia="ar-SA"/>
        </w:rPr>
        <w:t>4</w:t>
      </w:r>
      <w:r w:rsidRPr="00E45952">
        <w:rPr>
          <w:rFonts w:eastAsia="Calibri"/>
          <w:kern w:val="2"/>
          <w:sz w:val="28"/>
          <w:szCs w:val="28"/>
          <w:lang w:val="uk-UA" w:eastAsia="ar-SA"/>
        </w:rPr>
        <w:t>) -</w:t>
      </w:r>
      <w:r w:rsidRPr="00E45952">
        <w:rPr>
          <w:sz w:val="28"/>
          <w:szCs w:val="28"/>
          <w:lang w:val="uk-UA"/>
        </w:rPr>
        <w:t>62</w:t>
      </w:r>
      <w:r w:rsidRPr="00E45952">
        <w:rPr>
          <w:rFonts w:eastAsia="Calibri"/>
          <w:kern w:val="2"/>
          <w:sz w:val="28"/>
          <w:szCs w:val="28"/>
          <w:lang w:val="uk-UA" w:eastAsia="ar-SA"/>
        </w:rPr>
        <w:t xml:space="preserve"> мм.рт.ст., рівень </w:t>
      </w:r>
      <w:r w:rsidRPr="00E45952">
        <w:rPr>
          <w:sz w:val="28"/>
          <w:szCs w:val="28"/>
          <w:lang w:val="uk-UA"/>
        </w:rPr>
        <w:t>8-</w:t>
      </w:r>
      <w:r w:rsidRPr="00E45952">
        <w:rPr>
          <w:sz w:val="28"/>
          <w:szCs w:val="28"/>
          <w:lang w:val="en-US"/>
        </w:rPr>
        <w:t>OH</w:t>
      </w:r>
      <w:r w:rsidRPr="00E45952">
        <w:rPr>
          <w:sz w:val="28"/>
          <w:szCs w:val="28"/>
          <w:lang w:val="uk-UA"/>
        </w:rPr>
        <w:t>-</w:t>
      </w:r>
      <w:r w:rsidRPr="00E45952">
        <w:rPr>
          <w:sz w:val="28"/>
          <w:szCs w:val="28"/>
          <w:lang w:val="en-US"/>
        </w:rPr>
        <w:t>dG</w:t>
      </w:r>
      <w:r w:rsidRPr="00E45952">
        <w:rPr>
          <w:sz w:val="28"/>
          <w:szCs w:val="28"/>
          <w:lang w:val="uk-UA"/>
        </w:rPr>
        <w:t xml:space="preserve"> </w:t>
      </w:r>
      <w:r w:rsidRPr="00E45952">
        <w:rPr>
          <w:rFonts w:eastAsia="Calibri"/>
          <w:kern w:val="2"/>
          <w:sz w:val="28"/>
          <w:szCs w:val="28"/>
          <w:lang w:val="uk-UA" w:eastAsia="ar-SA"/>
        </w:rPr>
        <w:t>(Х</w:t>
      </w:r>
      <w:r w:rsidRPr="00E45952">
        <w:rPr>
          <w:rFonts w:eastAsia="Calibri"/>
          <w:kern w:val="2"/>
          <w:sz w:val="28"/>
          <w:szCs w:val="28"/>
          <w:vertAlign w:val="subscript"/>
          <w:lang w:val="uk-UA" w:eastAsia="ar-SA"/>
        </w:rPr>
        <w:t>5</w:t>
      </w:r>
      <w:r w:rsidRPr="00E45952">
        <w:rPr>
          <w:rFonts w:eastAsia="Calibri"/>
          <w:kern w:val="2"/>
          <w:sz w:val="28"/>
          <w:szCs w:val="28"/>
          <w:lang w:val="uk-UA" w:eastAsia="ar-SA"/>
        </w:rPr>
        <w:t xml:space="preserve">) – </w:t>
      </w:r>
      <w:r w:rsidRPr="00E45952">
        <w:rPr>
          <w:sz w:val="28"/>
          <w:szCs w:val="28"/>
          <w:lang w:val="uk-UA"/>
        </w:rPr>
        <w:t>13,07</w:t>
      </w:r>
      <w:r w:rsidRPr="00E45952">
        <w:rPr>
          <w:rFonts w:eastAsia="Calibri"/>
          <w:kern w:val="2"/>
          <w:sz w:val="28"/>
          <w:szCs w:val="28"/>
          <w:lang w:val="uk-UA" w:eastAsia="ar-SA"/>
        </w:rPr>
        <w:t xml:space="preserve"> пг/мл, ТТГ (Х</w:t>
      </w:r>
      <w:r w:rsidRPr="00E45952">
        <w:rPr>
          <w:rFonts w:eastAsia="Calibri"/>
          <w:kern w:val="2"/>
          <w:sz w:val="28"/>
          <w:szCs w:val="28"/>
          <w:vertAlign w:val="subscript"/>
          <w:lang w:val="uk-UA" w:eastAsia="ar-SA"/>
        </w:rPr>
        <w:t>6</w:t>
      </w:r>
      <w:r w:rsidRPr="00E45952">
        <w:rPr>
          <w:rFonts w:eastAsia="Calibri"/>
          <w:kern w:val="2"/>
          <w:sz w:val="28"/>
          <w:szCs w:val="28"/>
          <w:lang w:val="uk-UA" w:eastAsia="ar-SA"/>
        </w:rPr>
        <w:t xml:space="preserve">)- </w:t>
      </w:r>
      <w:r w:rsidRPr="00E45952">
        <w:rPr>
          <w:sz w:val="28"/>
          <w:szCs w:val="28"/>
          <w:lang w:val="uk-UA"/>
        </w:rPr>
        <w:t>4,94</w:t>
      </w:r>
      <w:r w:rsidRPr="00E45952">
        <w:rPr>
          <w:rFonts w:eastAsia="Calibri"/>
          <w:kern w:val="2"/>
          <w:sz w:val="28"/>
          <w:szCs w:val="28"/>
          <w:lang w:val="uk-UA" w:eastAsia="ar-SA"/>
        </w:rPr>
        <w:t xml:space="preserve"> мкМОд/мл,  ВЕФР (Х</w:t>
      </w:r>
      <w:r w:rsidRPr="00E45952">
        <w:rPr>
          <w:rFonts w:eastAsia="Calibri"/>
          <w:kern w:val="2"/>
          <w:sz w:val="28"/>
          <w:szCs w:val="28"/>
          <w:vertAlign w:val="subscript"/>
          <w:lang w:val="uk-UA" w:eastAsia="ar-SA"/>
        </w:rPr>
        <w:t>7</w:t>
      </w:r>
      <w:r w:rsidRPr="00E45952">
        <w:rPr>
          <w:rFonts w:eastAsia="Calibri"/>
          <w:kern w:val="2"/>
          <w:sz w:val="28"/>
          <w:szCs w:val="28"/>
          <w:lang w:val="uk-UA" w:eastAsia="ar-SA"/>
        </w:rPr>
        <w:t xml:space="preserve">) – </w:t>
      </w:r>
      <w:r w:rsidRPr="00E45952">
        <w:rPr>
          <w:sz w:val="28"/>
          <w:szCs w:val="28"/>
          <w:lang w:val="uk-UA"/>
        </w:rPr>
        <w:t>364,76</w:t>
      </w:r>
      <w:r w:rsidRPr="00E45952">
        <w:rPr>
          <w:rFonts w:eastAsia="Calibri"/>
          <w:sz w:val="28"/>
          <w:szCs w:val="28"/>
          <w:lang w:val="uk-UA"/>
        </w:rPr>
        <w:t xml:space="preserve"> пг/мл.</w:t>
      </w:r>
    </w:p>
    <w:p w:rsidR="00E3259F" w:rsidRPr="00E45952" w:rsidRDefault="00E3259F" w:rsidP="00E3259F">
      <w:pPr>
        <w:spacing w:line="360" w:lineRule="auto"/>
        <w:ind w:firstLine="709"/>
        <w:jc w:val="both"/>
        <w:rPr>
          <w:sz w:val="28"/>
          <w:szCs w:val="28"/>
          <w:lang w:val="uk-UA"/>
        </w:rPr>
      </w:pPr>
      <w:r w:rsidRPr="00E45952">
        <w:rPr>
          <w:sz w:val="28"/>
          <w:szCs w:val="28"/>
          <w:lang w:val="uk-UA"/>
        </w:rPr>
        <w:t xml:space="preserve">Пацієнтці було здійснено індивідуальну кількісну оцінку прогностичних критеріїв та розраховано в автоматичному режимі в </w:t>
      </w:r>
      <w:r w:rsidRPr="00E45952">
        <w:rPr>
          <w:i/>
          <w:sz w:val="28"/>
          <w:szCs w:val="28"/>
        </w:rPr>
        <w:t>Ex</w:t>
      </w:r>
      <w:r w:rsidRPr="00E45952">
        <w:rPr>
          <w:i/>
          <w:sz w:val="28"/>
          <w:szCs w:val="28"/>
          <w:lang w:val="uk-UA"/>
        </w:rPr>
        <w:t>с</w:t>
      </w:r>
      <w:r w:rsidRPr="00E45952">
        <w:rPr>
          <w:i/>
          <w:sz w:val="28"/>
          <w:szCs w:val="28"/>
        </w:rPr>
        <w:t>el</w:t>
      </w:r>
      <w:r w:rsidRPr="00E45952">
        <w:rPr>
          <w:i/>
          <w:sz w:val="28"/>
          <w:szCs w:val="28"/>
          <w:lang w:val="uk-UA"/>
        </w:rPr>
        <w:t xml:space="preserve"> </w:t>
      </w:r>
      <w:r w:rsidRPr="00E45952">
        <w:rPr>
          <w:sz w:val="28"/>
          <w:szCs w:val="28"/>
          <w:lang w:val="uk-UA"/>
        </w:rPr>
        <w:t xml:space="preserve">ймовірність </w:t>
      </w:r>
      <w:r w:rsidRPr="00E45952">
        <w:rPr>
          <w:kern w:val="2"/>
          <w:position w:val="-4"/>
          <w:sz w:val="28"/>
          <w:szCs w:val="28"/>
        </w:rPr>
        <w:object w:dxaOrig="240" w:dyaOrig="420">
          <v:shape id="_x0000_i1074" type="#_x0000_t75" style="width:12.75pt;height:21.75pt" o:ole="">
            <v:imagedata r:id="rId17" o:title=""/>
          </v:shape>
          <o:OLEObject Type="Embed" ProgID="Equation.3" ShapeID="_x0000_i1074" DrawAspect="Content" ObjectID="_1669446858" r:id="rId86"/>
        </w:object>
      </w:r>
      <w:r w:rsidRPr="00E45952">
        <w:rPr>
          <w:sz w:val="28"/>
          <w:szCs w:val="28"/>
          <w:lang w:val="uk-UA"/>
        </w:rPr>
        <w:t>виникнення серцево-судинних ускладнень у пацієнтів з ГХ, ЦД 2 типу та СГТ за розробленою формулою:</w:t>
      </w:r>
    </w:p>
    <w:p w:rsidR="00E3259F" w:rsidRPr="00E45952" w:rsidRDefault="00E3259F" w:rsidP="00E3259F">
      <w:pPr>
        <w:autoSpaceDE w:val="0"/>
        <w:autoSpaceDN w:val="0"/>
        <w:adjustRightInd w:val="0"/>
        <w:jc w:val="center"/>
        <w:rPr>
          <w:sz w:val="28"/>
          <w:szCs w:val="28"/>
          <w:lang w:val="uk-UA"/>
        </w:rPr>
      </w:pPr>
      <w:r w:rsidRPr="00E45952">
        <w:rPr>
          <w:kern w:val="2"/>
          <w:position w:val="-4"/>
          <w:sz w:val="28"/>
          <w:szCs w:val="28"/>
        </w:rPr>
        <w:object w:dxaOrig="240" w:dyaOrig="420">
          <v:shape id="_x0000_i1075" type="#_x0000_t75" style="width:12.75pt;height:21.75pt" o:ole="">
            <v:imagedata r:id="rId17" o:title=""/>
          </v:shape>
          <o:OLEObject Type="Embed" ProgID="Equation.3" ShapeID="_x0000_i1075" DrawAspect="Content" ObjectID="_1669446859" r:id="rId87"/>
        </w:object>
      </w:r>
      <w:r w:rsidRPr="00E45952">
        <w:rPr>
          <w:kern w:val="2"/>
          <w:sz w:val="28"/>
          <w:szCs w:val="28"/>
          <w:lang w:val="uk-UA"/>
        </w:rPr>
        <w:t xml:space="preserve">=[1+ </w:t>
      </w:r>
      <w:r w:rsidRPr="00E45952">
        <w:rPr>
          <w:kern w:val="2"/>
          <w:sz w:val="28"/>
          <w:szCs w:val="28"/>
          <w:lang w:val="en-US"/>
        </w:rPr>
        <w:t>exp</w:t>
      </w:r>
      <w:r w:rsidRPr="00E45952">
        <w:rPr>
          <w:kern w:val="2"/>
          <w:sz w:val="28"/>
          <w:szCs w:val="28"/>
          <w:lang w:val="uk-UA"/>
        </w:rPr>
        <w:t>(-(</w:t>
      </w:r>
      <w:r w:rsidRPr="00E45952">
        <w:rPr>
          <w:sz w:val="28"/>
          <w:szCs w:val="28"/>
          <w:lang w:val="uk-UA"/>
        </w:rPr>
        <w:t>-10,826 *</w:t>
      </w:r>
      <w:r w:rsidRPr="00E45952">
        <w:rPr>
          <w:kern w:val="2"/>
          <w:sz w:val="28"/>
          <w:szCs w:val="28"/>
          <w:lang w:val="uk-UA"/>
        </w:rPr>
        <w:t xml:space="preserve"> 1,64</w:t>
      </w:r>
      <w:r w:rsidRPr="00E45952">
        <w:rPr>
          <w:kern w:val="2"/>
          <w:sz w:val="28"/>
          <w:szCs w:val="28"/>
          <w:vertAlign w:val="subscript"/>
          <w:lang w:val="uk-UA"/>
        </w:rPr>
        <w:t xml:space="preserve"> </w:t>
      </w:r>
      <w:r w:rsidRPr="00E45952">
        <w:rPr>
          <w:sz w:val="28"/>
          <w:szCs w:val="28"/>
          <w:lang w:val="uk-UA"/>
        </w:rPr>
        <w:t>–</w:t>
      </w:r>
      <w:r w:rsidRPr="00E45952">
        <w:rPr>
          <w:kern w:val="2"/>
          <w:sz w:val="28"/>
          <w:szCs w:val="28"/>
          <w:lang w:val="uk-UA"/>
        </w:rPr>
        <w:t xml:space="preserve"> </w:t>
      </w:r>
      <w:r w:rsidRPr="00E45952">
        <w:rPr>
          <w:sz w:val="28"/>
          <w:szCs w:val="28"/>
          <w:lang w:val="uk-UA"/>
        </w:rPr>
        <w:t>25,252*</w:t>
      </w:r>
      <w:r w:rsidRPr="00E45952">
        <w:rPr>
          <w:kern w:val="2"/>
          <w:sz w:val="28"/>
          <w:szCs w:val="28"/>
          <w:lang w:val="uk-UA"/>
        </w:rPr>
        <w:t>1,46</w:t>
      </w:r>
      <w:r w:rsidRPr="00E45952">
        <w:rPr>
          <w:kern w:val="2"/>
          <w:sz w:val="28"/>
          <w:szCs w:val="28"/>
          <w:vertAlign w:val="subscript"/>
          <w:lang w:val="uk-UA"/>
        </w:rPr>
        <w:t xml:space="preserve"> </w:t>
      </w:r>
      <w:r w:rsidRPr="00E45952">
        <w:rPr>
          <w:sz w:val="28"/>
          <w:szCs w:val="28"/>
          <w:lang w:val="uk-UA"/>
        </w:rPr>
        <w:t>–0,382 *</w:t>
      </w:r>
      <w:r w:rsidRPr="00E45952">
        <w:rPr>
          <w:kern w:val="2"/>
          <w:sz w:val="28"/>
          <w:szCs w:val="28"/>
          <w:lang w:val="uk-UA"/>
        </w:rPr>
        <w:t xml:space="preserve"> 142+0</w:t>
      </w:r>
      <w:r w:rsidRPr="00E45952">
        <w:rPr>
          <w:sz w:val="28"/>
          <w:szCs w:val="28"/>
          <w:lang w:val="uk-UA"/>
        </w:rPr>
        <w:t xml:space="preserve">,523* </w:t>
      </w:r>
      <w:r w:rsidRPr="00E45952">
        <w:rPr>
          <w:kern w:val="2"/>
          <w:sz w:val="28"/>
          <w:szCs w:val="28"/>
          <w:lang w:val="uk-UA"/>
        </w:rPr>
        <w:t>62</w:t>
      </w:r>
      <w:r w:rsidRPr="00E45952">
        <w:rPr>
          <w:kern w:val="2"/>
          <w:sz w:val="28"/>
          <w:szCs w:val="28"/>
          <w:vertAlign w:val="subscript"/>
          <w:lang w:val="uk-UA"/>
        </w:rPr>
        <w:t xml:space="preserve"> </w:t>
      </w:r>
      <w:r w:rsidRPr="00E45952">
        <w:rPr>
          <w:sz w:val="28"/>
          <w:szCs w:val="28"/>
          <w:lang w:val="uk-UA"/>
        </w:rPr>
        <w:t xml:space="preserve">– 1,438 * </w:t>
      </w:r>
      <w:r w:rsidRPr="00E45952">
        <w:rPr>
          <w:kern w:val="2"/>
          <w:sz w:val="28"/>
          <w:szCs w:val="28"/>
          <w:lang w:val="uk-UA"/>
        </w:rPr>
        <w:t>13,07</w:t>
      </w:r>
      <w:r w:rsidRPr="00E45952">
        <w:rPr>
          <w:sz w:val="28"/>
          <w:szCs w:val="28"/>
          <w:lang w:val="uk-UA"/>
        </w:rPr>
        <w:t xml:space="preserve"> +2,935 *</w:t>
      </w:r>
      <w:r w:rsidRPr="00E45952">
        <w:rPr>
          <w:kern w:val="2"/>
          <w:sz w:val="28"/>
          <w:szCs w:val="28"/>
          <w:lang w:val="uk-UA"/>
        </w:rPr>
        <w:t>4,94</w:t>
      </w:r>
      <w:r w:rsidRPr="00E45952">
        <w:rPr>
          <w:kern w:val="2"/>
          <w:sz w:val="28"/>
          <w:szCs w:val="28"/>
          <w:vertAlign w:val="subscript"/>
          <w:lang w:val="uk-UA"/>
        </w:rPr>
        <w:t xml:space="preserve"> </w:t>
      </w:r>
      <w:r w:rsidRPr="00E45952">
        <w:rPr>
          <w:sz w:val="28"/>
          <w:szCs w:val="28"/>
          <w:lang w:val="uk-UA"/>
        </w:rPr>
        <w:t>+0,016 *</w:t>
      </w:r>
      <w:r w:rsidRPr="00E45952">
        <w:rPr>
          <w:kern w:val="2"/>
          <w:sz w:val="28"/>
          <w:szCs w:val="28"/>
          <w:lang w:val="uk-UA"/>
        </w:rPr>
        <w:t xml:space="preserve"> 364,76</w:t>
      </w:r>
      <w:r w:rsidRPr="00E45952">
        <w:rPr>
          <w:kern w:val="2"/>
          <w:sz w:val="28"/>
          <w:szCs w:val="28"/>
          <w:vertAlign w:val="subscript"/>
          <w:lang w:val="uk-UA"/>
        </w:rPr>
        <w:t xml:space="preserve"> </w:t>
      </w:r>
      <w:r w:rsidRPr="00E45952">
        <w:rPr>
          <w:kern w:val="2"/>
          <w:sz w:val="28"/>
          <w:szCs w:val="28"/>
          <w:lang w:val="uk-UA"/>
        </w:rPr>
        <w:t xml:space="preserve">+ </w:t>
      </w:r>
      <w:r w:rsidRPr="00E45952">
        <w:rPr>
          <w:sz w:val="28"/>
          <w:szCs w:val="28"/>
          <w:lang w:val="uk-UA"/>
        </w:rPr>
        <w:t>41,554)</w:t>
      </w:r>
      <w:r w:rsidRPr="00E45952">
        <w:rPr>
          <w:kern w:val="2"/>
          <w:sz w:val="28"/>
          <w:szCs w:val="28"/>
          <w:lang w:val="uk-UA"/>
        </w:rPr>
        <w:t>)]</w:t>
      </w:r>
      <w:r w:rsidRPr="00E45952">
        <w:rPr>
          <w:kern w:val="2"/>
          <w:sz w:val="28"/>
          <w:szCs w:val="28"/>
          <w:vertAlign w:val="superscript"/>
          <w:lang w:val="uk-UA"/>
        </w:rPr>
        <w:t>-1</w:t>
      </w:r>
    </w:p>
    <w:p w:rsidR="00E3259F" w:rsidRPr="00E45952" w:rsidRDefault="00E3259F" w:rsidP="00E45952">
      <w:pPr>
        <w:spacing w:line="360" w:lineRule="auto"/>
        <w:ind w:firstLine="709"/>
        <w:jc w:val="both"/>
        <w:rPr>
          <w:sz w:val="28"/>
          <w:szCs w:val="28"/>
          <w:lang w:val="uk-UA" w:eastAsia="en-US"/>
        </w:rPr>
      </w:pPr>
    </w:p>
    <w:p w:rsidR="00E3259F" w:rsidRDefault="00E45952" w:rsidP="00E45952">
      <w:pPr>
        <w:spacing w:line="360" w:lineRule="auto"/>
        <w:ind w:firstLine="709"/>
        <w:jc w:val="both"/>
        <w:rPr>
          <w:sz w:val="28"/>
          <w:szCs w:val="28"/>
          <w:lang w:val="uk-UA"/>
        </w:rPr>
      </w:pPr>
      <w:r>
        <w:rPr>
          <w:sz w:val="28"/>
          <w:szCs w:val="28"/>
          <w:lang w:val="uk-UA"/>
        </w:rPr>
        <w:t>І</w:t>
      </w:r>
      <w:r w:rsidR="00E3259F">
        <w:rPr>
          <w:sz w:val="28"/>
          <w:szCs w:val="28"/>
          <w:lang w:val="uk-UA"/>
        </w:rPr>
        <w:t xml:space="preserve">мовірність виникнення ССУ у цієї пацієнтки </w:t>
      </w:r>
      <w:r w:rsidR="00E3259F">
        <w:rPr>
          <w:rFonts w:eastAsia="Calibri"/>
          <w:sz w:val="28"/>
          <w:szCs w:val="28"/>
          <w:lang w:eastAsia="en-US"/>
        </w:rPr>
        <w:object w:dxaOrig="240" w:dyaOrig="405">
          <v:shape id="_x0000_i1076" type="#_x0000_t75" style="width:12.75pt;height:20.25pt" o:ole="">
            <v:imagedata r:id="rId48" o:title=""/>
          </v:shape>
          <o:OLEObject Type="Embed" ProgID="Equation.3" ShapeID="_x0000_i1076" DrawAspect="Content" ObjectID="_1669446860" r:id="rId88"/>
        </w:object>
      </w:r>
      <w:r w:rsidR="00E3259F">
        <w:rPr>
          <w:sz w:val="28"/>
          <w:szCs w:val="28"/>
          <w:lang w:val="uk-UA"/>
        </w:rPr>
        <w:t xml:space="preserve"> = 0,001.</w:t>
      </w:r>
    </w:p>
    <w:p w:rsidR="00E3259F" w:rsidRPr="00A60B23" w:rsidRDefault="00E3259F" w:rsidP="00E3259F">
      <w:pPr>
        <w:overflowPunct w:val="0"/>
        <w:autoSpaceDE w:val="0"/>
        <w:spacing w:line="360" w:lineRule="auto"/>
        <w:ind w:firstLine="709"/>
        <w:jc w:val="both"/>
        <w:textAlignment w:val="baseline"/>
        <w:rPr>
          <w:kern w:val="2"/>
          <w:sz w:val="28"/>
          <w:szCs w:val="28"/>
          <w:lang w:val="uk-UA" w:eastAsia="ar-SA"/>
        </w:rPr>
      </w:pPr>
      <w:r w:rsidRPr="00A60B23">
        <w:rPr>
          <w:kern w:val="2"/>
          <w:sz w:val="28"/>
          <w:szCs w:val="28"/>
          <w:lang w:val="uk-UA" w:eastAsia="ar-SA"/>
        </w:rPr>
        <w:t>Висновок: в обстежуваної низький ризик розвитку ССУ при наявності ГХ, ЦД 2 типу у поєднанні зі СГТ, що підтвердилося через 1 рік спостереження (відсутність розвитку ССУ). Рекомендовано: спостереження за пацієнткою з моніторингом досліджуваних показників з метою своєчасної корекції виявлених порушень, що сприятиме подальшому низькому ризику розвитку ССУ.</w:t>
      </w:r>
    </w:p>
    <w:p w:rsidR="00E3259F" w:rsidRDefault="00E3259F" w:rsidP="00E3259F">
      <w:pPr>
        <w:spacing w:line="360" w:lineRule="auto"/>
        <w:ind w:firstLine="709"/>
        <w:jc w:val="both"/>
        <w:rPr>
          <w:rFonts w:eastAsia="Calibri"/>
          <w:color w:val="000000"/>
          <w:sz w:val="28"/>
          <w:szCs w:val="28"/>
          <w:lang w:val="uk-UA"/>
        </w:rPr>
      </w:pPr>
    </w:p>
    <w:p w:rsidR="00E3259F" w:rsidRDefault="00E3259F" w:rsidP="00E3259F">
      <w:pPr>
        <w:spacing w:line="360" w:lineRule="auto"/>
        <w:ind w:firstLine="709"/>
        <w:jc w:val="both"/>
        <w:rPr>
          <w:rFonts w:eastAsia="Calibri"/>
          <w:color w:val="000000"/>
          <w:sz w:val="28"/>
          <w:szCs w:val="28"/>
          <w:lang w:val="uk-UA"/>
        </w:rPr>
      </w:pPr>
    </w:p>
    <w:p w:rsidR="00E3259F" w:rsidRPr="00A60B23" w:rsidRDefault="00E3259F" w:rsidP="00E3259F">
      <w:pPr>
        <w:spacing w:line="360" w:lineRule="auto"/>
        <w:ind w:firstLine="709"/>
        <w:jc w:val="both"/>
        <w:rPr>
          <w:rFonts w:eastAsia="Calibri"/>
          <w:sz w:val="28"/>
          <w:szCs w:val="28"/>
          <w:lang w:eastAsia="en-US"/>
        </w:rPr>
      </w:pPr>
      <w:r w:rsidRPr="00A60B23">
        <w:rPr>
          <w:rFonts w:eastAsia="Calibri"/>
          <w:sz w:val="28"/>
          <w:szCs w:val="28"/>
        </w:rPr>
        <w:t xml:space="preserve">Результати власних досліджень розділу </w:t>
      </w:r>
      <w:r w:rsidRPr="00A60B23">
        <w:rPr>
          <w:rFonts w:eastAsia="Calibri"/>
          <w:sz w:val="28"/>
          <w:szCs w:val="28"/>
          <w:lang w:val="uk-UA"/>
        </w:rPr>
        <w:t>7 викладені в статті</w:t>
      </w:r>
      <w:r w:rsidRPr="00A60B23">
        <w:rPr>
          <w:rFonts w:eastAsia="Calibri"/>
          <w:sz w:val="28"/>
          <w:szCs w:val="28"/>
        </w:rPr>
        <w:t xml:space="preserve"> [</w:t>
      </w:r>
      <w:r w:rsidRPr="00A60B23">
        <w:rPr>
          <w:rFonts w:eastAsia="Calibri"/>
          <w:sz w:val="28"/>
          <w:szCs w:val="28"/>
          <w:lang w:val="uk-UA"/>
        </w:rPr>
        <w:t>84</w:t>
      </w:r>
      <w:r w:rsidRPr="00A60B23">
        <w:rPr>
          <w:rFonts w:eastAsia="Calibri"/>
          <w:sz w:val="28"/>
          <w:szCs w:val="28"/>
        </w:rPr>
        <w:t>], апробовані на наукових форумах [</w:t>
      </w:r>
      <w:r w:rsidRPr="00A60B23">
        <w:rPr>
          <w:rFonts w:eastAsia="Calibri"/>
          <w:sz w:val="28"/>
          <w:szCs w:val="28"/>
          <w:lang w:val="uk-UA"/>
        </w:rPr>
        <w:t>85</w:t>
      </w:r>
      <w:r w:rsidRPr="00A60B23">
        <w:rPr>
          <w:rFonts w:eastAsia="Calibri"/>
          <w:sz w:val="28"/>
          <w:szCs w:val="28"/>
        </w:rPr>
        <w:t>].</w:t>
      </w:r>
    </w:p>
    <w:p w:rsidR="00E3259F" w:rsidRDefault="00E3259F" w:rsidP="00E3259F">
      <w:pPr>
        <w:rPr>
          <w:color w:val="000000"/>
          <w:sz w:val="28"/>
          <w:szCs w:val="28"/>
          <w:lang w:val="uk-UA"/>
        </w:rPr>
      </w:pPr>
      <w:r>
        <w:rPr>
          <w:sz w:val="28"/>
          <w:szCs w:val="28"/>
          <w:lang w:val="uk-UA"/>
        </w:rPr>
        <w:br w:type="page"/>
      </w:r>
    </w:p>
    <w:p w:rsidR="00E3259F" w:rsidRDefault="00E3259F" w:rsidP="00E3259F">
      <w:pPr>
        <w:spacing w:line="360" w:lineRule="auto"/>
        <w:jc w:val="center"/>
        <w:rPr>
          <w:sz w:val="28"/>
          <w:szCs w:val="28"/>
          <w:lang w:val="uk-UA" w:eastAsia="en-US"/>
        </w:rPr>
      </w:pPr>
      <w:r>
        <w:rPr>
          <w:sz w:val="28"/>
          <w:szCs w:val="28"/>
          <w:lang w:val="uk-UA" w:eastAsia="en-US"/>
        </w:rPr>
        <w:t>РОЗДІЛ 8</w:t>
      </w:r>
    </w:p>
    <w:p w:rsidR="00E3259F" w:rsidRDefault="00E3259F" w:rsidP="00E3259F">
      <w:pPr>
        <w:spacing w:line="360" w:lineRule="auto"/>
        <w:jc w:val="both"/>
        <w:rPr>
          <w:sz w:val="28"/>
          <w:szCs w:val="28"/>
          <w:lang w:val="uk-UA"/>
        </w:rPr>
      </w:pPr>
      <w:r>
        <w:rPr>
          <w:sz w:val="28"/>
          <w:szCs w:val="28"/>
          <w:lang w:val="uk-UA" w:eastAsia="en-US"/>
        </w:rPr>
        <w:t>ОЦІНКА ДИНАМИКИ ГОРМОНАЛЬНО-МЕТАБОЛІЧНИХ та АНТРОПОМЕТРИЧНИХ ПОКАЗНИКІВ У</w:t>
      </w:r>
      <w:r>
        <w:rPr>
          <w:bCs/>
          <w:sz w:val="28"/>
          <w:szCs w:val="28"/>
          <w:lang w:val="uk-UA" w:eastAsia="en-US"/>
        </w:rPr>
        <w:t xml:space="preserve"> ПАЦІЄНТІВ З </w:t>
      </w:r>
      <w:r>
        <w:rPr>
          <w:sz w:val="28"/>
          <w:szCs w:val="28"/>
          <w:lang w:val="uk-UA" w:eastAsia="en-US"/>
        </w:rPr>
        <w:t>ГІПЕРТОНІЧНОЮ ХВОРОБОЮ У ПОЄДНАННІ З ЦУКРОВИМ ДІАБЕТОМ 2 ТИПУ БЕЗ ПОРУШЕННЯ ФУНКЦІЇ ЩИТОПОДІБНОЇ ЗАЛОЗИ  ТА З  СУБКЛІНІЧНИМ ГІПОТИРЕОЗОМ ПІД ВПЛИВОМ ЗАПРОПОНОВАНОЇ ТЕРАПІЇ</w:t>
      </w:r>
    </w:p>
    <w:p w:rsidR="00E3259F" w:rsidRDefault="00E3259F" w:rsidP="00E3259F">
      <w:pPr>
        <w:spacing w:line="360" w:lineRule="auto"/>
        <w:ind w:firstLine="709"/>
        <w:jc w:val="both"/>
        <w:rPr>
          <w:color w:val="000000"/>
          <w:sz w:val="28"/>
          <w:szCs w:val="28"/>
          <w:lang w:val="uk-UA"/>
        </w:rPr>
      </w:pPr>
    </w:p>
    <w:p w:rsidR="00E3259F" w:rsidRPr="00A60B23" w:rsidRDefault="00E3259F" w:rsidP="00E3259F">
      <w:pPr>
        <w:spacing w:line="360" w:lineRule="auto"/>
        <w:ind w:firstLine="709"/>
        <w:jc w:val="both"/>
        <w:rPr>
          <w:sz w:val="28"/>
          <w:szCs w:val="28"/>
          <w:lang w:val="uk-UA"/>
        </w:rPr>
      </w:pPr>
      <w:r>
        <w:rPr>
          <w:color w:val="000000"/>
          <w:sz w:val="28"/>
          <w:szCs w:val="28"/>
          <w:lang w:val="uk-UA"/>
        </w:rPr>
        <w:t>8.1.</w:t>
      </w:r>
      <w:r w:rsidRPr="00A60B23">
        <w:rPr>
          <w:sz w:val="28"/>
          <w:szCs w:val="28"/>
          <w:lang w:val="uk-UA"/>
        </w:rPr>
        <w:t>Вплив статинотерапії на показники метаболічних процесів, оксидативного стресу, ендотеліальної дисфункції, відносну довжину теломер у хворих на гіпертонічну хворобу у поєднанні з цукровим діабетом 2 типу без порушення функції щитоподібної залози</w:t>
      </w:r>
    </w:p>
    <w:p w:rsidR="00E3259F" w:rsidRPr="00E3259F" w:rsidRDefault="00E3259F" w:rsidP="00E3259F">
      <w:pPr>
        <w:spacing w:line="360" w:lineRule="auto"/>
        <w:ind w:firstLine="709"/>
        <w:rPr>
          <w:rStyle w:val="10"/>
          <w:rFonts w:eastAsiaTheme="minorHAnsi"/>
          <w:b w:val="0"/>
          <w:sz w:val="28"/>
          <w:szCs w:val="28"/>
          <w:lang w:val="uk-UA"/>
        </w:rPr>
      </w:pPr>
    </w:p>
    <w:p w:rsidR="00E3259F" w:rsidRPr="0061555A" w:rsidRDefault="00E3259F" w:rsidP="0061555A">
      <w:pPr>
        <w:spacing w:line="360" w:lineRule="auto"/>
        <w:ind w:firstLine="709"/>
        <w:jc w:val="both"/>
      </w:pPr>
      <w:r w:rsidRPr="0061555A">
        <w:rPr>
          <w:rStyle w:val="10"/>
          <w:rFonts w:eastAsiaTheme="minorHAnsi"/>
          <w:b w:val="0"/>
          <w:sz w:val="28"/>
          <w:szCs w:val="28"/>
          <w:lang w:val="uk-UA"/>
        </w:rPr>
        <w:t xml:space="preserve">Усе більше уваги останні роки приділяється корекції дисліпідемії при ЦД 2 типу у зв'язку зі збільшенням доказів істотного впливу її на ризик розвитку не тільки ССУ, але й ускладнень, пов'язаних безпосередньо зі ЦД 2 типу (розвиток і прогресування діабетичної нефропатії, ниркової недостаточчності та інш.) </w:t>
      </w:r>
      <w:r w:rsidRPr="0061555A">
        <w:rPr>
          <w:sz w:val="28"/>
          <w:szCs w:val="28"/>
          <w:lang w:val="uk-UA"/>
        </w:rPr>
        <w:t>[288], зокрема мікро- і макросудинних ускладнень [224]. Діабетична дисліпідемія являє собою головний зв'язок між діабетом та підвищеним серцево-судинним ризиком у цих пацієнтів. Модифікація способу життя та контроль рівня глюкози можуть поліпшити ліпідний профіль, але терапія статинами забезпечує найбільшу перевагу щодо зниження ризику ССУ. Тому більшість пацієнтів з ЦД 2 типу повинні отримувати терапію статинами, однак на практиці ми стикаємося із ситуацією, коли статини не завжди призначаються й не завжди приймаються пацієнтами не тільки високого, але й дуже високого ризику [</w:t>
      </w:r>
      <w:r w:rsidRPr="0061555A">
        <w:rPr>
          <w:sz w:val="28"/>
          <w:szCs w:val="28"/>
        </w:rPr>
        <w:t>2</w:t>
      </w:r>
      <w:r w:rsidRPr="0061555A">
        <w:rPr>
          <w:sz w:val="28"/>
          <w:szCs w:val="28"/>
          <w:lang w:val="uk-UA"/>
        </w:rPr>
        <w:t>28</w:t>
      </w:r>
      <w:r w:rsidRPr="0061555A">
        <w:rPr>
          <w:sz w:val="28"/>
          <w:szCs w:val="28"/>
        </w:rPr>
        <w:t xml:space="preserve">].  </w:t>
      </w:r>
    </w:p>
    <w:p w:rsidR="00E3259F" w:rsidRPr="0061555A" w:rsidRDefault="00E3259F" w:rsidP="0061555A">
      <w:pPr>
        <w:spacing w:line="360" w:lineRule="auto"/>
        <w:ind w:firstLine="709"/>
        <w:jc w:val="both"/>
        <w:rPr>
          <w:sz w:val="28"/>
          <w:szCs w:val="28"/>
        </w:rPr>
      </w:pPr>
      <w:r w:rsidRPr="0061555A">
        <w:rPr>
          <w:sz w:val="28"/>
          <w:szCs w:val="28"/>
        </w:rPr>
        <w:t>В останні роки з'явилося чимало робіт, що описують небажану дію статинів на перебіг і контроль ЦД</w:t>
      </w:r>
      <w:r w:rsidRPr="0061555A">
        <w:rPr>
          <w:sz w:val="28"/>
          <w:szCs w:val="28"/>
          <w:lang w:val="uk-UA"/>
        </w:rPr>
        <w:t xml:space="preserve"> </w:t>
      </w:r>
      <w:r w:rsidRPr="0061555A">
        <w:rPr>
          <w:sz w:val="28"/>
          <w:szCs w:val="28"/>
        </w:rPr>
        <w:t>2</w:t>
      </w:r>
      <w:r w:rsidRPr="0061555A">
        <w:rPr>
          <w:sz w:val="28"/>
          <w:szCs w:val="28"/>
          <w:lang w:val="uk-UA"/>
        </w:rPr>
        <w:t xml:space="preserve"> типу</w:t>
      </w:r>
      <w:r w:rsidRPr="0061555A">
        <w:rPr>
          <w:sz w:val="28"/>
          <w:szCs w:val="28"/>
        </w:rPr>
        <w:t xml:space="preserve">, а також на ризик виникнення нових випадків </w:t>
      </w:r>
      <w:r w:rsidRPr="0061555A">
        <w:rPr>
          <w:sz w:val="28"/>
          <w:szCs w:val="28"/>
          <w:lang w:val="uk-UA"/>
        </w:rPr>
        <w:t>ЦД</w:t>
      </w:r>
      <w:r w:rsidRPr="0061555A">
        <w:rPr>
          <w:sz w:val="28"/>
          <w:szCs w:val="28"/>
        </w:rPr>
        <w:t xml:space="preserve"> при лікуванні інтенсивними дозами статинів [1</w:t>
      </w:r>
      <w:r w:rsidRPr="0061555A">
        <w:rPr>
          <w:sz w:val="28"/>
          <w:szCs w:val="28"/>
          <w:lang w:val="uk-UA"/>
        </w:rPr>
        <w:t>74</w:t>
      </w:r>
      <w:r w:rsidRPr="0061555A">
        <w:rPr>
          <w:sz w:val="28"/>
          <w:szCs w:val="28"/>
        </w:rPr>
        <w:t>].</w:t>
      </w:r>
    </w:p>
    <w:p w:rsidR="00E3259F" w:rsidRPr="0061555A" w:rsidRDefault="00E3259F" w:rsidP="0061555A">
      <w:pPr>
        <w:spacing w:line="360" w:lineRule="auto"/>
        <w:ind w:firstLine="709"/>
        <w:jc w:val="both"/>
        <w:rPr>
          <w:sz w:val="28"/>
          <w:szCs w:val="28"/>
          <w:lang w:val="uk-UA"/>
        </w:rPr>
      </w:pPr>
      <w:r w:rsidRPr="0061555A">
        <w:rPr>
          <w:sz w:val="28"/>
          <w:szCs w:val="28"/>
          <w:lang w:val="uk-UA"/>
        </w:rPr>
        <w:t>Серед різноманітних плейотропних ефектів статинів, вплив на ЕД розглядається в якості однієї з мішенів терапії пацієнтів з різноманітною патологією. У численних дослідженнях показано, що використання статинів в різних дозуваннях має здатність відновлювати функцію ендотелію й тим самим сприяти нормальній вазомоторній відповіді судин. Однак, незважаючи на існування клінічних рекомендацій і протоколів, де чітко вказані групи пацієнтів, яким необхідне проведення статинотерапії, ми нерідко стикаємося з нагальною проблемою, яка полягає в складності формування в пацієнтів із хронічними захворюваннями, особливо з коморбідною патологією, стійкою прихильністю до прийому препаратів у зв`язку з необхідністю їх тривалого застосування.</w:t>
      </w:r>
    </w:p>
    <w:p w:rsidR="00E3259F" w:rsidRPr="0061555A" w:rsidRDefault="00E3259F" w:rsidP="0061555A">
      <w:pPr>
        <w:shd w:val="clear" w:color="auto" w:fill="FFFFFF"/>
        <w:spacing w:line="360" w:lineRule="auto"/>
        <w:ind w:firstLine="709"/>
        <w:jc w:val="both"/>
        <w:rPr>
          <w:sz w:val="28"/>
          <w:szCs w:val="28"/>
        </w:rPr>
      </w:pPr>
      <w:r w:rsidRPr="0061555A">
        <w:rPr>
          <w:sz w:val="28"/>
          <w:szCs w:val="28"/>
          <w:lang w:val="uk-UA"/>
        </w:rPr>
        <w:t xml:space="preserve">Синергічний вплив одночасного вживання стандартної антигіпертензивної терапії та статинів щодо зниження АТ багаторазово продемостровано в клінічних дослідженнях, зокрема рандомізованих. Так субаналіз дослідження </w:t>
      </w:r>
      <w:r w:rsidRPr="0061555A">
        <w:rPr>
          <w:sz w:val="28"/>
          <w:szCs w:val="28"/>
          <w:shd w:val="clear" w:color="auto" w:fill="FFFFFF"/>
        </w:rPr>
        <w:t>PERSPECTIVA</w:t>
      </w:r>
      <w:r w:rsidRPr="0061555A">
        <w:rPr>
          <w:sz w:val="28"/>
          <w:szCs w:val="28"/>
          <w:shd w:val="clear" w:color="auto" w:fill="FFFFFF"/>
          <w:lang w:val="uk-UA"/>
        </w:rPr>
        <w:t xml:space="preserve"> </w:t>
      </w:r>
      <w:r w:rsidRPr="0061555A">
        <w:rPr>
          <w:sz w:val="28"/>
          <w:szCs w:val="28"/>
          <w:shd w:val="clear" w:color="auto" w:fill="FFFFFF"/>
        </w:rPr>
        <w:t>study</w:t>
      </w:r>
      <w:r w:rsidRPr="0061555A">
        <w:rPr>
          <w:sz w:val="28"/>
          <w:szCs w:val="28"/>
          <w:shd w:val="clear" w:color="auto" w:fill="FFFFFF"/>
          <w:lang w:val="uk-UA"/>
        </w:rPr>
        <w:t xml:space="preserve"> </w:t>
      </w:r>
      <w:r w:rsidRPr="0061555A">
        <w:rPr>
          <w:sz w:val="28"/>
          <w:szCs w:val="28"/>
          <w:lang w:val="uk-UA"/>
        </w:rPr>
        <w:t xml:space="preserve">продемонстрував вірогідне зниження АТ у осіб, яким до комбінації периндоприл/амлодипін було додано статин [353]. У цьому дослідженні призначення статинів не мало суттєвого впливу на рівень АТ, але вживання цих засобів асоціювалось зі зниженням  САТ у 11,54±2,56%  пацієнтів  і ДАТ у 8,97±2,29% пацієнтів групи 2, що, у свою чергу, призвело до зниження ПАТ у 19,23±3,15% пацієнтів з ГХ та ЦД 2 типу. </w:t>
      </w:r>
      <w:r w:rsidRPr="0061555A">
        <w:rPr>
          <w:sz w:val="28"/>
          <w:szCs w:val="28"/>
        </w:rPr>
        <w:t xml:space="preserve">У </w:t>
      </w:r>
      <w:r w:rsidRPr="0061555A">
        <w:rPr>
          <w:sz w:val="28"/>
          <w:szCs w:val="28"/>
          <w:lang w:val="uk-UA"/>
        </w:rPr>
        <w:t xml:space="preserve">1,92±1,1% </w:t>
      </w:r>
      <w:r w:rsidRPr="0061555A">
        <w:rPr>
          <w:sz w:val="28"/>
          <w:szCs w:val="28"/>
        </w:rPr>
        <w:t xml:space="preserve">пацієнтів ці зміни призвели до досягнення цільових рівней САТ  та у </w:t>
      </w:r>
      <w:r w:rsidRPr="0061555A">
        <w:rPr>
          <w:sz w:val="28"/>
          <w:szCs w:val="28"/>
          <w:lang w:val="uk-UA"/>
        </w:rPr>
        <w:t xml:space="preserve">1,28±0,90% </w:t>
      </w:r>
      <w:r w:rsidRPr="0061555A">
        <w:rPr>
          <w:sz w:val="28"/>
          <w:szCs w:val="28"/>
        </w:rPr>
        <w:t>пацієнтів – цільових рівней ДАТ. Призначення статинів також супровождувалос</w:t>
      </w:r>
      <w:r w:rsidRPr="0061555A">
        <w:rPr>
          <w:sz w:val="28"/>
          <w:szCs w:val="28"/>
          <w:lang w:val="uk-UA"/>
        </w:rPr>
        <w:t>я</w:t>
      </w:r>
      <w:r w:rsidRPr="0061555A">
        <w:rPr>
          <w:sz w:val="28"/>
          <w:szCs w:val="28"/>
        </w:rPr>
        <w:t xml:space="preserve"> невираженим зниженням МТ (</w:t>
      </w:r>
      <w:r w:rsidRPr="0061555A">
        <w:rPr>
          <w:sz w:val="28"/>
          <w:szCs w:val="28"/>
          <w:lang w:val="uk-UA"/>
        </w:rPr>
        <w:t>р&gt;0,05</w:t>
      </w:r>
      <w:r w:rsidRPr="0061555A">
        <w:rPr>
          <w:sz w:val="28"/>
          <w:szCs w:val="28"/>
        </w:rPr>
        <w:t>) і зменшенням ІМТ</w:t>
      </w:r>
      <w:r w:rsidRPr="0061555A">
        <w:rPr>
          <w:sz w:val="28"/>
          <w:szCs w:val="28"/>
          <w:lang w:val="uk-UA"/>
        </w:rPr>
        <w:t xml:space="preserve"> (р&gt;0,05</w:t>
      </w:r>
      <w:r w:rsidRPr="0061555A">
        <w:rPr>
          <w:sz w:val="28"/>
          <w:szCs w:val="28"/>
        </w:rPr>
        <w:t>), що може бути результатом покращення деяких ланок метаболізму.</w:t>
      </w:r>
    </w:p>
    <w:p w:rsidR="00E3259F" w:rsidRPr="0061555A" w:rsidRDefault="00E3259F" w:rsidP="0061555A">
      <w:pPr>
        <w:spacing w:line="360" w:lineRule="auto"/>
        <w:ind w:firstLine="709"/>
        <w:jc w:val="both"/>
        <w:rPr>
          <w:sz w:val="28"/>
          <w:szCs w:val="28"/>
          <w:lang w:val="uk-UA"/>
        </w:rPr>
      </w:pPr>
      <w:r w:rsidRPr="0061555A">
        <w:rPr>
          <w:sz w:val="28"/>
          <w:szCs w:val="28"/>
          <w:lang w:val="uk-UA"/>
        </w:rPr>
        <w:t xml:space="preserve">У цьому дослідженні використання статинів викликало очікуване зниження ЗХС, ХС ЛПНЩ, рівня ХС ЛПДНЩ, ТГ і збільшення ХС ЛПВЩ (таблиця 8.1), хоча за більшістю показників ці зміни не досягли контрольних значень, але були достовірні (до прийому статинів та через 1 рік спостереження:  рівні ЗХС: 5,25±0,10 ммоль/л та 4.83±0.08 ммоль/л, відповідно, p&lt;0,001; ХС ЛПНЩ: 3.21±0.11 ммоль/л та 2.70±0.08 ммоль/л, відповідно, p&lt;0,001; ХС ЛПДНЩ: 0.85 ± 0.04 ммоль/л та 0.79 ± 0.04 ммоль/л, відповідно, p&lt;0,001; ТГ: 1.90±0.07 ммоль/л та 1.81±0.07 ммоль/л, відповідно, p&lt;0,001; ХС ЛПВЩ: 1,22±0,03 ммоль/л, 1,24±0,03 ммоль/л, відповідно, p&lt;0,001). Але досягнення цільових рівнів ЗХС спостерігалось лише у  46,15±3,99%  пацієнтів,  ХСЛПНЩ – у 27,56±3,58% пацієнтів, ХСЛПВЩ – у 53,85±3,99% пацієнтів групи 2. Ці результати показують, що, незважаючи на достовірне поліпшення показників ліпідограми та досягнення цільових рівнів у більшості пацієнтів, застосування розувастатину в дозі 10 мг/добу або аторвастатину в дозі 20 мг/добу не завжди забезпечувало достатню нормалізацію показників обміну холестерину, зокрема при коморбідній патології . </w:t>
      </w:r>
    </w:p>
    <w:p w:rsidR="00E3259F" w:rsidRPr="0061555A" w:rsidRDefault="00E3259F" w:rsidP="00E3259F">
      <w:pPr>
        <w:spacing w:line="360" w:lineRule="auto"/>
        <w:ind w:firstLine="709"/>
        <w:jc w:val="right"/>
        <w:rPr>
          <w:rFonts w:eastAsiaTheme="minorHAnsi"/>
          <w:sz w:val="28"/>
          <w:szCs w:val="28"/>
          <w:lang w:val="uk-UA" w:eastAsia="en-US"/>
        </w:rPr>
      </w:pPr>
      <w:r w:rsidRPr="0061555A">
        <w:rPr>
          <w:sz w:val="28"/>
          <w:szCs w:val="28"/>
          <w:lang w:val="en"/>
        </w:rPr>
        <w:t>T</w:t>
      </w:r>
      <w:r w:rsidRPr="0061555A">
        <w:rPr>
          <w:sz w:val="28"/>
          <w:szCs w:val="28"/>
          <w:lang w:val="uk-UA"/>
        </w:rPr>
        <w:t xml:space="preserve">аблиця 8.1 </w:t>
      </w:r>
    </w:p>
    <w:p w:rsidR="00E3259F" w:rsidRPr="0061555A" w:rsidRDefault="00E3259F" w:rsidP="00E3259F">
      <w:pPr>
        <w:spacing w:line="360" w:lineRule="auto"/>
        <w:ind w:firstLine="709"/>
        <w:jc w:val="center"/>
        <w:rPr>
          <w:sz w:val="28"/>
          <w:szCs w:val="28"/>
          <w:lang w:val="uk-UA"/>
        </w:rPr>
      </w:pPr>
      <w:r w:rsidRPr="0061555A">
        <w:rPr>
          <w:sz w:val="28"/>
          <w:szCs w:val="28"/>
          <w:lang w:val="uk-UA"/>
        </w:rPr>
        <w:t>Порівняльний аналіз динаміки показників ліпідного обміну в пацієнтів з ГХ та ЦД 2 типу на тлі застосування статинотерапіі, (</w:t>
      </w:r>
      <w:r w:rsidRPr="0061555A">
        <w:rPr>
          <w:sz w:val="28"/>
          <w:szCs w:val="28"/>
        </w:rPr>
        <w:t>M</w:t>
      </w:r>
      <w:r w:rsidRPr="0061555A">
        <w:rPr>
          <w:sz w:val="28"/>
          <w:szCs w:val="28"/>
          <w:lang w:val="uk-UA"/>
        </w:rPr>
        <w:t>±</w:t>
      </w:r>
      <w:r w:rsidRPr="0061555A">
        <w:rPr>
          <w:sz w:val="28"/>
          <w:szCs w:val="28"/>
        </w:rPr>
        <w:t>m</w:t>
      </w:r>
      <w:r w:rsidRPr="0061555A">
        <w:rPr>
          <w:sz w:val="28"/>
          <w:szCs w:val="28"/>
          <w:lang w:val="uk-UA"/>
        </w:rPr>
        <w:t>)</w:t>
      </w:r>
    </w:p>
    <w:tbl>
      <w:tblPr>
        <w:tblW w:w="0" w:type="auto"/>
        <w:tblLook w:val="04A0" w:firstRow="1" w:lastRow="0" w:firstColumn="1" w:lastColumn="0" w:noHBand="0" w:noVBand="1"/>
      </w:tblPr>
      <w:tblGrid>
        <w:gridCol w:w="1754"/>
        <w:gridCol w:w="1473"/>
        <w:gridCol w:w="1559"/>
        <w:gridCol w:w="1701"/>
        <w:gridCol w:w="1559"/>
        <w:gridCol w:w="1525"/>
      </w:tblGrid>
      <w:tr w:rsidR="0061555A" w:rsidRPr="0061555A" w:rsidTr="0061555A">
        <w:tc>
          <w:tcPr>
            <w:tcW w:w="1754"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eastAsia="en-US"/>
              </w:rPr>
            </w:pPr>
            <w:r w:rsidRPr="0061555A">
              <w:rPr>
                <w:sz w:val="26"/>
                <w:szCs w:val="26"/>
                <w:lang w:eastAsia="en-US"/>
              </w:rPr>
              <w:t>Показник</w:t>
            </w:r>
          </w:p>
        </w:tc>
        <w:tc>
          <w:tcPr>
            <w:tcW w:w="1473"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eastAsia="en-US"/>
              </w:rPr>
              <w:t xml:space="preserve"> </w:t>
            </w:r>
            <w:r w:rsidRPr="0061555A">
              <w:rPr>
                <w:sz w:val="26"/>
                <w:szCs w:val="26"/>
                <w:lang w:val="uk-UA" w:eastAsia="en-US"/>
              </w:rPr>
              <w:t>ЗХ (ммоль/л)</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eastAsia="en-US"/>
              </w:rPr>
            </w:pPr>
            <w:r w:rsidRPr="0061555A">
              <w:rPr>
                <w:sz w:val="26"/>
                <w:szCs w:val="26"/>
                <w:lang w:val="uk-UA" w:eastAsia="en-US"/>
              </w:rPr>
              <w:t>ХС ЛПНЩ (ммоль/л)</w:t>
            </w:r>
          </w:p>
        </w:tc>
        <w:tc>
          <w:tcPr>
            <w:tcW w:w="1701"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eastAsia="en-US"/>
              </w:rPr>
            </w:pPr>
            <w:r w:rsidRPr="0061555A">
              <w:rPr>
                <w:sz w:val="26"/>
                <w:szCs w:val="26"/>
                <w:lang w:val="uk-UA" w:eastAsia="en-US"/>
              </w:rPr>
              <w:t>ХС ЛПДНЩ (ммоль/л)</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val="uk-UA" w:eastAsia="en-US"/>
              </w:rPr>
              <w:t>ХС ЛПВЩ (ммоль / л)</w:t>
            </w:r>
          </w:p>
        </w:tc>
        <w:tc>
          <w:tcPr>
            <w:tcW w:w="1525"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val="uk-UA" w:eastAsia="en-US"/>
              </w:rPr>
              <w:t>ТГ (ммоль/л)</w:t>
            </w:r>
          </w:p>
        </w:tc>
      </w:tr>
      <w:tr w:rsidR="0061555A" w:rsidRPr="0061555A" w:rsidTr="00E3259F">
        <w:tc>
          <w:tcPr>
            <w:tcW w:w="9571" w:type="dxa"/>
            <w:gridSpan w:val="6"/>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eastAsia="en-US"/>
              </w:rPr>
              <w:t>Група 2 (n=</w:t>
            </w:r>
            <w:r w:rsidRPr="0061555A">
              <w:rPr>
                <w:sz w:val="26"/>
                <w:szCs w:val="26"/>
                <w:lang w:val="uk-UA" w:eastAsia="en-US"/>
              </w:rPr>
              <w:t>156</w:t>
            </w:r>
            <w:r w:rsidRPr="0061555A">
              <w:rPr>
                <w:sz w:val="26"/>
                <w:szCs w:val="26"/>
                <w:lang w:eastAsia="en-US"/>
              </w:rPr>
              <w:t>)</w:t>
            </w:r>
          </w:p>
        </w:tc>
      </w:tr>
      <w:tr w:rsidR="0061555A" w:rsidRPr="0061555A" w:rsidTr="0061555A">
        <w:tc>
          <w:tcPr>
            <w:tcW w:w="1754"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uk-UA" w:eastAsia="en-US"/>
              </w:rPr>
            </w:pPr>
            <w:r w:rsidRPr="0061555A">
              <w:rPr>
                <w:sz w:val="26"/>
                <w:szCs w:val="26"/>
                <w:lang w:val="uk-UA" w:eastAsia="en-US"/>
              </w:rPr>
              <w:t>До лікування статинами</w:t>
            </w:r>
          </w:p>
        </w:tc>
        <w:tc>
          <w:tcPr>
            <w:tcW w:w="1473"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eastAsia="en-US"/>
              </w:rPr>
              <w:t>5,2</w:t>
            </w:r>
            <w:r w:rsidRPr="0061555A">
              <w:rPr>
                <w:sz w:val="26"/>
                <w:szCs w:val="26"/>
                <w:lang w:val="uk-UA" w:eastAsia="en-US"/>
              </w:rPr>
              <w:t>5</w:t>
            </w:r>
            <w:r w:rsidRPr="0061555A">
              <w:rPr>
                <w:sz w:val="26"/>
                <w:szCs w:val="26"/>
                <w:lang w:eastAsia="en-US"/>
              </w:rPr>
              <w:t xml:space="preserve">±0,10 </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eastAsia="en-US"/>
              </w:rPr>
            </w:pPr>
            <w:r w:rsidRPr="0061555A">
              <w:rPr>
                <w:sz w:val="26"/>
                <w:szCs w:val="26"/>
                <w:lang w:eastAsia="en-US"/>
              </w:rPr>
              <w:t>3,21±0,1</w:t>
            </w:r>
            <w:r w:rsidRPr="0061555A">
              <w:rPr>
                <w:sz w:val="26"/>
                <w:szCs w:val="26"/>
                <w:lang w:val="uk-UA"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val="uk-UA" w:eastAsia="en-US"/>
              </w:rPr>
              <w:t>0</w:t>
            </w:r>
            <w:r w:rsidRPr="0061555A">
              <w:rPr>
                <w:sz w:val="26"/>
                <w:szCs w:val="26"/>
                <w:lang w:eastAsia="en-US"/>
              </w:rPr>
              <w:t>,8</w:t>
            </w:r>
            <w:r w:rsidRPr="0061555A">
              <w:rPr>
                <w:sz w:val="26"/>
                <w:szCs w:val="26"/>
                <w:lang w:val="uk-UA" w:eastAsia="en-US"/>
              </w:rPr>
              <w:t>5</w:t>
            </w:r>
            <w:r w:rsidRPr="0061555A">
              <w:rPr>
                <w:sz w:val="26"/>
                <w:szCs w:val="26"/>
                <w:lang w:eastAsia="en-US"/>
              </w:rPr>
              <w:t>±0,04</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eastAsia="en-US"/>
              </w:rPr>
              <w:t>1,2</w:t>
            </w:r>
            <w:r w:rsidRPr="0061555A">
              <w:rPr>
                <w:sz w:val="26"/>
                <w:szCs w:val="26"/>
                <w:lang w:val="uk-UA" w:eastAsia="en-US"/>
              </w:rPr>
              <w:t>2</w:t>
            </w:r>
            <w:r w:rsidRPr="0061555A">
              <w:rPr>
                <w:sz w:val="26"/>
                <w:szCs w:val="26"/>
                <w:lang w:eastAsia="en-US"/>
              </w:rPr>
              <w:t>±0,0</w:t>
            </w:r>
            <w:r w:rsidRPr="0061555A">
              <w:rPr>
                <w:sz w:val="26"/>
                <w:szCs w:val="26"/>
                <w:lang w:val="uk-UA" w:eastAsia="en-US"/>
              </w:rPr>
              <w:t>3</w:t>
            </w:r>
          </w:p>
        </w:tc>
        <w:tc>
          <w:tcPr>
            <w:tcW w:w="1525"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uk-UA" w:eastAsia="en-US"/>
              </w:rPr>
            </w:pPr>
            <w:r w:rsidRPr="0061555A">
              <w:rPr>
                <w:sz w:val="26"/>
                <w:szCs w:val="26"/>
                <w:lang w:eastAsia="en-US"/>
              </w:rPr>
              <w:t>1,</w:t>
            </w:r>
            <w:r w:rsidRPr="0061555A">
              <w:rPr>
                <w:sz w:val="26"/>
                <w:szCs w:val="26"/>
                <w:lang w:val="uk-UA" w:eastAsia="en-US"/>
              </w:rPr>
              <w:t>90</w:t>
            </w:r>
            <w:r w:rsidRPr="0061555A">
              <w:rPr>
                <w:sz w:val="26"/>
                <w:szCs w:val="26"/>
                <w:lang w:eastAsia="en-US"/>
              </w:rPr>
              <w:t>±0,07</w:t>
            </w:r>
          </w:p>
        </w:tc>
      </w:tr>
      <w:tr w:rsidR="0061555A" w:rsidRPr="0061555A" w:rsidTr="0061555A">
        <w:tc>
          <w:tcPr>
            <w:tcW w:w="1754"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uk-UA" w:eastAsia="en-US"/>
              </w:rPr>
            </w:pPr>
            <w:r w:rsidRPr="0061555A">
              <w:rPr>
                <w:sz w:val="26"/>
                <w:szCs w:val="26"/>
                <w:lang w:val="uk-UA" w:eastAsia="en-US"/>
              </w:rPr>
              <w:t xml:space="preserve">Через 1 рік </w:t>
            </w:r>
          </w:p>
        </w:tc>
        <w:tc>
          <w:tcPr>
            <w:tcW w:w="1473"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eastAsia="en-US"/>
              </w:rPr>
            </w:pPr>
            <w:r w:rsidRPr="0061555A">
              <w:rPr>
                <w:sz w:val="26"/>
                <w:szCs w:val="26"/>
                <w:lang w:eastAsia="en-US"/>
              </w:rPr>
              <w:t>4,83±0,0</w:t>
            </w:r>
            <w:r w:rsidRPr="0061555A">
              <w:rPr>
                <w:sz w:val="26"/>
                <w:szCs w:val="26"/>
                <w:lang w:val="uk-UA" w:eastAsia="en-US"/>
              </w:rPr>
              <w:t>8</w:t>
            </w:r>
            <w:r w:rsidRPr="0061555A">
              <w:rPr>
                <w:sz w:val="26"/>
                <w:szCs w:val="26"/>
                <w:lang w:eastAsia="en-US"/>
              </w:rPr>
              <w:t xml:space="preserve"> *</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eastAsia="en-US"/>
              </w:rPr>
            </w:pPr>
            <w:r w:rsidRPr="0061555A">
              <w:rPr>
                <w:sz w:val="26"/>
                <w:szCs w:val="26"/>
                <w:lang w:eastAsia="en-US"/>
              </w:rPr>
              <w:t>2,70±0,08 *</w:t>
            </w:r>
          </w:p>
        </w:tc>
        <w:tc>
          <w:tcPr>
            <w:tcW w:w="1701"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val="uk-UA" w:eastAsia="en-US"/>
              </w:rPr>
              <w:t>0</w:t>
            </w:r>
            <w:r w:rsidRPr="0061555A">
              <w:rPr>
                <w:sz w:val="26"/>
                <w:szCs w:val="26"/>
                <w:lang w:eastAsia="en-US"/>
              </w:rPr>
              <w:t>,79±0,0</w:t>
            </w:r>
            <w:r w:rsidRPr="0061555A">
              <w:rPr>
                <w:sz w:val="26"/>
                <w:szCs w:val="26"/>
                <w:lang w:val="uk-UA" w:eastAsia="en-US"/>
              </w:rPr>
              <w:t>4</w:t>
            </w:r>
            <w:r w:rsidRPr="0061555A">
              <w:rPr>
                <w:sz w:val="26"/>
                <w:szCs w:val="26"/>
                <w:lang w:eastAsia="en-US"/>
              </w:rPr>
              <w:t xml:space="preserve"> *</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eastAsia="en-US"/>
              </w:rPr>
              <w:t>1,24±0,0</w:t>
            </w:r>
            <w:r w:rsidRPr="0061555A">
              <w:rPr>
                <w:sz w:val="26"/>
                <w:szCs w:val="26"/>
                <w:lang w:val="uk-UA" w:eastAsia="en-US"/>
              </w:rPr>
              <w:t>3</w:t>
            </w:r>
            <w:r w:rsidRPr="0061555A">
              <w:rPr>
                <w:sz w:val="26"/>
                <w:szCs w:val="26"/>
                <w:lang w:eastAsia="en-US"/>
              </w:rPr>
              <w:t xml:space="preserve"> *</w:t>
            </w:r>
          </w:p>
        </w:tc>
        <w:tc>
          <w:tcPr>
            <w:tcW w:w="1525"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6"/>
                <w:szCs w:val="26"/>
                <w:lang w:val="en-US" w:eastAsia="en-US"/>
              </w:rPr>
            </w:pPr>
            <w:r w:rsidRPr="0061555A">
              <w:rPr>
                <w:sz w:val="26"/>
                <w:szCs w:val="26"/>
                <w:lang w:eastAsia="en-US"/>
              </w:rPr>
              <w:t>1,81±0,0</w:t>
            </w:r>
            <w:r w:rsidRPr="0061555A">
              <w:rPr>
                <w:sz w:val="26"/>
                <w:szCs w:val="26"/>
                <w:lang w:val="uk-UA" w:eastAsia="en-US"/>
              </w:rPr>
              <w:t>7</w:t>
            </w:r>
            <w:r w:rsidRPr="0061555A">
              <w:rPr>
                <w:sz w:val="26"/>
                <w:szCs w:val="26"/>
                <w:lang w:eastAsia="en-US"/>
              </w:rPr>
              <w:t xml:space="preserve"> *</w:t>
            </w:r>
          </w:p>
        </w:tc>
      </w:tr>
    </w:tbl>
    <w:p w:rsidR="00E3259F" w:rsidRPr="0061555A" w:rsidRDefault="00E3259F" w:rsidP="00E3259F">
      <w:pPr>
        <w:spacing w:line="360" w:lineRule="auto"/>
        <w:ind w:firstLine="709"/>
        <w:jc w:val="both"/>
        <w:rPr>
          <w:sz w:val="28"/>
          <w:szCs w:val="28"/>
        </w:rPr>
      </w:pPr>
      <w:r w:rsidRPr="0061555A">
        <w:rPr>
          <w:sz w:val="28"/>
          <w:szCs w:val="28"/>
        </w:rPr>
        <w:t xml:space="preserve">Примітка: </w:t>
      </w:r>
      <w:r w:rsidRPr="0061555A">
        <w:rPr>
          <w:sz w:val="28"/>
          <w:szCs w:val="28"/>
          <w:lang w:val="uk-UA"/>
        </w:rPr>
        <w:t xml:space="preserve"> </w:t>
      </w:r>
      <w:r w:rsidRPr="0061555A">
        <w:rPr>
          <w:sz w:val="28"/>
          <w:szCs w:val="28"/>
        </w:rPr>
        <w:t>*р&lt;0</w:t>
      </w:r>
      <w:r w:rsidRPr="0061555A">
        <w:rPr>
          <w:sz w:val="28"/>
          <w:szCs w:val="28"/>
          <w:lang w:val="uk-UA"/>
        </w:rPr>
        <w:t>,</w:t>
      </w:r>
      <w:r w:rsidRPr="0061555A">
        <w:rPr>
          <w:sz w:val="28"/>
          <w:szCs w:val="28"/>
        </w:rPr>
        <w:t>001</w:t>
      </w:r>
      <w:r w:rsidRPr="0061555A">
        <w:rPr>
          <w:sz w:val="28"/>
          <w:szCs w:val="28"/>
          <w:lang w:val="uk-UA"/>
        </w:rPr>
        <w:t>-</w:t>
      </w:r>
      <w:r w:rsidRPr="0061555A">
        <w:rPr>
          <w:sz w:val="28"/>
          <w:szCs w:val="28"/>
        </w:rPr>
        <w:t xml:space="preserve">  </w:t>
      </w:r>
      <w:r w:rsidRPr="0061555A">
        <w:rPr>
          <w:sz w:val="28"/>
          <w:szCs w:val="28"/>
          <w:lang w:val="uk-UA"/>
        </w:rPr>
        <w:t xml:space="preserve">рівень значущості відмінностей </w:t>
      </w:r>
      <w:r w:rsidRPr="0061555A">
        <w:rPr>
          <w:sz w:val="28"/>
          <w:szCs w:val="28"/>
        </w:rPr>
        <w:t>при порівнянні пацієнтів 2 групи до призначення статинів та через 1 рік лікування</w:t>
      </w:r>
    </w:p>
    <w:p w:rsidR="00E3259F" w:rsidRPr="0061555A" w:rsidRDefault="00E3259F" w:rsidP="00E3259F">
      <w:pPr>
        <w:spacing w:line="360" w:lineRule="auto"/>
        <w:ind w:firstLine="709"/>
        <w:jc w:val="both"/>
        <w:rPr>
          <w:rFonts w:cstheme="minorBidi"/>
          <w:lang w:val="uk-UA"/>
        </w:rPr>
      </w:pPr>
    </w:p>
    <w:p w:rsidR="00E3259F" w:rsidRPr="0061555A" w:rsidRDefault="00E3259F" w:rsidP="00E3259F">
      <w:pPr>
        <w:pStyle w:val="1"/>
        <w:spacing w:before="0" w:beforeAutospacing="0" w:after="0" w:afterAutospacing="0" w:line="360" w:lineRule="auto"/>
        <w:ind w:firstLine="709"/>
        <w:jc w:val="both"/>
        <w:rPr>
          <w:b w:val="0"/>
          <w:sz w:val="28"/>
          <w:szCs w:val="28"/>
          <w:lang w:val="uk-UA"/>
        </w:rPr>
      </w:pPr>
      <w:r w:rsidRPr="0061555A">
        <w:rPr>
          <w:b w:val="0"/>
          <w:sz w:val="28"/>
          <w:szCs w:val="28"/>
        </w:rPr>
        <w:t xml:space="preserve">На цей час накопичені дані про негативні ефекти статинів на вуглеводний обмін, синтез інсуліну </w:t>
      </w:r>
      <w:r w:rsidRPr="0061555A">
        <w:rPr>
          <w:b w:val="0"/>
          <w:sz w:val="28"/>
          <w:szCs w:val="28"/>
          <w:lang w:val="uk-UA"/>
        </w:rPr>
        <w:t>та</w:t>
      </w:r>
      <w:r w:rsidRPr="0061555A">
        <w:rPr>
          <w:b w:val="0"/>
          <w:sz w:val="28"/>
          <w:szCs w:val="28"/>
        </w:rPr>
        <w:t xml:space="preserve"> чутливість до рецепторних клітин. У 2010 році були опубліковані дані рандомізованого плацебо-контрольованого дослідження, </w:t>
      </w:r>
      <w:r w:rsidRPr="0061555A">
        <w:rPr>
          <w:b w:val="0"/>
          <w:sz w:val="28"/>
          <w:szCs w:val="28"/>
          <w:lang w:val="uk-UA"/>
        </w:rPr>
        <w:t>у</w:t>
      </w:r>
      <w:r w:rsidRPr="0061555A">
        <w:rPr>
          <w:b w:val="0"/>
          <w:sz w:val="28"/>
          <w:szCs w:val="28"/>
        </w:rPr>
        <w:t xml:space="preserve"> ході якого було оцінено вплив двомісячної терапії аторвастатином </w:t>
      </w:r>
      <w:r w:rsidRPr="0061555A">
        <w:rPr>
          <w:b w:val="0"/>
          <w:sz w:val="28"/>
          <w:szCs w:val="28"/>
          <w:lang w:val="uk-UA"/>
        </w:rPr>
        <w:t>у</w:t>
      </w:r>
      <w:r w:rsidRPr="0061555A">
        <w:rPr>
          <w:b w:val="0"/>
          <w:sz w:val="28"/>
          <w:szCs w:val="28"/>
        </w:rPr>
        <w:t xml:space="preserve"> дозах 10, 20, 40 і 80 мг/добу на рівень інсуліну, глюкози, глікозильованого гемоглобіну, ліпопротеїнів </w:t>
      </w:r>
      <w:r w:rsidRPr="0061555A">
        <w:rPr>
          <w:b w:val="0"/>
          <w:sz w:val="28"/>
          <w:szCs w:val="28"/>
          <w:lang w:val="uk-UA"/>
        </w:rPr>
        <w:t>та</w:t>
      </w:r>
      <w:r w:rsidRPr="0061555A">
        <w:rPr>
          <w:b w:val="0"/>
          <w:sz w:val="28"/>
          <w:szCs w:val="28"/>
        </w:rPr>
        <w:t xml:space="preserve"> апопроте</w:t>
      </w:r>
      <w:r w:rsidRPr="0061555A">
        <w:rPr>
          <w:b w:val="0"/>
          <w:sz w:val="28"/>
          <w:szCs w:val="28"/>
          <w:lang w:val="uk-UA"/>
        </w:rPr>
        <w:t xml:space="preserve">їнів </w:t>
      </w:r>
      <w:r w:rsidRPr="0061555A">
        <w:rPr>
          <w:b w:val="0"/>
          <w:sz w:val="28"/>
          <w:szCs w:val="28"/>
        </w:rPr>
        <w:t xml:space="preserve">В </w:t>
      </w:r>
      <w:r w:rsidRPr="0061555A">
        <w:rPr>
          <w:b w:val="0"/>
          <w:sz w:val="28"/>
          <w:szCs w:val="28"/>
          <w:lang w:val="uk-UA"/>
        </w:rPr>
        <w:t>у</w:t>
      </w:r>
      <w:r w:rsidRPr="0061555A">
        <w:rPr>
          <w:b w:val="0"/>
          <w:sz w:val="28"/>
          <w:szCs w:val="28"/>
        </w:rPr>
        <w:t xml:space="preserve"> плазмі крові пацієнтів з гіперхолестеринемією </w:t>
      </w:r>
      <w:r w:rsidRPr="0061555A">
        <w:rPr>
          <w:b w:val="0"/>
          <w:sz w:val="28"/>
          <w:szCs w:val="28"/>
          <w:lang w:val="uk-UA"/>
        </w:rPr>
        <w:t>порівняно</w:t>
      </w:r>
      <w:r w:rsidRPr="0061555A">
        <w:rPr>
          <w:b w:val="0"/>
          <w:sz w:val="28"/>
          <w:szCs w:val="28"/>
        </w:rPr>
        <w:t xml:space="preserve"> з плацебо [</w:t>
      </w:r>
      <w:r w:rsidRPr="0061555A">
        <w:rPr>
          <w:b w:val="0"/>
          <w:sz w:val="28"/>
          <w:szCs w:val="28"/>
          <w:shd w:val="clear" w:color="auto" w:fill="F2F2F2"/>
        </w:rPr>
        <w:t>2</w:t>
      </w:r>
      <w:r w:rsidRPr="0061555A">
        <w:rPr>
          <w:b w:val="0"/>
          <w:sz w:val="28"/>
          <w:szCs w:val="28"/>
        </w:rPr>
        <w:t xml:space="preserve">]. Було відзначено, що, незважаючи на значне зниження рівня холестерину ЛПНЩ і апо B, лікування аторвастатином збільшує рівень інсуліну натще </w:t>
      </w:r>
      <w:r w:rsidRPr="0061555A">
        <w:rPr>
          <w:b w:val="0"/>
          <w:sz w:val="28"/>
          <w:szCs w:val="28"/>
          <w:lang w:val="uk-UA"/>
        </w:rPr>
        <w:t>та</w:t>
      </w:r>
      <w:r w:rsidRPr="0061555A">
        <w:rPr>
          <w:b w:val="0"/>
          <w:sz w:val="28"/>
          <w:szCs w:val="28"/>
        </w:rPr>
        <w:t xml:space="preserve"> глікований гемоглобін на тлі підвищення резистентності до інсуліну </w:t>
      </w:r>
      <w:r w:rsidRPr="0061555A">
        <w:rPr>
          <w:b w:val="0"/>
          <w:sz w:val="28"/>
          <w:szCs w:val="28"/>
          <w:lang w:val="uk-UA"/>
        </w:rPr>
        <w:t>та</w:t>
      </w:r>
      <w:r w:rsidRPr="0061555A">
        <w:rPr>
          <w:b w:val="0"/>
          <w:sz w:val="28"/>
          <w:szCs w:val="28"/>
        </w:rPr>
        <w:t xml:space="preserve"> збільшення глікемії </w:t>
      </w:r>
      <w:r w:rsidRPr="0061555A">
        <w:rPr>
          <w:b w:val="0"/>
          <w:sz w:val="28"/>
          <w:szCs w:val="28"/>
          <w:lang w:val="uk-UA"/>
        </w:rPr>
        <w:t>в</w:t>
      </w:r>
      <w:r w:rsidRPr="0061555A">
        <w:rPr>
          <w:b w:val="0"/>
          <w:sz w:val="28"/>
          <w:szCs w:val="28"/>
        </w:rPr>
        <w:t xml:space="preserve"> пацієнтів з гіперхолестеринемією. Однак слід зазначити, що не всі дослідники виявили погіршення вуглеводного обміну на тлі використання аторвастатину. Так,</w:t>
      </w:r>
      <w:r w:rsidRPr="0061555A">
        <w:rPr>
          <w:b w:val="0"/>
          <w:sz w:val="28"/>
          <w:szCs w:val="28"/>
          <w:lang w:val="uk-UA"/>
        </w:rPr>
        <w:t xml:space="preserve"> </w:t>
      </w:r>
      <w:r w:rsidRPr="0061555A">
        <w:rPr>
          <w:b w:val="0"/>
          <w:sz w:val="28"/>
          <w:szCs w:val="28"/>
          <w:lang w:val="en-US"/>
        </w:rPr>
        <w:t>Aktay</w:t>
      </w:r>
      <w:r w:rsidRPr="0061555A">
        <w:rPr>
          <w:b w:val="0"/>
          <w:sz w:val="28"/>
          <w:szCs w:val="28"/>
        </w:rPr>
        <w:t xml:space="preserve"> </w:t>
      </w:r>
      <w:r w:rsidRPr="0061555A">
        <w:rPr>
          <w:b w:val="0"/>
          <w:sz w:val="28"/>
          <w:szCs w:val="28"/>
          <w:lang w:val="en-US"/>
        </w:rPr>
        <w:t>G</w:t>
      </w:r>
      <w:r w:rsidRPr="0061555A">
        <w:rPr>
          <w:b w:val="0"/>
          <w:sz w:val="28"/>
          <w:szCs w:val="28"/>
          <w:lang w:val="uk-UA"/>
        </w:rPr>
        <w:t xml:space="preserve"> та співавт. на моделях тварин зі стрептозотоцин-індукованим цукровим діабетом отримав зниження рівня глюкози натще на тлі лікуванням аторвастатином [</w:t>
      </w:r>
      <w:r w:rsidRPr="0061555A">
        <w:rPr>
          <w:b w:val="0"/>
          <w:bCs w:val="0"/>
          <w:sz w:val="28"/>
          <w:szCs w:val="28"/>
        </w:rPr>
        <w:t>1</w:t>
      </w:r>
      <w:r w:rsidRPr="0061555A">
        <w:rPr>
          <w:b w:val="0"/>
          <w:bCs w:val="0"/>
          <w:sz w:val="28"/>
          <w:szCs w:val="28"/>
          <w:lang w:val="uk-UA"/>
        </w:rPr>
        <w:t>37</w:t>
      </w:r>
      <w:r w:rsidRPr="0061555A">
        <w:rPr>
          <w:b w:val="0"/>
          <w:sz w:val="28"/>
          <w:szCs w:val="28"/>
        </w:rPr>
        <w:t>]</w:t>
      </w:r>
      <w:r w:rsidRPr="0061555A">
        <w:rPr>
          <w:b w:val="0"/>
          <w:sz w:val="28"/>
          <w:szCs w:val="28"/>
          <w:lang w:val="uk-UA"/>
        </w:rPr>
        <w:t>.</w:t>
      </w:r>
    </w:p>
    <w:p w:rsidR="00E3259F" w:rsidRPr="0061555A" w:rsidRDefault="00E3259F" w:rsidP="00E3259F">
      <w:pPr>
        <w:spacing w:line="360" w:lineRule="auto"/>
        <w:ind w:firstLine="709"/>
        <w:jc w:val="both"/>
        <w:rPr>
          <w:sz w:val="28"/>
          <w:szCs w:val="28"/>
          <w:lang w:val="uk-UA"/>
        </w:rPr>
      </w:pPr>
      <w:r>
        <w:rPr>
          <w:sz w:val="28"/>
          <w:szCs w:val="28"/>
          <w:lang w:val="uk-UA"/>
        </w:rPr>
        <w:t xml:space="preserve">На тлі лікуванням статинами </w:t>
      </w:r>
      <w:r w:rsidRPr="0061555A">
        <w:rPr>
          <w:sz w:val="28"/>
          <w:szCs w:val="28"/>
          <w:lang w:val="uk-UA"/>
        </w:rPr>
        <w:t xml:space="preserve">не спостерігалось достовірних змін вуглеводного обміну, підвищення рівня інсуліну </w:t>
      </w:r>
      <w:r w:rsidR="0061555A" w:rsidRPr="0061555A">
        <w:rPr>
          <w:sz w:val="28"/>
          <w:szCs w:val="28"/>
          <w:lang w:val="uk-UA"/>
        </w:rPr>
        <w:t xml:space="preserve">відбувалося </w:t>
      </w:r>
      <w:r w:rsidRPr="0061555A">
        <w:rPr>
          <w:sz w:val="28"/>
          <w:szCs w:val="28"/>
          <w:lang w:val="uk-UA"/>
        </w:rPr>
        <w:t xml:space="preserve">в межах  референсних </w:t>
      </w:r>
      <w:r w:rsidR="0061555A" w:rsidRPr="0061555A">
        <w:rPr>
          <w:sz w:val="28"/>
          <w:szCs w:val="28"/>
          <w:lang w:val="uk-UA"/>
        </w:rPr>
        <w:t>значень</w:t>
      </w:r>
      <w:r w:rsidRPr="0061555A">
        <w:rPr>
          <w:sz w:val="28"/>
          <w:szCs w:val="28"/>
          <w:lang w:val="uk-UA"/>
        </w:rPr>
        <w:t xml:space="preserve">, зниження рівнів глюкози натще (р&gt;0,05), підвищення рівнів </w:t>
      </w:r>
      <w:r w:rsidRPr="0061555A">
        <w:rPr>
          <w:sz w:val="28"/>
          <w:szCs w:val="28"/>
        </w:rPr>
        <w:t>HbA</w:t>
      </w:r>
      <w:r w:rsidRPr="0061555A">
        <w:rPr>
          <w:sz w:val="28"/>
          <w:szCs w:val="28"/>
          <w:lang w:val="uk-UA"/>
        </w:rPr>
        <w:t xml:space="preserve">1с (р&gt;0,05) та </w:t>
      </w:r>
      <w:r w:rsidRPr="0061555A">
        <w:rPr>
          <w:sz w:val="28"/>
          <w:szCs w:val="28"/>
        </w:rPr>
        <w:t>HOMA</w:t>
      </w:r>
      <w:r w:rsidRPr="0061555A">
        <w:rPr>
          <w:sz w:val="28"/>
          <w:szCs w:val="28"/>
          <w:lang w:val="uk-UA"/>
        </w:rPr>
        <w:t>-</w:t>
      </w:r>
      <w:r w:rsidRPr="0061555A">
        <w:rPr>
          <w:sz w:val="28"/>
          <w:szCs w:val="28"/>
        </w:rPr>
        <w:t>IR</w:t>
      </w:r>
      <w:r w:rsidRPr="0061555A">
        <w:rPr>
          <w:sz w:val="28"/>
          <w:szCs w:val="28"/>
          <w:lang w:val="uk-UA"/>
        </w:rPr>
        <w:t xml:space="preserve"> (р&gt;0,05) не мали статистичної значущості, але  у сукупності ці дані підтверджують  думку про погіршення вуглеводного обміну та  резистентності до інсуліну навіть при використанні невисоких доз статинів (таблиця 8.2). </w:t>
      </w:r>
    </w:p>
    <w:p w:rsidR="00E3259F" w:rsidRDefault="00E3259F" w:rsidP="00E3259F">
      <w:pPr>
        <w:jc w:val="right"/>
        <w:rPr>
          <w:sz w:val="28"/>
          <w:szCs w:val="28"/>
          <w:lang w:val="uk-UA"/>
        </w:rPr>
      </w:pPr>
      <w:r>
        <w:rPr>
          <w:sz w:val="28"/>
          <w:szCs w:val="28"/>
        </w:rPr>
        <w:t>T</w:t>
      </w:r>
      <w:r>
        <w:rPr>
          <w:sz w:val="28"/>
          <w:szCs w:val="28"/>
          <w:lang w:val="uk-UA"/>
        </w:rPr>
        <w:t xml:space="preserve">аблиця 8.2. </w:t>
      </w:r>
    </w:p>
    <w:p w:rsidR="00E3259F" w:rsidRDefault="00E3259F" w:rsidP="00E3259F">
      <w:pPr>
        <w:spacing w:line="360" w:lineRule="auto"/>
        <w:ind w:firstLine="709"/>
        <w:jc w:val="center"/>
        <w:rPr>
          <w:sz w:val="28"/>
          <w:szCs w:val="28"/>
          <w:lang w:val="uk-UA"/>
        </w:rPr>
      </w:pPr>
      <w:r>
        <w:rPr>
          <w:sz w:val="28"/>
          <w:szCs w:val="28"/>
          <w:lang w:val="uk-UA"/>
        </w:rPr>
        <w:t>Порівняльний аналіз динаміки показників вуглеводного обміну в пацієнтів з ГХ та ЦД 2 типу на тлі статинотерапіі, (</w:t>
      </w:r>
      <w:r>
        <w:rPr>
          <w:sz w:val="28"/>
          <w:szCs w:val="28"/>
        </w:rPr>
        <w:t>M</w:t>
      </w:r>
      <w:r>
        <w:rPr>
          <w:sz w:val="28"/>
          <w:szCs w:val="28"/>
          <w:lang w:val="uk-UA"/>
        </w:rPr>
        <w:t>±</w:t>
      </w:r>
      <w:r>
        <w:rPr>
          <w:sz w:val="28"/>
          <w:szCs w:val="28"/>
        </w:rPr>
        <w:t>m</w:t>
      </w:r>
      <w:r>
        <w:rPr>
          <w:sz w:val="28"/>
          <w:szCs w:val="28"/>
          <w:lang w:val="uk-UA"/>
        </w:rPr>
        <w:t>)</w:t>
      </w:r>
    </w:p>
    <w:tbl>
      <w:tblPr>
        <w:tblW w:w="0" w:type="auto"/>
        <w:tblLook w:val="04A0" w:firstRow="1" w:lastRow="0" w:firstColumn="1" w:lastColumn="0" w:noHBand="0" w:noVBand="1"/>
      </w:tblPr>
      <w:tblGrid>
        <w:gridCol w:w="1809"/>
        <w:gridCol w:w="1985"/>
        <w:gridCol w:w="2268"/>
        <w:gridCol w:w="1559"/>
        <w:gridCol w:w="1949"/>
      </w:tblGrid>
      <w:tr w:rsidR="00E3259F" w:rsidRPr="0061555A" w:rsidTr="00E3259F">
        <w:tc>
          <w:tcPr>
            <w:tcW w:w="180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8"/>
                <w:szCs w:val="28"/>
                <w:lang w:eastAsia="en-US"/>
              </w:rPr>
            </w:pPr>
            <w:r w:rsidRPr="0061555A">
              <w:rPr>
                <w:sz w:val="28"/>
                <w:szCs w:val="28"/>
                <w:lang w:eastAsia="en-US"/>
              </w:rPr>
              <w:t>Показник</w:t>
            </w:r>
          </w:p>
        </w:tc>
        <w:tc>
          <w:tcPr>
            <w:tcW w:w="1985"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eastAsia="en-US"/>
              </w:rPr>
            </w:pPr>
            <w:r w:rsidRPr="0061555A">
              <w:rPr>
                <w:sz w:val="28"/>
                <w:szCs w:val="28"/>
                <w:lang w:eastAsia="en-US"/>
              </w:rPr>
              <w:t>Інсулін</w:t>
            </w:r>
            <w:r w:rsidRPr="0061555A">
              <w:rPr>
                <w:sz w:val="28"/>
                <w:szCs w:val="28"/>
                <w:lang w:val="uk-UA" w:eastAsia="en-US"/>
              </w:rPr>
              <w:t xml:space="preserve">, </w:t>
            </w:r>
          </w:p>
          <w:p w:rsidR="00E3259F" w:rsidRPr="0061555A" w:rsidRDefault="00E3259F" w:rsidP="0061555A">
            <w:pPr>
              <w:spacing w:line="360" w:lineRule="auto"/>
              <w:rPr>
                <w:sz w:val="28"/>
                <w:szCs w:val="28"/>
                <w:lang w:eastAsia="en-US"/>
              </w:rPr>
            </w:pPr>
            <w:r w:rsidRPr="0061555A">
              <w:rPr>
                <w:sz w:val="28"/>
                <w:szCs w:val="28"/>
                <w:lang w:val="uk-UA" w:eastAsia="en-US"/>
              </w:rPr>
              <w:t>мк</w:t>
            </w:r>
            <w:r w:rsidRPr="0061555A">
              <w:rPr>
                <w:sz w:val="28"/>
                <w:szCs w:val="28"/>
                <w:lang w:eastAsia="en-US"/>
              </w:rPr>
              <w:t>M</w:t>
            </w:r>
            <w:r w:rsidRPr="0061555A">
              <w:rPr>
                <w:sz w:val="28"/>
                <w:szCs w:val="28"/>
                <w:lang w:val="uk-UA" w:eastAsia="en-US"/>
              </w:rPr>
              <w:t>О</w:t>
            </w:r>
            <w:r w:rsidRPr="0061555A">
              <w:rPr>
                <w:sz w:val="28"/>
                <w:szCs w:val="28"/>
                <w:lang w:eastAsia="en-US"/>
              </w:rPr>
              <w:t>/</w:t>
            </w:r>
            <w:r w:rsidRPr="0061555A">
              <w:rPr>
                <w:sz w:val="28"/>
                <w:szCs w:val="28"/>
                <w:lang w:val="uk-UA" w:eastAsia="en-US"/>
              </w:rPr>
              <w:t>мл</w:t>
            </w:r>
          </w:p>
        </w:tc>
        <w:tc>
          <w:tcPr>
            <w:tcW w:w="2268"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eastAsia="en-US"/>
              </w:rPr>
            </w:pPr>
            <w:r w:rsidRPr="0061555A">
              <w:rPr>
                <w:sz w:val="28"/>
                <w:szCs w:val="28"/>
                <w:lang w:val="uk-UA" w:eastAsia="en-US"/>
              </w:rPr>
              <w:t>Глюкоза крові,</w:t>
            </w:r>
          </w:p>
          <w:p w:rsidR="00E3259F" w:rsidRPr="0061555A" w:rsidRDefault="00E3259F" w:rsidP="0061555A">
            <w:pPr>
              <w:spacing w:line="360" w:lineRule="auto"/>
              <w:rPr>
                <w:sz w:val="28"/>
                <w:szCs w:val="28"/>
                <w:lang w:eastAsia="en-US"/>
              </w:rPr>
            </w:pPr>
            <w:r w:rsidRPr="0061555A">
              <w:rPr>
                <w:sz w:val="28"/>
                <w:szCs w:val="28"/>
                <w:lang w:eastAsia="en-US"/>
              </w:rPr>
              <w:t xml:space="preserve"> </w:t>
            </w:r>
            <w:r w:rsidRPr="0061555A">
              <w:rPr>
                <w:sz w:val="28"/>
                <w:szCs w:val="28"/>
                <w:lang w:val="uk-UA" w:eastAsia="en-US"/>
              </w:rPr>
              <w:t>ммоль/л</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val="uk-UA" w:eastAsia="en-US"/>
              </w:rPr>
            </w:pPr>
            <w:r w:rsidRPr="0061555A">
              <w:rPr>
                <w:sz w:val="28"/>
                <w:szCs w:val="28"/>
                <w:lang w:eastAsia="en-US"/>
              </w:rPr>
              <w:t>HbA1</w:t>
            </w:r>
            <w:r w:rsidRPr="0061555A">
              <w:rPr>
                <w:sz w:val="28"/>
                <w:szCs w:val="28"/>
                <w:lang w:val="uk-UA" w:eastAsia="en-US"/>
              </w:rPr>
              <w:t>с,</w:t>
            </w:r>
          </w:p>
          <w:p w:rsidR="00E3259F" w:rsidRPr="0061555A" w:rsidRDefault="00E3259F" w:rsidP="0061555A">
            <w:pPr>
              <w:spacing w:line="360" w:lineRule="auto"/>
              <w:rPr>
                <w:sz w:val="28"/>
                <w:szCs w:val="28"/>
                <w:lang w:eastAsia="en-US"/>
              </w:rPr>
            </w:pPr>
            <w:r w:rsidRPr="0061555A">
              <w:rPr>
                <w:sz w:val="28"/>
                <w:szCs w:val="28"/>
                <w:lang w:eastAsia="en-US"/>
              </w:rPr>
              <w:t>%</w:t>
            </w:r>
          </w:p>
        </w:tc>
        <w:tc>
          <w:tcPr>
            <w:tcW w:w="194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eastAsia="en-US"/>
              </w:rPr>
            </w:pPr>
            <w:r w:rsidRPr="0061555A">
              <w:rPr>
                <w:sz w:val="28"/>
                <w:szCs w:val="28"/>
                <w:lang w:eastAsia="en-US"/>
              </w:rPr>
              <w:t>HOMA</w:t>
            </w:r>
            <w:r w:rsidRPr="0061555A">
              <w:rPr>
                <w:sz w:val="28"/>
                <w:szCs w:val="28"/>
                <w:lang w:val="uk-UA" w:eastAsia="en-US"/>
              </w:rPr>
              <w:t>-</w:t>
            </w:r>
            <w:r w:rsidRPr="0061555A">
              <w:rPr>
                <w:sz w:val="28"/>
                <w:szCs w:val="28"/>
                <w:lang w:eastAsia="en-US"/>
              </w:rPr>
              <w:t>IR</w:t>
            </w:r>
          </w:p>
        </w:tc>
      </w:tr>
      <w:tr w:rsidR="00E3259F" w:rsidRPr="0061555A" w:rsidTr="00E3259F">
        <w:tc>
          <w:tcPr>
            <w:tcW w:w="9570" w:type="dxa"/>
            <w:gridSpan w:val="5"/>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8"/>
                <w:szCs w:val="28"/>
                <w:lang w:val="en-US" w:eastAsia="en-US"/>
              </w:rPr>
            </w:pPr>
            <w:r w:rsidRPr="0061555A">
              <w:rPr>
                <w:sz w:val="28"/>
                <w:szCs w:val="28"/>
                <w:lang w:eastAsia="en-US"/>
              </w:rPr>
              <w:t>Група 2 (n=</w:t>
            </w:r>
            <w:r w:rsidRPr="0061555A">
              <w:rPr>
                <w:sz w:val="28"/>
                <w:szCs w:val="28"/>
                <w:lang w:val="uk-UA" w:eastAsia="en-US"/>
              </w:rPr>
              <w:t>156</w:t>
            </w:r>
            <w:r w:rsidRPr="0061555A">
              <w:rPr>
                <w:sz w:val="28"/>
                <w:szCs w:val="28"/>
                <w:lang w:eastAsia="en-US"/>
              </w:rPr>
              <w:t>)</w:t>
            </w:r>
          </w:p>
        </w:tc>
      </w:tr>
      <w:tr w:rsidR="00E3259F" w:rsidRPr="0061555A" w:rsidTr="00E3259F">
        <w:tc>
          <w:tcPr>
            <w:tcW w:w="180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8"/>
                <w:szCs w:val="28"/>
                <w:lang w:val="uk-UA" w:eastAsia="en-US"/>
              </w:rPr>
            </w:pPr>
            <w:r w:rsidRPr="0061555A">
              <w:rPr>
                <w:sz w:val="28"/>
                <w:szCs w:val="28"/>
                <w:lang w:val="uk-UA" w:eastAsia="en-US"/>
              </w:rPr>
              <w:t>До прийома статинів</w:t>
            </w:r>
          </w:p>
        </w:tc>
        <w:tc>
          <w:tcPr>
            <w:tcW w:w="1985" w:type="dxa"/>
            <w:tcBorders>
              <w:top w:val="single" w:sz="4" w:space="0" w:color="auto"/>
              <w:left w:val="single" w:sz="4" w:space="0" w:color="auto"/>
              <w:bottom w:val="single" w:sz="4" w:space="0" w:color="auto"/>
              <w:right w:val="single" w:sz="4" w:space="0" w:color="auto"/>
            </w:tcBorders>
          </w:tcPr>
          <w:p w:rsidR="00E3259F" w:rsidRPr="0061555A" w:rsidRDefault="00E3259F" w:rsidP="0061555A">
            <w:pPr>
              <w:spacing w:line="360" w:lineRule="auto"/>
              <w:jc w:val="both"/>
              <w:rPr>
                <w:sz w:val="28"/>
                <w:szCs w:val="28"/>
                <w:lang w:val="uk-UA" w:eastAsia="en-US"/>
              </w:rPr>
            </w:pPr>
            <w:r w:rsidRPr="0061555A">
              <w:rPr>
                <w:sz w:val="28"/>
                <w:szCs w:val="28"/>
                <w:lang w:eastAsia="en-US"/>
              </w:rPr>
              <w:t>22,64±</w:t>
            </w:r>
            <w:r w:rsidRPr="0061555A">
              <w:rPr>
                <w:sz w:val="28"/>
                <w:szCs w:val="28"/>
                <w:lang w:val="uk-UA" w:eastAsia="en-US"/>
              </w:rPr>
              <w:t>1</w:t>
            </w:r>
            <w:r w:rsidRPr="0061555A">
              <w:rPr>
                <w:sz w:val="28"/>
                <w:szCs w:val="28"/>
                <w:lang w:eastAsia="en-US"/>
              </w:rPr>
              <w:t>,19</w:t>
            </w:r>
          </w:p>
          <w:p w:rsidR="00E3259F" w:rsidRPr="0061555A" w:rsidRDefault="00E3259F" w:rsidP="0061555A">
            <w:pPr>
              <w:spacing w:line="360" w:lineRule="auto"/>
              <w:rPr>
                <w:sz w:val="28"/>
                <w:szCs w:val="28"/>
                <w:lang w:val="en-US" w:eastAsia="en-US"/>
              </w:rPr>
            </w:pPr>
          </w:p>
        </w:tc>
        <w:tc>
          <w:tcPr>
            <w:tcW w:w="2268"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val="uk-UA" w:eastAsia="en-US"/>
              </w:rPr>
            </w:pPr>
            <w:r w:rsidRPr="0061555A">
              <w:rPr>
                <w:sz w:val="28"/>
                <w:szCs w:val="28"/>
                <w:lang w:eastAsia="en-US"/>
              </w:rPr>
              <w:t>8,</w:t>
            </w:r>
            <w:r w:rsidRPr="0061555A">
              <w:rPr>
                <w:sz w:val="28"/>
                <w:szCs w:val="28"/>
                <w:lang w:val="uk-UA" w:eastAsia="en-US"/>
              </w:rPr>
              <w:t>66 ±0,25</w:t>
            </w:r>
          </w:p>
        </w:tc>
        <w:tc>
          <w:tcPr>
            <w:tcW w:w="1559" w:type="dxa"/>
            <w:tcBorders>
              <w:top w:val="single" w:sz="4" w:space="0" w:color="auto"/>
              <w:left w:val="single" w:sz="4" w:space="0" w:color="auto"/>
              <w:bottom w:val="single" w:sz="4" w:space="0" w:color="auto"/>
              <w:right w:val="single" w:sz="4" w:space="0" w:color="auto"/>
            </w:tcBorders>
          </w:tcPr>
          <w:p w:rsidR="00E3259F" w:rsidRPr="0061555A" w:rsidRDefault="00E3259F" w:rsidP="0061555A">
            <w:pPr>
              <w:spacing w:line="360" w:lineRule="auto"/>
              <w:rPr>
                <w:sz w:val="28"/>
                <w:szCs w:val="28"/>
                <w:lang w:val="uk-UA" w:eastAsia="en-US"/>
              </w:rPr>
            </w:pPr>
            <w:r w:rsidRPr="0061555A">
              <w:rPr>
                <w:sz w:val="28"/>
                <w:szCs w:val="28"/>
                <w:lang w:eastAsia="en-US"/>
              </w:rPr>
              <w:t>7,</w:t>
            </w:r>
            <w:r w:rsidRPr="0061555A">
              <w:rPr>
                <w:sz w:val="28"/>
                <w:szCs w:val="28"/>
                <w:lang w:val="uk-UA" w:eastAsia="en-US"/>
              </w:rPr>
              <w:t>57±0,11</w:t>
            </w:r>
          </w:p>
          <w:p w:rsidR="00E3259F" w:rsidRPr="0061555A" w:rsidRDefault="00E3259F" w:rsidP="0061555A">
            <w:pPr>
              <w:spacing w:line="360" w:lineRule="auto"/>
              <w:rPr>
                <w:sz w:val="28"/>
                <w:szCs w:val="28"/>
                <w:lang w:val="en-US" w:eastAsia="en-US"/>
              </w:rPr>
            </w:pPr>
          </w:p>
        </w:tc>
        <w:tc>
          <w:tcPr>
            <w:tcW w:w="194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val="en-US" w:eastAsia="en-US"/>
              </w:rPr>
            </w:pPr>
            <w:r w:rsidRPr="0061555A">
              <w:rPr>
                <w:sz w:val="28"/>
                <w:szCs w:val="28"/>
                <w:lang w:eastAsia="en-US"/>
              </w:rPr>
              <w:t>8,</w:t>
            </w:r>
            <w:r w:rsidRPr="0061555A">
              <w:rPr>
                <w:sz w:val="28"/>
                <w:szCs w:val="28"/>
                <w:lang w:val="uk-UA" w:eastAsia="en-US"/>
              </w:rPr>
              <w:t>26 ±0,35</w:t>
            </w:r>
          </w:p>
        </w:tc>
      </w:tr>
      <w:tr w:rsidR="00E3259F" w:rsidRPr="0061555A" w:rsidTr="00E3259F">
        <w:tc>
          <w:tcPr>
            <w:tcW w:w="180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8"/>
                <w:szCs w:val="28"/>
                <w:lang w:val="uk-UA" w:eastAsia="en-US"/>
              </w:rPr>
            </w:pPr>
            <w:r w:rsidRPr="0061555A">
              <w:rPr>
                <w:sz w:val="28"/>
                <w:szCs w:val="28"/>
                <w:lang w:val="uk-UA" w:eastAsia="en-US"/>
              </w:rPr>
              <w:t xml:space="preserve">Через 1 рік </w:t>
            </w:r>
          </w:p>
        </w:tc>
        <w:tc>
          <w:tcPr>
            <w:tcW w:w="1985"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jc w:val="both"/>
              <w:rPr>
                <w:sz w:val="28"/>
                <w:szCs w:val="28"/>
                <w:lang w:eastAsia="en-US"/>
              </w:rPr>
            </w:pPr>
            <w:r w:rsidRPr="0061555A">
              <w:rPr>
                <w:sz w:val="28"/>
                <w:szCs w:val="28"/>
                <w:lang w:eastAsia="en-US"/>
              </w:rPr>
              <w:t>23,</w:t>
            </w:r>
            <w:r w:rsidRPr="0061555A">
              <w:rPr>
                <w:sz w:val="28"/>
                <w:szCs w:val="28"/>
                <w:lang w:val="uk-UA" w:eastAsia="en-US"/>
              </w:rPr>
              <w:t>03</w:t>
            </w:r>
            <w:r w:rsidRPr="0061555A">
              <w:rPr>
                <w:sz w:val="28"/>
                <w:szCs w:val="28"/>
                <w:lang w:eastAsia="en-US"/>
              </w:rPr>
              <w:t>±</w:t>
            </w:r>
            <w:r w:rsidRPr="0061555A">
              <w:rPr>
                <w:sz w:val="28"/>
                <w:szCs w:val="28"/>
                <w:lang w:val="uk-UA" w:eastAsia="en-US"/>
              </w:rPr>
              <w:t>1</w:t>
            </w:r>
            <w:r w:rsidRPr="0061555A">
              <w:rPr>
                <w:sz w:val="28"/>
                <w:szCs w:val="28"/>
                <w:lang w:eastAsia="en-US"/>
              </w:rPr>
              <w:t>,09</w:t>
            </w:r>
          </w:p>
          <w:p w:rsidR="00E3259F" w:rsidRPr="0061555A" w:rsidRDefault="00E3259F" w:rsidP="0061555A">
            <w:pPr>
              <w:spacing w:line="360" w:lineRule="auto"/>
              <w:rPr>
                <w:sz w:val="28"/>
                <w:szCs w:val="28"/>
                <w:lang w:val="uk-UA" w:eastAsia="en-US"/>
              </w:rPr>
            </w:pPr>
            <w:r w:rsidRPr="0061555A">
              <w:rPr>
                <w:sz w:val="28"/>
                <w:szCs w:val="28"/>
                <w:lang w:val="uk-UA" w:eastAsia="en-US"/>
              </w:rPr>
              <w:t>р&gt;0,05</w:t>
            </w:r>
          </w:p>
        </w:tc>
        <w:tc>
          <w:tcPr>
            <w:tcW w:w="2268"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val="uk-UA" w:eastAsia="en-US"/>
              </w:rPr>
            </w:pPr>
            <w:r w:rsidRPr="0061555A">
              <w:rPr>
                <w:sz w:val="28"/>
                <w:szCs w:val="28"/>
                <w:lang w:val="uk-UA" w:eastAsia="en-US"/>
              </w:rPr>
              <w:t>8</w:t>
            </w:r>
            <w:r w:rsidRPr="0061555A">
              <w:rPr>
                <w:sz w:val="28"/>
                <w:szCs w:val="28"/>
                <w:lang w:eastAsia="en-US"/>
              </w:rPr>
              <w:t>,</w:t>
            </w:r>
            <w:r w:rsidRPr="0061555A">
              <w:rPr>
                <w:sz w:val="28"/>
                <w:szCs w:val="28"/>
                <w:lang w:val="uk-UA" w:eastAsia="en-US"/>
              </w:rPr>
              <w:t>38 ±0,14</w:t>
            </w:r>
          </w:p>
          <w:p w:rsidR="00E3259F" w:rsidRPr="0061555A" w:rsidRDefault="00E3259F" w:rsidP="0061555A">
            <w:pPr>
              <w:spacing w:line="360" w:lineRule="auto"/>
              <w:rPr>
                <w:sz w:val="28"/>
                <w:szCs w:val="28"/>
                <w:lang w:val="uk-UA" w:eastAsia="en-US"/>
              </w:rPr>
            </w:pPr>
            <w:r w:rsidRPr="0061555A">
              <w:rPr>
                <w:sz w:val="28"/>
                <w:szCs w:val="28"/>
                <w:lang w:val="uk-UA" w:eastAsia="en-US"/>
              </w:rPr>
              <w:t>р&gt;0,05</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val="uk-UA" w:eastAsia="en-US"/>
              </w:rPr>
            </w:pPr>
            <w:r w:rsidRPr="0061555A">
              <w:rPr>
                <w:sz w:val="28"/>
                <w:szCs w:val="28"/>
                <w:lang w:eastAsia="en-US"/>
              </w:rPr>
              <w:t>7,</w:t>
            </w:r>
            <w:r w:rsidRPr="0061555A">
              <w:rPr>
                <w:sz w:val="28"/>
                <w:szCs w:val="28"/>
                <w:lang w:val="uk-UA" w:eastAsia="en-US"/>
              </w:rPr>
              <w:t>62±0,10</w:t>
            </w:r>
          </w:p>
          <w:p w:rsidR="00E3259F" w:rsidRPr="0061555A" w:rsidRDefault="00E3259F" w:rsidP="0061555A">
            <w:pPr>
              <w:spacing w:line="360" w:lineRule="auto"/>
              <w:rPr>
                <w:sz w:val="28"/>
                <w:szCs w:val="28"/>
                <w:lang w:val="en-US" w:eastAsia="en-US"/>
              </w:rPr>
            </w:pPr>
            <w:r w:rsidRPr="0061555A">
              <w:rPr>
                <w:sz w:val="28"/>
                <w:szCs w:val="28"/>
                <w:lang w:val="uk-UA" w:eastAsia="en-US"/>
              </w:rPr>
              <w:t>р&gt;0,05</w:t>
            </w:r>
          </w:p>
        </w:tc>
        <w:tc>
          <w:tcPr>
            <w:tcW w:w="1949" w:type="dxa"/>
            <w:tcBorders>
              <w:top w:val="single" w:sz="4" w:space="0" w:color="auto"/>
              <w:left w:val="single" w:sz="4" w:space="0" w:color="auto"/>
              <w:bottom w:val="single" w:sz="4" w:space="0" w:color="auto"/>
              <w:right w:val="single" w:sz="4" w:space="0" w:color="auto"/>
            </w:tcBorders>
            <w:hideMark/>
          </w:tcPr>
          <w:p w:rsidR="00E3259F" w:rsidRPr="0061555A" w:rsidRDefault="00E3259F" w:rsidP="0061555A">
            <w:pPr>
              <w:spacing w:line="360" w:lineRule="auto"/>
              <w:rPr>
                <w:sz w:val="28"/>
                <w:szCs w:val="28"/>
                <w:lang w:val="uk-UA" w:eastAsia="en-US"/>
              </w:rPr>
            </w:pPr>
            <w:r w:rsidRPr="0061555A">
              <w:rPr>
                <w:sz w:val="28"/>
                <w:szCs w:val="28"/>
                <w:lang w:eastAsia="en-US"/>
              </w:rPr>
              <w:t>8,</w:t>
            </w:r>
            <w:r w:rsidRPr="0061555A">
              <w:rPr>
                <w:sz w:val="28"/>
                <w:szCs w:val="28"/>
                <w:lang w:val="uk-UA" w:eastAsia="en-US"/>
              </w:rPr>
              <w:t>32±0,33</w:t>
            </w:r>
          </w:p>
          <w:p w:rsidR="00E3259F" w:rsidRPr="0061555A" w:rsidRDefault="00E3259F" w:rsidP="0061555A">
            <w:pPr>
              <w:spacing w:line="360" w:lineRule="auto"/>
              <w:rPr>
                <w:sz w:val="28"/>
                <w:szCs w:val="28"/>
                <w:lang w:val="uk-UA" w:eastAsia="en-US"/>
              </w:rPr>
            </w:pPr>
            <w:r w:rsidRPr="0061555A">
              <w:rPr>
                <w:sz w:val="28"/>
                <w:szCs w:val="28"/>
                <w:lang w:val="uk-UA" w:eastAsia="en-US"/>
              </w:rPr>
              <w:t>р&gt;0,05</w:t>
            </w:r>
          </w:p>
        </w:tc>
      </w:tr>
    </w:tbl>
    <w:p w:rsidR="00E3259F" w:rsidRDefault="00E3259F" w:rsidP="00E3259F">
      <w:pPr>
        <w:spacing w:line="360" w:lineRule="auto"/>
        <w:ind w:firstLine="709"/>
        <w:jc w:val="both"/>
        <w:rPr>
          <w:sz w:val="28"/>
          <w:szCs w:val="28"/>
        </w:rPr>
      </w:pPr>
      <w:r>
        <w:rPr>
          <w:sz w:val="28"/>
          <w:szCs w:val="28"/>
        </w:rPr>
        <w:t xml:space="preserve">Примітка: р- </w:t>
      </w:r>
      <w:r w:rsidRPr="00E00CAF">
        <w:rPr>
          <w:sz w:val="28"/>
          <w:szCs w:val="28"/>
          <w:lang w:val="uk-UA"/>
        </w:rPr>
        <w:t>рівень значущості відмінностей</w:t>
      </w:r>
      <w:r w:rsidRPr="00E00CAF">
        <w:rPr>
          <w:sz w:val="28"/>
          <w:szCs w:val="28"/>
        </w:rPr>
        <w:t xml:space="preserve"> при порівнянні показника в  групі 2</w:t>
      </w:r>
      <w:r w:rsidRPr="00E00CAF">
        <w:rPr>
          <w:sz w:val="28"/>
          <w:szCs w:val="28"/>
          <w:lang w:val="uk-UA"/>
        </w:rPr>
        <w:t xml:space="preserve"> </w:t>
      </w:r>
      <w:r w:rsidRPr="00E00CAF">
        <w:rPr>
          <w:sz w:val="28"/>
          <w:szCs w:val="28"/>
        </w:rPr>
        <w:t>до лікування статинами та через 1 рік спостереження</w:t>
      </w:r>
    </w:p>
    <w:p w:rsidR="0061555A" w:rsidRDefault="0061555A" w:rsidP="00E3259F">
      <w:pPr>
        <w:shd w:val="clear" w:color="auto" w:fill="FFFFFF"/>
        <w:spacing w:line="360" w:lineRule="auto"/>
        <w:ind w:firstLine="709"/>
        <w:jc w:val="both"/>
        <w:textAlignment w:val="top"/>
        <w:rPr>
          <w:sz w:val="28"/>
          <w:szCs w:val="28"/>
          <w:lang w:val="uk-UA"/>
        </w:rPr>
      </w:pPr>
    </w:p>
    <w:p w:rsidR="00E3259F" w:rsidRPr="0061555A" w:rsidRDefault="00E3259F" w:rsidP="0061555A">
      <w:pPr>
        <w:shd w:val="clear" w:color="auto" w:fill="FFFFFF"/>
        <w:spacing w:line="360" w:lineRule="auto"/>
        <w:ind w:firstLine="709"/>
        <w:jc w:val="both"/>
        <w:textAlignment w:val="top"/>
        <w:rPr>
          <w:sz w:val="28"/>
          <w:szCs w:val="28"/>
          <w:lang w:val="uk-UA"/>
        </w:rPr>
      </w:pPr>
      <w:r w:rsidRPr="0061555A">
        <w:rPr>
          <w:sz w:val="28"/>
          <w:szCs w:val="28"/>
          <w:lang w:val="uk-UA"/>
        </w:rPr>
        <w:t>На цей час показано вплив на ендотеліальну функцію таких факторів, як рівень інсуліну, глюкози. Вважається, що інсулін у периферичій крові відіграє важливу роль у підтримці судинного тонусу та функції ендотелію за допомогою впливу на фоновий (базальний) рівень ендотеліального оксиду азоту (</w:t>
      </w:r>
      <w:r w:rsidRPr="0061555A">
        <w:rPr>
          <w:sz w:val="28"/>
          <w:szCs w:val="28"/>
        </w:rPr>
        <w:t>NO</w:t>
      </w:r>
      <w:r w:rsidRPr="0061555A">
        <w:rPr>
          <w:sz w:val="28"/>
          <w:szCs w:val="28"/>
          <w:lang w:val="uk-UA"/>
        </w:rPr>
        <w:t xml:space="preserve">) [54]. Розвиток інсулінорезистентності призводить до дифузної генералізованої дисфункції судинного ендотелію шляхом різкого зниження синтезу </w:t>
      </w:r>
      <w:r w:rsidRPr="0061555A">
        <w:rPr>
          <w:sz w:val="28"/>
          <w:szCs w:val="28"/>
        </w:rPr>
        <w:t>NO</w:t>
      </w:r>
      <w:r w:rsidRPr="0061555A">
        <w:rPr>
          <w:sz w:val="28"/>
          <w:szCs w:val="28"/>
          <w:lang w:val="uk-UA"/>
        </w:rPr>
        <w:t>, що призводить до порушення ендотелій-залежної вазодилатації при цукровому діабеті.</w:t>
      </w:r>
    </w:p>
    <w:p w:rsidR="00E3259F" w:rsidRPr="0061555A" w:rsidRDefault="00E3259F" w:rsidP="0061555A">
      <w:pPr>
        <w:shd w:val="clear" w:color="auto" w:fill="FFFFFF"/>
        <w:spacing w:line="360" w:lineRule="auto"/>
        <w:ind w:firstLine="709"/>
        <w:jc w:val="both"/>
        <w:outlineLvl w:val="0"/>
        <w:rPr>
          <w:sz w:val="28"/>
          <w:szCs w:val="28"/>
          <w:lang w:val="uk-UA"/>
        </w:rPr>
      </w:pPr>
      <w:r w:rsidRPr="0061555A">
        <w:rPr>
          <w:sz w:val="28"/>
          <w:szCs w:val="28"/>
          <w:lang w:val="uk-UA"/>
        </w:rPr>
        <w:t xml:space="preserve">Аналіз показників ЕД, що досліджувались, продемонстрував таку тенденцію при лікуванні статинами: достовірне підвищення рівнів ВЕФР (326,03±14,22 пг/мл проти 355,17±14,11 пг/мл, відповідно, р&lt;0,001) на тлі достовірного зниження кількості ЦДЕК (12,13±0,38  кл./мл проти 10,49±0,28 кл. / мл, відповідно, р=0,001) (таблиця 8.3). </w:t>
      </w:r>
    </w:p>
    <w:p w:rsidR="00E3259F" w:rsidRPr="0061555A" w:rsidRDefault="00E3259F" w:rsidP="0061555A">
      <w:pPr>
        <w:spacing w:line="360" w:lineRule="auto"/>
        <w:jc w:val="right"/>
        <w:rPr>
          <w:sz w:val="28"/>
          <w:szCs w:val="28"/>
          <w:lang w:val="uk-UA"/>
        </w:rPr>
      </w:pPr>
      <w:r w:rsidRPr="0061555A">
        <w:rPr>
          <w:sz w:val="28"/>
          <w:szCs w:val="28"/>
        </w:rPr>
        <w:t>T</w:t>
      </w:r>
      <w:r w:rsidRPr="0061555A">
        <w:rPr>
          <w:sz w:val="28"/>
          <w:szCs w:val="28"/>
          <w:lang w:val="uk-UA"/>
        </w:rPr>
        <w:t xml:space="preserve">аблиця 8.3 </w:t>
      </w:r>
    </w:p>
    <w:p w:rsidR="00E3259F" w:rsidRPr="0061555A" w:rsidRDefault="00E3259F" w:rsidP="0061555A">
      <w:pPr>
        <w:spacing w:line="360" w:lineRule="auto"/>
        <w:jc w:val="center"/>
        <w:rPr>
          <w:sz w:val="28"/>
          <w:szCs w:val="28"/>
          <w:lang w:val="uk-UA"/>
        </w:rPr>
      </w:pPr>
      <w:r w:rsidRPr="0061555A">
        <w:rPr>
          <w:sz w:val="28"/>
          <w:szCs w:val="28"/>
          <w:lang w:val="uk-UA"/>
        </w:rPr>
        <w:t>Порівняльний аналіз маркерів, що характеризують морфофункціональний стан ендотелію та процеси хронічного запалення, в пацієнтів з поєднаним перебігом ГХ та ЦД 2 типу у динаміки лікування статинами</w:t>
      </w:r>
    </w:p>
    <w:p w:rsidR="00E3259F" w:rsidRDefault="00E3259F" w:rsidP="00E3259F">
      <w:pPr>
        <w:jc w:val="center"/>
        <w:rPr>
          <w:b/>
          <w:sz w:val="22"/>
          <w:szCs w:val="22"/>
          <w:lang w:val="uk-UA"/>
        </w:rPr>
      </w:pPr>
      <w:r>
        <w:rPr>
          <w:b/>
          <w:lang w:val="uk-UA"/>
        </w:rPr>
        <w:t xml:space="preserve"> </w:t>
      </w:r>
    </w:p>
    <w:tbl>
      <w:tblPr>
        <w:tblW w:w="9570" w:type="dxa"/>
        <w:tblLayout w:type="fixed"/>
        <w:tblLook w:val="04A0" w:firstRow="1" w:lastRow="0" w:firstColumn="1" w:lastColumn="0" w:noHBand="0" w:noVBand="1"/>
      </w:tblPr>
      <w:tblGrid>
        <w:gridCol w:w="1525"/>
        <w:gridCol w:w="1843"/>
        <w:gridCol w:w="1559"/>
        <w:gridCol w:w="1417"/>
        <w:gridCol w:w="1560"/>
        <w:gridCol w:w="1666"/>
      </w:tblGrid>
      <w:tr w:rsidR="00E3259F" w:rsidRPr="0061555A" w:rsidTr="00E3259F">
        <w:tc>
          <w:tcPr>
            <w:tcW w:w="1526"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eastAsia="en-US"/>
              </w:rPr>
            </w:pPr>
            <w:r w:rsidRPr="0061555A">
              <w:rPr>
                <w:sz w:val="28"/>
                <w:szCs w:val="28"/>
                <w:lang w:eastAsia="en-US"/>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val="uk-UA" w:eastAsia="en-US"/>
              </w:rPr>
              <w:t>ВЕФР</w:t>
            </w:r>
          </w:p>
          <w:p w:rsidR="00E3259F" w:rsidRPr="0061555A" w:rsidRDefault="00E3259F">
            <w:pPr>
              <w:spacing w:line="360" w:lineRule="auto"/>
              <w:rPr>
                <w:sz w:val="28"/>
                <w:szCs w:val="28"/>
                <w:lang w:eastAsia="en-US"/>
              </w:rPr>
            </w:pPr>
            <w:r w:rsidRPr="0061555A">
              <w:rPr>
                <w:sz w:val="28"/>
                <w:szCs w:val="28"/>
                <w:lang w:eastAsia="en-US"/>
              </w:rPr>
              <w:t>пг/мл</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eastAsia="en-US"/>
              </w:rPr>
            </w:pPr>
            <w:r w:rsidRPr="0061555A">
              <w:rPr>
                <w:sz w:val="28"/>
                <w:szCs w:val="28"/>
                <w:lang w:eastAsia="en-US"/>
              </w:rPr>
              <w:t>ДЦЕК (кл./</w:t>
            </w:r>
            <w:r w:rsidRPr="0061555A">
              <w:rPr>
                <w:rStyle w:val="shorttext"/>
                <w:sz w:val="28"/>
                <w:szCs w:val="28"/>
                <w:lang w:eastAsia="en-US"/>
              </w:rPr>
              <w:t>100 мкл</w:t>
            </w:r>
            <w:r w:rsidRPr="0061555A">
              <w:rPr>
                <w:sz w:val="28"/>
                <w:szCs w:val="28"/>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eastAsia="en-US"/>
              </w:rPr>
            </w:pPr>
            <w:r w:rsidRPr="0061555A">
              <w:rPr>
                <w:sz w:val="28"/>
                <w:szCs w:val="28"/>
                <w:lang w:eastAsia="en-US"/>
              </w:rPr>
              <w:t>СРП,</w:t>
            </w:r>
          </w:p>
          <w:p w:rsidR="00E3259F" w:rsidRPr="0061555A" w:rsidRDefault="00E3259F">
            <w:pPr>
              <w:spacing w:line="360" w:lineRule="auto"/>
              <w:rPr>
                <w:sz w:val="28"/>
                <w:szCs w:val="28"/>
                <w:lang w:eastAsia="en-US"/>
              </w:rPr>
            </w:pPr>
            <w:r w:rsidRPr="0061555A">
              <w:rPr>
                <w:sz w:val="28"/>
                <w:szCs w:val="28"/>
                <w:lang w:eastAsia="en-US"/>
              </w:rPr>
              <w:t>мг/л</w:t>
            </w:r>
          </w:p>
        </w:tc>
        <w:tc>
          <w:tcPr>
            <w:tcW w:w="1560"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eastAsia="en-US"/>
              </w:rPr>
            </w:pPr>
            <w:r w:rsidRPr="0061555A">
              <w:rPr>
                <w:sz w:val="28"/>
                <w:szCs w:val="28"/>
                <w:lang w:val="uk-UA" w:eastAsia="en-US"/>
              </w:rPr>
              <w:t>ФНП-α,</w:t>
            </w:r>
            <w:r w:rsidRPr="0061555A">
              <w:rPr>
                <w:sz w:val="28"/>
                <w:szCs w:val="28"/>
                <w:lang w:eastAsia="en-US"/>
              </w:rPr>
              <w:t xml:space="preserve"> пг/мл</w:t>
            </w:r>
          </w:p>
        </w:tc>
        <w:tc>
          <w:tcPr>
            <w:tcW w:w="1666"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val="uk-UA" w:eastAsia="en-US"/>
              </w:rPr>
              <w:t>ТКІМ, мм</w:t>
            </w:r>
          </w:p>
        </w:tc>
      </w:tr>
      <w:tr w:rsidR="00E3259F" w:rsidRPr="0061555A" w:rsidTr="00E3259F">
        <w:tc>
          <w:tcPr>
            <w:tcW w:w="9571" w:type="dxa"/>
            <w:gridSpan w:val="6"/>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eastAsia="en-US"/>
              </w:rPr>
            </w:pPr>
            <w:r w:rsidRPr="0061555A">
              <w:rPr>
                <w:sz w:val="28"/>
                <w:szCs w:val="28"/>
                <w:lang w:eastAsia="en-US"/>
              </w:rPr>
              <w:t>Група 2 (n=</w:t>
            </w:r>
            <w:r w:rsidRPr="0061555A">
              <w:rPr>
                <w:sz w:val="28"/>
                <w:szCs w:val="28"/>
                <w:lang w:val="uk-UA" w:eastAsia="en-US"/>
              </w:rPr>
              <w:t>156</w:t>
            </w:r>
            <w:r w:rsidRPr="0061555A">
              <w:rPr>
                <w:sz w:val="28"/>
                <w:szCs w:val="28"/>
                <w:lang w:eastAsia="en-US"/>
              </w:rPr>
              <w:t>)</w:t>
            </w:r>
          </w:p>
        </w:tc>
      </w:tr>
      <w:tr w:rsidR="00E3259F" w:rsidRPr="0061555A" w:rsidTr="00E3259F">
        <w:tc>
          <w:tcPr>
            <w:tcW w:w="1526"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val="uk-UA" w:eastAsia="en-US"/>
              </w:rPr>
            </w:pPr>
            <w:r w:rsidRPr="0061555A">
              <w:rPr>
                <w:sz w:val="28"/>
                <w:szCs w:val="28"/>
                <w:lang w:val="uk-UA" w:eastAsia="en-US"/>
              </w:rPr>
              <w:t>До прийома статинів</w:t>
            </w:r>
          </w:p>
        </w:tc>
        <w:tc>
          <w:tcPr>
            <w:tcW w:w="1843"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en-US" w:eastAsia="en-US"/>
              </w:rPr>
            </w:pPr>
            <w:r w:rsidRPr="0061555A">
              <w:rPr>
                <w:sz w:val="28"/>
                <w:szCs w:val="28"/>
                <w:lang w:eastAsia="en-US"/>
              </w:rPr>
              <w:t>326,03</w:t>
            </w:r>
            <w:r w:rsidRPr="0061555A">
              <w:rPr>
                <w:sz w:val="28"/>
                <w:szCs w:val="28"/>
                <w:lang w:val="uk-UA" w:eastAsia="en-US"/>
              </w:rPr>
              <w:t>±</w:t>
            </w:r>
            <w:r w:rsidRPr="0061555A">
              <w:rPr>
                <w:sz w:val="28"/>
                <w:szCs w:val="28"/>
                <w:lang w:eastAsia="en-US"/>
              </w:rPr>
              <w:t>14,2</w:t>
            </w:r>
            <w:r w:rsidRPr="0061555A">
              <w:rPr>
                <w:sz w:val="28"/>
                <w:szCs w:val="28"/>
                <w:lang w:val="uk-UA" w:eastAsia="en-US"/>
              </w:rPr>
              <w:t>2</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en-US" w:eastAsia="en-US"/>
              </w:rPr>
            </w:pPr>
            <w:r w:rsidRPr="0061555A">
              <w:rPr>
                <w:sz w:val="28"/>
                <w:szCs w:val="28"/>
                <w:lang w:eastAsia="en-US"/>
              </w:rPr>
              <w:t>12,</w:t>
            </w:r>
            <w:r w:rsidRPr="0061555A">
              <w:rPr>
                <w:sz w:val="28"/>
                <w:szCs w:val="28"/>
                <w:lang w:val="uk-UA" w:eastAsia="en-US"/>
              </w:rPr>
              <w:t xml:space="preserve">13±0,38 </w:t>
            </w:r>
          </w:p>
        </w:tc>
        <w:tc>
          <w:tcPr>
            <w:tcW w:w="1417"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en-US" w:eastAsia="en-US"/>
              </w:rPr>
            </w:pPr>
            <w:r w:rsidRPr="0061555A">
              <w:rPr>
                <w:sz w:val="28"/>
                <w:szCs w:val="28"/>
                <w:lang w:eastAsia="en-US"/>
              </w:rPr>
              <w:t>8,5</w:t>
            </w:r>
            <w:r w:rsidRPr="0061555A">
              <w:rPr>
                <w:sz w:val="28"/>
                <w:szCs w:val="28"/>
                <w:lang w:val="uk-UA" w:eastAsia="en-US"/>
              </w:rPr>
              <w:t>2±0</w:t>
            </w:r>
            <w:r w:rsidRPr="0061555A">
              <w:rPr>
                <w:sz w:val="28"/>
                <w:szCs w:val="28"/>
                <w:lang w:eastAsia="en-US"/>
              </w:rPr>
              <w:t>,2</w:t>
            </w:r>
            <w:r w:rsidRPr="0061555A">
              <w:rPr>
                <w:sz w:val="28"/>
                <w:szCs w:val="28"/>
                <w:lang w:val="uk-UA" w:eastAsia="en-US"/>
              </w:rPr>
              <w:t>7</w:t>
            </w:r>
          </w:p>
        </w:tc>
        <w:tc>
          <w:tcPr>
            <w:tcW w:w="1560"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en-US" w:eastAsia="en-US"/>
              </w:rPr>
            </w:pPr>
            <w:r w:rsidRPr="0061555A">
              <w:rPr>
                <w:sz w:val="28"/>
                <w:szCs w:val="28"/>
                <w:lang w:eastAsia="en-US"/>
              </w:rPr>
              <w:t>11,1</w:t>
            </w:r>
            <w:r w:rsidRPr="0061555A">
              <w:rPr>
                <w:sz w:val="28"/>
                <w:szCs w:val="28"/>
                <w:lang w:val="uk-UA" w:eastAsia="en-US"/>
              </w:rPr>
              <w:t>9</w:t>
            </w:r>
            <w:r w:rsidRPr="0061555A">
              <w:rPr>
                <w:sz w:val="28"/>
                <w:szCs w:val="28"/>
                <w:lang w:eastAsia="en-US"/>
              </w:rPr>
              <w:t>±</w:t>
            </w:r>
            <w:r w:rsidRPr="0061555A">
              <w:rPr>
                <w:sz w:val="28"/>
                <w:szCs w:val="28"/>
                <w:lang w:val="uk-UA" w:eastAsia="en-US"/>
              </w:rPr>
              <w:t>0</w:t>
            </w:r>
            <w:r w:rsidRPr="0061555A">
              <w:rPr>
                <w:sz w:val="28"/>
                <w:szCs w:val="28"/>
                <w:lang w:eastAsia="en-US"/>
              </w:rPr>
              <w:t>,35</w:t>
            </w:r>
          </w:p>
        </w:tc>
        <w:tc>
          <w:tcPr>
            <w:tcW w:w="1666"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val="uk-UA" w:eastAsia="en-US"/>
              </w:rPr>
              <w:t>0</w:t>
            </w:r>
            <w:r w:rsidRPr="0061555A">
              <w:rPr>
                <w:sz w:val="28"/>
                <w:szCs w:val="28"/>
                <w:lang w:eastAsia="en-US"/>
              </w:rPr>
              <w:t>,07</w:t>
            </w:r>
            <w:r w:rsidRPr="0061555A">
              <w:rPr>
                <w:sz w:val="28"/>
                <w:szCs w:val="28"/>
                <w:lang w:val="uk-UA" w:eastAsia="en-US"/>
              </w:rPr>
              <w:t>8</w:t>
            </w:r>
            <w:r w:rsidRPr="0061555A">
              <w:rPr>
                <w:sz w:val="28"/>
                <w:szCs w:val="28"/>
                <w:lang w:eastAsia="en-US"/>
              </w:rPr>
              <w:t>±</w:t>
            </w:r>
            <w:r w:rsidRPr="0061555A">
              <w:rPr>
                <w:sz w:val="28"/>
                <w:szCs w:val="28"/>
                <w:lang w:val="uk-UA" w:eastAsia="en-US"/>
              </w:rPr>
              <w:t>0</w:t>
            </w:r>
            <w:r w:rsidRPr="0061555A">
              <w:rPr>
                <w:sz w:val="28"/>
                <w:szCs w:val="28"/>
                <w:lang w:eastAsia="en-US"/>
              </w:rPr>
              <w:t>,0</w:t>
            </w:r>
            <w:r w:rsidRPr="0061555A">
              <w:rPr>
                <w:sz w:val="28"/>
                <w:szCs w:val="28"/>
                <w:lang w:val="uk-UA" w:eastAsia="en-US"/>
              </w:rPr>
              <w:t>01</w:t>
            </w:r>
          </w:p>
        </w:tc>
      </w:tr>
      <w:tr w:rsidR="00E3259F" w:rsidRPr="0061555A" w:rsidTr="00E3259F">
        <w:tc>
          <w:tcPr>
            <w:tcW w:w="1526"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val="uk-UA" w:eastAsia="en-US"/>
              </w:rPr>
            </w:pPr>
            <w:r w:rsidRPr="0061555A">
              <w:rPr>
                <w:sz w:val="28"/>
                <w:szCs w:val="28"/>
                <w:lang w:val="uk-UA" w:eastAsia="en-US"/>
              </w:rPr>
              <w:t xml:space="preserve">Через </w:t>
            </w:r>
          </w:p>
          <w:p w:rsidR="00E3259F" w:rsidRPr="0061555A" w:rsidRDefault="00E3259F">
            <w:pPr>
              <w:spacing w:line="360" w:lineRule="auto"/>
              <w:jc w:val="both"/>
              <w:rPr>
                <w:sz w:val="28"/>
                <w:szCs w:val="28"/>
                <w:lang w:val="uk-UA" w:eastAsia="en-US"/>
              </w:rPr>
            </w:pPr>
            <w:r w:rsidRPr="0061555A">
              <w:rPr>
                <w:sz w:val="28"/>
                <w:szCs w:val="28"/>
                <w:lang w:val="uk-UA" w:eastAsia="en-US"/>
              </w:rPr>
              <w:t xml:space="preserve">1 рік </w:t>
            </w:r>
          </w:p>
        </w:tc>
        <w:tc>
          <w:tcPr>
            <w:tcW w:w="1843"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eastAsia="en-US"/>
              </w:rPr>
              <w:t>355,1</w:t>
            </w:r>
            <w:r w:rsidRPr="0061555A">
              <w:rPr>
                <w:sz w:val="28"/>
                <w:szCs w:val="28"/>
                <w:lang w:val="uk-UA" w:eastAsia="en-US"/>
              </w:rPr>
              <w:t>7±</w:t>
            </w:r>
            <w:r w:rsidRPr="0061555A">
              <w:rPr>
                <w:sz w:val="28"/>
                <w:szCs w:val="28"/>
                <w:lang w:eastAsia="en-US"/>
              </w:rPr>
              <w:t>14,1</w:t>
            </w:r>
            <w:r w:rsidRPr="0061555A">
              <w:rPr>
                <w:sz w:val="28"/>
                <w:szCs w:val="28"/>
                <w:lang w:val="uk-UA" w:eastAsia="en-US"/>
              </w:rPr>
              <w:t>1</w:t>
            </w:r>
          </w:p>
          <w:p w:rsidR="00E3259F" w:rsidRPr="0061555A" w:rsidRDefault="00E3259F">
            <w:pPr>
              <w:spacing w:line="360" w:lineRule="auto"/>
              <w:rPr>
                <w:sz w:val="28"/>
                <w:szCs w:val="28"/>
                <w:lang w:val="uk-UA" w:eastAsia="en-US"/>
              </w:rPr>
            </w:pPr>
            <w:r w:rsidRPr="0061555A">
              <w:rPr>
                <w:sz w:val="28"/>
                <w:szCs w:val="28"/>
                <w:lang w:val="uk-UA" w:eastAsia="en-US"/>
              </w:rPr>
              <w:t>р&lt;0</w:t>
            </w:r>
            <w:r w:rsidRPr="0061555A">
              <w:rPr>
                <w:sz w:val="28"/>
                <w:szCs w:val="28"/>
                <w:lang w:eastAsia="en-US"/>
              </w:rPr>
              <w:t>,00</w:t>
            </w:r>
            <w:r w:rsidRPr="0061555A">
              <w:rPr>
                <w:sz w:val="28"/>
                <w:szCs w:val="28"/>
                <w:lang w:val="uk-UA" w:eastAsia="en-US"/>
              </w:rPr>
              <w:t>1</w:t>
            </w:r>
          </w:p>
        </w:tc>
        <w:tc>
          <w:tcPr>
            <w:tcW w:w="1559"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eastAsia="en-US"/>
              </w:rPr>
              <w:t>1</w:t>
            </w:r>
            <w:r w:rsidRPr="0061555A">
              <w:rPr>
                <w:sz w:val="28"/>
                <w:szCs w:val="28"/>
                <w:lang w:val="uk-UA" w:eastAsia="en-US"/>
              </w:rPr>
              <w:t>0</w:t>
            </w:r>
            <w:r w:rsidRPr="0061555A">
              <w:rPr>
                <w:sz w:val="28"/>
                <w:szCs w:val="28"/>
                <w:lang w:eastAsia="en-US"/>
              </w:rPr>
              <w:t>,</w:t>
            </w:r>
            <w:r w:rsidRPr="0061555A">
              <w:rPr>
                <w:sz w:val="28"/>
                <w:szCs w:val="28"/>
                <w:lang w:val="uk-UA" w:eastAsia="en-US"/>
              </w:rPr>
              <w:t xml:space="preserve">49±0,28 </w:t>
            </w:r>
          </w:p>
          <w:p w:rsidR="00E3259F" w:rsidRPr="0061555A" w:rsidRDefault="00E3259F">
            <w:pPr>
              <w:spacing w:line="360" w:lineRule="auto"/>
              <w:rPr>
                <w:sz w:val="28"/>
                <w:szCs w:val="28"/>
                <w:lang w:val="uk-UA" w:eastAsia="en-US"/>
              </w:rPr>
            </w:pPr>
            <w:r w:rsidRPr="0061555A">
              <w:rPr>
                <w:sz w:val="28"/>
                <w:szCs w:val="28"/>
                <w:lang w:val="uk-UA" w:eastAsia="en-US"/>
              </w:rPr>
              <w:t>р=0</w:t>
            </w:r>
            <w:r w:rsidRPr="0061555A">
              <w:rPr>
                <w:sz w:val="28"/>
                <w:szCs w:val="28"/>
                <w:lang w:eastAsia="en-US"/>
              </w:rPr>
              <w:t>,00</w:t>
            </w:r>
            <w:r w:rsidRPr="0061555A">
              <w:rPr>
                <w:sz w:val="28"/>
                <w:szCs w:val="28"/>
                <w:lang w:val="uk-UA" w:eastAsia="en-US"/>
              </w:rPr>
              <w:t>1</w:t>
            </w:r>
          </w:p>
        </w:tc>
        <w:tc>
          <w:tcPr>
            <w:tcW w:w="1417" w:type="dxa"/>
            <w:tcBorders>
              <w:top w:val="single" w:sz="4" w:space="0" w:color="auto"/>
              <w:left w:val="single" w:sz="4" w:space="0" w:color="auto"/>
              <w:bottom w:val="single" w:sz="4" w:space="0" w:color="auto"/>
              <w:right w:val="single" w:sz="4" w:space="0" w:color="auto"/>
            </w:tcBorders>
          </w:tcPr>
          <w:p w:rsidR="00E3259F" w:rsidRPr="0061555A" w:rsidRDefault="00E3259F">
            <w:pPr>
              <w:spacing w:line="360" w:lineRule="auto"/>
              <w:jc w:val="both"/>
              <w:rPr>
                <w:sz w:val="28"/>
                <w:szCs w:val="28"/>
                <w:lang w:val="uk-UA" w:eastAsia="en-US"/>
              </w:rPr>
            </w:pPr>
            <w:r w:rsidRPr="0061555A">
              <w:rPr>
                <w:sz w:val="28"/>
                <w:szCs w:val="28"/>
                <w:lang w:eastAsia="en-US"/>
              </w:rPr>
              <w:t>7,32</w:t>
            </w:r>
            <w:r w:rsidRPr="0061555A">
              <w:rPr>
                <w:sz w:val="28"/>
                <w:szCs w:val="28"/>
                <w:lang w:val="uk-UA" w:eastAsia="en-US"/>
              </w:rPr>
              <w:t>±0</w:t>
            </w:r>
            <w:r w:rsidRPr="0061555A">
              <w:rPr>
                <w:sz w:val="28"/>
                <w:szCs w:val="28"/>
                <w:lang w:eastAsia="en-US"/>
              </w:rPr>
              <w:t>,21</w:t>
            </w:r>
          </w:p>
          <w:p w:rsidR="00E3259F" w:rsidRPr="0061555A" w:rsidRDefault="00E3259F">
            <w:pPr>
              <w:spacing w:line="360" w:lineRule="auto"/>
              <w:jc w:val="both"/>
              <w:rPr>
                <w:sz w:val="28"/>
                <w:szCs w:val="28"/>
                <w:lang w:val="uk-UA" w:eastAsia="en-US"/>
              </w:rPr>
            </w:pPr>
            <w:r w:rsidRPr="0061555A">
              <w:rPr>
                <w:sz w:val="28"/>
                <w:szCs w:val="28"/>
                <w:lang w:val="uk-UA" w:eastAsia="en-US"/>
              </w:rPr>
              <w:t>р=0</w:t>
            </w:r>
            <w:r w:rsidRPr="0061555A">
              <w:rPr>
                <w:sz w:val="28"/>
                <w:szCs w:val="28"/>
                <w:lang w:eastAsia="en-US"/>
              </w:rPr>
              <w:t>,00</w:t>
            </w:r>
            <w:r w:rsidRPr="0061555A">
              <w:rPr>
                <w:sz w:val="28"/>
                <w:szCs w:val="28"/>
                <w:lang w:val="uk-UA" w:eastAsia="en-US"/>
              </w:rPr>
              <w:t>1</w:t>
            </w:r>
          </w:p>
          <w:p w:rsidR="00E3259F" w:rsidRPr="0061555A" w:rsidRDefault="00E3259F">
            <w:pPr>
              <w:spacing w:line="360" w:lineRule="auto"/>
              <w:rPr>
                <w:sz w:val="28"/>
                <w:szCs w:val="28"/>
                <w:lang w:val="en-US" w:eastAsia="en-US"/>
              </w:rPr>
            </w:pPr>
          </w:p>
        </w:tc>
        <w:tc>
          <w:tcPr>
            <w:tcW w:w="1560"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eastAsia="en-US"/>
              </w:rPr>
              <w:t>9,9</w:t>
            </w:r>
            <w:r w:rsidRPr="0061555A">
              <w:rPr>
                <w:sz w:val="28"/>
                <w:szCs w:val="28"/>
                <w:lang w:val="uk-UA" w:eastAsia="en-US"/>
              </w:rPr>
              <w:t>4</w:t>
            </w:r>
            <w:r w:rsidRPr="0061555A">
              <w:rPr>
                <w:sz w:val="28"/>
                <w:szCs w:val="28"/>
                <w:lang w:eastAsia="en-US"/>
              </w:rPr>
              <w:t>±</w:t>
            </w:r>
            <w:r w:rsidRPr="0061555A">
              <w:rPr>
                <w:sz w:val="28"/>
                <w:szCs w:val="28"/>
                <w:lang w:val="uk-UA" w:eastAsia="en-US"/>
              </w:rPr>
              <w:t>0</w:t>
            </w:r>
            <w:r w:rsidRPr="0061555A">
              <w:rPr>
                <w:sz w:val="28"/>
                <w:szCs w:val="28"/>
                <w:lang w:eastAsia="en-US"/>
              </w:rPr>
              <w:t>,3</w:t>
            </w:r>
            <w:r w:rsidRPr="0061555A">
              <w:rPr>
                <w:sz w:val="28"/>
                <w:szCs w:val="28"/>
                <w:lang w:val="uk-UA" w:eastAsia="en-US"/>
              </w:rPr>
              <w:t>2</w:t>
            </w:r>
          </w:p>
          <w:p w:rsidR="00E3259F" w:rsidRPr="0061555A" w:rsidRDefault="00E3259F">
            <w:pPr>
              <w:spacing w:line="360" w:lineRule="auto"/>
              <w:rPr>
                <w:sz w:val="28"/>
                <w:szCs w:val="28"/>
                <w:lang w:val="uk-UA" w:eastAsia="en-US"/>
              </w:rPr>
            </w:pPr>
            <w:r w:rsidRPr="0061555A">
              <w:rPr>
                <w:sz w:val="28"/>
                <w:szCs w:val="28"/>
                <w:lang w:val="uk-UA" w:eastAsia="en-US"/>
              </w:rPr>
              <w:t>р=0</w:t>
            </w:r>
            <w:r w:rsidRPr="0061555A">
              <w:rPr>
                <w:sz w:val="28"/>
                <w:szCs w:val="28"/>
                <w:lang w:eastAsia="en-US"/>
              </w:rPr>
              <w:t>,00</w:t>
            </w:r>
            <w:r w:rsidRPr="0061555A">
              <w:rPr>
                <w:sz w:val="28"/>
                <w:szCs w:val="28"/>
                <w:lang w:val="uk-UA" w:eastAsia="en-US"/>
              </w:rPr>
              <w:t>1</w:t>
            </w:r>
          </w:p>
        </w:tc>
        <w:tc>
          <w:tcPr>
            <w:tcW w:w="1666"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rPr>
                <w:sz w:val="28"/>
                <w:szCs w:val="28"/>
                <w:lang w:val="uk-UA" w:eastAsia="en-US"/>
              </w:rPr>
            </w:pPr>
            <w:r w:rsidRPr="0061555A">
              <w:rPr>
                <w:sz w:val="28"/>
                <w:szCs w:val="28"/>
                <w:lang w:val="uk-UA" w:eastAsia="en-US"/>
              </w:rPr>
              <w:t>0</w:t>
            </w:r>
            <w:r w:rsidRPr="0061555A">
              <w:rPr>
                <w:sz w:val="28"/>
                <w:szCs w:val="28"/>
                <w:lang w:eastAsia="en-US"/>
              </w:rPr>
              <w:t>,07</w:t>
            </w:r>
            <w:r w:rsidRPr="0061555A">
              <w:rPr>
                <w:sz w:val="28"/>
                <w:szCs w:val="28"/>
                <w:lang w:val="uk-UA" w:eastAsia="en-US"/>
              </w:rPr>
              <w:t>7</w:t>
            </w:r>
            <w:r w:rsidRPr="0061555A">
              <w:rPr>
                <w:sz w:val="28"/>
                <w:szCs w:val="28"/>
                <w:lang w:eastAsia="en-US"/>
              </w:rPr>
              <w:t>±</w:t>
            </w:r>
            <w:r w:rsidRPr="0061555A">
              <w:rPr>
                <w:sz w:val="28"/>
                <w:szCs w:val="28"/>
                <w:lang w:val="uk-UA" w:eastAsia="en-US"/>
              </w:rPr>
              <w:t>0</w:t>
            </w:r>
            <w:r w:rsidRPr="0061555A">
              <w:rPr>
                <w:sz w:val="28"/>
                <w:szCs w:val="28"/>
                <w:lang w:eastAsia="en-US"/>
              </w:rPr>
              <w:t>,0</w:t>
            </w:r>
            <w:r w:rsidRPr="0061555A">
              <w:rPr>
                <w:sz w:val="28"/>
                <w:szCs w:val="28"/>
                <w:lang w:val="uk-UA" w:eastAsia="en-US"/>
              </w:rPr>
              <w:t>0</w:t>
            </w:r>
            <w:r w:rsidRPr="0061555A">
              <w:rPr>
                <w:sz w:val="28"/>
                <w:szCs w:val="28"/>
                <w:lang w:eastAsia="en-US"/>
              </w:rPr>
              <w:t>1</w:t>
            </w:r>
          </w:p>
          <w:p w:rsidR="00E3259F" w:rsidRPr="0061555A" w:rsidRDefault="00E3259F">
            <w:pPr>
              <w:spacing w:line="360" w:lineRule="auto"/>
              <w:rPr>
                <w:sz w:val="28"/>
                <w:szCs w:val="28"/>
                <w:lang w:val="uk-UA" w:eastAsia="en-US"/>
              </w:rPr>
            </w:pPr>
            <w:r w:rsidRPr="0061555A">
              <w:rPr>
                <w:sz w:val="28"/>
                <w:szCs w:val="28"/>
                <w:lang w:val="uk-UA" w:eastAsia="en-US"/>
              </w:rPr>
              <w:t>р&gt;0,05</w:t>
            </w:r>
          </w:p>
        </w:tc>
      </w:tr>
    </w:tbl>
    <w:p w:rsidR="00E3259F" w:rsidRPr="0061555A" w:rsidRDefault="00E3259F" w:rsidP="0061555A">
      <w:pPr>
        <w:spacing w:line="360" w:lineRule="auto"/>
        <w:jc w:val="both"/>
        <w:rPr>
          <w:sz w:val="28"/>
          <w:szCs w:val="28"/>
        </w:rPr>
      </w:pPr>
      <w:r w:rsidRPr="0061555A">
        <w:rPr>
          <w:sz w:val="28"/>
          <w:szCs w:val="28"/>
        </w:rPr>
        <w:t xml:space="preserve">Примітка:р- </w:t>
      </w:r>
      <w:r w:rsidRPr="0061555A">
        <w:rPr>
          <w:sz w:val="28"/>
          <w:szCs w:val="28"/>
          <w:lang w:val="uk-UA"/>
        </w:rPr>
        <w:t>рівень значущості відмінностей</w:t>
      </w:r>
      <w:r w:rsidRPr="0061555A">
        <w:rPr>
          <w:sz w:val="28"/>
          <w:szCs w:val="28"/>
        </w:rPr>
        <w:t xml:space="preserve"> при порівнянні показника в  групі 2</w:t>
      </w:r>
      <w:r w:rsidRPr="0061555A">
        <w:rPr>
          <w:sz w:val="28"/>
          <w:szCs w:val="28"/>
          <w:lang w:val="uk-UA"/>
        </w:rPr>
        <w:t xml:space="preserve"> </w:t>
      </w:r>
      <w:r w:rsidRPr="0061555A">
        <w:rPr>
          <w:sz w:val="28"/>
          <w:szCs w:val="28"/>
        </w:rPr>
        <w:t>до лікування статинами та через 1 рік спостереження</w:t>
      </w:r>
    </w:p>
    <w:p w:rsidR="00E3259F" w:rsidRPr="0061555A" w:rsidRDefault="00E3259F" w:rsidP="0061555A">
      <w:pPr>
        <w:spacing w:line="360" w:lineRule="auto"/>
        <w:ind w:firstLine="709"/>
        <w:jc w:val="both"/>
        <w:rPr>
          <w:sz w:val="28"/>
          <w:szCs w:val="28"/>
          <w:lang w:val="uk-UA"/>
        </w:rPr>
      </w:pPr>
      <w:r w:rsidRPr="0061555A">
        <w:rPr>
          <w:sz w:val="28"/>
          <w:szCs w:val="28"/>
          <w:lang w:val="uk-UA"/>
        </w:rPr>
        <w:t>Збільшення ВЕФР на тлі зменшення ДЦЕК в цьому дослідженні може свідчити про те, що зменшення морфологічного пошкодження тканини ендотелію відбувається за рахунок збільшення експресії факторів росту стимуляції ангіогенезу, зокрема ВЕФР. Із цієї позиції можна пояснити факт підвищення плазмового рівня ВЕФР на тлі зниження ЦДЕК при лікуванні статинами. Достовірних змін ТКІМ ЗСА під впливом статинотерапії за зазначений період спостереження знайдено не було (р&gt;0,05).</w:t>
      </w:r>
    </w:p>
    <w:p w:rsidR="00E3259F" w:rsidRPr="0061555A" w:rsidRDefault="00E3259F" w:rsidP="0061555A">
      <w:pPr>
        <w:spacing w:line="360" w:lineRule="auto"/>
        <w:ind w:firstLine="709"/>
        <w:jc w:val="both"/>
        <w:rPr>
          <w:sz w:val="28"/>
          <w:szCs w:val="28"/>
          <w:lang w:val="uk-UA"/>
        </w:rPr>
      </w:pPr>
      <w:r w:rsidRPr="0061555A">
        <w:rPr>
          <w:sz w:val="28"/>
          <w:szCs w:val="28"/>
          <w:lang w:val="uk-UA"/>
        </w:rPr>
        <w:t xml:space="preserve">Якщо існує достатньо доказів, зокрема і в рандомізованих дослідженнях [51] відносно зниження ТКІМ статинотерапією, дані щодо впливу статинів на рівень ВЕФР досить суперечливі[146]. </w:t>
      </w:r>
      <w:r w:rsidRPr="0061555A">
        <w:rPr>
          <w:sz w:val="28"/>
          <w:szCs w:val="28"/>
        </w:rPr>
        <w:t>Так, на тлі існуючої думки про позитивний вплив статинів на функцію ендотелію [</w:t>
      </w:r>
      <w:r w:rsidRPr="0061555A">
        <w:rPr>
          <w:rStyle w:val="mixed-citation"/>
          <w:sz w:val="28"/>
          <w:szCs w:val="28"/>
          <w:lang w:val="uk-UA"/>
        </w:rPr>
        <w:t>200</w:t>
      </w:r>
      <w:r w:rsidRPr="0061555A">
        <w:rPr>
          <w:sz w:val="28"/>
          <w:szCs w:val="28"/>
          <w:lang w:val="uk-UA"/>
        </w:rPr>
        <w:t>], є наукові праці, у яких вказується на збільшення вмісту ВЕФР на тлі статинотерапії [</w:t>
      </w:r>
      <w:r w:rsidRPr="0061555A">
        <w:rPr>
          <w:sz w:val="28"/>
          <w:szCs w:val="28"/>
        </w:rPr>
        <w:t>2</w:t>
      </w:r>
      <w:r w:rsidRPr="0061555A">
        <w:rPr>
          <w:sz w:val="28"/>
          <w:szCs w:val="28"/>
          <w:lang w:val="uk-UA"/>
        </w:rPr>
        <w:t xml:space="preserve">66].  Низка авторів розцінюють підвищення рівня ВЕФР на тлі статинотерапії як позитивне явище. Так </w:t>
      </w:r>
      <w:r w:rsidRPr="0061555A">
        <w:rPr>
          <w:sz w:val="28"/>
          <w:szCs w:val="28"/>
        </w:rPr>
        <w:t>Dongmei</w:t>
      </w:r>
      <w:r w:rsidRPr="0061555A">
        <w:rPr>
          <w:sz w:val="28"/>
          <w:szCs w:val="28"/>
          <w:lang w:val="uk-UA"/>
        </w:rPr>
        <w:t xml:space="preserve"> </w:t>
      </w:r>
      <w:r w:rsidRPr="0061555A">
        <w:rPr>
          <w:sz w:val="28"/>
          <w:szCs w:val="28"/>
        </w:rPr>
        <w:t>Yang</w:t>
      </w:r>
      <w:r w:rsidRPr="0061555A">
        <w:rPr>
          <w:sz w:val="28"/>
          <w:szCs w:val="28"/>
          <w:lang w:val="uk-UA"/>
        </w:rPr>
        <w:t xml:space="preserve"> і співавт. при вивченні внутрішньочерепного крововиливу під час проведення експерименту на тваринах у своєму дослідженні продемонстрували, що аторвастатин збільшує експресію ВЕФР</w:t>
      </w:r>
      <w:r w:rsidRPr="0061555A">
        <w:rPr>
          <w:sz w:val="28"/>
          <w:szCs w:val="28"/>
        </w:rPr>
        <w:t xml:space="preserve"> на тлі зниження неврологічного дефіциту, тим самим покращує неврологічну функцію в аутологічн</w:t>
      </w:r>
      <w:r w:rsidRPr="0061555A">
        <w:rPr>
          <w:sz w:val="28"/>
          <w:szCs w:val="28"/>
          <w:lang w:val="uk-UA"/>
        </w:rPr>
        <w:t>ій</w:t>
      </w:r>
      <w:r w:rsidRPr="0061555A">
        <w:rPr>
          <w:sz w:val="28"/>
          <w:szCs w:val="28"/>
        </w:rPr>
        <w:t xml:space="preserve"> моделі внутрішньочерепного крововиливу</w:t>
      </w:r>
      <w:r w:rsidRPr="0061555A">
        <w:rPr>
          <w:sz w:val="28"/>
          <w:szCs w:val="28"/>
          <w:lang w:val="uk-UA"/>
        </w:rPr>
        <w:t xml:space="preserve"> [404]</w:t>
      </w:r>
      <w:r w:rsidRPr="0061555A">
        <w:rPr>
          <w:sz w:val="28"/>
          <w:szCs w:val="28"/>
        </w:rPr>
        <w:t>.</w:t>
      </w:r>
      <w:r w:rsidRPr="0061555A">
        <w:rPr>
          <w:sz w:val="28"/>
          <w:szCs w:val="28"/>
          <w:lang w:val="uk-UA"/>
        </w:rPr>
        <w:t xml:space="preserve"> </w:t>
      </w:r>
    </w:p>
    <w:p w:rsidR="00E3259F" w:rsidRPr="0061555A" w:rsidRDefault="00E3259F" w:rsidP="0061555A">
      <w:pPr>
        <w:spacing w:line="360" w:lineRule="auto"/>
        <w:ind w:firstLine="709"/>
        <w:jc w:val="both"/>
        <w:rPr>
          <w:rFonts w:eastAsiaTheme="minorHAnsi"/>
          <w:sz w:val="28"/>
          <w:szCs w:val="28"/>
          <w:lang w:eastAsia="en-US"/>
        </w:rPr>
      </w:pPr>
      <w:r w:rsidRPr="0061555A">
        <w:rPr>
          <w:sz w:val="28"/>
          <w:szCs w:val="28"/>
          <w:lang w:val="uk-UA"/>
        </w:rPr>
        <w:t xml:space="preserve">З іншого боку, дані опублікованого в 2015 році метааналізу щодо впливу статинів на плазмовий рівень ВЕФР продемонстрували достовірне зниження рівня ВЕФР плазми крові на тлі не менш 4-х тижневого курсу статинотерапії [343]. На ступінь зниження впливали такі фактори: тривалість терапії, зниження рівня ліпідів, перш за все ЛПНЩ, ліпофільність статинів, стан здоров'я досліджуваних осіб. </w:t>
      </w:r>
      <w:r w:rsidRPr="0061555A">
        <w:rPr>
          <w:sz w:val="28"/>
          <w:szCs w:val="28"/>
        </w:rPr>
        <w:t xml:space="preserve">Однак, автори підтверджують необхідність проведення РКД для вивчення </w:t>
      </w:r>
      <w:r w:rsidRPr="0061555A">
        <w:rPr>
          <w:sz w:val="28"/>
          <w:szCs w:val="28"/>
          <w:lang w:val="uk-UA"/>
        </w:rPr>
        <w:t>та</w:t>
      </w:r>
      <w:r w:rsidRPr="0061555A">
        <w:rPr>
          <w:sz w:val="28"/>
          <w:szCs w:val="28"/>
        </w:rPr>
        <w:t xml:space="preserve"> розуміння того, чи бере участь зниження ВЕФР </w:t>
      </w:r>
      <w:r w:rsidRPr="0061555A">
        <w:rPr>
          <w:sz w:val="28"/>
          <w:szCs w:val="28"/>
          <w:lang w:val="uk-UA"/>
        </w:rPr>
        <w:t>у</w:t>
      </w:r>
      <w:r w:rsidRPr="0061555A">
        <w:rPr>
          <w:sz w:val="28"/>
          <w:szCs w:val="28"/>
        </w:rPr>
        <w:t xml:space="preserve"> перевагах впливу статинів на серцево-судинний прогноз [3</w:t>
      </w:r>
      <w:r w:rsidRPr="0061555A">
        <w:rPr>
          <w:sz w:val="28"/>
          <w:szCs w:val="28"/>
          <w:lang w:val="uk-UA"/>
        </w:rPr>
        <w:t>43</w:t>
      </w:r>
      <w:r w:rsidRPr="0061555A">
        <w:rPr>
          <w:sz w:val="28"/>
          <w:szCs w:val="28"/>
        </w:rPr>
        <w:t>]</w:t>
      </w:r>
      <w:r w:rsidRPr="0061555A">
        <w:rPr>
          <w:sz w:val="28"/>
          <w:szCs w:val="28"/>
          <w:lang w:val="uk-UA"/>
        </w:rPr>
        <w:t>.</w:t>
      </w:r>
      <w:r w:rsidRPr="0061555A">
        <w:rPr>
          <w:sz w:val="28"/>
          <w:szCs w:val="28"/>
        </w:rPr>
        <w:t xml:space="preserve">  </w:t>
      </w:r>
    </w:p>
    <w:p w:rsidR="00E3259F" w:rsidRPr="0061555A" w:rsidRDefault="00E3259F" w:rsidP="0061555A">
      <w:pPr>
        <w:shd w:val="clear" w:color="auto" w:fill="FFFFFF"/>
        <w:spacing w:line="360" w:lineRule="auto"/>
        <w:ind w:firstLine="709"/>
        <w:jc w:val="both"/>
        <w:outlineLvl w:val="0"/>
        <w:rPr>
          <w:sz w:val="28"/>
          <w:szCs w:val="28"/>
        </w:rPr>
      </w:pPr>
      <w:r w:rsidRPr="0061555A">
        <w:rPr>
          <w:sz w:val="28"/>
          <w:szCs w:val="28"/>
        </w:rPr>
        <w:t xml:space="preserve">Доказова база позитивного впливу статинів на функцію ендотелію досить значна </w:t>
      </w:r>
      <w:r w:rsidRPr="0061555A">
        <w:rPr>
          <w:sz w:val="28"/>
          <w:szCs w:val="28"/>
          <w:lang w:val="uk-UA"/>
        </w:rPr>
        <w:t>та</w:t>
      </w:r>
      <w:r w:rsidRPr="0061555A">
        <w:rPr>
          <w:sz w:val="28"/>
          <w:szCs w:val="28"/>
        </w:rPr>
        <w:t xml:space="preserve"> не залишає сумнівів в наявності даного пле</w:t>
      </w:r>
      <w:r w:rsidRPr="0061555A">
        <w:rPr>
          <w:sz w:val="28"/>
          <w:szCs w:val="28"/>
          <w:lang w:val="uk-UA"/>
        </w:rPr>
        <w:t>й</w:t>
      </w:r>
      <w:r w:rsidRPr="0061555A">
        <w:rPr>
          <w:sz w:val="28"/>
          <w:szCs w:val="28"/>
        </w:rPr>
        <w:t xml:space="preserve">отропного ефекту </w:t>
      </w:r>
      <w:r w:rsidRPr="0061555A">
        <w:rPr>
          <w:sz w:val="28"/>
          <w:szCs w:val="28"/>
          <w:lang w:val="uk-UA"/>
        </w:rPr>
        <w:t>в</w:t>
      </w:r>
      <w:r w:rsidRPr="0061555A">
        <w:rPr>
          <w:sz w:val="28"/>
          <w:szCs w:val="28"/>
        </w:rPr>
        <w:t xml:space="preserve"> цієї групи препаратів. Це підтверджується </w:t>
      </w:r>
      <w:r w:rsidRPr="0061555A">
        <w:rPr>
          <w:sz w:val="28"/>
          <w:szCs w:val="28"/>
          <w:lang w:val="uk-UA"/>
        </w:rPr>
        <w:t>й</w:t>
      </w:r>
      <w:r w:rsidRPr="0061555A">
        <w:rPr>
          <w:sz w:val="28"/>
          <w:szCs w:val="28"/>
        </w:rPr>
        <w:t xml:space="preserve"> динамікою зміни рівн</w:t>
      </w:r>
      <w:r w:rsidRPr="0061555A">
        <w:rPr>
          <w:sz w:val="28"/>
          <w:szCs w:val="28"/>
          <w:lang w:val="uk-UA"/>
        </w:rPr>
        <w:t xml:space="preserve">ів </w:t>
      </w:r>
      <w:r w:rsidRPr="0061555A">
        <w:rPr>
          <w:sz w:val="28"/>
          <w:szCs w:val="28"/>
        </w:rPr>
        <w:t>СРП та ФНП-α на тлі застосування статинів: спостерігалос</w:t>
      </w:r>
      <w:r w:rsidRPr="0061555A">
        <w:rPr>
          <w:sz w:val="28"/>
          <w:szCs w:val="28"/>
          <w:lang w:val="uk-UA"/>
        </w:rPr>
        <w:t>я</w:t>
      </w:r>
      <w:r w:rsidRPr="0061555A">
        <w:rPr>
          <w:sz w:val="28"/>
          <w:szCs w:val="28"/>
        </w:rPr>
        <w:t xml:space="preserve"> достовірне зменьшення рівн</w:t>
      </w:r>
      <w:r w:rsidRPr="0061555A">
        <w:rPr>
          <w:sz w:val="28"/>
          <w:szCs w:val="28"/>
          <w:lang w:val="uk-UA"/>
        </w:rPr>
        <w:t>я</w:t>
      </w:r>
      <w:r w:rsidRPr="0061555A">
        <w:rPr>
          <w:sz w:val="28"/>
          <w:szCs w:val="28"/>
        </w:rPr>
        <w:t xml:space="preserve"> СРП (р=0,001) та рівн</w:t>
      </w:r>
      <w:r w:rsidRPr="0061555A">
        <w:rPr>
          <w:sz w:val="28"/>
          <w:szCs w:val="28"/>
          <w:lang w:val="uk-UA"/>
        </w:rPr>
        <w:t>я</w:t>
      </w:r>
      <w:r w:rsidRPr="0061555A">
        <w:rPr>
          <w:sz w:val="28"/>
          <w:szCs w:val="28"/>
        </w:rPr>
        <w:t xml:space="preserve"> ФНП-α (р=0,001) у пацієнтів з коморбідним перебігом ГХ та ЦД</w:t>
      </w:r>
      <w:r w:rsidRPr="0061555A">
        <w:rPr>
          <w:sz w:val="28"/>
          <w:szCs w:val="28"/>
          <w:lang w:val="uk-UA"/>
        </w:rPr>
        <w:t xml:space="preserve"> </w:t>
      </w:r>
      <w:r w:rsidRPr="0061555A">
        <w:rPr>
          <w:sz w:val="28"/>
          <w:szCs w:val="28"/>
        </w:rPr>
        <w:t>2</w:t>
      </w:r>
      <w:r w:rsidRPr="0061555A">
        <w:rPr>
          <w:sz w:val="28"/>
          <w:szCs w:val="28"/>
          <w:lang w:val="uk-UA"/>
        </w:rPr>
        <w:t xml:space="preserve"> типу</w:t>
      </w:r>
      <w:r w:rsidRPr="0061555A">
        <w:rPr>
          <w:sz w:val="28"/>
          <w:szCs w:val="28"/>
        </w:rPr>
        <w:t>. Якщо взяти до уваги, що СРП вважається одним з ма</w:t>
      </w:r>
      <w:r w:rsidRPr="0061555A">
        <w:rPr>
          <w:sz w:val="28"/>
          <w:szCs w:val="28"/>
          <w:lang w:val="uk-UA"/>
        </w:rPr>
        <w:t>р</w:t>
      </w:r>
      <w:r w:rsidRPr="0061555A">
        <w:rPr>
          <w:sz w:val="28"/>
          <w:szCs w:val="28"/>
        </w:rPr>
        <w:t>к</w:t>
      </w:r>
      <w:r w:rsidRPr="0061555A">
        <w:rPr>
          <w:sz w:val="28"/>
          <w:szCs w:val="28"/>
          <w:lang w:val="uk-UA"/>
        </w:rPr>
        <w:t>е</w:t>
      </w:r>
      <w:r w:rsidRPr="0061555A">
        <w:rPr>
          <w:sz w:val="28"/>
          <w:szCs w:val="28"/>
        </w:rPr>
        <w:t>р</w:t>
      </w:r>
      <w:r w:rsidRPr="0061555A">
        <w:rPr>
          <w:sz w:val="28"/>
          <w:szCs w:val="28"/>
          <w:lang w:val="uk-UA"/>
        </w:rPr>
        <w:t>і</w:t>
      </w:r>
      <w:r w:rsidRPr="0061555A">
        <w:rPr>
          <w:sz w:val="28"/>
          <w:szCs w:val="28"/>
        </w:rPr>
        <w:t>в, що індукує дисфункцію ендотелію [</w:t>
      </w:r>
      <w:bookmarkStart w:id="26" w:name="_Hlk43674519"/>
      <w:r w:rsidRPr="0061555A">
        <w:rPr>
          <w:sz w:val="28"/>
          <w:szCs w:val="28"/>
        </w:rPr>
        <w:t>2</w:t>
      </w:r>
      <w:r w:rsidRPr="0061555A">
        <w:rPr>
          <w:sz w:val="28"/>
          <w:szCs w:val="28"/>
          <w:lang w:val="uk-UA"/>
        </w:rPr>
        <w:t>8</w:t>
      </w:r>
      <w:r w:rsidRPr="0061555A">
        <w:rPr>
          <w:sz w:val="28"/>
          <w:szCs w:val="28"/>
        </w:rPr>
        <w:t>,2</w:t>
      </w:r>
      <w:bookmarkEnd w:id="26"/>
      <w:r w:rsidRPr="0061555A">
        <w:rPr>
          <w:sz w:val="28"/>
          <w:szCs w:val="28"/>
          <w:lang w:val="uk-UA"/>
        </w:rPr>
        <w:t>64</w:t>
      </w:r>
      <w:r w:rsidRPr="0061555A">
        <w:rPr>
          <w:sz w:val="28"/>
          <w:szCs w:val="28"/>
        </w:rPr>
        <w:t>]</w:t>
      </w:r>
      <w:r w:rsidRPr="0061555A">
        <w:rPr>
          <w:sz w:val="28"/>
          <w:szCs w:val="28"/>
          <w:lang w:val="uk-UA"/>
        </w:rPr>
        <w:t>,</w:t>
      </w:r>
      <w:r w:rsidRPr="0061555A">
        <w:rPr>
          <w:sz w:val="28"/>
          <w:szCs w:val="28"/>
        </w:rPr>
        <w:t xml:space="preserve"> то достовірне його зниження на тлі стат</w:t>
      </w:r>
      <w:r w:rsidRPr="0061555A">
        <w:rPr>
          <w:sz w:val="28"/>
          <w:szCs w:val="28"/>
          <w:lang w:val="uk-UA"/>
        </w:rPr>
        <w:t>и</w:t>
      </w:r>
      <w:r w:rsidRPr="0061555A">
        <w:rPr>
          <w:sz w:val="28"/>
          <w:szCs w:val="28"/>
        </w:rPr>
        <w:t>нотерапі</w:t>
      </w:r>
      <w:r w:rsidRPr="0061555A">
        <w:rPr>
          <w:sz w:val="28"/>
          <w:szCs w:val="28"/>
          <w:lang w:val="uk-UA"/>
        </w:rPr>
        <w:t>ї в</w:t>
      </w:r>
      <w:r w:rsidRPr="0061555A">
        <w:rPr>
          <w:sz w:val="28"/>
          <w:szCs w:val="28"/>
        </w:rPr>
        <w:t xml:space="preserve"> пацієнтів з ГХ та ЦД</w:t>
      </w:r>
      <w:r w:rsidRPr="0061555A">
        <w:rPr>
          <w:sz w:val="28"/>
          <w:szCs w:val="28"/>
          <w:lang w:val="uk-UA"/>
        </w:rPr>
        <w:t xml:space="preserve"> </w:t>
      </w:r>
      <w:r w:rsidRPr="0061555A">
        <w:rPr>
          <w:sz w:val="28"/>
          <w:szCs w:val="28"/>
        </w:rPr>
        <w:t>2</w:t>
      </w:r>
      <w:r w:rsidRPr="0061555A">
        <w:rPr>
          <w:sz w:val="28"/>
          <w:szCs w:val="28"/>
          <w:lang w:val="uk-UA"/>
        </w:rPr>
        <w:t xml:space="preserve"> типу</w:t>
      </w:r>
      <w:r w:rsidRPr="0061555A">
        <w:rPr>
          <w:sz w:val="28"/>
          <w:szCs w:val="28"/>
        </w:rPr>
        <w:t xml:space="preserve">, можна розцінити як прояв не тільки протизапального, але </w:t>
      </w:r>
      <w:r w:rsidRPr="0061555A">
        <w:rPr>
          <w:sz w:val="28"/>
          <w:szCs w:val="28"/>
          <w:lang w:val="uk-UA"/>
        </w:rPr>
        <w:t>й</w:t>
      </w:r>
      <w:r w:rsidRPr="0061555A">
        <w:rPr>
          <w:sz w:val="28"/>
          <w:szCs w:val="28"/>
        </w:rPr>
        <w:t xml:space="preserve"> ендотелійпротекторного впливу статинів. </w:t>
      </w:r>
    </w:p>
    <w:p w:rsidR="00E3259F" w:rsidRPr="0061555A" w:rsidRDefault="00E3259F" w:rsidP="0061555A">
      <w:pPr>
        <w:pStyle w:val="1"/>
        <w:spacing w:before="0" w:beforeAutospacing="0" w:after="0" w:afterAutospacing="0" w:line="360" w:lineRule="auto"/>
        <w:ind w:firstLine="709"/>
        <w:jc w:val="both"/>
        <w:rPr>
          <w:b w:val="0"/>
          <w:sz w:val="28"/>
          <w:szCs w:val="28"/>
          <w:lang w:val="uk-UA"/>
        </w:rPr>
      </w:pPr>
      <w:r w:rsidRPr="0061555A">
        <w:rPr>
          <w:b w:val="0"/>
          <w:sz w:val="28"/>
          <w:szCs w:val="28"/>
          <w:shd w:val="clear" w:color="auto" w:fill="FFFFFF"/>
          <w:lang w:val="uk-UA"/>
        </w:rPr>
        <w:t>Незалежно від ліпідзнижуючої активності, в останні роки з'явилися роботи, у яких велике значення в зниженні КВР приділяють здатності статинів впливати на ОС, запобігаючи або зменшуючи тим самим ендотеліальну дисфункцію та системне запалення [165]. Так в експериментальній роботі Celal Kilit і співавт. (2017) показано, що ловастатин перешкоджає розвитку ЕД шляхом супресії ОС при різних моделях ССЗ з високим рівнем ризику [</w:t>
      </w:r>
      <w:r w:rsidRPr="0061555A">
        <w:rPr>
          <w:b w:val="0"/>
          <w:sz w:val="28"/>
          <w:szCs w:val="28"/>
          <w:lang w:val="uk-UA"/>
        </w:rPr>
        <w:t>256</w:t>
      </w:r>
      <w:r w:rsidRPr="0061555A">
        <w:rPr>
          <w:b w:val="0"/>
          <w:sz w:val="28"/>
          <w:szCs w:val="28"/>
          <w:shd w:val="clear" w:color="auto" w:fill="FFFFFF"/>
          <w:lang w:val="uk-UA"/>
        </w:rPr>
        <w:t>]. У більш ранніх експериментах, проведених в основному на тваринах, із застосуванням флувастатину, симвастатину спостерігали позитивні зміни при призначенні статинів не тільки з боку запалення, але й з боку показників ПОЛ [</w:t>
      </w:r>
      <w:r w:rsidRPr="0061555A">
        <w:rPr>
          <w:b w:val="0"/>
          <w:sz w:val="28"/>
          <w:szCs w:val="28"/>
          <w:shd w:val="clear" w:color="auto" w:fill="FFFFFF"/>
        </w:rPr>
        <w:t>2</w:t>
      </w:r>
      <w:r w:rsidRPr="0061555A">
        <w:rPr>
          <w:b w:val="0"/>
          <w:sz w:val="28"/>
          <w:szCs w:val="28"/>
          <w:shd w:val="clear" w:color="auto" w:fill="FFFFFF"/>
          <w:lang w:val="uk-UA"/>
        </w:rPr>
        <w:t xml:space="preserve">]. Однак, в останні роки з`явилося чимало робіт, у яких продемонстровано негативний ефект статинів на оксидантно-антиоксидантний баланс, </w:t>
      </w:r>
      <w:r w:rsidRPr="0061555A">
        <w:rPr>
          <w:b w:val="0"/>
          <w:sz w:val="28"/>
          <w:szCs w:val="28"/>
          <w:lang w:val="uk-UA"/>
        </w:rPr>
        <w:t>зокрема й</w:t>
      </w:r>
      <w:r w:rsidRPr="0061555A">
        <w:rPr>
          <w:b w:val="0"/>
          <w:sz w:val="28"/>
          <w:szCs w:val="28"/>
          <w:shd w:val="clear" w:color="auto" w:fill="FFFFFF"/>
          <w:lang w:val="uk-UA"/>
        </w:rPr>
        <w:t xml:space="preserve"> при ЦД, який пов`язують передусім з токсичною дією на ферменти печінки, так званий статин-індукований оксидативний стрес [</w:t>
      </w:r>
      <w:bookmarkStart w:id="27" w:name="_Hlk43674777"/>
      <w:r w:rsidRPr="0061555A">
        <w:rPr>
          <w:b w:val="0"/>
          <w:sz w:val="28"/>
          <w:szCs w:val="28"/>
          <w:shd w:val="clear" w:color="auto" w:fill="FFFFFF"/>
        </w:rPr>
        <w:t>2</w:t>
      </w:r>
      <w:r w:rsidRPr="0061555A">
        <w:rPr>
          <w:b w:val="0"/>
          <w:sz w:val="28"/>
          <w:szCs w:val="28"/>
          <w:shd w:val="clear" w:color="auto" w:fill="FFFFFF"/>
          <w:lang w:val="uk-UA"/>
        </w:rPr>
        <w:t>67</w:t>
      </w:r>
      <w:r w:rsidRPr="0061555A">
        <w:rPr>
          <w:b w:val="0"/>
          <w:sz w:val="28"/>
          <w:szCs w:val="28"/>
          <w:shd w:val="clear" w:color="auto" w:fill="FFFFFF"/>
        </w:rPr>
        <w:t>,</w:t>
      </w:r>
      <w:bookmarkEnd w:id="27"/>
      <w:r w:rsidRPr="0061555A">
        <w:rPr>
          <w:b w:val="0"/>
          <w:sz w:val="28"/>
          <w:szCs w:val="28"/>
          <w:shd w:val="clear" w:color="auto" w:fill="FFFFFF"/>
          <w:lang w:val="uk-UA"/>
        </w:rPr>
        <w:t>412</w:t>
      </w:r>
      <w:r w:rsidRPr="0061555A">
        <w:rPr>
          <w:b w:val="0"/>
          <w:sz w:val="28"/>
          <w:szCs w:val="28"/>
          <w:lang w:val="uk-UA"/>
        </w:rPr>
        <w:t>] та негативний вплив на редокс-баланс β-клітин [</w:t>
      </w:r>
      <w:r w:rsidRPr="0061555A">
        <w:rPr>
          <w:b w:val="0"/>
          <w:sz w:val="28"/>
          <w:szCs w:val="28"/>
        </w:rPr>
        <w:t>2</w:t>
      </w:r>
      <w:r w:rsidRPr="0061555A">
        <w:rPr>
          <w:b w:val="0"/>
          <w:sz w:val="28"/>
          <w:szCs w:val="28"/>
          <w:lang w:val="uk-UA"/>
        </w:rPr>
        <w:t>69</w:t>
      </w:r>
      <w:r w:rsidRPr="0061555A">
        <w:rPr>
          <w:b w:val="0"/>
          <w:sz w:val="28"/>
          <w:szCs w:val="28"/>
        </w:rPr>
        <w:t>]</w:t>
      </w:r>
      <w:r w:rsidRPr="0061555A">
        <w:rPr>
          <w:b w:val="0"/>
          <w:sz w:val="28"/>
          <w:szCs w:val="28"/>
          <w:lang w:val="uk-UA"/>
        </w:rPr>
        <w:t>.</w:t>
      </w:r>
    </w:p>
    <w:p w:rsidR="00E3259F" w:rsidRPr="0061555A" w:rsidRDefault="00E3259F" w:rsidP="00E3259F">
      <w:pPr>
        <w:pStyle w:val="1"/>
        <w:spacing w:before="0" w:beforeAutospacing="0" w:after="0" w:afterAutospacing="0" w:line="360" w:lineRule="auto"/>
        <w:ind w:firstLine="709"/>
        <w:jc w:val="both"/>
        <w:rPr>
          <w:b w:val="0"/>
          <w:sz w:val="28"/>
          <w:szCs w:val="28"/>
          <w:lang w:val="uk-UA"/>
        </w:rPr>
      </w:pPr>
      <w:r w:rsidRPr="0061555A">
        <w:rPr>
          <w:b w:val="0"/>
          <w:sz w:val="28"/>
          <w:szCs w:val="28"/>
          <w:lang w:val="uk-UA"/>
        </w:rPr>
        <w:t>Незважаючи на наявність даних про сприятливий вплив сучасної антигіпертензивної [97] і антидіабетичної [</w:t>
      </w:r>
      <w:r w:rsidRPr="0061555A">
        <w:rPr>
          <w:b w:val="0"/>
          <w:bCs w:val="0"/>
          <w:sz w:val="28"/>
          <w:szCs w:val="28"/>
          <w:lang w:val="uk-UA"/>
        </w:rPr>
        <w:t>90</w:t>
      </w:r>
      <w:r w:rsidRPr="0061555A">
        <w:rPr>
          <w:b w:val="0"/>
          <w:sz w:val="28"/>
          <w:szCs w:val="28"/>
          <w:lang w:val="uk-UA"/>
        </w:rPr>
        <w:t>] терапії на ОС, у пацієнтів  групи 2 відзначено наявність вираженого ОС на тлі стандартного лікування. Призначення статинів призвело до таких змін оксидантно-антиоксидантного балансу (Таблиця 8.4): достовірне підвищення рівня SH-групи (р=0,001) та зниження рівня 8-OH-dG крові (р=0,001) на тлі статистично не значного підвищення рівнів МДА (р&gt;0,05) та зниження активності ГПО (р&gt;0,05). Напруження оксидантної системи з боку МДА у цієї категорії пацієнтів можна пояснити збільшенням ступеня інсулінорезистентності, що виникла на тлі статинотерапії [174], а поліпшення антиоксидантного захисту, за рахунок підвищення рівня SН-груп, підтвердженням цього плейотропного ефекту в цій групі препаратів [165]. З огляду на дані робіт останніх років, за результатами яких пропонується використовувати рівні МДА як маркери ризику розвитку ускладнень у хворих на ЦД 2 типу, особливо недостатньо компенсованого [268], тенденцію до підвищення цього маркера в групі пацієнтів з поєднаним перебігом ГХ та ЦД 2 типу варто розцінювати як небажаний ефект лікування статинами. Наявність достовірного зниження оксидантного пошкодження ДНК - 8-OH-dG на тлі статинотерапіі свідчить на користь антиоксидантного впливу статинів при цій</w:t>
      </w:r>
      <w:r w:rsidRPr="0061555A">
        <w:rPr>
          <w:b w:val="0"/>
          <w:sz w:val="40"/>
          <w:szCs w:val="40"/>
          <w:lang w:val="uk-UA"/>
        </w:rPr>
        <w:t xml:space="preserve"> </w:t>
      </w:r>
      <w:r w:rsidRPr="0061555A">
        <w:rPr>
          <w:b w:val="0"/>
          <w:sz w:val="28"/>
          <w:szCs w:val="28"/>
          <w:lang w:val="uk-UA"/>
        </w:rPr>
        <w:t>коморбідній</w:t>
      </w:r>
      <w:r w:rsidRPr="0061555A">
        <w:rPr>
          <w:b w:val="0"/>
          <w:sz w:val="40"/>
          <w:szCs w:val="40"/>
          <w:lang w:val="uk-UA"/>
        </w:rPr>
        <w:t xml:space="preserve"> </w:t>
      </w:r>
      <w:r w:rsidRPr="0061555A">
        <w:rPr>
          <w:b w:val="0"/>
          <w:sz w:val="28"/>
          <w:szCs w:val="28"/>
          <w:lang w:val="uk-UA"/>
        </w:rPr>
        <w:t>патології</w:t>
      </w:r>
      <w:r w:rsidRPr="0061555A">
        <w:rPr>
          <w:sz w:val="28"/>
          <w:szCs w:val="28"/>
          <w:lang w:val="uk-UA"/>
        </w:rPr>
        <w:t xml:space="preserve"> </w:t>
      </w:r>
      <w:r w:rsidRPr="0061555A">
        <w:rPr>
          <w:b w:val="0"/>
          <w:sz w:val="28"/>
          <w:szCs w:val="28"/>
          <w:lang w:val="uk-UA"/>
        </w:rPr>
        <w:t>[</w:t>
      </w:r>
      <w:r w:rsidRPr="0061555A">
        <w:rPr>
          <w:b w:val="0"/>
          <w:bCs w:val="0"/>
          <w:sz w:val="28"/>
          <w:szCs w:val="28"/>
        </w:rPr>
        <w:t>3</w:t>
      </w:r>
      <w:r w:rsidRPr="0061555A">
        <w:rPr>
          <w:b w:val="0"/>
          <w:bCs w:val="0"/>
          <w:sz w:val="28"/>
          <w:szCs w:val="28"/>
          <w:lang w:val="uk-UA"/>
        </w:rPr>
        <w:t>56</w:t>
      </w:r>
      <w:r w:rsidRPr="0061555A">
        <w:rPr>
          <w:b w:val="0"/>
          <w:sz w:val="28"/>
          <w:szCs w:val="28"/>
        </w:rPr>
        <w:t>]</w:t>
      </w:r>
      <w:r w:rsidRPr="0061555A">
        <w:rPr>
          <w:b w:val="0"/>
          <w:sz w:val="28"/>
          <w:szCs w:val="28"/>
          <w:lang w:val="uk-UA"/>
        </w:rPr>
        <w:t>.</w:t>
      </w:r>
    </w:p>
    <w:p w:rsidR="00E3259F" w:rsidRPr="0061555A" w:rsidRDefault="00E3259F" w:rsidP="00E3259F">
      <w:pPr>
        <w:spacing w:line="360" w:lineRule="auto"/>
        <w:ind w:firstLine="709"/>
        <w:jc w:val="right"/>
        <w:rPr>
          <w:sz w:val="28"/>
          <w:szCs w:val="28"/>
          <w:lang w:val="uk-UA"/>
        </w:rPr>
      </w:pPr>
      <w:r w:rsidRPr="0061555A">
        <w:rPr>
          <w:sz w:val="28"/>
          <w:szCs w:val="28"/>
          <w:lang w:val="en"/>
        </w:rPr>
        <w:t>T</w:t>
      </w:r>
      <w:r w:rsidRPr="0061555A">
        <w:rPr>
          <w:sz w:val="28"/>
          <w:szCs w:val="28"/>
          <w:lang w:val="uk-UA"/>
        </w:rPr>
        <w:t xml:space="preserve">аблиця 8.4 </w:t>
      </w:r>
    </w:p>
    <w:p w:rsidR="00E3259F" w:rsidRPr="0061555A" w:rsidRDefault="00E3259F" w:rsidP="00E3259F">
      <w:pPr>
        <w:spacing w:line="360" w:lineRule="auto"/>
        <w:ind w:firstLine="709"/>
        <w:jc w:val="center"/>
        <w:rPr>
          <w:sz w:val="28"/>
          <w:szCs w:val="28"/>
          <w:lang w:val="uk-UA"/>
        </w:rPr>
      </w:pPr>
      <w:r w:rsidRPr="0061555A">
        <w:rPr>
          <w:sz w:val="28"/>
          <w:szCs w:val="28"/>
          <w:lang w:val="uk-UA"/>
        </w:rPr>
        <w:t>Порівняльний аналіз показників оксидантно-антиоксидантного балансу у пацієнтів з поєднаним перебігом ГХ та ЦД 2 типу в динаміки лікування статинами,  (</w:t>
      </w:r>
      <w:r w:rsidRPr="0061555A">
        <w:rPr>
          <w:sz w:val="28"/>
          <w:szCs w:val="28"/>
        </w:rPr>
        <w:t>M</w:t>
      </w:r>
      <w:r w:rsidRPr="0061555A">
        <w:rPr>
          <w:sz w:val="28"/>
          <w:szCs w:val="28"/>
          <w:lang w:val="uk-UA"/>
        </w:rPr>
        <w:t>±</w:t>
      </w:r>
      <w:r w:rsidRPr="0061555A">
        <w:rPr>
          <w:sz w:val="28"/>
          <w:szCs w:val="28"/>
        </w:rPr>
        <w:t>m</w:t>
      </w:r>
      <w:r w:rsidRPr="0061555A">
        <w:rPr>
          <w:sz w:val="28"/>
          <w:szCs w:val="28"/>
          <w:lang w:val="uk-UA"/>
        </w:rPr>
        <w:t>)</w:t>
      </w:r>
    </w:p>
    <w:tbl>
      <w:tblPr>
        <w:tblW w:w="0" w:type="auto"/>
        <w:tblLook w:val="04A0" w:firstRow="1" w:lastRow="0" w:firstColumn="1" w:lastColumn="0" w:noHBand="0" w:noVBand="1"/>
      </w:tblPr>
      <w:tblGrid>
        <w:gridCol w:w="2375"/>
        <w:gridCol w:w="1701"/>
        <w:gridCol w:w="1560"/>
        <w:gridCol w:w="1985"/>
        <w:gridCol w:w="1949"/>
      </w:tblGrid>
      <w:tr w:rsidR="00E3259F" w:rsidTr="00E3259F">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Показник</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en-US" w:eastAsia="en-US"/>
              </w:rPr>
            </w:pPr>
            <w:r>
              <w:rPr>
                <w:sz w:val="28"/>
                <w:szCs w:val="28"/>
                <w:lang w:val="uk-UA" w:eastAsia="en-US"/>
              </w:rPr>
              <w:t>МДА, мкмоль/л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ГПО, мккат/гНв</w:t>
            </w:r>
          </w:p>
        </w:tc>
        <w:tc>
          <w:tcPr>
            <w:tcW w:w="198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val="uk-UA" w:eastAsia="en-US"/>
              </w:rPr>
              <w:t>SН-групи, мкмоль/л</w:t>
            </w:r>
          </w:p>
        </w:tc>
        <w:tc>
          <w:tcPr>
            <w:tcW w:w="194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en-US" w:eastAsia="en-US"/>
              </w:rPr>
            </w:pPr>
            <w:r>
              <w:rPr>
                <w:color w:val="000000"/>
                <w:sz w:val="28"/>
                <w:szCs w:val="28"/>
                <w:shd w:val="clear" w:color="auto" w:fill="FFFFFF"/>
                <w:lang w:val="uk-UA" w:eastAsia="en-US"/>
              </w:rPr>
              <w:t>8-OHdG</w:t>
            </w:r>
            <w:r>
              <w:rPr>
                <w:sz w:val="28"/>
                <w:szCs w:val="28"/>
                <w:lang w:val="uk-UA" w:eastAsia="en-US"/>
              </w:rPr>
              <w:t>, пкг/мл</w:t>
            </w:r>
          </w:p>
        </w:tc>
      </w:tr>
      <w:tr w:rsidR="00E3259F" w:rsidTr="00E3259F">
        <w:tc>
          <w:tcPr>
            <w:tcW w:w="9570" w:type="dxa"/>
            <w:gridSpan w:val="5"/>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en-US" w:eastAsia="en-US"/>
              </w:rPr>
            </w:pPr>
            <w:r>
              <w:rPr>
                <w:sz w:val="28"/>
                <w:szCs w:val="28"/>
                <w:lang w:eastAsia="en-US"/>
              </w:rPr>
              <w:t>Група 2 (n=</w:t>
            </w:r>
            <w:r>
              <w:rPr>
                <w:sz w:val="28"/>
                <w:szCs w:val="28"/>
                <w:lang w:val="uk-UA" w:eastAsia="en-US"/>
              </w:rPr>
              <w:t>156</w:t>
            </w:r>
            <w:r>
              <w:rPr>
                <w:sz w:val="28"/>
                <w:szCs w:val="28"/>
                <w:lang w:eastAsia="en-US"/>
              </w:rPr>
              <w:t>)</w:t>
            </w:r>
          </w:p>
        </w:tc>
      </w:tr>
      <w:tr w:rsidR="00E3259F" w:rsidTr="00E3259F">
        <w:tc>
          <w:tcPr>
            <w:tcW w:w="237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val="uk-UA" w:eastAsia="en-US"/>
              </w:rPr>
              <w:t>До лікування статинами</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en-US" w:eastAsia="en-US"/>
              </w:rPr>
            </w:pPr>
            <w:r>
              <w:rPr>
                <w:sz w:val="28"/>
                <w:szCs w:val="28"/>
                <w:lang w:eastAsia="en-US"/>
              </w:rPr>
              <w:t>6,48±0,14</w:t>
            </w:r>
          </w:p>
        </w:tc>
        <w:tc>
          <w:tcPr>
            <w:tcW w:w="1560"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eastAsia="en-US"/>
              </w:rPr>
            </w:pPr>
            <w:r>
              <w:rPr>
                <w:sz w:val="28"/>
                <w:szCs w:val="28"/>
                <w:lang w:eastAsia="en-US"/>
              </w:rPr>
              <w:t>5,41±0,1</w:t>
            </w:r>
            <w:r>
              <w:rPr>
                <w:sz w:val="28"/>
                <w:szCs w:val="28"/>
                <w:lang w:val="uk-UA" w:eastAsia="en-US"/>
              </w:rPr>
              <w:t>1</w:t>
            </w:r>
          </w:p>
        </w:tc>
        <w:tc>
          <w:tcPr>
            <w:tcW w:w="198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en-US" w:eastAsia="en-US"/>
              </w:rPr>
            </w:pPr>
            <w:r>
              <w:rPr>
                <w:sz w:val="28"/>
                <w:szCs w:val="28"/>
                <w:lang w:eastAsia="en-US"/>
              </w:rPr>
              <w:t>574,8</w:t>
            </w:r>
            <w:r>
              <w:rPr>
                <w:sz w:val="28"/>
                <w:szCs w:val="28"/>
                <w:lang w:val="uk-UA" w:eastAsia="en-US"/>
              </w:rPr>
              <w:t>6</w:t>
            </w:r>
            <w:r>
              <w:rPr>
                <w:sz w:val="28"/>
                <w:szCs w:val="28"/>
                <w:lang w:eastAsia="en-US"/>
              </w:rPr>
              <w:t>±6,0</w:t>
            </w:r>
            <w:r>
              <w:rPr>
                <w:sz w:val="28"/>
                <w:szCs w:val="28"/>
                <w:lang w:val="uk-UA" w:eastAsia="en-US"/>
              </w:rPr>
              <w:t>8</w:t>
            </w:r>
          </w:p>
        </w:tc>
        <w:tc>
          <w:tcPr>
            <w:tcW w:w="194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en-US"/>
              </w:rPr>
            </w:pPr>
            <w:r>
              <w:rPr>
                <w:sz w:val="28"/>
                <w:szCs w:val="28"/>
                <w:lang w:eastAsia="en-US"/>
              </w:rPr>
              <w:t>15,37±0,2</w:t>
            </w:r>
            <w:r>
              <w:rPr>
                <w:sz w:val="28"/>
                <w:szCs w:val="28"/>
                <w:lang w:val="uk-UA" w:eastAsia="en-US"/>
              </w:rPr>
              <w:t>7</w:t>
            </w:r>
          </w:p>
        </w:tc>
      </w:tr>
      <w:tr w:rsidR="00BC570A" w:rsidRPr="0061555A" w:rsidTr="00E3259F">
        <w:tc>
          <w:tcPr>
            <w:tcW w:w="2375"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val="uk-UA" w:eastAsia="en-US"/>
              </w:rPr>
            </w:pPr>
            <w:r w:rsidRPr="0061555A">
              <w:rPr>
                <w:sz w:val="28"/>
                <w:szCs w:val="28"/>
                <w:lang w:val="uk-UA" w:eastAsia="en-US"/>
              </w:rPr>
              <w:t>Через 1 рік спостереження</w:t>
            </w:r>
          </w:p>
        </w:tc>
        <w:tc>
          <w:tcPr>
            <w:tcW w:w="1701"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eastAsia="en-US"/>
              </w:rPr>
            </w:pPr>
            <w:r w:rsidRPr="0061555A">
              <w:rPr>
                <w:sz w:val="28"/>
                <w:szCs w:val="28"/>
                <w:lang w:eastAsia="en-US"/>
              </w:rPr>
              <w:t>6,55±0,1</w:t>
            </w:r>
            <w:r w:rsidRPr="0061555A">
              <w:rPr>
                <w:sz w:val="28"/>
                <w:szCs w:val="28"/>
                <w:lang w:val="uk-UA" w:eastAsia="en-US"/>
              </w:rPr>
              <w:t>4</w:t>
            </w:r>
            <w:r w:rsidRPr="0061555A">
              <w:rPr>
                <w:sz w:val="28"/>
                <w:szCs w:val="28"/>
                <w:lang w:eastAsia="en-US"/>
              </w:rPr>
              <w:t>*</w:t>
            </w:r>
          </w:p>
          <w:p w:rsidR="00E3259F" w:rsidRPr="0061555A" w:rsidRDefault="00E3259F">
            <w:pPr>
              <w:spacing w:line="360" w:lineRule="auto"/>
              <w:jc w:val="both"/>
              <w:rPr>
                <w:sz w:val="28"/>
                <w:szCs w:val="28"/>
                <w:lang w:eastAsia="en-US"/>
              </w:rPr>
            </w:pPr>
            <w:r w:rsidRPr="0061555A">
              <w:rPr>
                <w:sz w:val="28"/>
                <w:szCs w:val="28"/>
                <w:lang w:val="uk-UA" w:eastAsia="en-US"/>
              </w:rPr>
              <w:t>р&gt;0,05</w:t>
            </w:r>
          </w:p>
        </w:tc>
        <w:tc>
          <w:tcPr>
            <w:tcW w:w="1560"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eastAsia="en-US"/>
              </w:rPr>
            </w:pPr>
            <w:r w:rsidRPr="0061555A">
              <w:rPr>
                <w:sz w:val="28"/>
                <w:szCs w:val="28"/>
                <w:lang w:eastAsia="en-US"/>
              </w:rPr>
              <w:t>5,32±0,</w:t>
            </w:r>
            <w:r w:rsidRPr="0061555A">
              <w:rPr>
                <w:sz w:val="28"/>
                <w:szCs w:val="28"/>
                <w:lang w:val="uk-UA" w:eastAsia="en-US"/>
              </w:rPr>
              <w:t>10</w:t>
            </w:r>
            <w:r w:rsidRPr="0061555A">
              <w:rPr>
                <w:sz w:val="28"/>
                <w:szCs w:val="28"/>
                <w:lang w:eastAsia="en-US"/>
              </w:rPr>
              <w:t>*</w:t>
            </w:r>
          </w:p>
          <w:p w:rsidR="00E3259F" w:rsidRPr="0061555A" w:rsidRDefault="00E3259F">
            <w:pPr>
              <w:spacing w:line="360" w:lineRule="auto"/>
              <w:jc w:val="both"/>
              <w:rPr>
                <w:sz w:val="28"/>
                <w:szCs w:val="28"/>
                <w:lang w:eastAsia="en-US"/>
              </w:rPr>
            </w:pPr>
            <w:r w:rsidRPr="0061555A">
              <w:rPr>
                <w:sz w:val="28"/>
                <w:szCs w:val="28"/>
                <w:lang w:val="uk-UA" w:eastAsia="en-US"/>
              </w:rPr>
              <w:t>р&gt;0,05</w:t>
            </w:r>
          </w:p>
        </w:tc>
        <w:tc>
          <w:tcPr>
            <w:tcW w:w="1985"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eastAsia="en-US"/>
              </w:rPr>
            </w:pPr>
            <w:r w:rsidRPr="0061555A">
              <w:rPr>
                <w:sz w:val="28"/>
                <w:szCs w:val="28"/>
                <w:lang w:eastAsia="en-US"/>
              </w:rPr>
              <w:t>600,1</w:t>
            </w:r>
            <w:r w:rsidRPr="0061555A">
              <w:rPr>
                <w:sz w:val="28"/>
                <w:szCs w:val="28"/>
                <w:lang w:val="uk-UA" w:eastAsia="en-US"/>
              </w:rPr>
              <w:t>8</w:t>
            </w:r>
            <w:r w:rsidRPr="0061555A">
              <w:rPr>
                <w:sz w:val="28"/>
                <w:szCs w:val="28"/>
                <w:lang w:eastAsia="en-US"/>
              </w:rPr>
              <w:t>±6,9</w:t>
            </w:r>
            <w:r w:rsidRPr="0061555A">
              <w:rPr>
                <w:sz w:val="28"/>
                <w:szCs w:val="28"/>
                <w:lang w:val="uk-UA" w:eastAsia="en-US"/>
              </w:rPr>
              <w:t>1</w:t>
            </w:r>
            <w:r w:rsidRPr="0061555A">
              <w:rPr>
                <w:sz w:val="28"/>
                <w:szCs w:val="28"/>
                <w:lang w:eastAsia="en-US"/>
              </w:rPr>
              <w:t>*</w:t>
            </w:r>
          </w:p>
          <w:p w:rsidR="00E3259F" w:rsidRPr="0061555A" w:rsidRDefault="00E3259F">
            <w:pPr>
              <w:spacing w:line="360" w:lineRule="auto"/>
              <w:jc w:val="both"/>
              <w:rPr>
                <w:sz w:val="28"/>
                <w:szCs w:val="28"/>
                <w:lang w:val="uk-UA" w:eastAsia="en-US"/>
              </w:rPr>
            </w:pPr>
            <w:r w:rsidRPr="0061555A">
              <w:rPr>
                <w:sz w:val="28"/>
                <w:szCs w:val="28"/>
                <w:lang w:eastAsia="en-US"/>
              </w:rPr>
              <w:t>р=0,00</w:t>
            </w:r>
            <w:r w:rsidRPr="0061555A">
              <w:rPr>
                <w:sz w:val="28"/>
                <w:szCs w:val="28"/>
                <w:lang w:val="uk-UA" w:eastAsia="en-US"/>
              </w:rPr>
              <w:t>1</w:t>
            </w:r>
          </w:p>
        </w:tc>
        <w:tc>
          <w:tcPr>
            <w:tcW w:w="1949" w:type="dxa"/>
            <w:tcBorders>
              <w:top w:val="single" w:sz="4" w:space="0" w:color="auto"/>
              <w:left w:val="single" w:sz="4" w:space="0" w:color="auto"/>
              <w:bottom w:val="single" w:sz="4" w:space="0" w:color="auto"/>
              <w:right w:val="single" w:sz="4" w:space="0" w:color="auto"/>
            </w:tcBorders>
            <w:hideMark/>
          </w:tcPr>
          <w:p w:rsidR="00E3259F" w:rsidRPr="0061555A" w:rsidRDefault="00E3259F">
            <w:pPr>
              <w:spacing w:line="360" w:lineRule="auto"/>
              <w:jc w:val="both"/>
              <w:rPr>
                <w:sz w:val="28"/>
                <w:szCs w:val="28"/>
                <w:lang w:eastAsia="en-US"/>
              </w:rPr>
            </w:pPr>
            <w:r w:rsidRPr="0061555A">
              <w:rPr>
                <w:sz w:val="28"/>
                <w:szCs w:val="28"/>
                <w:lang w:eastAsia="en-US"/>
              </w:rPr>
              <w:t>14,</w:t>
            </w:r>
            <w:r w:rsidRPr="0061555A">
              <w:rPr>
                <w:sz w:val="28"/>
                <w:szCs w:val="28"/>
                <w:lang w:val="uk-UA" w:eastAsia="en-US"/>
              </w:rPr>
              <w:t>40</w:t>
            </w:r>
            <w:r w:rsidRPr="0061555A">
              <w:rPr>
                <w:sz w:val="28"/>
                <w:szCs w:val="28"/>
                <w:lang w:eastAsia="en-US"/>
              </w:rPr>
              <w:t>±0,,24 *</w:t>
            </w:r>
          </w:p>
          <w:p w:rsidR="00E3259F" w:rsidRPr="0061555A" w:rsidRDefault="00E3259F">
            <w:pPr>
              <w:spacing w:line="360" w:lineRule="auto"/>
              <w:jc w:val="both"/>
              <w:rPr>
                <w:sz w:val="28"/>
                <w:szCs w:val="28"/>
                <w:lang w:val="uk-UA" w:eastAsia="en-US"/>
              </w:rPr>
            </w:pPr>
            <w:r w:rsidRPr="0061555A">
              <w:rPr>
                <w:sz w:val="28"/>
                <w:szCs w:val="28"/>
                <w:lang w:eastAsia="en-US"/>
              </w:rPr>
              <w:t>р=0,00</w:t>
            </w:r>
            <w:r w:rsidRPr="0061555A">
              <w:rPr>
                <w:sz w:val="28"/>
                <w:szCs w:val="28"/>
                <w:lang w:val="uk-UA" w:eastAsia="en-US"/>
              </w:rPr>
              <w:t xml:space="preserve">1 </w:t>
            </w:r>
          </w:p>
        </w:tc>
      </w:tr>
    </w:tbl>
    <w:p w:rsidR="00E3259F" w:rsidRPr="0061555A" w:rsidRDefault="00E3259F" w:rsidP="00E3259F">
      <w:pPr>
        <w:spacing w:line="360" w:lineRule="auto"/>
        <w:ind w:firstLine="709"/>
        <w:jc w:val="both"/>
        <w:rPr>
          <w:sz w:val="28"/>
          <w:szCs w:val="28"/>
        </w:rPr>
      </w:pPr>
      <w:r w:rsidRPr="0061555A">
        <w:rPr>
          <w:sz w:val="28"/>
          <w:szCs w:val="28"/>
        </w:rPr>
        <w:t xml:space="preserve">Примітка: *- р&lt;0.001 </w:t>
      </w:r>
      <w:r w:rsidRPr="0061555A">
        <w:rPr>
          <w:sz w:val="28"/>
          <w:szCs w:val="28"/>
          <w:lang w:val="uk-UA"/>
        </w:rPr>
        <w:t xml:space="preserve">рівень значущості відмінностей </w:t>
      </w:r>
      <w:r w:rsidRPr="0061555A">
        <w:rPr>
          <w:sz w:val="28"/>
          <w:szCs w:val="28"/>
        </w:rPr>
        <w:t>при порівнянні з групою контролю, р- значимість при порівнянні показника в 2 групі до лікування статинами та через 1 рік спостереження</w:t>
      </w:r>
    </w:p>
    <w:p w:rsidR="00BC570A" w:rsidRDefault="00BC570A" w:rsidP="00E3259F">
      <w:pPr>
        <w:spacing w:line="360" w:lineRule="auto"/>
        <w:ind w:firstLine="709"/>
        <w:jc w:val="both"/>
        <w:rPr>
          <w:sz w:val="28"/>
          <w:szCs w:val="28"/>
          <w:lang w:val="uk-UA"/>
        </w:rPr>
      </w:pPr>
    </w:p>
    <w:p w:rsidR="00E3259F" w:rsidRPr="00BC570A" w:rsidRDefault="00E3259F" w:rsidP="00E3259F">
      <w:pPr>
        <w:spacing w:line="360" w:lineRule="auto"/>
        <w:ind w:firstLine="709"/>
        <w:jc w:val="both"/>
        <w:rPr>
          <w:sz w:val="28"/>
          <w:szCs w:val="28"/>
          <w:lang w:val="uk-UA"/>
        </w:rPr>
      </w:pPr>
      <w:r w:rsidRPr="00BC570A">
        <w:rPr>
          <w:sz w:val="28"/>
          <w:szCs w:val="28"/>
          <w:lang w:val="uk-UA"/>
        </w:rPr>
        <w:t>Порівняльний аналіз динаміки ВДТ у пацієнтів з поєднаним перебігом ГХ та ЦД 2 типу виявив невелике, але достовірне подовження ВДТ як крові (р=0,001), так і клітин букального епітелію (р=0,008) на тлі статинотерапії, незважаючи на неоднозначний вплив статинів на вуглеводний обмін, ОС та ЕД (Рис</w:t>
      </w:r>
      <w:r w:rsidR="00BC570A">
        <w:rPr>
          <w:sz w:val="28"/>
          <w:szCs w:val="28"/>
          <w:lang w:val="uk-UA"/>
        </w:rPr>
        <w:t>.</w:t>
      </w:r>
      <w:r w:rsidRPr="00BC570A">
        <w:rPr>
          <w:sz w:val="28"/>
          <w:szCs w:val="28"/>
          <w:lang w:val="uk-UA"/>
        </w:rPr>
        <w:t xml:space="preserve"> 8.1). Так подовшення ВДТ крові спостерігалося у 94 (60,3±3,9%) пацієнтів, вкорочення  - у 34 (21,8 ± 3,3%) пацієнтів та у 28 (17,9±3,1%) пацієнтів  ВДТ крові не змінилась. </w:t>
      </w:r>
      <w:r w:rsidR="00BC570A" w:rsidRPr="00BC570A">
        <w:rPr>
          <w:sz w:val="28"/>
          <w:szCs w:val="28"/>
          <w:lang w:val="uk-UA"/>
        </w:rPr>
        <w:t>У</w:t>
      </w:r>
      <w:r w:rsidRPr="00BC570A">
        <w:rPr>
          <w:sz w:val="28"/>
          <w:szCs w:val="28"/>
          <w:lang w:val="uk-UA"/>
        </w:rPr>
        <w:t xml:space="preserve"> свою чергу, подовшення ВДТ клітин букального епітелію спостерігалося у 76 (48,7±4,0%) пацієнтів, вкорочення - у 28 (17,9± 3,1%) пацієнтів та у 52 (33,4±3,8%) пацієнтів ВДТ клітин букального епітелію не змін</w:t>
      </w:r>
      <w:r w:rsidR="00BC570A" w:rsidRPr="00BC570A">
        <w:rPr>
          <w:sz w:val="28"/>
          <w:szCs w:val="28"/>
          <w:lang w:val="uk-UA"/>
        </w:rPr>
        <w:t>илась</w:t>
      </w:r>
      <w:r w:rsidRPr="00BC570A">
        <w:rPr>
          <w:sz w:val="28"/>
          <w:szCs w:val="28"/>
          <w:lang w:val="uk-UA"/>
        </w:rPr>
        <w:t>.</w:t>
      </w:r>
    </w:p>
    <w:p w:rsidR="00E3259F" w:rsidRDefault="00E3259F" w:rsidP="00E3259F">
      <w:pPr>
        <w:rPr>
          <w:sz w:val="28"/>
          <w:szCs w:val="28"/>
          <w:lang w:val="uk-UA"/>
        </w:rPr>
      </w:pPr>
      <w:r>
        <w:rPr>
          <w:noProof/>
        </w:rPr>
        <mc:AlternateContent>
          <mc:Choice Requires="wpg">
            <w:drawing>
              <wp:anchor distT="0" distB="0" distL="114300" distR="114300" simplePos="0" relativeHeight="251659264" behindDoc="0" locked="0" layoutInCell="1" allowOverlap="1">
                <wp:simplePos x="0" y="0"/>
                <wp:positionH relativeFrom="column">
                  <wp:posOffset>679450</wp:posOffset>
                </wp:positionH>
                <wp:positionV relativeFrom="paragraph">
                  <wp:posOffset>217805</wp:posOffset>
                </wp:positionV>
                <wp:extent cx="3640455" cy="751840"/>
                <wp:effectExtent l="0" t="0" r="0" b="0"/>
                <wp:wrapNone/>
                <wp:docPr id="138" name="Группа 138"/>
                <wp:cNvGraphicFramePr/>
                <a:graphic xmlns:a="http://schemas.openxmlformats.org/drawingml/2006/main">
                  <a:graphicData uri="http://schemas.microsoft.com/office/word/2010/wordprocessingGroup">
                    <wpg:wgp>
                      <wpg:cNvGrpSpPr/>
                      <wpg:grpSpPr>
                        <a:xfrm>
                          <a:off x="0" y="0"/>
                          <a:ext cx="3639820" cy="751840"/>
                          <a:chOff x="0" y="0"/>
                          <a:chExt cx="3221203" cy="704215"/>
                        </a:xfrm>
                      </wpg:grpSpPr>
                      <wps:wsp>
                        <wps:cNvPr id="91" name="TextBox 10"/>
                        <wps:cNvSpPr txBox="1"/>
                        <wps:spPr>
                          <a:xfrm>
                            <a:off x="0" y="0"/>
                            <a:ext cx="1380226" cy="237490"/>
                          </a:xfrm>
                          <a:prstGeom prst="rect">
                            <a:avLst/>
                          </a:prstGeom>
                          <a:noFill/>
                        </wps:spPr>
                        <wps:txbx>
                          <w:txbxContent>
                            <w:p w:rsidR="008E5154" w:rsidRDefault="008E5154" w:rsidP="00E3259F">
                              <w:pPr>
                                <w:pStyle w:val="a4"/>
                                <w:spacing w:line="276" w:lineRule="auto"/>
                                <w:textAlignment w:val="baseline"/>
                                <w:rPr>
                                  <w:rFonts w:ascii="Calibri" w:hAnsi="Calibri"/>
                                  <w:sz w:val="22"/>
                                  <w:szCs w:val="22"/>
                                  <w:lang w:val="uk-UA" w:eastAsia="uk-UA"/>
                                </w:rPr>
                              </w:pPr>
                              <w:r>
                                <w:rPr>
                                  <w:rFonts w:ascii="Arial" w:hAnsi="Arial" w:cs="Arial"/>
                                  <w:b/>
                                  <w:bCs/>
                                  <w:color w:val="000000" w:themeColor="text1"/>
                                  <w:kern w:val="24"/>
                                  <w:sz w:val="20"/>
                                  <w:szCs w:val="20"/>
                                  <w:lang w:val="uk-UA" w:eastAsia="uk-UA"/>
                                </w:rPr>
                                <w:t>р</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01</w:t>
                              </w:r>
                            </w:p>
                          </w:txbxContent>
                        </wps:txbx>
                        <wps:bodyPr wrap="square" rtlCol="0">
                          <a:noAutofit/>
                        </wps:bodyPr>
                      </wps:wsp>
                      <wps:wsp>
                        <wps:cNvPr id="92" name="TextBox 10"/>
                        <wps:cNvSpPr txBox="1"/>
                        <wps:spPr>
                          <a:xfrm>
                            <a:off x="2184416" y="466725"/>
                            <a:ext cx="1036787" cy="237490"/>
                          </a:xfrm>
                          <a:prstGeom prst="rect">
                            <a:avLst/>
                          </a:prstGeom>
                          <a:noFill/>
                        </wps:spPr>
                        <wps:txbx>
                          <w:txbxContent>
                            <w:p w:rsidR="008E5154" w:rsidRDefault="008E5154" w:rsidP="00E3259F">
                              <w:pPr>
                                <w:pStyle w:val="a4"/>
                                <w:spacing w:line="276" w:lineRule="auto"/>
                                <w:textAlignment w:val="baseline"/>
                                <w:rPr>
                                  <w:rFonts w:ascii="Calibri" w:hAnsi="Calibri"/>
                                  <w:sz w:val="22"/>
                                  <w:szCs w:val="22"/>
                                  <w:lang w:val="uk-UA" w:eastAsia="uk-UA"/>
                                </w:rPr>
                              </w:pPr>
                              <w:r>
                                <w:rPr>
                                  <w:rFonts w:ascii="Arial" w:hAnsi="Arial" w:cs="Arial"/>
                                  <w:b/>
                                  <w:bCs/>
                                  <w:color w:val="000000" w:themeColor="text1"/>
                                  <w:kern w:val="24"/>
                                  <w:sz w:val="20"/>
                                  <w:szCs w:val="20"/>
                                  <w:lang w:val="uk-UA" w:eastAsia="uk-UA"/>
                                </w:rPr>
                                <w:t>р</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08</w:t>
                              </w:r>
                            </w:p>
                          </w:txbxContent>
                        </wps:txbx>
                        <wps:bodyPr wrap="square" rtlCol="0">
                          <a:noAutofit/>
                        </wps:bodyPr>
                      </wps:wsp>
                    </wpg:wgp>
                  </a:graphicData>
                </a:graphic>
                <wp14:sizeRelH relativeFrom="page">
                  <wp14:pctWidth>0</wp14:pctWidth>
                </wp14:sizeRelH>
                <wp14:sizeRelV relativeFrom="margin">
                  <wp14:pctHeight>0</wp14:pctHeight>
                </wp14:sizeRelV>
              </wp:anchor>
            </w:drawing>
          </mc:Choice>
          <mc:Fallback>
            <w:pict>
              <v:group id="Группа 138" o:spid="_x0000_s1052" style="position:absolute;margin-left:53.5pt;margin-top:17.15pt;width:286.65pt;height:59.2pt;z-index:251659264;mso-height-relative:margin" coordsize="32212,7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">
                <v:shape id="TextBox 10" o:spid="_x0000_s1053" type="#_x0000_t202" style="position:absolute;width:13802;height:2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" filled="f" stroked="f">
                  <v:textbox>
                    <w:txbxContent>
                      <w:p w:rsidR="008E5154" w:rsidRDefault="008E5154" w:rsidP="00E3259F">
                        <w:pPr>
                          <w:pStyle w:val="a4"/>
                          <w:spacing w:line="276" w:lineRule="auto"/>
                          <w:textAlignment w:val="baseline"/>
                          <w:rPr>
                            <w:rFonts w:ascii="Calibri" w:hAnsi="Calibri"/>
                            <w:sz w:val="22"/>
                            <w:szCs w:val="22"/>
                            <w:lang w:val="uk-UA" w:eastAsia="uk-UA"/>
                          </w:rPr>
                        </w:pPr>
                        <w:r>
                          <w:rPr>
                            <w:rFonts w:ascii="Arial" w:hAnsi="Arial" w:cs="Arial"/>
                            <w:b/>
                            <w:bCs/>
                            <w:color w:val="000000" w:themeColor="text1"/>
                            <w:kern w:val="24"/>
                            <w:sz w:val="20"/>
                            <w:szCs w:val="20"/>
                            <w:lang w:val="uk-UA" w:eastAsia="uk-UA"/>
                          </w:rPr>
                          <w:t>р</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01</w:t>
                        </w:r>
                      </w:p>
                    </w:txbxContent>
                  </v:textbox>
                </v:shape>
                <v:shape id="TextBox 10" o:spid="_x0000_s1054" type="#_x0000_t202" style="position:absolute;left:21844;top:4667;width:10368;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" filled="f" stroked="f">
                  <v:textbox>
                    <w:txbxContent>
                      <w:p w:rsidR="008E5154" w:rsidRDefault="008E5154" w:rsidP="00E3259F">
                        <w:pPr>
                          <w:pStyle w:val="a4"/>
                          <w:spacing w:line="276" w:lineRule="auto"/>
                          <w:textAlignment w:val="baseline"/>
                          <w:rPr>
                            <w:rFonts w:ascii="Calibri" w:hAnsi="Calibri"/>
                            <w:sz w:val="22"/>
                            <w:szCs w:val="22"/>
                            <w:lang w:val="uk-UA" w:eastAsia="uk-UA"/>
                          </w:rPr>
                        </w:pPr>
                        <w:r>
                          <w:rPr>
                            <w:rFonts w:ascii="Arial" w:hAnsi="Arial" w:cs="Arial"/>
                            <w:b/>
                            <w:bCs/>
                            <w:color w:val="000000" w:themeColor="text1"/>
                            <w:kern w:val="24"/>
                            <w:sz w:val="20"/>
                            <w:szCs w:val="20"/>
                            <w:lang w:val="uk-UA" w:eastAsia="uk-UA"/>
                          </w:rPr>
                          <w:t>р</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w:t>
                        </w:r>
                        <w:r>
                          <w:rPr>
                            <w:rFonts w:ascii="Arial" w:hAnsi="Arial" w:cs="Arial"/>
                            <w:b/>
                            <w:bCs/>
                            <w:color w:val="000000" w:themeColor="text1"/>
                            <w:kern w:val="24"/>
                            <w:sz w:val="20"/>
                            <w:szCs w:val="20"/>
                            <w:lang w:val="en-US" w:eastAsia="uk-UA"/>
                          </w:rPr>
                          <w:t>0</w:t>
                        </w:r>
                        <w:r>
                          <w:rPr>
                            <w:rFonts w:ascii="Arial" w:hAnsi="Arial" w:cs="Arial"/>
                            <w:b/>
                            <w:bCs/>
                            <w:color w:val="000000" w:themeColor="text1"/>
                            <w:kern w:val="24"/>
                            <w:sz w:val="20"/>
                            <w:szCs w:val="20"/>
                            <w:lang w:val="uk-UA" w:eastAsia="uk-UA"/>
                          </w:rPr>
                          <w:t>08</w:t>
                        </w:r>
                      </w:p>
                    </w:txbxContent>
                  </v:textbox>
                </v:shape>
              </v:group>
            </w:pict>
          </mc:Fallback>
        </mc:AlternateContent>
      </w:r>
      <w:r>
        <w:rPr>
          <w:noProof/>
        </w:rPr>
        <w:drawing>
          <wp:inline distT="0" distB="0" distL="0" distR="0">
            <wp:extent cx="6010275" cy="2952750"/>
            <wp:effectExtent l="0" t="0" r="9525" b="19050"/>
            <wp:docPr id="137" name="Диаграмма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E3259F" w:rsidRDefault="00E3259F" w:rsidP="00E3259F">
      <w:pPr>
        <w:pStyle w:val="a4"/>
        <w:spacing w:line="360" w:lineRule="auto"/>
        <w:ind w:left="0"/>
        <w:jc w:val="center"/>
        <w:textAlignment w:val="baseline"/>
        <w:rPr>
          <w:sz w:val="28"/>
          <w:szCs w:val="28"/>
          <w:lang w:val="uk-UA" w:eastAsia="uk-UA"/>
        </w:rPr>
      </w:pPr>
    </w:p>
    <w:p w:rsidR="00E3259F" w:rsidRPr="00BC570A" w:rsidRDefault="00E3259F" w:rsidP="00E3259F">
      <w:pPr>
        <w:pStyle w:val="a4"/>
        <w:spacing w:line="360" w:lineRule="auto"/>
        <w:ind w:left="0"/>
        <w:jc w:val="center"/>
        <w:textAlignment w:val="baseline"/>
        <w:rPr>
          <w:sz w:val="28"/>
          <w:szCs w:val="28"/>
          <w:lang w:val="uk-UA" w:eastAsia="uk-UA"/>
        </w:rPr>
      </w:pPr>
      <w:r w:rsidRPr="00BC570A">
        <w:rPr>
          <w:sz w:val="28"/>
          <w:szCs w:val="28"/>
          <w:lang w:val="uk-UA" w:eastAsia="uk-UA"/>
        </w:rPr>
        <w:t>Рис</w:t>
      </w:r>
      <w:r w:rsidR="00BC570A" w:rsidRPr="00BC570A">
        <w:rPr>
          <w:sz w:val="28"/>
          <w:szCs w:val="28"/>
          <w:lang w:val="uk-UA" w:eastAsia="uk-UA"/>
        </w:rPr>
        <w:t>унок</w:t>
      </w:r>
      <w:r w:rsidRPr="00BC570A">
        <w:rPr>
          <w:sz w:val="28"/>
          <w:szCs w:val="28"/>
          <w:lang w:val="uk-UA" w:eastAsia="uk-UA"/>
        </w:rPr>
        <w:t xml:space="preserve"> 8.1</w:t>
      </w:r>
      <w:r w:rsidRPr="00BC570A">
        <w:rPr>
          <w:b/>
          <w:bCs/>
          <w:kern w:val="24"/>
          <w:sz w:val="28"/>
          <w:szCs w:val="28"/>
          <w:lang w:val="uk-UA" w:eastAsia="uk-UA"/>
        </w:rPr>
        <w:t xml:space="preserve"> </w:t>
      </w:r>
      <w:r w:rsidRPr="00BC570A">
        <w:rPr>
          <w:bCs/>
          <w:kern w:val="24"/>
          <w:sz w:val="28"/>
          <w:szCs w:val="28"/>
          <w:lang w:val="uk-UA" w:eastAsia="uk-UA"/>
        </w:rPr>
        <w:t>Зміни відносної довжини теломер  у пацієнтів з ГХ та ЦД 2 типу на тлі лікування статинами</w:t>
      </w:r>
    </w:p>
    <w:p w:rsidR="00E3259F" w:rsidRPr="00BC570A" w:rsidRDefault="00E3259F" w:rsidP="00BC570A">
      <w:pPr>
        <w:spacing w:line="360" w:lineRule="auto"/>
        <w:ind w:firstLine="709"/>
        <w:jc w:val="both"/>
        <w:rPr>
          <w:sz w:val="28"/>
          <w:szCs w:val="28"/>
          <w:lang w:val="uk-UA"/>
        </w:rPr>
      </w:pPr>
    </w:p>
    <w:p w:rsidR="00E3259F" w:rsidRPr="00BC570A" w:rsidRDefault="00E3259F" w:rsidP="00BC570A">
      <w:pPr>
        <w:spacing w:line="360" w:lineRule="auto"/>
        <w:ind w:firstLine="709"/>
        <w:jc w:val="both"/>
        <w:rPr>
          <w:sz w:val="28"/>
          <w:szCs w:val="28"/>
          <w:lang w:val="uk-UA"/>
        </w:rPr>
      </w:pPr>
      <w:r w:rsidRPr="00BC570A">
        <w:rPr>
          <w:sz w:val="28"/>
          <w:szCs w:val="28"/>
          <w:lang w:val="uk-UA"/>
        </w:rPr>
        <w:t>В осіб, у яких на тлі статинотерапії відмічалось подовження ВДТ (</w:t>
      </w:r>
      <w:r w:rsidRPr="00BC570A">
        <w:rPr>
          <w:sz w:val="28"/>
          <w:szCs w:val="28"/>
          <w:lang w:val="en-US"/>
        </w:rPr>
        <w:t>n</w:t>
      </w:r>
      <w:r w:rsidRPr="00BC570A">
        <w:rPr>
          <w:sz w:val="28"/>
          <w:szCs w:val="28"/>
          <w:lang w:val="uk-UA"/>
        </w:rPr>
        <w:t>=54), більшою мірою мав місце позитивний вплив на більшість досліджуваних показників, ніж у пацієнтів, у яких на тлі статинотерапії відмічалось укорочення ВДТ або відсутність будь-яких змін ВДТ (</w:t>
      </w:r>
      <w:r w:rsidRPr="00BC570A">
        <w:rPr>
          <w:sz w:val="28"/>
          <w:szCs w:val="28"/>
          <w:lang w:val="en-US"/>
        </w:rPr>
        <w:t>n</w:t>
      </w:r>
      <w:r w:rsidRPr="00BC570A">
        <w:rPr>
          <w:sz w:val="28"/>
          <w:szCs w:val="28"/>
          <w:lang w:val="uk-UA"/>
        </w:rPr>
        <w:t xml:space="preserve">=72).  Так  серед осіб, що мали на тлі терапії статинами подовження ВДТ одночасно крові та клітин букального епітелію, цільових рівней САТ досягли 44,44±6,76% пацієнта, цільових рівней ДАТ - 18,52±5,29% пацієнтів, що є більше, ніж серед тих, що мали вкорочення, або відсутність змін ВДТ крові або клітин букального епітелію (цільових рівней САТ досягли 26,39±5,19% пацієнтів, р=0,035, відповідно), цільових рівней ДАТ – 15,28±4,24% пацієнтів, р&gt;0,05, відповідно). Покращення  ліпідного обміну в осіб, що мали подовщення ВДТ на тлі статинотерапіі, було виражено більшою мірою, так мало місце достовірне зниження рівня ЗХС (рівень ЗХС серед тих, що мали подовження ВДТ як крові, так і букального епітелію - 4,46±0,13 ммоль/л, серед осіб, які мали вкорочення, або відсутність змін ВДТ -5,05±0,11ммоль/л, р=0,001 відповідно), досягнення цільових рівнів ЗХС спостерігалось у  35,18±6,50% пацієнтів, що мали подовшення ВДТ, та у 11,11%±3,70 пацієнтів, що мали вкорочення ВДТ або відсутність змін (р=0,002).  Зниження рівня ХС ЛПНЩ у осіб які мали подовшення ВДТ також було більш суттєвим, ніж при негативній динаміці (2,42±0,14моль/л проти 2,96±0,12ммоль/л, відповідно, р=0,006). Крім того, серед осіб, у яких мало місце подовшення ВДТ, значне зниження рівня ХС ЛПНЩ спостерігалось у </w:t>
      </w:r>
      <w:r w:rsidRPr="00BC570A">
        <w:rPr>
          <w:sz w:val="28"/>
          <w:szCs w:val="28"/>
          <w:shd w:val="clear" w:color="auto" w:fill="FFFFFF"/>
          <w:lang w:val="uk-UA"/>
        </w:rPr>
        <w:t>59.26±6,69</w:t>
      </w:r>
      <w:r w:rsidRPr="00BC570A">
        <w:rPr>
          <w:sz w:val="28"/>
          <w:szCs w:val="28"/>
          <w:lang w:val="uk-UA"/>
        </w:rPr>
        <w:t>% пацієнтів при досягненні 31,48±6,32% з них цільових значень цього показника, що достовірно більше, ніж при вкроченні або відсутності змін ВДТ (12,50±3,89% пацієнтів, р=0,010). Цікавим є факт, що під впливом статинотерапії  досягнення цільових рівней ХС ЛПВЩ спостерігалось в осіб, що мали вкорочення або відсутність змін ВДТ частіше, ніж при подовженні ВДТ (39 (</w:t>
      </w:r>
      <w:r w:rsidRPr="00BC570A">
        <w:rPr>
          <w:sz w:val="28"/>
          <w:szCs w:val="28"/>
          <w:shd w:val="clear" w:color="auto" w:fill="FFFFFF"/>
          <w:lang w:val="uk-UA"/>
        </w:rPr>
        <w:t>54,16±5,87%</w:t>
      </w:r>
      <w:r w:rsidRPr="00BC570A">
        <w:rPr>
          <w:sz w:val="28"/>
          <w:szCs w:val="28"/>
          <w:lang w:val="uk-UA"/>
        </w:rPr>
        <w:t>) пацієнтів та 25 (</w:t>
      </w:r>
      <w:r w:rsidRPr="00BC570A">
        <w:rPr>
          <w:sz w:val="28"/>
          <w:szCs w:val="28"/>
          <w:shd w:val="clear" w:color="auto" w:fill="FFFFFF"/>
          <w:lang w:val="uk-UA"/>
        </w:rPr>
        <w:t>34,72±5,61%</w:t>
      </w:r>
      <w:r w:rsidRPr="00BC570A">
        <w:rPr>
          <w:sz w:val="28"/>
          <w:szCs w:val="28"/>
          <w:lang w:val="uk-UA"/>
        </w:rPr>
        <w:t>) пацієнтів, відповідно,</w:t>
      </w:r>
      <w:r w:rsidRPr="00BC570A">
        <w:rPr>
          <w:sz w:val="28"/>
          <w:szCs w:val="28"/>
          <w:shd w:val="clear" w:color="auto" w:fill="FFFFFF"/>
          <w:lang w:val="uk-UA"/>
        </w:rPr>
        <w:t xml:space="preserve"> р=0,019</w:t>
      </w:r>
      <w:r w:rsidRPr="00BC570A">
        <w:rPr>
          <w:sz w:val="28"/>
          <w:szCs w:val="28"/>
          <w:lang w:val="uk-UA"/>
        </w:rPr>
        <w:t xml:space="preserve">), крім того, в осіб, що не мали подовження ВДТ, середнє значення ХС ЛПВЩ було вище, ніж при подовженні ВДТ (1,29±0,05ммоль/л та 1,19±0,03 ммоль/л, відповідно), проте достовірних відмінностей отримано не було (р&gt;0,05). </w:t>
      </w:r>
    </w:p>
    <w:p w:rsidR="00E3259F" w:rsidRPr="00BC570A" w:rsidRDefault="00E3259F" w:rsidP="00BC570A">
      <w:pPr>
        <w:spacing w:line="360" w:lineRule="auto"/>
        <w:ind w:firstLine="709"/>
        <w:jc w:val="both"/>
        <w:rPr>
          <w:sz w:val="28"/>
          <w:szCs w:val="28"/>
          <w:lang w:val="uk-UA"/>
        </w:rPr>
      </w:pPr>
      <w:r w:rsidRPr="00BC570A">
        <w:rPr>
          <w:sz w:val="28"/>
          <w:szCs w:val="28"/>
          <w:lang w:val="uk-UA"/>
        </w:rPr>
        <w:t>Наявність динаміки ВДТ під впливом статинотерапії практично не впливала на ступінь інсулінорезистентності у хворих на ГХ та ЦД 2 типу: індекс НОМА-</w:t>
      </w:r>
      <w:r w:rsidRPr="00BC570A">
        <w:rPr>
          <w:sz w:val="28"/>
          <w:szCs w:val="28"/>
        </w:rPr>
        <w:t>IR</w:t>
      </w:r>
      <w:r w:rsidRPr="00BC570A">
        <w:rPr>
          <w:sz w:val="28"/>
          <w:szCs w:val="28"/>
          <w:lang w:val="uk-UA"/>
        </w:rPr>
        <w:t xml:space="preserve"> при подовженні ВДТ – 8,18±0,52, при зниженні або відсутності змін ВДТ -8,25±0,54 (р&gt;0,05).</w:t>
      </w:r>
    </w:p>
    <w:p w:rsidR="00E3259F" w:rsidRPr="00BC570A" w:rsidRDefault="00E3259F" w:rsidP="00BC570A">
      <w:pPr>
        <w:spacing w:line="360" w:lineRule="auto"/>
        <w:ind w:firstLine="709"/>
        <w:jc w:val="both"/>
        <w:rPr>
          <w:sz w:val="28"/>
          <w:szCs w:val="28"/>
          <w:lang w:val="uk-UA"/>
        </w:rPr>
      </w:pPr>
      <w:r w:rsidRPr="00BC570A">
        <w:rPr>
          <w:sz w:val="28"/>
          <w:szCs w:val="28"/>
          <w:lang w:val="uk-UA"/>
        </w:rPr>
        <w:t>Подовшення ВДТ під впливом лікуванням статинами, порівняно з вкороченням ВДТ або відсутністю змін ВДТ, характеризувалось відсутністю достовірних змін показників ЕД та хронічного системного запалення: рівнів ВЕФР (335,62±27,05</w:t>
      </w:r>
      <w:r w:rsidRPr="00BC570A">
        <w:rPr>
          <w:rStyle w:val="10"/>
          <w:rFonts w:eastAsiaTheme="minorHAnsi"/>
          <w:sz w:val="28"/>
          <w:szCs w:val="28"/>
          <w:lang w:val="uk-UA" w:eastAsia="en-US"/>
        </w:rPr>
        <w:t xml:space="preserve"> </w:t>
      </w:r>
      <w:r w:rsidRPr="00BC570A">
        <w:rPr>
          <w:rStyle w:val="xfm65112403"/>
          <w:sz w:val="28"/>
          <w:szCs w:val="28"/>
          <w:lang w:val="uk-UA"/>
        </w:rPr>
        <w:t>пг</w:t>
      </w:r>
      <w:r w:rsidRPr="00BC570A">
        <w:rPr>
          <w:sz w:val="28"/>
          <w:szCs w:val="28"/>
          <w:lang w:val="uk-UA"/>
        </w:rPr>
        <w:t xml:space="preserve">/мл проти 374,93±20,80 </w:t>
      </w:r>
      <w:r w:rsidRPr="00BC570A">
        <w:rPr>
          <w:rStyle w:val="xfm65112403"/>
          <w:sz w:val="28"/>
          <w:szCs w:val="28"/>
          <w:lang w:val="uk-UA"/>
        </w:rPr>
        <w:t>пг</w:t>
      </w:r>
      <w:r w:rsidRPr="00BC570A">
        <w:rPr>
          <w:sz w:val="28"/>
          <w:szCs w:val="28"/>
          <w:lang w:val="uk-UA"/>
        </w:rPr>
        <w:t>/мл, (р&gt;0,05), СРП (7,06±0,39 мг/л проти 7,53±0,29 мг/л, р&gt;0,05), кількості ЦДЕК (10,42±0,52</w:t>
      </w:r>
      <w:r w:rsidRPr="00BC570A">
        <w:rPr>
          <w:rFonts w:eastAsia="TimesNewRomanPSMT"/>
          <w:sz w:val="28"/>
          <w:szCs w:val="28"/>
          <w:lang w:val="uk-UA"/>
        </w:rPr>
        <w:t xml:space="preserve"> кл./100 мкл проти </w:t>
      </w:r>
      <w:r w:rsidRPr="00BC570A">
        <w:rPr>
          <w:sz w:val="28"/>
          <w:szCs w:val="28"/>
          <w:lang w:val="uk-UA"/>
        </w:rPr>
        <w:t xml:space="preserve">10,49±0,40 </w:t>
      </w:r>
      <w:r w:rsidRPr="00BC570A">
        <w:rPr>
          <w:rFonts w:eastAsia="TimesNewRomanPSMT"/>
          <w:sz w:val="28"/>
          <w:szCs w:val="28"/>
          <w:lang w:val="uk-UA"/>
        </w:rPr>
        <w:t>кл./100 мкл</w:t>
      </w:r>
      <w:r w:rsidRPr="00BC570A">
        <w:rPr>
          <w:sz w:val="28"/>
          <w:szCs w:val="28"/>
          <w:lang w:val="uk-UA"/>
        </w:rPr>
        <w:t xml:space="preserve">, р&gt;0,05),  ФНП-α в осіб (10,79±0,56 пг/мл та 9,39±0,49 пг/мл., відповідно, р&gt;0,05). Динаміка зміни ВДТ на тлі лікуванням статинами не асоціювалася зі змінами ТКІМ ЗСА (0,076±0,003 мм та 0,076±0,002 мм, відповідно, р&gt;0,05). </w:t>
      </w:r>
    </w:p>
    <w:p w:rsidR="00E3259F" w:rsidRPr="00BC570A" w:rsidRDefault="00E3259F" w:rsidP="00BC570A">
      <w:pPr>
        <w:spacing w:line="360" w:lineRule="auto"/>
        <w:ind w:firstLine="709"/>
        <w:jc w:val="both"/>
        <w:rPr>
          <w:sz w:val="28"/>
          <w:szCs w:val="28"/>
          <w:lang w:val="uk-UA"/>
        </w:rPr>
      </w:pPr>
      <w:r w:rsidRPr="00BC570A">
        <w:rPr>
          <w:sz w:val="28"/>
          <w:szCs w:val="28"/>
          <w:lang w:val="uk-UA"/>
        </w:rPr>
        <w:t xml:space="preserve">Особи, у яких статинотерапія супроводжувалася подовженням ВДТ, мали більше суттєве, достовірне, зниження маркеру оксидативного ушкодження ДНК - 8-OH-dG (13,41±0,37 пкг/мл та 15,16±0,39 пкг/мл відповідно, р=0,002) при відсутності змін в рівнях МДА (6,37±0,23 мкмоль/л та 6,39±0,21 мкмоль/л, відповідно, р&gt;0,05). У осіб, що не мали подовження ВДТ, спостерігалась незначна активація АОЗ за рахунок підвищення рівня </w:t>
      </w:r>
      <w:r w:rsidRPr="00BC570A">
        <w:rPr>
          <w:sz w:val="28"/>
          <w:szCs w:val="28"/>
        </w:rPr>
        <w:t>SH</w:t>
      </w:r>
      <w:r w:rsidRPr="00BC570A">
        <w:rPr>
          <w:sz w:val="28"/>
          <w:szCs w:val="28"/>
          <w:lang w:val="uk-UA"/>
        </w:rPr>
        <w:t xml:space="preserve">-груп (600,76±9,51 мкмоль/л та 588,69±10,70 мкмоль/л, відповідно), але статистично значимих відмінностей отримано не було (р&gt;0,05). Ці результати узаємозв`язків між змінами ВДТ та визнаними факторами кардіо-васкулярного ризику надають додаткову силу щодо можливості використання ВДТ як маркера серево-судинного ризику в пацієнтів з поєднаним перебігом ГХ та ЦД 2 типу.  </w:t>
      </w:r>
    </w:p>
    <w:p w:rsidR="00E3259F" w:rsidRPr="00BC570A" w:rsidRDefault="00E3259F" w:rsidP="00BC570A">
      <w:pPr>
        <w:pStyle w:val="12"/>
        <w:shd w:val="clear" w:color="auto" w:fill="FFFFFF"/>
        <w:spacing w:after="0" w:line="360" w:lineRule="auto"/>
        <w:ind w:left="0" w:firstLine="709"/>
        <w:jc w:val="both"/>
        <w:rPr>
          <w:rFonts w:ascii="Times New Roman" w:hAnsi="Times New Roman"/>
          <w:sz w:val="28"/>
          <w:szCs w:val="28"/>
          <w:lang w:val="uk-UA"/>
        </w:rPr>
      </w:pPr>
      <w:r w:rsidRPr="00BC570A">
        <w:rPr>
          <w:rFonts w:ascii="Times New Roman" w:hAnsi="Times New Roman"/>
          <w:sz w:val="28"/>
          <w:szCs w:val="28"/>
          <w:lang w:val="uk-UA"/>
        </w:rPr>
        <w:t>Проведення кореляційного аналізу в групі пацієнтів з ГХ та ЦД 2 типу виявило достовірні негативні зв`язки значної сили між ВДТ та віковими показниками, що характеризують темпи старіння, яких не було до лікування статинами, а саме:  між ВДТ крові та БВ (</w:t>
      </w:r>
      <w:r w:rsidRPr="00BC570A">
        <w:rPr>
          <w:rFonts w:ascii="Times New Roman" w:hAnsi="Times New Roman"/>
          <w:sz w:val="28"/>
          <w:szCs w:val="28"/>
          <w:lang w:val="en-US"/>
        </w:rPr>
        <w:t>r</w:t>
      </w:r>
      <w:r w:rsidRPr="00BC570A">
        <w:rPr>
          <w:rFonts w:ascii="Times New Roman" w:hAnsi="Times New Roman"/>
          <w:sz w:val="28"/>
          <w:szCs w:val="28"/>
          <w:lang w:val="uk-UA"/>
        </w:rPr>
        <w:t>=-0,776,р=0,040), індексом швидкості старіння (</w:t>
      </w:r>
      <w:r w:rsidRPr="00BC570A">
        <w:rPr>
          <w:rFonts w:ascii="Times New Roman" w:hAnsi="Times New Roman"/>
          <w:sz w:val="28"/>
          <w:szCs w:val="28"/>
        </w:rPr>
        <w:t>r</w:t>
      </w:r>
      <w:r w:rsidRPr="00BC570A">
        <w:rPr>
          <w:rFonts w:ascii="Times New Roman" w:hAnsi="Times New Roman"/>
          <w:sz w:val="28"/>
          <w:szCs w:val="28"/>
          <w:lang w:val="uk-UA"/>
        </w:rPr>
        <w:t>=-0,788,р=0,035), коефіцієнтом швидкості старіння             (</w:t>
      </w:r>
      <w:r w:rsidRPr="00BC570A">
        <w:rPr>
          <w:rFonts w:ascii="Times New Roman" w:hAnsi="Times New Roman"/>
          <w:sz w:val="28"/>
          <w:szCs w:val="28"/>
        </w:rPr>
        <w:t>r</w:t>
      </w:r>
      <w:r w:rsidRPr="00BC570A">
        <w:rPr>
          <w:rFonts w:ascii="Times New Roman" w:hAnsi="Times New Roman"/>
          <w:sz w:val="28"/>
          <w:szCs w:val="28"/>
          <w:lang w:val="uk-UA"/>
        </w:rPr>
        <w:t xml:space="preserve">=-0,769, р=0,043). </w:t>
      </w:r>
    </w:p>
    <w:p w:rsidR="00E3259F" w:rsidRPr="00BC570A" w:rsidRDefault="00E3259F" w:rsidP="00BC570A">
      <w:pPr>
        <w:shd w:val="clear" w:color="auto" w:fill="FFFFFF"/>
        <w:spacing w:line="360" w:lineRule="auto"/>
        <w:ind w:firstLine="709"/>
        <w:jc w:val="both"/>
        <w:rPr>
          <w:sz w:val="28"/>
          <w:szCs w:val="28"/>
          <w:lang w:val="uk-UA"/>
        </w:rPr>
      </w:pPr>
      <w:r w:rsidRPr="00BC570A">
        <w:rPr>
          <w:sz w:val="28"/>
          <w:szCs w:val="28"/>
          <w:lang w:val="uk-UA"/>
        </w:rPr>
        <w:t xml:space="preserve">Для визначення впливу лікування статинами на різні показники метаболізму, ОС, ЕД та ВДТ у пацієнтів з ГХ та ЦД 2 типу використовувався дисперсійний аналіз, який виявив </w:t>
      </w:r>
      <w:r w:rsidRPr="00BC570A">
        <w:rPr>
          <w:rStyle w:val="10"/>
          <w:rFonts w:eastAsiaTheme="minorHAnsi"/>
          <w:b w:val="0"/>
          <w:sz w:val="28"/>
          <w:szCs w:val="28"/>
          <w:lang w:val="uk-UA"/>
        </w:rPr>
        <w:t>вплив прийому статинів на рівень ЗХС (р=0</w:t>
      </w:r>
      <w:r w:rsidRPr="00BC570A">
        <w:rPr>
          <w:sz w:val="28"/>
          <w:szCs w:val="28"/>
          <w:lang w:val="uk-UA"/>
        </w:rPr>
        <w:t>,001), ХС ЛПНЩ (р=0,0001), ЦДЕК(р&lt;0,001), СРП (р&lt;0,001), ФНП-</w:t>
      </w:r>
      <w:r w:rsidRPr="00BC570A">
        <w:rPr>
          <w:sz w:val="28"/>
          <w:szCs w:val="28"/>
        </w:rPr>
        <w:t>α</w:t>
      </w:r>
      <w:r w:rsidRPr="00BC570A">
        <w:rPr>
          <w:sz w:val="28"/>
          <w:szCs w:val="28"/>
          <w:lang w:val="uk-UA"/>
        </w:rPr>
        <w:t xml:space="preserve"> (р=0,009) та рівень </w:t>
      </w:r>
      <w:r w:rsidRPr="00BC570A">
        <w:rPr>
          <w:sz w:val="28"/>
          <w:szCs w:val="28"/>
        </w:rPr>
        <w:t>SH</w:t>
      </w:r>
      <w:r w:rsidRPr="00BC570A">
        <w:rPr>
          <w:sz w:val="28"/>
          <w:szCs w:val="28"/>
          <w:lang w:val="uk-UA"/>
        </w:rPr>
        <w:t>-груп (р=0,006).</w:t>
      </w:r>
    </w:p>
    <w:p w:rsidR="00E3259F" w:rsidRPr="00BC570A" w:rsidRDefault="00E3259F" w:rsidP="00E3259F">
      <w:pPr>
        <w:spacing w:line="360" w:lineRule="auto"/>
        <w:ind w:firstLine="709"/>
        <w:jc w:val="both"/>
        <w:rPr>
          <w:rFonts w:eastAsiaTheme="minorHAnsi"/>
          <w:sz w:val="28"/>
          <w:szCs w:val="28"/>
          <w:lang w:val="uk-UA"/>
        </w:rPr>
      </w:pPr>
      <w:r w:rsidRPr="00BC570A">
        <w:rPr>
          <w:sz w:val="28"/>
          <w:szCs w:val="28"/>
          <w:lang w:val="uk-UA"/>
        </w:rPr>
        <w:t xml:space="preserve">Отримані результати щодо протизапальної, антиоксидантної та гіполіпідемічної дії статинів поряд з ендотелій-протекторною дією, подовженням ВДТ та впливом на вікові показники старіння підтверджують припущення щодо антиейджингових властивостей статинів [152,262].  Погіршення інсулінорезистентності, незначне посилення процесів окислення робить цей вплив менш суттєвим, ніж очікувалось. </w:t>
      </w:r>
    </w:p>
    <w:p w:rsidR="00E3259F" w:rsidRPr="00BC570A" w:rsidRDefault="00E3259F" w:rsidP="00E3259F">
      <w:pPr>
        <w:spacing w:line="360" w:lineRule="auto"/>
        <w:ind w:firstLine="709"/>
        <w:jc w:val="both"/>
        <w:rPr>
          <w:rStyle w:val="10"/>
          <w:rFonts w:eastAsiaTheme="minorHAnsi"/>
          <w:b w:val="0"/>
          <w:sz w:val="28"/>
          <w:szCs w:val="28"/>
          <w:lang w:val="uk-UA"/>
        </w:rPr>
      </w:pPr>
      <w:r w:rsidRPr="00BC570A">
        <w:rPr>
          <w:rStyle w:val="10"/>
          <w:rFonts w:eastAsiaTheme="minorHAnsi"/>
          <w:b w:val="0"/>
          <w:sz w:val="28"/>
          <w:szCs w:val="28"/>
          <w:lang w:val="uk-UA"/>
        </w:rPr>
        <w:t xml:space="preserve">Таким чином, незважаючи на наявність суперечливих даних щодо негативного впливу статинів на окремі ланки метаболізму у пацієнтів з ГХ та ЦД 2 типу, отримані результати свідчать про незаперечну користь статинотерапії, та необхідності підвищити комплаентність пацієнтів, особливо у випадках коморбідних патологій,  що збільшують ризик розвитку ССУ. </w:t>
      </w:r>
    </w:p>
    <w:p w:rsidR="00E3259F" w:rsidRPr="00E3259F" w:rsidRDefault="00E3259F" w:rsidP="00E3259F">
      <w:pPr>
        <w:spacing w:line="360" w:lineRule="auto"/>
        <w:ind w:left="1069"/>
        <w:jc w:val="both"/>
        <w:rPr>
          <w:rFonts w:asciiTheme="minorHAnsi" w:hAnsiTheme="minorHAnsi" w:cstheme="minorBidi"/>
          <w:color w:val="000000"/>
          <w:lang w:val="uk-UA" w:eastAsia="en-US"/>
        </w:rPr>
      </w:pPr>
    </w:p>
    <w:p w:rsidR="00E3259F" w:rsidRPr="00BC570A" w:rsidRDefault="00E3259F" w:rsidP="00BC570A">
      <w:pPr>
        <w:spacing w:line="360" w:lineRule="auto"/>
        <w:ind w:firstLine="709"/>
        <w:jc w:val="both"/>
        <w:rPr>
          <w:sz w:val="28"/>
          <w:szCs w:val="28"/>
          <w:lang w:val="uk-UA"/>
        </w:rPr>
      </w:pPr>
      <w:r>
        <w:rPr>
          <w:color w:val="000000"/>
          <w:sz w:val="28"/>
          <w:szCs w:val="28"/>
          <w:lang w:val="uk-UA"/>
        </w:rPr>
        <w:t>8.2</w:t>
      </w:r>
      <w:r w:rsidRPr="00BC570A">
        <w:rPr>
          <w:sz w:val="28"/>
          <w:szCs w:val="28"/>
          <w:lang w:val="uk-UA"/>
        </w:rPr>
        <w:t>. Вплив додаткового призначення замісної терапії левотироксином  на показники метаболічних процесів, оксидативного стресу, ендотеліальної дисфункції,  відносну довжину теломер у хворих на гіпертонічну хворобу у поєднанні з цукровим діабетом  2 типу та субклінічним гіпотиреозом.</w:t>
      </w:r>
    </w:p>
    <w:p w:rsidR="00E3259F" w:rsidRPr="00BC570A" w:rsidRDefault="00E3259F" w:rsidP="00BC570A">
      <w:pPr>
        <w:shd w:val="clear" w:color="auto" w:fill="FFFFFF"/>
        <w:spacing w:line="360" w:lineRule="auto"/>
        <w:ind w:firstLine="709"/>
        <w:jc w:val="both"/>
        <w:rPr>
          <w:rStyle w:val="tlid-translation"/>
          <w:rFonts w:asciiTheme="minorHAnsi" w:hAnsiTheme="minorHAnsi" w:cstheme="minorBidi"/>
          <w:sz w:val="22"/>
          <w:szCs w:val="22"/>
          <w:lang w:val="uk-UA"/>
        </w:rPr>
      </w:pPr>
    </w:p>
    <w:p w:rsidR="00E3259F" w:rsidRPr="00BC570A" w:rsidRDefault="00E3259F" w:rsidP="00BC570A">
      <w:pPr>
        <w:shd w:val="clear" w:color="auto" w:fill="FFFFFF"/>
        <w:spacing w:line="360" w:lineRule="auto"/>
        <w:ind w:firstLine="709"/>
        <w:jc w:val="both"/>
        <w:rPr>
          <w:lang w:val="uk-UA"/>
        </w:rPr>
      </w:pPr>
      <w:r w:rsidRPr="00BC570A">
        <w:rPr>
          <w:rStyle w:val="tlid-translation"/>
          <w:sz w:val="28"/>
          <w:szCs w:val="28"/>
          <w:lang w:val="uk-UA"/>
        </w:rPr>
        <w:t>Доцільність застосування левотироксину з метою зниження розвитку ССУ на тлі СГТ у пацієнтів різних вікових груп та різної коморбідної патології досі залишається предметом науково-практичних дискусій</w:t>
      </w:r>
      <w:r w:rsidRPr="00BC570A">
        <w:rPr>
          <w:sz w:val="28"/>
          <w:szCs w:val="28"/>
          <w:lang w:val="uk-UA"/>
        </w:rPr>
        <w:t xml:space="preserve"> [155,207], особливо беручи до уваги той факт, що люди похилого та старечого віку більш чутливі до впливу тиреоїдних гормонів, ніж молоді особи, а замісна гормональна терапія L-тироксином може спровокувати як ішемію міокарда, так і ускладнюватися аритміями, резистентними до лікування антиаритмічними засобами [</w:t>
      </w:r>
      <w:r w:rsidRPr="00BC570A">
        <w:rPr>
          <w:sz w:val="28"/>
          <w:szCs w:val="28"/>
          <w:shd w:val="clear" w:color="auto" w:fill="FFFFFF"/>
          <w:lang w:val="uk-UA"/>
        </w:rPr>
        <w:t>271</w:t>
      </w:r>
      <w:r w:rsidRPr="00BC570A">
        <w:rPr>
          <w:sz w:val="28"/>
          <w:szCs w:val="28"/>
          <w:lang w:val="uk-UA"/>
        </w:rPr>
        <w:t xml:space="preserve">]. </w:t>
      </w:r>
    </w:p>
    <w:p w:rsidR="00E3259F" w:rsidRPr="00BC570A" w:rsidRDefault="00E3259F" w:rsidP="00BC570A">
      <w:pPr>
        <w:spacing w:line="360" w:lineRule="auto"/>
        <w:ind w:firstLine="709"/>
        <w:jc w:val="both"/>
        <w:rPr>
          <w:rStyle w:val="tlid-translation"/>
          <w:lang w:val="uk-UA"/>
        </w:rPr>
      </w:pPr>
      <w:r w:rsidRPr="00BC570A">
        <w:rPr>
          <w:rStyle w:val="tlid-translation"/>
          <w:sz w:val="28"/>
          <w:szCs w:val="28"/>
          <w:lang w:val="uk-UA"/>
        </w:rPr>
        <w:t>Призначення левотироксину в індивідуально підібраних дозах у цьому дослідженні супроводжувалося досягненням пацієнтами з ГХ, ЦД 2 типу і СГТ еутиреозу (рівень ТТГ в групі до призначення замісної терапії -</w:t>
      </w:r>
      <w:r w:rsidRPr="00BC570A">
        <w:rPr>
          <w:sz w:val="28"/>
          <w:szCs w:val="28"/>
          <w:lang w:val="uk-UA"/>
        </w:rPr>
        <w:t>7,43±0,21</w:t>
      </w:r>
      <w:r w:rsidRPr="00BC570A">
        <w:rPr>
          <w:rFonts w:eastAsia="Arial Unicode MS"/>
          <w:kern w:val="2"/>
          <w:sz w:val="28"/>
          <w:szCs w:val="28"/>
          <w:lang w:val="uk-UA"/>
        </w:rPr>
        <w:t xml:space="preserve"> мкМОд/мл, через 1 рік після спостереження -</w:t>
      </w:r>
      <w:r w:rsidRPr="00BC570A">
        <w:rPr>
          <w:rStyle w:val="tlid-translation"/>
          <w:sz w:val="28"/>
          <w:szCs w:val="28"/>
          <w:lang w:val="uk-UA"/>
        </w:rPr>
        <w:t xml:space="preserve"> </w:t>
      </w:r>
      <w:r w:rsidRPr="00BC570A">
        <w:rPr>
          <w:sz w:val="28"/>
          <w:szCs w:val="28"/>
          <w:lang w:val="uk-UA"/>
        </w:rPr>
        <w:t xml:space="preserve">3,58±0,66 </w:t>
      </w:r>
      <w:r w:rsidRPr="00BC570A">
        <w:rPr>
          <w:rFonts w:eastAsia="Arial Unicode MS"/>
          <w:kern w:val="2"/>
          <w:sz w:val="28"/>
          <w:szCs w:val="28"/>
          <w:lang w:val="uk-UA"/>
        </w:rPr>
        <w:t>мкМОд/мл, р=</w:t>
      </w:r>
      <w:r w:rsidRPr="00BC570A">
        <w:rPr>
          <w:sz w:val="28"/>
          <w:szCs w:val="28"/>
          <w:lang w:val="uk-UA"/>
        </w:rPr>
        <w:t xml:space="preserve">0,001), </w:t>
      </w:r>
      <w:r w:rsidRPr="00BC570A">
        <w:rPr>
          <w:rStyle w:val="tlid-translation"/>
          <w:sz w:val="28"/>
          <w:szCs w:val="28"/>
          <w:lang w:val="uk-UA"/>
        </w:rPr>
        <w:t>достовірним зниженням антитіл до ТПО (р=0,001), хоча досягнення референсних значень за цим показником спостерігалося у 29,03±4,52% хворих.</w:t>
      </w:r>
    </w:p>
    <w:p w:rsidR="00E3259F" w:rsidRPr="00BC570A" w:rsidRDefault="00E3259F" w:rsidP="00BC570A">
      <w:pPr>
        <w:pStyle w:val="1"/>
        <w:spacing w:before="0" w:beforeAutospacing="0" w:after="0" w:afterAutospacing="0" w:line="360" w:lineRule="auto"/>
        <w:ind w:firstLine="709"/>
        <w:jc w:val="both"/>
        <w:rPr>
          <w:sz w:val="28"/>
          <w:szCs w:val="28"/>
          <w:lang w:val="uk-UA"/>
        </w:rPr>
      </w:pPr>
      <w:r w:rsidRPr="00BC570A">
        <w:rPr>
          <w:rStyle w:val="tlid-translation"/>
          <w:b w:val="0"/>
          <w:sz w:val="28"/>
          <w:szCs w:val="28"/>
          <w:lang w:val="uk-UA"/>
        </w:rPr>
        <w:t>При проведенні порівняльного аналізу динаміки антропометричних показників у пацієнтів з ГХ, ЦД 2 типу та СГТ на тлі замісної терапії левотироксином не було виявлено значної зміни ІМТ на тлі замісної терапії левотироксином, що було продемонстровано в інших дослідженнях [309],  (</w:t>
      </w:r>
      <w:r w:rsidRPr="00BC570A">
        <w:rPr>
          <w:b w:val="0"/>
          <w:sz w:val="28"/>
          <w:szCs w:val="28"/>
          <w:lang w:val="uk-UA"/>
        </w:rPr>
        <w:t>р&gt;0,05</w:t>
      </w:r>
      <w:r w:rsidRPr="00BC570A">
        <w:rPr>
          <w:rStyle w:val="tlid-translation"/>
          <w:b w:val="0"/>
          <w:sz w:val="28"/>
          <w:szCs w:val="28"/>
          <w:lang w:val="uk-UA"/>
        </w:rPr>
        <w:t xml:space="preserve">) (Таблиця 8.5). </w:t>
      </w:r>
    </w:p>
    <w:p w:rsidR="00E3259F" w:rsidRPr="00BC570A" w:rsidRDefault="00E3259F" w:rsidP="00BC570A">
      <w:pPr>
        <w:pStyle w:val="1"/>
        <w:spacing w:before="0" w:beforeAutospacing="0" w:after="0" w:afterAutospacing="0" w:line="360" w:lineRule="auto"/>
        <w:ind w:firstLine="709"/>
        <w:jc w:val="right"/>
        <w:rPr>
          <w:b w:val="0"/>
          <w:sz w:val="22"/>
          <w:szCs w:val="22"/>
          <w:lang w:val="uk-UA"/>
        </w:rPr>
      </w:pPr>
      <w:r w:rsidRPr="00BC570A">
        <w:rPr>
          <w:b w:val="0"/>
          <w:sz w:val="28"/>
          <w:szCs w:val="28"/>
          <w:lang w:val="en"/>
        </w:rPr>
        <w:t>T</w:t>
      </w:r>
      <w:r w:rsidRPr="00BC570A">
        <w:rPr>
          <w:b w:val="0"/>
          <w:sz w:val="28"/>
          <w:szCs w:val="28"/>
          <w:lang w:val="uk-UA"/>
        </w:rPr>
        <w:t xml:space="preserve">аблица 8.5 </w:t>
      </w:r>
    </w:p>
    <w:p w:rsidR="00E3259F" w:rsidRPr="00BC570A" w:rsidRDefault="00E3259F" w:rsidP="00BC570A">
      <w:pPr>
        <w:spacing w:line="360" w:lineRule="auto"/>
        <w:ind w:firstLine="709"/>
        <w:jc w:val="center"/>
        <w:rPr>
          <w:sz w:val="28"/>
          <w:szCs w:val="28"/>
          <w:lang w:val="uk-UA"/>
        </w:rPr>
      </w:pPr>
      <w:r w:rsidRPr="00BC570A">
        <w:rPr>
          <w:sz w:val="28"/>
          <w:szCs w:val="28"/>
          <w:lang w:val="uk-UA"/>
        </w:rPr>
        <w:t>Порівняльний аналіз антропометричних показників у пацієнтів з поєднаним перебігом ГХ, ЦД 2 типу та СГТ  в динамікі застосування замісної терапії левотироксином, (</w:t>
      </w:r>
      <w:r w:rsidRPr="00BC570A">
        <w:rPr>
          <w:sz w:val="28"/>
          <w:szCs w:val="28"/>
        </w:rPr>
        <w:t>M</w:t>
      </w:r>
      <w:r w:rsidRPr="00BC570A">
        <w:rPr>
          <w:sz w:val="28"/>
          <w:szCs w:val="28"/>
          <w:lang w:val="uk-UA"/>
        </w:rPr>
        <w:t>±</w:t>
      </w:r>
      <w:r w:rsidRPr="00BC570A">
        <w:rPr>
          <w:sz w:val="28"/>
          <w:szCs w:val="28"/>
        </w:rPr>
        <w:t>m</w:t>
      </w:r>
      <w:r w:rsidRPr="00BC570A">
        <w:rPr>
          <w:sz w:val="28"/>
          <w:szCs w:val="28"/>
          <w:lang w:val="uk-UA"/>
        </w:rPr>
        <w:t>)</w:t>
      </w:r>
    </w:p>
    <w:tbl>
      <w:tblPr>
        <w:tblW w:w="0" w:type="auto"/>
        <w:tblLook w:val="04A0" w:firstRow="1" w:lastRow="0" w:firstColumn="1" w:lastColumn="0" w:noHBand="0" w:noVBand="1"/>
      </w:tblPr>
      <w:tblGrid>
        <w:gridCol w:w="2234"/>
        <w:gridCol w:w="1701"/>
        <w:gridCol w:w="1842"/>
        <w:gridCol w:w="1843"/>
        <w:gridCol w:w="1950"/>
      </w:tblGrid>
      <w:tr w:rsidR="00E3259F" w:rsidRPr="00BC570A" w:rsidTr="00E3259F">
        <w:tc>
          <w:tcPr>
            <w:tcW w:w="2234"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eastAsia="en-US"/>
              </w:rPr>
              <w:t>Показник</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 xml:space="preserve"> </w:t>
            </w:r>
            <w:r w:rsidRPr="00BC570A">
              <w:rPr>
                <w:sz w:val="28"/>
                <w:szCs w:val="28"/>
                <w:lang w:val="uk-UA" w:eastAsia="en-US"/>
              </w:rPr>
              <w:t>ІМТ</w:t>
            </w:r>
          </w:p>
        </w:tc>
        <w:tc>
          <w:tcPr>
            <w:tcW w:w="1842"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САТ, мм.рт.ст</w:t>
            </w:r>
          </w:p>
        </w:tc>
        <w:tc>
          <w:tcPr>
            <w:tcW w:w="1843"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val="uk-UA" w:eastAsia="en-US"/>
              </w:rPr>
              <w:t>ДАТ, мм.рт.ст</w:t>
            </w:r>
          </w:p>
        </w:tc>
        <w:tc>
          <w:tcPr>
            <w:tcW w:w="1950"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val="uk-UA" w:eastAsia="en-US"/>
              </w:rPr>
              <w:t>ПАТ, мм.рт.ст</w:t>
            </w:r>
          </w:p>
        </w:tc>
      </w:tr>
      <w:tr w:rsidR="00E3259F" w:rsidRPr="00BC570A" w:rsidTr="00E3259F">
        <w:tc>
          <w:tcPr>
            <w:tcW w:w="9570" w:type="dxa"/>
            <w:gridSpan w:val="5"/>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3 група (</w:t>
            </w:r>
            <w:r w:rsidRPr="00BC570A">
              <w:rPr>
                <w:sz w:val="28"/>
                <w:szCs w:val="28"/>
                <w:lang w:val="en-US" w:eastAsia="en-US"/>
              </w:rPr>
              <w:t>n=</w:t>
            </w:r>
            <w:r w:rsidRPr="00BC570A">
              <w:rPr>
                <w:sz w:val="28"/>
                <w:szCs w:val="28"/>
                <w:lang w:val="uk-UA" w:eastAsia="en-US"/>
              </w:rPr>
              <w:t>93)</w:t>
            </w:r>
          </w:p>
        </w:tc>
      </w:tr>
      <w:tr w:rsidR="00E3259F" w:rsidRPr="00BC570A" w:rsidTr="00E3259F">
        <w:tc>
          <w:tcPr>
            <w:tcW w:w="2234"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До прийома левотироксину</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28,2</w:t>
            </w:r>
            <w:r w:rsidRPr="00BC570A">
              <w:rPr>
                <w:sz w:val="28"/>
                <w:szCs w:val="28"/>
                <w:lang w:val="uk-UA" w:eastAsia="en-US"/>
              </w:rPr>
              <w:t>9</w:t>
            </w:r>
            <w:r w:rsidRPr="00BC570A">
              <w:rPr>
                <w:sz w:val="28"/>
                <w:szCs w:val="28"/>
                <w:lang w:eastAsia="en-US"/>
              </w:rPr>
              <w:t>±0,54</w:t>
            </w:r>
          </w:p>
        </w:tc>
        <w:tc>
          <w:tcPr>
            <w:tcW w:w="1842"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140,93±2,0</w:t>
            </w:r>
            <w:r w:rsidRPr="00BC570A">
              <w:rPr>
                <w:sz w:val="28"/>
                <w:szCs w:val="28"/>
                <w:lang w:val="uk-UA" w:eastAsia="en-US"/>
              </w:rPr>
              <w:t>1</w:t>
            </w:r>
          </w:p>
        </w:tc>
        <w:tc>
          <w:tcPr>
            <w:tcW w:w="1843"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eastAsia="en-US"/>
              </w:rPr>
              <w:t>85,85±1,36</w:t>
            </w:r>
          </w:p>
        </w:tc>
        <w:tc>
          <w:tcPr>
            <w:tcW w:w="1950"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55,07±1,65</w:t>
            </w:r>
          </w:p>
        </w:tc>
      </w:tr>
      <w:tr w:rsidR="00E3259F" w:rsidRPr="00BC570A" w:rsidTr="00E3259F">
        <w:tc>
          <w:tcPr>
            <w:tcW w:w="2234"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 xml:space="preserve">Через 1 рік </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27,43±0,3</w:t>
            </w:r>
            <w:r w:rsidRPr="00BC570A">
              <w:rPr>
                <w:sz w:val="28"/>
                <w:szCs w:val="28"/>
                <w:lang w:val="uk-UA" w:eastAsia="en-US"/>
              </w:rPr>
              <w:t>6</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р&gt;0,05</w:t>
            </w:r>
          </w:p>
        </w:tc>
        <w:tc>
          <w:tcPr>
            <w:tcW w:w="1842"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136,90±1,9</w:t>
            </w:r>
            <w:r w:rsidRPr="00BC570A">
              <w:rPr>
                <w:sz w:val="28"/>
                <w:szCs w:val="28"/>
                <w:lang w:val="uk-UA" w:eastAsia="en-US"/>
              </w:rPr>
              <w:t>2</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р=0</w:t>
            </w:r>
            <w:r w:rsidRPr="00BC570A">
              <w:rPr>
                <w:sz w:val="28"/>
                <w:szCs w:val="28"/>
                <w:lang w:eastAsia="en-US"/>
              </w:rPr>
              <w:t>,00</w:t>
            </w:r>
            <w:r w:rsidRPr="00BC570A">
              <w:rPr>
                <w:sz w:val="28"/>
                <w:szCs w:val="28"/>
                <w:lang w:val="uk-UA" w:eastAsia="en-US"/>
              </w:rPr>
              <w:t>1</w:t>
            </w:r>
          </w:p>
        </w:tc>
        <w:tc>
          <w:tcPr>
            <w:tcW w:w="1843"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83,07±1,21</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р&lt;0,</w:t>
            </w:r>
            <w:r w:rsidRPr="00BC570A">
              <w:rPr>
                <w:sz w:val="28"/>
                <w:szCs w:val="28"/>
                <w:lang w:eastAsia="en-US"/>
              </w:rPr>
              <w:t>00</w:t>
            </w:r>
            <w:r w:rsidRPr="00BC570A">
              <w:rPr>
                <w:sz w:val="28"/>
                <w:szCs w:val="28"/>
                <w:lang w:val="uk-UA" w:eastAsia="en-US"/>
              </w:rPr>
              <w:t>1</w:t>
            </w:r>
          </w:p>
        </w:tc>
        <w:tc>
          <w:tcPr>
            <w:tcW w:w="1950"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52,46±1,4</w:t>
            </w:r>
            <w:r w:rsidRPr="00BC570A">
              <w:rPr>
                <w:sz w:val="28"/>
                <w:szCs w:val="28"/>
                <w:lang w:val="uk-UA" w:eastAsia="en-US"/>
              </w:rPr>
              <w:t>2</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р&lt;0</w:t>
            </w:r>
            <w:r w:rsidRPr="00BC570A">
              <w:rPr>
                <w:sz w:val="28"/>
                <w:szCs w:val="28"/>
                <w:lang w:eastAsia="en-US"/>
              </w:rPr>
              <w:t>,001</w:t>
            </w:r>
          </w:p>
        </w:tc>
      </w:tr>
    </w:tbl>
    <w:p w:rsidR="00E3259F" w:rsidRDefault="00E3259F" w:rsidP="00E3259F">
      <w:pPr>
        <w:spacing w:line="360" w:lineRule="auto"/>
        <w:ind w:firstLine="709"/>
        <w:jc w:val="both"/>
        <w:rPr>
          <w:rStyle w:val="tlid-translation"/>
          <w:rFonts w:asciiTheme="minorHAnsi" w:hAnsiTheme="minorHAnsi" w:cstheme="minorBidi"/>
          <w:sz w:val="22"/>
          <w:szCs w:val="22"/>
          <w:lang w:val="uk-UA" w:eastAsia="en-US"/>
        </w:rPr>
      </w:pPr>
    </w:p>
    <w:p w:rsidR="00E3259F" w:rsidRPr="00BC570A" w:rsidRDefault="00E3259F" w:rsidP="00BC570A">
      <w:pPr>
        <w:pStyle w:val="1"/>
        <w:spacing w:before="0" w:beforeAutospacing="0" w:after="0" w:afterAutospacing="0" w:line="360" w:lineRule="auto"/>
        <w:ind w:firstLine="709"/>
        <w:jc w:val="both"/>
        <w:rPr>
          <w:b w:val="0"/>
          <w:sz w:val="28"/>
          <w:szCs w:val="28"/>
          <w:lang w:val="uk-UA"/>
        </w:rPr>
      </w:pPr>
      <w:r w:rsidRPr="00BC570A">
        <w:rPr>
          <w:rStyle w:val="tlid-translation"/>
          <w:b w:val="0"/>
          <w:sz w:val="28"/>
          <w:szCs w:val="28"/>
          <w:lang w:val="uk-UA"/>
        </w:rPr>
        <w:t xml:space="preserve">Була отримана достовірна позитивна динаміка зниження АТ на тлі лікування левотироксином: САТ (р=0,001), ДАТ (р&lt;0,001) та ПАТ (р&lt;0,001), що можна розцінювати як зменшення негативного впливу підвищеного АТ на  КВР. </w:t>
      </w:r>
      <w:r w:rsidRPr="00BC570A">
        <w:rPr>
          <w:b w:val="0"/>
          <w:sz w:val="28"/>
          <w:szCs w:val="28"/>
          <w:lang w:val="uk-UA"/>
        </w:rPr>
        <w:t>Призначення левотироксину дозволило додатково ще 16,13±3,81% пацієнтам досягнути цільових рівнів САТ, 22,58±4,33% пацієнтам – цільових рівнів ДАТ.</w:t>
      </w:r>
    </w:p>
    <w:p w:rsidR="00E3259F" w:rsidRPr="00BC570A" w:rsidRDefault="00E3259F" w:rsidP="00BC570A">
      <w:pPr>
        <w:pStyle w:val="1"/>
        <w:spacing w:before="0" w:beforeAutospacing="0" w:after="0" w:afterAutospacing="0" w:line="360" w:lineRule="auto"/>
        <w:ind w:firstLine="709"/>
        <w:jc w:val="both"/>
        <w:rPr>
          <w:rStyle w:val="tlid-translation"/>
          <w:lang w:val="uk-UA"/>
        </w:rPr>
      </w:pPr>
      <w:r w:rsidRPr="00BC570A">
        <w:rPr>
          <w:rStyle w:val="tlid-translation"/>
          <w:b w:val="0"/>
          <w:sz w:val="28"/>
          <w:szCs w:val="28"/>
          <w:lang w:val="uk-UA"/>
        </w:rPr>
        <w:t>Існуючі дані щодо впливу терапії левотироксином на показники АТ досить суперечливі. Так у метааналізі, який вивчав вплив лікування левотироксину на АТ у пацієнтів зі СГТ та включав 29 досліджень (10 РКД та 19 проспективних досліджень)  було продемонстровано, що замісна терапія значно знизила АТ в групі СГТ, що може розцінюватись як позитивний вплив на модифіковані фактори  ризику ССЗ у цих пацієнтів [</w:t>
      </w:r>
      <w:r w:rsidRPr="00BC570A">
        <w:rPr>
          <w:b w:val="0"/>
          <w:sz w:val="28"/>
          <w:szCs w:val="28"/>
          <w:lang w:val="uk-UA"/>
        </w:rPr>
        <w:t>231</w:t>
      </w:r>
      <w:r w:rsidRPr="00BC570A">
        <w:rPr>
          <w:rStyle w:val="tlid-translation"/>
          <w:b w:val="0"/>
          <w:sz w:val="28"/>
          <w:szCs w:val="28"/>
          <w:lang w:val="uk-UA"/>
        </w:rPr>
        <w:t>]. З іншого боку, широко масштабне подвійне сліпе рандомізоване плацебо-контрольоване дослідження (TRUST) за участю 737 пацієнтів похилого віку (65 років і старше) зі СГТ не показало переваг від терапії левотироксином щодо впливу на АТ,  але зниження АТ у цьому дослідженні не було кінцевою точкою та було обмежене віковими критеріями, тому його результати не можна узагальнювати для всіх вікових груп [</w:t>
      </w:r>
      <w:r w:rsidRPr="00BC570A">
        <w:rPr>
          <w:b w:val="0"/>
          <w:sz w:val="28"/>
          <w:szCs w:val="28"/>
          <w:lang w:val="uk-UA"/>
        </w:rPr>
        <w:t>361</w:t>
      </w:r>
      <w:r w:rsidRPr="00BC570A">
        <w:rPr>
          <w:sz w:val="28"/>
          <w:szCs w:val="28"/>
          <w:lang w:val="uk-UA"/>
        </w:rPr>
        <w:t>]</w:t>
      </w:r>
      <w:r w:rsidRPr="00BC570A">
        <w:rPr>
          <w:rStyle w:val="tlid-translation"/>
          <w:b w:val="0"/>
          <w:sz w:val="28"/>
          <w:szCs w:val="28"/>
          <w:lang w:val="uk-UA"/>
        </w:rPr>
        <w:t xml:space="preserve">. </w:t>
      </w:r>
    </w:p>
    <w:p w:rsidR="00E3259F" w:rsidRPr="00BC570A" w:rsidRDefault="00E3259F" w:rsidP="00BC570A">
      <w:pPr>
        <w:spacing w:line="360" w:lineRule="auto"/>
        <w:ind w:firstLine="709"/>
        <w:jc w:val="both"/>
        <w:rPr>
          <w:rStyle w:val="tlid-translation"/>
          <w:sz w:val="28"/>
          <w:szCs w:val="28"/>
          <w:lang w:val="uk-UA"/>
        </w:rPr>
      </w:pPr>
      <w:r w:rsidRPr="00BC570A">
        <w:rPr>
          <w:rStyle w:val="tlid-translation"/>
          <w:sz w:val="28"/>
          <w:szCs w:val="28"/>
          <w:lang w:val="uk-UA"/>
        </w:rPr>
        <w:t xml:space="preserve">Наявність атерогенної дисліпідемії у хворих з ГХ, ЦД 2 типу та СГТ, незважаючи на прийом статинів, більшою мірою, ніж у пацієнтів  групи 2 до лікування статинами, свідчить про суттевий негативний вплив гіпофункціїї ЩЖ, навіть на субклінічному рівні, на процеси атерогенезу і, як наслідок, на прогноз. Призначення левотироксину призвело до покращення всіх досліджуваних показників ліпідного обміну (таблиця 8.6). </w:t>
      </w:r>
    </w:p>
    <w:p w:rsidR="00E3259F" w:rsidRPr="00BC570A" w:rsidRDefault="00E3259F" w:rsidP="00E3259F">
      <w:pPr>
        <w:spacing w:line="360" w:lineRule="auto"/>
        <w:ind w:firstLine="709"/>
        <w:jc w:val="right"/>
        <w:rPr>
          <w:rFonts w:asciiTheme="minorHAnsi" w:hAnsiTheme="minorHAnsi" w:cstheme="minorBidi"/>
          <w:lang w:val="uk-UA"/>
        </w:rPr>
      </w:pPr>
      <w:r w:rsidRPr="00BC570A">
        <w:rPr>
          <w:sz w:val="28"/>
          <w:szCs w:val="28"/>
          <w:lang w:val="en"/>
        </w:rPr>
        <w:t>T</w:t>
      </w:r>
      <w:r w:rsidRPr="00BC570A">
        <w:rPr>
          <w:sz w:val="28"/>
          <w:szCs w:val="28"/>
          <w:lang w:val="uk-UA"/>
        </w:rPr>
        <w:t xml:space="preserve">аблиця 8.6 </w:t>
      </w:r>
    </w:p>
    <w:p w:rsidR="00E3259F" w:rsidRPr="00BC570A" w:rsidRDefault="00E3259F" w:rsidP="00E3259F">
      <w:pPr>
        <w:spacing w:line="360" w:lineRule="auto"/>
        <w:ind w:firstLine="709"/>
        <w:jc w:val="center"/>
        <w:rPr>
          <w:sz w:val="28"/>
          <w:szCs w:val="28"/>
          <w:lang w:val="uk-UA"/>
        </w:rPr>
      </w:pPr>
      <w:r w:rsidRPr="00BC570A">
        <w:rPr>
          <w:sz w:val="28"/>
          <w:szCs w:val="28"/>
          <w:lang w:val="uk-UA"/>
        </w:rPr>
        <w:t>Порівняльний аналіз показників ліпідного обміну у пацієнтів з ГХ, ЦД 2 типу та СГТ у разі застосування замісної терапії левотироксином, (</w:t>
      </w:r>
      <w:r w:rsidRPr="00BC570A">
        <w:rPr>
          <w:sz w:val="28"/>
          <w:szCs w:val="28"/>
        </w:rPr>
        <w:t>M</w:t>
      </w:r>
      <w:r w:rsidRPr="00BC570A">
        <w:rPr>
          <w:sz w:val="28"/>
          <w:szCs w:val="28"/>
          <w:lang w:val="uk-UA"/>
        </w:rPr>
        <w:t>±</w:t>
      </w:r>
      <w:r w:rsidRPr="00BC570A">
        <w:rPr>
          <w:sz w:val="28"/>
          <w:szCs w:val="28"/>
        </w:rPr>
        <w:t>m</w:t>
      </w:r>
      <w:r w:rsidRPr="00BC570A">
        <w:rPr>
          <w:sz w:val="28"/>
          <w:szCs w:val="28"/>
          <w:lang w:val="uk-UA"/>
        </w:rPr>
        <w:t>)</w:t>
      </w:r>
    </w:p>
    <w:tbl>
      <w:tblPr>
        <w:tblW w:w="0" w:type="auto"/>
        <w:tblLook w:val="04A0" w:firstRow="1" w:lastRow="0" w:firstColumn="1" w:lastColumn="0" w:noHBand="0" w:noVBand="1"/>
      </w:tblPr>
      <w:tblGrid>
        <w:gridCol w:w="2012"/>
        <w:gridCol w:w="1465"/>
        <w:gridCol w:w="1508"/>
        <w:gridCol w:w="1506"/>
        <w:gridCol w:w="1514"/>
        <w:gridCol w:w="1566"/>
      </w:tblGrid>
      <w:tr w:rsidR="00E3259F" w:rsidRPr="00BC570A" w:rsidTr="00E3259F">
        <w:tc>
          <w:tcPr>
            <w:tcW w:w="2005"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eastAsia="en-US"/>
              </w:rPr>
            </w:pPr>
            <w:r w:rsidRPr="00BC570A">
              <w:rPr>
                <w:sz w:val="28"/>
                <w:szCs w:val="28"/>
                <w:lang w:eastAsia="en-US"/>
              </w:rPr>
              <w:t>Показник</w:t>
            </w:r>
          </w:p>
        </w:tc>
        <w:tc>
          <w:tcPr>
            <w:tcW w:w="1466"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en-US" w:eastAsia="en-US"/>
              </w:rPr>
            </w:pPr>
            <w:r w:rsidRPr="00BC570A">
              <w:rPr>
                <w:sz w:val="28"/>
                <w:szCs w:val="28"/>
                <w:lang w:eastAsia="en-US"/>
              </w:rPr>
              <w:t xml:space="preserve"> </w:t>
            </w:r>
            <w:r w:rsidRPr="00BC570A">
              <w:rPr>
                <w:sz w:val="28"/>
                <w:szCs w:val="28"/>
                <w:lang w:val="uk-UA" w:eastAsia="en-US"/>
              </w:rPr>
              <w:t>ЗХ (ммоль/л)</w:t>
            </w:r>
          </w:p>
        </w:tc>
        <w:tc>
          <w:tcPr>
            <w:tcW w:w="1509"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eastAsia="en-US"/>
              </w:rPr>
            </w:pPr>
            <w:r w:rsidRPr="00BC570A">
              <w:rPr>
                <w:sz w:val="28"/>
                <w:szCs w:val="28"/>
                <w:lang w:val="uk-UA" w:eastAsia="en-US"/>
              </w:rPr>
              <w:t>ХС ЛПНЩ (ммоль/л)</w:t>
            </w:r>
          </w:p>
        </w:tc>
        <w:tc>
          <w:tcPr>
            <w:tcW w:w="1507"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eastAsia="en-US"/>
              </w:rPr>
            </w:pPr>
            <w:r w:rsidRPr="00BC570A">
              <w:rPr>
                <w:sz w:val="28"/>
                <w:szCs w:val="28"/>
                <w:lang w:val="uk-UA" w:eastAsia="en-US"/>
              </w:rPr>
              <w:t>ХС ЛПДНЩ (ммоль/л)</w:t>
            </w:r>
          </w:p>
        </w:tc>
        <w:tc>
          <w:tcPr>
            <w:tcW w:w="1515"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en-US" w:eastAsia="en-US"/>
              </w:rPr>
            </w:pPr>
            <w:r w:rsidRPr="00BC570A">
              <w:rPr>
                <w:sz w:val="28"/>
                <w:szCs w:val="28"/>
                <w:lang w:val="uk-UA" w:eastAsia="en-US"/>
              </w:rPr>
              <w:t>ХС ЛПВЩ (ммоль/ л)</w:t>
            </w:r>
          </w:p>
        </w:tc>
        <w:tc>
          <w:tcPr>
            <w:tcW w:w="1568"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en-US" w:eastAsia="en-US"/>
              </w:rPr>
            </w:pPr>
            <w:r w:rsidRPr="00BC570A">
              <w:rPr>
                <w:sz w:val="28"/>
                <w:szCs w:val="28"/>
                <w:lang w:val="uk-UA" w:eastAsia="en-US"/>
              </w:rPr>
              <w:t>ТГ (ммоль/л)</w:t>
            </w:r>
          </w:p>
        </w:tc>
      </w:tr>
      <w:tr w:rsidR="00E3259F" w:rsidRPr="00BC570A" w:rsidTr="00E3259F">
        <w:tc>
          <w:tcPr>
            <w:tcW w:w="9570" w:type="dxa"/>
            <w:gridSpan w:val="6"/>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en-US" w:eastAsia="en-US"/>
              </w:rPr>
            </w:pPr>
            <w:r w:rsidRPr="00BC570A">
              <w:rPr>
                <w:sz w:val="28"/>
                <w:szCs w:val="28"/>
                <w:lang w:eastAsia="en-US"/>
              </w:rPr>
              <w:t xml:space="preserve">Група </w:t>
            </w:r>
            <w:r w:rsidRPr="00BC570A">
              <w:rPr>
                <w:sz w:val="28"/>
                <w:szCs w:val="28"/>
                <w:lang w:val="uk-UA" w:eastAsia="en-US"/>
              </w:rPr>
              <w:t>3</w:t>
            </w:r>
            <w:r w:rsidRPr="00BC570A">
              <w:rPr>
                <w:sz w:val="28"/>
                <w:szCs w:val="28"/>
                <w:lang w:eastAsia="en-US"/>
              </w:rPr>
              <w:t xml:space="preserve"> (n=</w:t>
            </w:r>
            <w:r w:rsidRPr="00BC570A">
              <w:rPr>
                <w:sz w:val="28"/>
                <w:szCs w:val="28"/>
                <w:lang w:val="uk-UA" w:eastAsia="en-US"/>
              </w:rPr>
              <w:t>93</w:t>
            </w:r>
            <w:r w:rsidRPr="00BC570A">
              <w:rPr>
                <w:sz w:val="28"/>
                <w:szCs w:val="28"/>
                <w:lang w:eastAsia="en-US"/>
              </w:rPr>
              <w:t>)</w:t>
            </w:r>
          </w:p>
        </w:tc>
      </w:tr>
      <w:tr w:rsidR="00E3259F" w:rsidRPr="00BC570A" w:rsidTr="00E3259F">
        <w:tc>
          <w:tcPr>
            <w:tcW w:w="2005"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val="uk-UA" w:eastAsia="en-US"/>
              </w:rPr>
              <w:t>До прийому левотироксину</w:t>
            </w:r>
          </w:p>
        </w:tc>
        <w:tc>
          <w:tcPr>
            <w:tcW w:w="1466"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eastAsia="en-US"/>
              </w:rPr>
              <w:t>5,</w:t>
            </w:r>
            <w:r w:rsidRPr="00BC570A">
              <w:rPr>
                <w:sz w:val="28"/>
                <w:szCs w:val="28"/>
                <w:lang w:val="uk-UA" w:eastAsia="en-US"/>
              </w:rPr>
              <w:t>78</w:t>
            </w:r>
            <w:r w:rsidRPr="00BC570A">
              <w:rPr>
                <w:sz w:val="28"/>
                <w:szCs w:val="28"/>
                <w:lang w:eastAsia="en-US"/>
              </w:rPr>
              <w:t>±0,1</w:t>
            </w:r>
            <w:r w:rsidRPr="00BC570A">
              <w:rPr>
                <w:sz w:val="28"/>
                <w:szCs w:val="28"/>
                <w:lang w:val="uk-UA" w:eastAsia="en-US"/>
              </w:rPr>
              <w:t>3</w:t>
            </w:r>
          </w:p>
        </w:tc>
        <w:tc>
          <w:tcPr>
            <w:tcW w:w="1509"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eastAsia="en-US"/>
              </w:rPr>
              <w:t>3,5</w:t>
            </w:r>
            <w:r w:rsidRPr="00BC570A">
              <w:rPr>
                <w:sz w:val="28"/>
                <w:szCs w:val="28"/>
                <w:lang w:val="uk-UA" w:eastAsia="en-US"/>
              </w:rPr>
              <w:t>4</w:t>
            </w:r>
            <w:r w:rsidRPr="00BC570A">
              <w:rPr>
                <w:sz w:val="28"/>
                <w:szCs w:val="28"/>
                <w:lang w:eastAsia="en-US"/>
              </w:rPr>
              <w:t>±0,1</w:t>
            </w:r>
            <w:r w:rsidRPr="00BC570A">
              <w:rPr>
                <w:sz w:val="28"/>
                <w:szCs w:val="28"/>
                <w:lang w:val="uk-UA" w:eastAsia="en-US"/>
              </w:rPr>
              <w:t>1</w:t>
            </w:r>
          </w:p>
        </w:tc>
        <w:tc>
          <w:tcPr>
            <w:tcW w:w="1507"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en-US" w:eastAsia="en-US"/>
              </w:rPr>
            </w:pPr>
            <w:r w:rsidRPr="00BC570A">
              <w:rPr>
                <w:sz w:val="28"/>
                <w:szCs w:val="28"/>
                <w:lang w:val="uk-UA" w:eastAsia="en-US"/>
              </w:rPr>
              <w:t>0</w:t>
            </w:r>
            <w:r w:rsidRPr="00BC570A">
              <w:rPr>
                <w:sz w:val="28"/>
                <w:szCs w:val="28"/>
                <w:lang w:eastAsia="en-US"/>
              </w:rPr>
              <w:t>,</w:t>
            </w:r>
            <w:r w:rsidRPr="00BC570A">
              <w:rPr>
                <w:sz w:val="28"/>
                <w:szCs w:val="28"/>
                <w:lang w:val="uk-UA" w:eastAsia="en-US"/>
              </w:rPr>
              <w:t>87</w:t>
            </w:r>
            <w:r w:rsidRPr="00BC570A">
              <w:rPr>
                <w:sz w:val="28"/>
                <w:szCs w:val="28"/>
                <w:lang w:eastAsia="en-US"/>
              </w:rPr>
              <w:t>±0,0</w:t>
            </w:r>
            <w:r w:rsidRPr="00BC570A">
              <w:rPr>
                <w:sz w:val="28"/>
                <w:szCs w:val="28"/>
                <w:lang w:val="uk-UA" w:eastAsia="en-US"/>
              </w:rPr>
              <w:t>5</w:t>
            </w:r>
          </w:p>
        </w:tc>
        <w:tc>
          <w:tcPr>
            <w:tcW w:w="1515"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en-US" w:eastAsia="en-US"/>
              </w:rPr>
            </w:pPr>
            <w:r w:rsidRPr="00BC570A">
              <w:rPr>
                <w:sz w:val="28"/>
                <w:szCs w:val="28"/>
                <w:lang w:eastAsia="en-US"/>
              </w:rPr>
              <w:t>1,2</w:t>
            </w:r>
            <w:r w:rsidRPr="00BC570A">
              <w:rPr>
                <w:sz w:val="28"/>
                <w:szCs w:val="28"/>
                <w:lang w:val="uk-UA" w:eastAsia="en-US"/>
              </w:rPr>
              <w:t>7</w:t>
            </w:r>
            <w:r w:rsidRPr="00BC570A">
              <w:rPr>
                <w:sz w:val="28"/>
                <w:szCs w:val="28"/>
                <w:lang w:eastAsia="en-US"/>
              </w:rPr>
              <w:t>±0,0</w:t>
            </w:r>
            <w:r w:rsidRPr="00BC570A">
              <w:rPr>
                <w:sz w:val="28"/>
                <w:szCs w:val="28"/>
                <w:lang w:val="uk-UA" w:eastAsia="en-US"/>
              </w:rPr>
              <w:t>3</w:t>
            </w:r>
          </w:p>
        </w:tc>
        <w:tc>
          <w:tcPr>
            <w:tcW w:w="1568"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eastAsia="en-US"/>
              </w:rPr>
              <w:t>2,</w:t>
            </w:r>
            <w:r w:rsidRPr="00BC570A">
              <w:rPr>
                <w:sz w:val="28"/>
                <w:szCs w:val="28"/>
                <w:lang w:val="uk-UA" w:eastAsia="en-US"/>
              </w:rPr>
              <w:t>01</w:t>
            </w:r>
            <w:r w:rsidRPr="00BC570A">
              <w:rPr>
                <w:sz w:val="28"/>
                <w:szCs w:val="28"/>
                <w:lang w:eastAsia="en-US"/>
              </w:rPr>
              <w:t>±0,</w:t>
            </w:r>
            <w:r w:rsidRPr="00BC570A">
              <w:rPr>
                <w:sz w:val="28"/>
                <w:szCs w:val="28"/>
                <w:lang w:val="uk-UA" w:eastAsia="en-US"/>
              </w:rPr>
              <w:t>12</w:t>
            </w:r>
          </w:p>
        </w:tc>
      </w:tr>
      <w:tr w:rsidR="00E3259F" w:rsidRPr="00BC570A" w:rsidTr="00E3259F">
        <w:tc>
          <w:tcPr>
            <w:tcW w:w="2005"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val="uk-UA" w:eastAsia="en-US"/>
              </w:rPr>
              <w:t>Через 1 рік спостереження</w:t>
            </w:r>
          </w:p>
        </w:tc>
        <w:tc>
          <w:tcPr>
            <w:tcW w:w="1466"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eastAsia="en-US"/>
              </w:rPr>
              <w:t>5,0</w:t>
            </w:r>
            <w:r w:rsidRPr="00BC570A">
              <w:rPr>
                <w:sz w:val="28"/>
                <w:szCs w:val="28"/>
                <w:lang w:val="uk-UA" w:eastAsia="en-US"/>
              </w:rPr>
              <w:t>1</w:t>
            </w:r>
            <w:r w:rsidRPr="00BC570A">
              <w:rPr>
                <w:sz w:val="28"/>
                <w:szCs w:val="28"/>
                <w:lang w:eastAsia="en-US"/>
              </w:rPr>
              <w:t>±0,</w:t>
            </w:r>
            <w:r w:rsidRPr="00BC570A">
              <w:rPr>
                <w:sz w:val="28"/>
                <w:szCs w:val="28"/>
                <w:lang w:val="uk-UA" w:eastAsia="en-US"/>
              </w:rPr>
              <w:t>09 р&lt;0</w:t>
            </w:r>
            <w:r w:rsidRPr="00BC570A">
              <w:rPr>
                <w:sz w:val="28"/>
                <w:szCs w:val="28"/>
                <w:lang w:eastAsia="en-US"/>
              </w:rPr>
              <w:t>,00</w:t>
            </w:r>
            <w:r w:rsidRPr="00BC570A">
              <w:rPr>
                <w:sz w:val="28"/>
                <w:szCs w:val="28"/>
                <w:lang w:val="uk-UA" w:eastAsia="en-US"/>
              </w:rPr>
              <w:t>1</w:t>
            </w:r>
          </w:p>
        </w:tc>
        <w:tc>
          <w:tcPr>
            <w:tcW w:w="1509"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eastAsia="en-US"/>
              </w:rPr>
              <w:t>3,2</w:t>
            </w:r>
            <w:r w:rsidRPr="00BC570A">
              <w:rPr>
                <w:sz w:val="28"/>
                <w:szCs w:val="28"/>
                <w:lang w:val="uk-UA" w:eastAsia="en-US"/>
              </w:rPr>
              <w:t>1</w:t>
            </w:r>
            <w:r w:rsidRPr="00BC570A">
              <w:rPr>
                <w:sz w:val="28"/>
                <w:szCs w:val="28"/>
                <w:lang w:eastAsia="en-US"/>
              </w:rPr>
              <w:t>±</w:t>
            </w:r>
            <w:r w:rsidRPr="00BC570A">
              <w:rPr>
                <w:sz w:val="28"/>
                <w:szCs w:val="28"/>
                <w:lang w:val="uk-UA" w:eastAsia="en-US"/>
              </w:rPr>
              <w:t>0</w:t>
            </w:r>
            <w:r w:rsidRPr="00BC570A">
              <w:rPr>
                <w:sz w:val="28"/>
                <w:szCs w:val="28"/>
                <w:lang w:eastAsia="en-US"/>
              </w:rPr>
              <w:t>,</w:t>
            </w:r>
            <w:r w:rsidRPr="00BC570A">
              <w:rPr>
                <w:sz w:val="28"/>
                <w:szCs w:val="28"/>
                <w:lang w:val="uk-UA" w:eastAsia="en-US"/>
              </w:rPr>
              <w:t>09</w:t>
            </w:r>
          </w:p>
          <w:p w:rsidR="00E3259F" w:rsidRPr="00BC570A" w:rsidRDefault="00E3259F">
            <w:pPr>
              <w:spacing w:line="360" w:lineRule="auto"/>
              <w:jc w:val="both"/>
              <w:rPr>
                <w:sz w:val="28"/>
                <w:szCs w:val="28"/>
                <w:lang w:val="uk-UA" w:eastAsia="en-US"/>
              </w:rPr>
            </w:pPr>
            <w:r w:rsidRPr="00BC570A">
              <w:rPr>
                <w:sz w:val="28"/>
                <w:szCs w:val="28"/>
                <w:lang w:val="uk-UA" w:eastAsia="en-US"/>
              </w:rPr>
              <w:t>р&lt;0</w:t>
            </w:r>
            <w:r w:rsidRPr="00BC570A">
              <w:rPr>
                <w:sz w:val="28"/>
                <w:szCs w:val="28"/>
                <w:lang w:eastAsia="en-US"/>
              </w:rPr>
              <w:t>,00</w:t>
            </w:r>
            <w:r w:rsidRPr="00BC570A">
              <w:rPr>
                <w:sz w:val="28"/>
                <w:szCs w:val="28"/>
                <w:lang w:val="uk-UA" w:eastAsia="en-US"/>
              </w:rPr>
              <w:t>1</w:t>
            </w:r>
          </w:p>
        </w:tc>
        <w:tc>
          <w:tcPr>
            <w:tcW w:w="1507"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val="uk-UA" w:eastAsia="en-US"/>
              </w:rPr>
              <w:t>0</w:t>
            </w:r>
            <w:r w:rsidRPr="00BC570A">
              <w:rPr>
                <w:sz w:val="28"/>
                <w:szCs w:val="28"/>
                <w:lang w:eastAsia="en-US"/>
              </w:rPr>
              <w:t>,</w:t>
            </w:r>
            <w:r w:rsidRPr="00BC570A">
              <w:rPr>
                <w:sz w:val="28"/>
                <w:szCs w:val="28"/>
                <w:lang w:val="uk-UA" w:eastAsia="en-US"/>
              </w:rPr>
              <w:t>86</w:t>
            </w:r>
            <w:r w:rsidRPr="00BC570A">
              <w:rPr>
                <w:sz w:val="28"/>
                <w:szCs w:val="28"/>
                <w:lang w:eastAsia="en-US"/>
              </w:rPr>
              <w:t>±</w:t>
            </w:r>
            <w:r w:rsidRPr="00BC570A">
              <w:rPr>
                <w:sz w:val="28"/>
                <w:szCs w:val="28"/>
                <w:lang w:val="uk-UA" w:eastAsia="en-US"/>
              </w:rPr>
              <w:t>0</w:t>
            </w:r>
            <w:r w:rsidRPr="00BC570A">
              <w:rPr>
                <w:sz w:val="28"/>
                <w:szCs w:val="28"/>
                <w:lang w:eastAsia="en-US"/>
              </w:rPr>
              <w:t>,</w:t>
            </w:r>
            <w:r w:rsidRPr="00BC570A">
              <w:rPr>
                <w:sz w:val="28"/>
                <w:szCs w:val="28"/>
                <w:lang w:val="uk-UA" w:eastAsia="en-US"/>
              </w:rPr>
              <w:t>05</w:t>
            </w:r>
          </w:p>
          <w:p w:rsidR="00E3259F" w:rsidRPr="00BC570A" w:rsidRDefault="00E3259F">
            <w:pPr>
              <w:spacing w:line="360" w:lineRule="auto"/>
              <w:jc w:val="both"/>
              <w:rPr>
                <w:sz w:val="28"/>
                <w:szCs w:val="28"/>
                <w:lang w:val="uk-UA" w:eastAsia="en-US"/>
              </w:rPr>
            </w:pPr>
            <w:r w:rsidRPr="00BC570A">
              <w:rPr>
                <w:sz w:val="28"/>
                <w:szCs w:val="28"/>
                <w:lang w:val="uk-UA" w:eastAsia="en-US"/>
              </w:rPr>
              <w:t>р&gt;0,05</w:t>
            </w:r>
          </w:p>
        </w:tc>
        <w:tc>
          <w:tcPr>
            <w:tcW w:w="1515"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eastAsia="en-US"/>
              </w:rPr>
              <w:t>1,2</w:t>
            </w:r>
            <w:r w:rsidRPr="00BC570A">
              <w:rPr>
                <w:sz w:val="28"/>
                <w:szCs w:val="28"/>
                <w:lang w:val="uk-UA" w:eastAsia="en-US"/>
              </w:rPr>
              <w:t>8</w:t>
            </w:r>
            <w:r w:rsidRPr="00BC570A">
              <w:rPr>
                <w:sz w:val="28"/>
                <w:szCs w:val="28"/>
                <w:lang w:eastAsia="en-US"/>
              </w:rPr>
              <w:t>±0,0</w:t>
            </w:r>
            <w:r w:rsidRPr="00BC570A">
              <w:rPr>
                <w:sz w:val="28"/>
                <w:szCs w:val="28"/>
                <w:lang w:val="uk-UA" w:eastAsia="en-US"/>
              </w:rPr>
              <w:t>3</w:t>
            </w:r>
          </w:p>
          <w:p w:rsidR="00E3259F" w:rsidRPr="00BC570A" w:rsidRDefault="00E3259F">
            <w:pPr>
              <w:spacing w:line="360" w:lineRule="auto"/>
              <w:jc w:val="both"/>
              <w:rPr>
                <w:sz w:val="28"/>
                <w:szCs w:val="28"/>
                <w:lang w:val="uk-UA" w:eastAsia="en-US"/>
              </w:rPr>
            </w:pPr>
            <w:r w:rsidRPr="00BC570A">
              <w:rPr>
                <w:sz w:val="28"/>
                <w:szCs w:val="28"/>
                <w:lang w:val="uk-UA" w:eastAsia="en-US"/>
              </w:rPr>
              <w:t>р&gt;0,05</w:t>
            </w:r>
          </w:p>
        </w:tc>
        <w:tc>
          <w:tcPr>
            <w:tcW w:w="1568" w:type="dxa"/>
            <w:tcBorders>
              <w:top w:val="single" w:sz="4" w:space="0" w:color="auto"/>
              <w:left w:val="single" w:sz="4" w:space="0" w:color="auto"/>
              <w:bottom w:val="single" w:sz="4" w:space="0" w:color="auto"/>
              <w:right w:val="single" w:sz="4" w:space="0" w:color="auto"/>
            </w:tcBorders>
            <w:hideMark/>
          </w:tcPr>
          <w:p w:rsidR="00E3259F" w:rsidRPr="00BC570A" w:rsidRDefault="00E3259F">
            <w:pPr>
              <w:spacing w:line="360" w:lineRule="auto"/>
              <w:jc w:val="both"/>
              <w:rPr>
                <w:sz w:val="28"/>
                <w:szCs w:val="28"/>
                <w:lang w:val="uk-UA" w:eastAsia="en-US"/>
              </w:rPr>
            </w:pPr>
            <w:r w:rsidRPr="00BC570A">
              <w:rPr>
                <w:sz w:val="28"/>
                <w:szCs w:val="28"/>
                <w:lang w:val="uk-UA" w:eastAsia="en-US"/>
              </w:rPr>
              <w:t>1</w:t>
            </w:r>
            <w:r w:rsidRPr="00BC570A">
              <w:rPr>
                <w:sz w:val="28"/>
                <w:szCs w:val="28"/>
                <w:lang w:eastAsia="en-US"/>
              </w:rPr>
              <w:t>,</w:t>
            </w:r>
            <w:r w:rsidRPr="00BC570A">
              <w:rPr>
                <w:sz w:val="28"/>
                <w:szCs w:val="28"/>
                <w:lang w:val="uk-UA" w:eastAsia="en-US"/>
              </w:rPr>
              <w:t>92</w:t>
            </w:r>
            <w:r w:rsidRPr="00BC570A">
              <w:rPr>
                <w:sz w:val="28"/>
                <w:szCs w:val="28"/>
                <w:lang w:eastAsia="en-US"/>
              </w:rPr>
              <w:t>±0,</w:t>
            </w:r>
            <w:r w:rsidRPr="00BC570A">
              <w:rPr>
                <w:sz w:val="28"/>
                <w:szCs w:val="28"/>
                <w:lang w:val="uk-UA" w:eastAsia="en-US"/>
              </w:rPr>
              <w:t>12</w:t>
            </w:r>
          </w:p>
          <w:p w:rsidR="00E3259F" w:rsidRPr="00BC570A" w:rsidRDefault="00E3259F">
            <w:pPr>
              <w:spacing w:line="360" w:lineRule="auto"/>
              <w:jc w:val="both"/>
              <w:rPr>
                <w:sz w:val="28"/>
                <w:szCs w:val="28"/>
                <w:lang w:val="uk-UA" w:eastAsia="en-US"/>
              </w:rPr>
            </w:pPr>
            <w:r w:rsidRPr="00BC570A">
              <w:rPr>
                <w:sz w:val="28"/>
                <w:szCs w:val="28"/>
                <w:lang w:val="uk-UA" w:eastAsia="en-US"/>
              </w:rPr>
              <w:t>р=0</w:t>
            </w:r>
            <w:r w:rsidRPr="00BC570A">
              <w:rPr>
                <w:sz w:val="28"/>
                <w:szCs w:val="28"/>
                <w:lang w:eastAsia="en-US"/>
              </w:rPr>
              <w:t>,019</w:t>
            </w:r>
          </w:p>
        </w:tc>
      </w:tr>
    </w:tbl>
    <w:p w:rsidR="00E3259F" w:rsidRPr="00BC570A" w:rsidRDefault="00E3259F" w:rsidP="00E3259F">
      <w:pPr>
        <w:spacing w:line="360" w:lineRule="auto"/>
        <w:ind w:firstLine="709"/>
        <w:jc w:val="both"/>
        <w:rPr>
          <w:sz w:val="28"/>
          <w:szCs w:val="28"/>
          <w:lang w:val="uk-UA"/>
        </w:rPr>
      </w:pPr>
      <w:r w:rsidRPr="00BC570A">
        <w:rPr>
          <w:sz w:val="28"/>
          <w:szCs w:val="28"/>
        </w:rPr>
        <w:t>Прим</w:t>
      </w:r>
      <w:r w:rsidRPr="00BC570A">
        <w:rPr>
          <w:sz w:val="28"/>
          <w:szCs w:val="28"/>
          <w:lang w:val="uk-UA"/>
        </w:rPr>
        <w:t>ітка</w:t>
      </w:r>
      <w:r w:rsidRPr="00BC570A">
        <w:rPr>
          <w:sz w:val="28"/>
          <w:szCs w:val="28"/>
        </w:rPr>
        <w:t>:</w:t>
      </w:r>
      <w:r w:rsidRPr="00BC570A">
        <w:rPr>
          <w:sz w:val="28"/>
          <w:szCs w:val="28"/>
          <w:lang w:val="uk-UA"/>
        </w:rPr>
        <w:t xml:space="preserve"> р</w:t>
      </w:r>
      <w:r w:rsidRPr="00BC570A">
        <w:rPr>
          <w:sz w:val="28"/>
          <w:szCs w:val="28"/>
          <w:vertAlign w:val="subscript"/>
          <w:lang w:val="uk-UA"/>
        </w:rPr>
        <w:t xml:space="preserve"> -</w:t>
      </w:r>
      <w:r w:rsidRPr="00BC570A">
        <w:rPr>
          <w:sz w:val="28"/>
          <w:szCs w:val="28"/>
          <w:lang w:val="uk-UA"/>
        </w:rPr>
        <w:t xml:space="preserve">  рівень значущості відмінностей при порівнянні значення показника на початку спостереженя та після 12 місяців спостереження </w:t>
      </w:r>
    </w:p>
    <w:p w:rsidR="00E3259F" w:rsidRPr="00BC570A" w:rsidRDefault="00E3259F" w:rsidP="00E3259F">
      <w:pPr>
        <w:tabs>
          <w:tab w:val="left" w:pos="4497"/>
        </w:tabs>
        <w:spacing w:line="360" w:lineRule="auto"/>
        <w:ind w:firstLine="709"/>
        <w:jc w:val="both"/>
        <w:rPr>
          <w:rStyle w:val="tlid-translation"/>
        </w:rPr>
      </w:pPr>
    </w:p>
    <w:p w:rsidR="00E3259F" w:rsidRPr="00BC570A" w:rsidRDefault="00E3259F" w:rsidP="00E3259F">
      <w:pPr>
        <w:tabs>
          <w:tab w:val="left" w:pos="4497"/>
        </w:tabs>
        <w:spacing w:line="360" w:lineRule="auto"/>
        <w:ind w:firstLine="709"/>
        <w:jc w:val="both"/>
        <w:rPr>
          <w:lang w:val="uk-UA" w:eastAsia="en-US"/>
        </w:rPr>
      </w:pPr>
      <w:r w:rsidRPr="00BC570A">
        <w:rPr>
          <w:rStyle w:val="tlid-translation"/>
          <w:sz w:val="28"/>
          <w:szCs w:val="28"/>
          <w:lang w:val="uk-UA"/>
        </w:rPr>
        <w:t>Спостерігалися достовірні відмінності  рівнів ЗХС (р&lt;0,001),ТГ (р=0,019) та ХС ЛПНЩ (р&lt;0,001), на тлі незначних змін рівнів ХС ЛПВЩ (</w:t>
      </w:r>
      <w:r w:rsidRPr="00BC570A">
        <w:rPr>
          <w:sz w:val="28"/>
          <w:szCs w:val="28"/>
          <w:lang w:val="uk-UA"/>
        </w:rPr>
        <w:t xml:space="preserve">р&gt;0,05) </w:t>
      </w:r>
      <w:r w:rsidRPr="00BC570A">
        <w:rPr>
          <w:rStyle w:val="tlid-translation"/>
          <w:sz w:val="28"/>
          <w:szCs w:val="28"/>
          <w:lang w:val="uk-UA"/>
        </w:rPr>
        <w:t>та  рівнів ХС ЛПДНЩ</w:t>
      </w:r>
      <w:r w:rsidRPr="00BC570A">
        <w:rPr>
          <w:sz w:val="28"/>
          <w:szCs w:val="28"/>
          <w:lang w:val="uk-UA"/>
        </w:rPr>
        <w:t xml:space="preserve"> (р&gt;0,05)</w:t>
      </w:r>
      <w:r w:rsidRPr="00BC570A">
        <w:rPr>
          <w:rStyle w:val="tlid-translation"/>
          <w:sz w:val="28"/>
          <w:szCs w:val="28"/>
          <w:lang w:val="uk-UA"/>
        </w:rPr>
        <w:t xml:space="preserve">, які не досягали достовірних значень. Крім того, додаткове призначення левотироксину дозволило додатково </w:t>
      </w:r>
      <w:r w:rsidRPr="00BC570A">
        <w:rPr>
          <w:sz w:val="28"/>
          <w:szCs w:val="28"/>
          <w:lang w:val="uk-UA"/>
        </w:rPr>
        <w:t>8,6±2,91% пацієнтам – досягнути цільових рівнів ЗХС, а 12,9±3,48% пацієнтам – цільових рівней ХСЛПВЩ.</w:t>
      </w:r>
      <w:r w:rsidRPr="00BC570A">
        <w:rPr>
          <w:lang w:val="uk-UA" w:eastAsia="en-US"/>
        </w:rPr>
        <w:tab/>
      </w:r>
    </w:p>
    <w:p w:rsidR="00E3259F" w:rsidRPr="00BC570A" w:rsidRDefault="00E3259F" w:rsidP="00E3259F">
      <w:pPr>
        <w:pStyle w:val="1"/>
        <w:spacing w:before="0" w:beforeAutospacing="0" w:after="0" w:afterAutospacing="0" w:line="360" w:lineRule="auto"/>
        <w:ind w:firstLine="709"/>
        <w:jc w:val="both"/>
        <w:rPr>
          <w:b w:val="0"/>
          <w:sz w:val="28"/>
          <w:szCs w:val="28"/>
          <w:lang w:val="uk-UA"/>
        </w:rPr>
      </w:pPr>
      <w:r w:rsidRPr="00BC570A">
        <w:rPr>
          <w:b w:val="0"/>
          <w:sz w:val="28"/>
          <w:szCs w:val="28"/>
          <w:lang w:val="uk-UA"/>
        </w:rPr>
        <w:t>Отримані дані є чітким підтвердженням уже існуючих сучасних рекомендацій Національної освітньої програми з холестерину США (National Cholesterol Education Program), Американської асоціації клінічних ендокринологів (the American Association of Clinical Endocrinologists) та Американської асоціації щитовидної залози (American Thyroid Association), які  рекомендують проводити скринінг на наявність гіпотиреозу, зокрема  й  у пацієнтів з нещодавно діагностованою гіперліпідемією до початку прийому гіполіпідемічних засобів [245,358,396].</w:t>
      </w:r>
    </w:p>
    <w:p w:rsidR="00E3259F" w:rsidRPr="00BC570A" w:rsidRDefault="00E3259F" w:rsidP="00E3259F">
      <w:pPr>
        <w:spacing w:line="360" w:lineRule="auto"/>
        <w:ind w:firstLine="709"/>
        <w:jc w:val="both"/>
        <w:rPr>
          <w:b/>
          <w:sz w:val="28"/>
          <w:szCs w:val="28"/>
          <w:lang w:val="uk-UA"/>
        </w:rPr>
      </w:pPr>
      <w:r w:rsidRPr="00BC570A">
        <w:rPr>
          <w:sz w:val="28"/>
          <w:szCs w:val="28"/>
          <w:lang w:val="uk-UA"/>
        </w:rPr>
        <w:t xml:space="preserve">Досягнення еутиреозу на тлі лікування левотироксином супроводжувалося поліпшенням вуглеводного обміну, що проявлялось у вигляді достовірного зниження рівня глюкози натще (6,98±0,22 ммоль/л проти 6,33±0,16 ммоль/л, відповідно, р&lt;0,001) та глікованого гемоглобіну (7,19±0,11% проти 6,69±0,09 %, відповідно, р&lt;0,001), що призвело, у свою чергу, до досягнення 21,51±4,26% пацієнтами цільових рівнів глюкози натще, та 22,58±4,33% пацієнтами - цільових рівнів </w:t>
      </w:r>
      <w:r w:rsidRPr="00BC570A">
        <w:rPr>
          <w:sz w:val="28"/>
          <w:szCs w:val="28"/>
        </w:rPr>
        <w:t>HBA</w:t>
      </w:r>
      <w:r w:rsidRPr="00BC570A">
        <w:rPr>
          <w:sz w:val="28"/>
          <w:szCs w:val="28"/>
          <w:lang w:val="uk-UA"/>
        </w:rPr>
        <w:t>1</w:t>
      </w:r>
      <w:r w:rsidRPr="00BC570A">
        <w:rPr>
          <w:sz w:val="28"/>
          <w:szCs w:val="28"/>
        </w:rPr>
        <w:t>c</w:t>
      </w:r>
      <w:r w:rsidRPr="00BC570A">
        <w:rPr>
          <w:sz w:val="28"/>
          <w:szCs w:val="28"/>
          <w:lang w:val="uk-UA"/>
        </w:rPr>
        <w:t>.  Отримані результати співпадають з даними дослідників, які описують позитивний вплив терапії левотироксином на вуглеводний обмін [250,</w:t>
      </w:r>
      <w:r w:rsidRPr="00BC570A">
        <w:rPr>
          <w:rStyle w:val="mixed-citation"/>
          <w:sz w:val="28"/>
          <w:szCs w:val="28"/>
          <w:lang w:val="uk-UA"/>
        </w:rPr>
        <w:t xml:space="preserve">327] (Таблиця 8.7). </w:t>
      </w:r>
      <w:r w:rsidRPr="00BC570A">
        <w:rPr>
          <w:sz w:val="28"/>
          <w:szCs w:val="28"/>
          <w:lang w:val="uk-UA"/>
        </w:rPr>
        <w:t xml:space="preserve">  Ці зміни, незважаючи на практично незмінений рівень інсуліну (р&gt;0,05), супроводжувалися суттєвими зменшеннями ознак інсулінорезистентності  (</w:t>
      </w:r>
      <w:r w:rsidRPr="00BC570A">
        <w:rPr>
          <w:sz w:val="28"/>
          <w:szCs w:val="28"/>
          <w:lang w:val="en-US"/>
        </w:rPr>
        <w:t>HOMA</w:t>
      </w:r>
      <w:r w:rsidRPr="00BC570A">
        <w:rPr>
          <w:sz w:val="28"/>
          <w:szCs w:val="28"/>
          <w:lang w:val="uk-UA"/>
        </w:rPr>
        <w:t>-</w:t>
      </w:r>
      <w:r w:rsidRPr="00BC570A">
        <w:rPr>
          <w:sz w:val="28"/>
          <w:szCs w:val="28"/>
          <w:lang w:val="en-US"/>
        </w:rPr>
        <w:t>IR</w:t>
      </w:r>
      <w:r w:rsidRPr="00BC570A">
        <w:rPr>
          <w:sz w:val="28"/>
          <w:szCs w:val="28"/>
          <w:lang w:val="uk-UA"/>
        </w:rPr>
        <w:t xml:space="preserve"> : 6,42±0,43 проти 5,66±0,30, відповідно, р=0,001), хоча є роботи, у яких не було виявлено покращення чутливості до інсуліну при лікуванні гіпотиреоїдних станів, зокрема СГТ [311</w:t>
      </w:r>
      <w:r w:rsidRPr="00BC570A">
        <w:rPr>
          <w:bCs/>
          <w:sz w:val="28"/>
          <w:szCs w:val="28"/>
          <w:lang w:val="uk-UA"/>
        </w:rPr>
        <w:t>].</w:t>
      </w:r>
    </w:p>
    <w:p w:rsidR="00BC570A" w:rsidRDefault="00BC570A" w:rsidP="00E3259F">
      <w:pPr>
        <w:spacing w:line="360" w:lineRule="auto"/>
        <w:jc w:val="right"/>
        <w:rPr>
          <w:sz w:val="28"/>
          <w:szCs w:val="28"/>
          <w:lang w:val="uk-UA"/>
        </w:rPr>
      </w:pPr>
    </w:p>
    <w:p w:rsidR="00BC570A" w:rsidRDefault="00BC570A" w:rsidP="00E3259F">
      <w:pPr>
        <w:spacing w:line="360" w:lineRule="auto"/>
        <w:jc w:val="right"/>
        <w:rPr>
          <w:sz w:val="28"/>
          <w:szCs w:val="28"/>
          <w:lang w:val="uk-UA"/>
        </w:rPr>
      </w:pPr>
    </w:p>
    <w:p w:rsidR="00E00CAF" w:rsidRDefault="00E00CAF" w:rsidP="00BC570A">
      <w:pPr>
        <w:spacing w:line="360" w:lineRule="auto"/>
        <w:jc w:val="right"/>
        <w:rPr>
          <w:sz w:val="28"/>
          <w:szCs w:val="28"/>
          <w:lang w:val="uk-UA"/>
        </w:rPr>
      </w:pPr>
    </w:p>
    <w:p w:rsidR="00E00CAF" w:rsidRDefault="00E00CAF" w:rsidP="00BC570A">
      <w:pPr>
        <w:spacing w:line="360" w:lineRule="auto"/>
        <w:jc w:val="right"/>
        <w:rPr>
          <w:sz w:val="28"/>
          <w:szCs w:val="28"/>
          <w:lang w:val="uk-UA"/>
        </w:rPr>
      </w:pPr>
    </w:p>
    <w:p w:rsidR="00E3259F" w:rsidRPr="00BC570A" w:rsidRDefault="00E3259F" w:rsidP="00BC570A">
      <w:pPr>
        <w:spacing w:line="360" w:lineRule="auto"/>
        <w:jc w:val="right"/>
        <w:rPr>
          <w:sz w:val="28"/>
          <w:szCs w:val="28"/>
          <w:lang w:val="uk-UA"/>
        </w:rPr>
      </w:pPr>
      <w:r w:rsidRPr="00BC570A">
        <w:rPr>
          <w:sz w:val="28"/>
          <w:szCs w:val="28"/>
        </w:rPr>
        <w:t>T</w:t>
      </w:r>
      <w:r w:rsidRPr="00BC570A">
        <w:rPr>
          <w:sz w:val="28"/>
          <w:szCs w:val="28"/>
          <w:lang w:val="uk-UA"/>
        </w:rPr>
        <w:t xml:space="preserve">аблиця 8.7 </w:t>
      </w:r>
    </w:p>
    <w:p w:rsidR="00E3259F" w:rsidRPr="00BC570A" w:rsidRDefault="00E3259F" w:rsidP="00BC570A">
      <w:pPr>
        <w:spacing w:line="360" w:lineRule="auto"/>
        <w:jc w:val="center"/>
        <w:rPr>
          <w:sz w:val="28"/>
          <w:szCs w:val="28"/>
          <w:lang w:val="uk-UA"/>
        </w:rPr>
      </w:pPr>
      <w:r w:rsidRPr="00BC570A">
        <w:rPr>
          <w:sz w:val="28"/>
          <w:szCs w:val="28"/>
          <w:lang w:val="uk-UA"/>
        </w:rPr>
        <w:t>Порівняльний аналіз показників вуглеводного обміну у пацієнтів з ГХ, ЦД 2 типуТ та СГТ динаміки на тлі замісної терапії левотироксином, (</w:t>
      </w:r>
      <w:r w:rsidRPr="00BC570A">
        <w:rPr>
          <w:sz w:val="28"/>
          <w:szCs w:val="28"/>
        </w:rPr>
        <w:t>M</w:t>
      </w:r>
      <w:r w:rsidRPr="00BC570A">
        <w:rPr>
          <w:sz w:val="28"/>
          <w:szCs w:val="28"/>
          <w:lang w:val="uk-UA"/>
        </w:rPr>
        <w:t>±</w:t>
      </w:r>
      <w:r w:rsidRPr="00BC570A">
        <w:rPr>
          <w:sz w:val="28"/>
          <w:szCs w:val="28"/>
        </w:rPr>
        <w:t>m</w:t>
      </w:r>
      <w:r w:rsidRPr="00BC570A">
        <w:rPr>
          <w:sz w:val="28"/>
          <w:szCs w:val="28"/>
          <w:lang w:val="uk-UA"/>
        </w:rPr>
        <w:t>)</w:t>
      </w:r>
    </w:p>
    <w:tbl>
      <w:tblPr>
        <w:tblW w:w="0" w:type="auto"/>
        <w:tblLook w:val="04A0" w:firstRow="1" w:lastRow="0" w:firstColumn="1" w:lastColumn="0" w:noHBand="0" w:noVBand="1"/>
      </w:tblPr>
      <w:tblGrid>
        <w:gridCol w:w="2517"/>
        <w:gridCol w:w="1701"/>
        <w:gridCol w:w="1986"/>
        <w:gridCol w:w="1701"/>
        <w:gridCol w:w="1665"/>
      </w:tblGrid>
      <w:tr w:rsidR="00E3259F" w:rsidRPr="00BC570A" w:rsidTr="00E3259F">
        <w:tc>
          <w:tcPr>
            <w:tcW w:w="2517"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eastAsia="en-US"/>
              </w:rPr>
              <w:t>Показник</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en-US" w:eastAsia="en-US"/>
              </w:rPr>
            </w:pPr>
            <w:r w:rsidRPr="00BC570A">
              <w:rPr>
                <w:sz w:val="28"/>
                <w:szCs w:val="28"/>
                <w:lang w:eastAsia="en-US"/>
              </w:rPr>
              <w:t xml:space="preserve">Інсулін </w:t>
            </w:r>
          </w:p>
          <w:p w:rsidR="00E3259F" w:rsidRPr="00BC570A" w:rsidRDefault="00E3259F" w:rsidP="00BC570A">
            <w:pPr>
              <w:spacing w:line="360" w:lineRule="auto"/>
              <w:rPr>
                <w:sz w:val="28"/>
                <w:szCs w:val="28"/>
                <w:lang w:val="en-US" w:eastAsia="en-US"/>
              </w:rPr>
            </w:pPr>
            <w:r w:rsidRPr="00BC570A">
              <w:rPr>
                <w:sz w:val="28"/>
                <w:szCs w:val="28"/>
                <w:lang w:eastAsia="en-US"/>
              </w:rPr>
              <w:t>M</w:t>
            </w:r>
            <w:r w:rsidRPr="00BC570A">
              <w:rPr>
                <w:sz w:val="28"/>
                <w:szCs w:val="28"/>
                <w:lang w:val="uk-UA" w:eastAsia="en-US"/>
              </w:rPr>
              <w:t>к</w:t>
            </w:r>
            <w:r w:rsidRPr="00BC570A">
              <w:rPr>
                <w:sz w:val="28"/>
                <w:szCs w:val="28"/>
                <w:lang w:eastAsia="en-US"/>
              </w:rPr>
              <w:t>M</w:t>
            </w:r>
            <w:r w:rsidRPr="00BC570A">
              <w:rPr>
                <w:sz w:val="28"/>
                <w:szCs w:val="28"/>
                <w:lang w:val="uk-UA" w:eastAsia="en-US"/>
              </w:rPr>
              <w:t>О</w:t>
            </w:r>
            <w:r w:rsidRPr="00BC570A">
              <w:rPr>
                <w:sz w:val="28"/>
                <w:szCs w:val="28"/>
                <w:lang w:eastAsia="en-US"/>
              </w:rPr>
              <w:t>/</w:t>
            </w:r>
            <w:r w:rsidRPr="00BC570A">
              <w:rPr>
                <w:sz w:val="28"/>
                <w:szCs w:val="28"/>
                <w:lang w:val="uk-UA" w:eastAsia="en-US"/>
              </w:rPr>
              <w:t>мл</w:t>
            </w:r>
          </w:p>
        </w:tc>
        <w:tc>
          <w:tcPr>
            <w:tcW w:w="1986"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en-US" w:eastAsia="en-US"/>
              </w:rPr>
            </w:pPr>
            <w:r w:rsidRPr="00BC570A">
              <w:rPr>
                <w:sz w:val="28"/>
                <w:szCs w:val="28"/>
                <w:lang w:val="uk-UA" w:eastAsia="en-US"/>
              </w:rPr>
              <w:t xml:space="preserve">Глюкоза крові </w:t>
            </w:r>
          </w:p>
          <w:p w:rsidR="00E3259F" w:rsidRPr="00BC570A" w:rsidRDefault="00E3259F" w:rsidP="00BC570A">
            <w:pPr>
              <w:spacing w:line="360" w:lineRule="auto"/>
              <w:rPr>
                <w:sz w:val="28"/>
                <w:szCs w:val="28"/>
                <w:lang w:val="en-US" w:eastAsia="en-US"/>
              </w:rPr>
            </w:pPr>
            <w:r w:rsidRPr="00BC570A">
              <w:rPr>
                <w:sz w:val="28"/>
                <w:szCs w:val="28"/>
                <w:lang w:val="en-US" w:eastAsia="en-US"/>
              </w:rPr>
              <w:t xml:space="preserve"> </w:t>
            </w:r>
            <w:r w:rsidRPr="00BC570A">
              <w:rPr>
                <w:sz w:val="28"/>
                <w:szCs w:val="28"/>
                <w:lang w:val="uk-UA" w:eastAsia="en-US"/>
              </w:rPr>
              <w:t>ммоль/л</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en-US" w:eastAsia="en-US"/>
              </w:rPr>
            </w:pPr>
            <w:r w:rsidRPr="00BC570A">
              <w:rPr>
                <w:sz w:val="28"/>
                <w:szCs w:val="28"/>
                <w:lang w:eastAsia="en-US"/>
              </w:rPr>
              <w:t>HbA1</w:t>
            </w:r>
            <w:r w:rsidRPr="00BC570A">
              <w:rPr>
                <w:sz w:val="28"/>
                <w:szCs w:val="28"/>
                <w:lang w:val="uk-UA" w:eastAsia="en-US"/>
              </w:rPr>
              <w:t xml:space="preserve">с, </w:t>
            </w:r>
            <w:r w:rsidRPr="00BC570A">
              <w:rPr>
                <w:sz w:val="28"/>
                <w:szCs w:val="28"/>
                <w:lang w:eastAsia="en-US"/>
              </w:rPr>
              <w:t>%</w:t>
            </w:r>
          </w:p>
        </w:tc>
        <w:tc>
          <w:tcPr>
            <w:tcW w:w="1665"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en-US" w:eastAsia="en-US"/>
              </w:rPr>
            </w:pPr>
            <w:r w:rsidRPr="00BC570A">
              <w:rPr>
                <w:sz w:val="28"/>
                <w:szCs w:val="28"/>
                <w:lang w:eastAsia="en-US"/>
              </w:rPr>
              <w:t>HOMA</w:t>
            </w:r>
            <w:r w:rsidRPr="00BC570A">
              <w:rPr>
                <w:sz w:val="28"/>
                <w:szCs w:val="28"/>
                <w:lang w:val="uk-UA" w:eastAsia="en-US"/>
              </w:rPr>
              <w:t>-</w:t>
            </w:r>
            <w:r w:rsidRPr="00BC570A">
              <w:rPr>
                <w:sz w:val="28"/>
                <w:szCs w:val="28"/>
                <w:lang w:eastAsia="en-US"/>
              </w:rPr>
              <w:t>IR</w:t>
            </w:r>
          </w:p>
        </w:tc>
      </w:tr>
      <w:tr w:rsidR="00E3259F" w:rsidRPr="00BC570A" w:rsidTr="00E3259F">
        <w:tc>
          <w:tcPr>
            <w:tcW w:w="9570" w:type="dxa"/>
            <w:gridSpan w:val="5"/>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eastAsia="en-US"/>
              </w:rPr>
              <w:t xml:space="preserve">Група </w:t>
            </w:r>
            <w:r w:rsidRPr="00BC570A">
              <w:rPr>
                <w:sz w:val="28"/>
                <w:szCs w:val="28"/>
                <w:lang w:val="uk-UA" w:eastAsia="en-US"/>
              </w:rPr>
              <w:t>3</w:t>
            </w:r>
            <w:r w:rsidRPr="00BC570A">
              <w:rPr>
                <w:sz w:val="28"/>
                <w:szCs w:val="28"/>
                <w:lang w:eastAsia="en-US"/>
              </w:rPr>
              <w:t xml:space="preserve"> (n=</w:t>
            </w:r>
            <w:r w:rsidRPr="00BC570A">
              <w:rPr>
                <w:sz w:val="28"/>
                <w:szCs w:val="28"/>
                <w:lang w:val="uk-UA" w:eastAsia="en-US"/>
              </w:rPr>
              <w:t>93</w:t>
            </w:r>
            <w:r w:rsidRPr="00BC570A">
              <w:rPr>
                <w:sz w:val="28"/>
                <w:szCs w:val="28"/>
                <w:lang w:eastAsia="en-US"/>
              </w:rPr>
              <w:t>)</w:t>
            </w:r>
          </w:p>
        </w:tc>
      </w:tr>
      <w:tr w:rsidR="00E3259F" w:rsidRPr="00BC570A" w:rsidTr="00E3259F">
        <w:tc>
          <w:tcPr>
            <w:tcW w:w="2517"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До прийому левотроксину</w:t>
            </w:r>
          </w:p>
        </w:tc>
        <w:tc>
          <w:tcPr>
            <w:tcW w:w="1701" w:type="dxa"/>
            <w:tcBorders>
              <w:top w:val="single" w:sz="4" w:space="0" w:color="auto"/>
              <w:left w:val="single" w:sz="4" w:space="0" w:color="auto"/>
              <w:bottom w:val="single" w:sz="4" w:space="0" w:color="auto"/>
              <w:right w:val="single" w:sz="4" w:space="0" w:color="auto"/>
            </w:tcBorders>
          </w:tcPr>
          <w:p w:rsidR="00E3259F" w:rsidRPr="00BC570A" w:rsidRDefault="00E3259F" w:rsidP="00BC570A">
            <w:pPr>
              <w:spacing w:line="360" w:lineRule="auto"/>
              <w:jc w:val="both"/>
              <w:rPr>
                <w:sz w:val="28"/>
                <w:szCs w:val="28"/>
                <w:lang w:val="uk-UA" w:eastAsia="en-US"/>
              </w:rPr>
            </w:pPr>
            <w:r w:rsidRPr="00BC570A">
              <w:rPr>
                <w:sz w:val="28"/>
                <w:szCs w:val="28"/>
                <w:lang w:eastAsia="en-US"/>
              </w:rPr>
              <w:t>20,</w:t>
            </w:r>
            <w:r w:rsidRPr="00BC570A">
              <w:rPr>
                <w:sz w:val="28"/>
                <w:szCs w:val="28"/>
                <w:lang w:val="uk-UA" w:eastAsia="en-US"/>
              </w:rPr>
              <w:t>30</w:t>
            </w:r>
            <w:r w:rsidRPr="00BC570A">
              <w:rPr>
                <w:sz w:val="28"/>
                <w:szCs w:val="28"/>
                <w:lang w:eastAsia="en-US"/>
              </w:rPr>
              <w:t>±1,03</w:t>
            </w:r>
          </w:p>
          <w:p w:rsidR="00E3259F" w:rsidRPr="00BC570A" w:rsidRDefault="00E3259F" w:rsidP="00BC570A">
            <w:pPr>
              <w:spacing w:line="360" w:lineRule="auto"/>
              <w:rPr>
                <w:sz w:val="28"/>
                <w:szCs w:val="28"/>
                <w:lang w:val="en-US" w:eastAsia="en-US"/>
              </w:rPr>
            </w:pPr>
          </w:p>
        </w:tc>
        <w:tc>
          <w:tcPr>
            <w:tcW w:w="1986"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uk-UA" w:eastAsia="en-US"/>
              </w:rPr>
            </w:pPr>
            <w:r w:rsidRPr="00BC570A">
              <w:rPr>
                <w:sz w:val="28"/>
                <w:szCs w:val="28"/>
                <w:lang w:eastAsia="en-US"/>
              </w:rPr>
              <w:t>6,9</w:t>
            </w:r>
            <w:r w:rsidRPr="00BC570A">
              <w:rPr>
                <w:sz w:val="28"/>
                <w:szCs w:val="28"/>
                <w:lang w:val="uk-UA" w:eastAsia="en-US"/>
              </w:rPr>
              <w:t>8±0,</w:t>
            </w:r>
            <w:r w:rsidRPr="00BC570A">
              <w:rPr>
                <w:sz w:val="28"/>
                <w:szCs w:val="28"/>
                <w:lang w:eastAsia="en-US"/>
              </w:rPr>
              <w:t>2</w:t>
            </w:r>
            <w:r w:rsidRPr="00BC570A">
              <w:rPr>
                <w:sz w:val="28"/>
                <w:szCs w:val="28"/>
                <w:lang w:val="uk-UA" w:eastAsia="en-US"/>
              </w:rPr>
              <w:t>2</w:t>
            </w:r>
          </w:p>
        </w:tc>
        <w:tc>
          <w:tcPr>
            <w:tcW w:w="1701" w:type="dxa"/>
            <w:tcBorders>
              <w:top w:val="single" w:sz="4" w:space="0" w:color="auto"/>
              <w:left w:val="single" w:sz="4" w:space="0" w:color="auto"/>
              <w:bottom w:val="single" w:sz="4" w:space="0" w:color="auto"/>
              <w:right w:val="single" w:sz="4" w:space="0" w:color="auto"/>
            </w:tcBorders>
          </w:tcPr>
          <w:p w:rsidR="00E3259F" w:rsidRPr="00BC570A" w:rsidRDefault="00E3259F" w:rsidP="00BC570A">
            <w:pPr>
              <w:spacing w:line="360" w:lineRule="auto"/>
              <w:rPr>
                <w:sz w:val="28"/>
                <w:szCs w:val="28"/>
                <w:lang w:val="uk-UA" w:eastAsia="en-US"/>
              </w:rPr>
            </w:pPr>
            <w:r w:rsidRPr="00BC570A">
              <w:rPr>
                <w:sz w:val="28"/>
                <w:szCs w:val="28"/>
                <w:lang w:eastAsia="en-US"/>
              </w:rPr>
              <w:t>7,1</w:t>
            </w:r>
            <w:r w:rsidRPr="00BC570A">
              <w:rPr>
                <w:sz w:val="28"/>
                <w:szCs w:val="28"/>
                <w:lang w:val="uk-UA" w:eastAsia="en-US"/>
              </w:rPr>
              <w:t>9±0</w:t>
            </w:r>
            <w:r w:rsidRPr="00BC570A">
              <w:rPr>
                <w:sz w:val="28"/>
                <w:szCs w:val="28"/>
                <w:lang w:eastAsia="en-US"/>
              </w:rPr>
              <w:t>,1</w:t>
            </w:r>
            <w:r w:rsidRPr="00BC570A">
              <w:rPr>
                <w:sz w:val="28"/>
                <w:szCs w:val="28"/>
                <w:lang w:val="uk-UA" w:eastAsia="en-US"/>
              </w:rPr>
              <w:t>1</w:t>
            </w:r>
          </w:p>
          <w:p w:rsidR="00E3259F" w:rsidRPr="00BC570A" w:rsidRDefault="00E3259F" w:rsidP="00BC570A">
            <w:pPr>
              <w:spacing w:line="360" w:lineRule="auto"/>
              <w:rPr>
                <w:sz w:val="28"/>
                <w:szCs w:val="28"/>
                <w:lang w:val="en-US" w:eastAsia="en-US"/>
              </w:rPr>
            </w:pPr>
          </w:p>
        </w:tc>
        <w:tc>
          <w:tcPr>
            <w:tcW w:w="1665"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en-US" w:eastAsia="en-US"/>
              </w:rPr>
            </w:pPr>
            <w:r w:rsidRPr="00BC570A">
              <w:rPr>
                <w:sz w:val="28"/>
                <w:szCs w:val="28"/>
                <w:lang w:eastAsia="en-US"/>
              </w:rPr>
              <w:t>6,4</w:t>
            </w:r>
            <w:r w:rsidRPr="00BC570A">
              <w:rPr>
                <w:sz w:val="28"/>
                <w:szCs w:val="28"/>
                <w:lang w:val="uk-UA" w:eastAsia="en-US"/>
              </w:rPr>
              <w:t>2±0</w:t>
            </w:r>
            <w:r w:rsidRPr="00BC570A">
              <w:rPr>
                <w:sz w:val="28"/>
                <w:szCs w:val="28"/>
                <w:lang w:eastAsia="en-US"/>
              </w:rPr>
              <w:t>,43</w:t>
            </w:r>
          </w:p>
        </w:tc>
      </w:tr>
      <w:tr w:rsidR="00E3259F" w:rsidRPr="00BC570A" w:rsidTr="00E3259F">
        <w:tc>
          <w:tcPr>
            <w:tcW w:w="2517"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Через 1 рік спостереження</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20,36±</w:t>
            </w:r>
            <w:r w:rsidRPr="00BC570A">
              <w:rPr>
                <w:sz w:val="28"/>
                <w:szCs w:val="28"/>
                <w:lang w:val="uk-UA" w:eastAsia="en-US"/>
              </w:rPr>
              <w:t>0</w:t>
            </w:r>
            <w:r w:rsidRPr="00BC570A">
              <w:rPr>
                <w:sz w:val="28"/>
                <w:szCs w:val="28"/>
                <w:lang w:eastAsia="en-US"/>
              </w:rPr>
              <w:t>,90</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р&gt;0,05</w:t>
            </w:r>
          </w:p>
        </w:tc>
        <w:tc>
          <w:tcPr>
            <w:tcW w:w="1986"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uk-UA" w:eastAsia="en-US"/>
              </w:rPr>
            </w:pPr>
            <w:r w:rsidRPr="00BC570A">
              <w:rPr>
                <w:sz w:val="28"/>
                <w:szCs w:val="28"/>
                <w:lang w:eastAsia="en-US"/>
              </w:rPr>
              <w:t>6,33</w:t>
            </w:r>
            <w:r w:rsidRPr="00BC570A">
              <w:rPr>
                <w:sz w:val="28"/>
                <w:szCs w:val="28"/>
                <w:lang w:val="uk-UA" w:eastAsia="en-US"/>
              </w:rPr>
              <w:t>±0,</w:t>
            </w:r>
            <w:r w:rsidRPr="00BC570A">
              <w:rPr>
                <w:sz w:val="28"/>
                <w:szCs w:val="28"/>
                <w:lang w:eastAsia="en-US"/>
              </w:rPr>
              <w:t>16</w:t>
            </w:r>
          </w:p>
          <w:p w:rsidR="00E3259F" w:rsidRPr="00BC570A" w:rsidRDefault="00E3259F" w:rsidP="00BC570A">
            <w:pPr>
              <w:spacing w:line="360" w:lineRule="auto"/>
              <w:rPr>
                <w:sz w:val="28"/>
                <w:szCs w:val="28"/>
                <w:lang w:val="uk-UA" w:eastAsia="en-US"/>
              </w:rPr>
            </w:pPr>
            <w:r w:rsidRPr="00BC570A">
              <w:rPr>
                <w:sz w:val="28"/>
                <w:szCs w:val="28"/>
                <w:lang w:val="uk-UA" w:eastAsia="en-US"/>
              </w:rPr>
              <w:t>р&lt;0</w:t>
            </w:r>
            <w:r w:rsidRPr="00BC570A">
              <w:rPr>
                <w:sz w:val="28"/>
                <w:szCs w:val="28"/>
                <w:lang w:eastAsia="en-US"/>
              </w:rPr>
              <w:t>,00</w:t>
            </w:r>
            <w:r w:rsidRPr="00BC570A">
              <w:rPr>
                <w:sz w:val="28"/>
                <w:szCs w:val="28"/>
                <w:lang w:val="uk-UA"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uk-UA" w:eastAsia="en-US"/>
              </w:rPr>
            </w:pPr>
            <w:r w:rsidRPr="00BC570A">
              <w:rPr>
                <w:sz w:val="28"/>
                <w:szCs w:val="28"/>
                <w:lang w:eastAsia="en-US"/>
              </w:rPr>
              <w:t>6,69</w:t>
            </w:r>
            <w:r w:rsidRPr="00BC570A">
              <w:rPr>
                <w:sz w:val="28"/>
                <w:szCs w:val="28"/>
                <w:lang w:val="uk-UA" w:eastAsia="en-US"/>
              </w:rPr>
              <w:t>±0</w:t>
            </w:r>
            <w:r w:rsidRPr="00BC570A">
              <w:rPr>
                <w:sz w:val="28"/>
                <w:szCs w:val="28"/>
                <w:lang w:eastAsia="en-US"/>
              </w:rPr>
              <w:t>,09</w:t>
            </w:r>
          </w:p>
          <w:p w:rsidR="00E3259F" w:rsidRPr="00BC570A" w:rsidRDefault="00E3259F" w:rsidP="00BC570A">
            <w:pPr>
              <w:spacing w:line="360" w:lineRule="auto"/>
              <w:rPr>
                <w:sz w:val="28"/>
                <w:szCs w:val="28"/>
                <w:lang w:val="uk-UA" w:eastAsia="en-US"/>
              </w:rPr>
            </w:pPr>
            <w:r w:rsidRPr="00BC570A">
              <w:rPr>
                <w:sz w:val="28"/>
                <w:szCs w:val="28"/>
                <w:lang w:val="uk-UA" w:eastAsia="en-US"/>
              </w:rPr>
              <w:t>р&lt;0</w:t>
            </w:r>
            <w:r w:rsidRPr="00BC570A">
              <w:rPr>
                <w:sz w:val="28"/>
                <w:szCs w:val="28"/>
                <w:lang w:eastAsia="en-US"/>
              </w:rPr>
              <w:t>,00</w:t>
            </w:r>
            <w:r w:rsidRPr="00BC570A">
              <w:rPr>
                <w:sz w:val="28"/>
                <w:szCs w:val="28"/>
                <w:lang w:val="uk-UA" w:eastAsia="en-US"/>
              </w:rPr>
              <w:t>1</w:t>
            </w:r>
          </w:p>
        </w:tc>
        <w:tc>
          <w:tcPr>
            <w:tcW w:w="1665"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rPr>
                <w:sz w:val="28"/>
                <w:szCs w:val="28"/>
                <w:lang w:val="uk-UA" w:eastAsia="en-US"/>
              </w:rPr>
            </w:pPr>
            <w:r w:rsidRPr="00BC570A">
              <w:rPr>
                <w:sz w:val="28"/>
                <w:szCs w:val="28"/>
                <w:lang w:eastAsia="en-US"/>
              </w:rPr>
              <w:t>5,66</w:t>
            </w:r>
            <w:r w:rsidRPr="00BC570A">
              <w:rPr>
                <w:sz w:val="28"/>
                <w:szCs w:val="28"/>
                <w:lang w:val="uk-UA" w:eastAsia="en-US"/>
              </w:rPr>
              <w:t xml:space="preserve">±0,30 </w:t>
            </w:r>
          </w:p>
          <w:p w:rsidR="00E3259F" w:rsidRPr="00BC570A" w:rsidRDefault="00E3259F" w:rsidP="00BC570A">
            <w:pPr>
              <w:spacing w:line="360" w:lineRule="auto"/>
              <w:rPr>
                <w:sz w:val="28"/>
                <w:szCs w:val="28"/>
                <w:lang w:val="uk-UA" w:eastAsia="en-US"/>
              </w:rPr>
            </w:pPr>
            <w:r w:rsidRPr="00BC570A">
              <w:rPr>
                <w:sz w:val="28"/>
                <w:szCs w:val="28"/>
                <w:lang w:val="uk-UA" w:eastAsia="en-US"/>
              </w:rPr>
              <w:t>р=0,</w:t>
            </w:r>
            <w:r w:rsidRPr="00BC570A">
              <w:rPr>
                <w:sz w:val="28"/>
                <w:szCs w:val="28"/>
                <w:lang w:eastAsia="en-US"/>
              </w:rPr>
              <w:t>001</w:t>
            </w:r>
          </w:p>
        </w:tc>
      </w:tr>
    </w:tbl>
    <w:p w:rsidR="00E3259F" w:rsidRPr="00BC570A" w:rsidRDefault="00E3259F" w:rsidP="00BC570A">
      <w:pPr>
        <w:spacing w:line="360" w:lineRule="auto"/>
        <w:jc w:val="both"/>
        <w:rPr>
          <w:sz w:val="28"/>
          <w:szCs w:val="28"/>
          <w:lang w:val="uk-UA"/>
        </w:rPr>
      </w:pPr>
      <w:r w:rsidRPr="00BC570A">
        <w:rPr>
          <w:sz w:val="28"/>
          <w:szCs w:val="28"/>
        </w:rPr>
        <w:t>Прим</w:t>
      </w:r>
      <w:r w:rsidRPr="00BC570A">
        <w:rPr>
          <w:sz w:val="28"/>
          <w:szCs w:val="28"/>
          <w:lang w:val="uk-UA"/>
        </w:rPr>
        <w:t>ітка</w:t>
      </w:r>
      <w:r w:rsidRPr="00BC570A">
        <w:rPr>
          <w:sz w:val="28"/>
          <w:szCs w:val="28"/>
        </w:rPr>
        <w:t>:</w:t>
      </w:r>
      <w:r w:rsidRPr="00BC570A">
        <w:rPr>
          <w:sz w:val="28"/>
          <w:szCs w:val="28"/>
          <w:lang w:val="uk-UA"/>
        </w:rPr>
        <w:t xml:space="preserve"> р</w:t>
      </w:r>
      <w:r w:rsidRPr="00BC570A">
        <w:rPr>
          <w:sz w:val="28"/>
          <w:szCs w:val="28"/>
          <w:vertAlign w:val="subscript"/>
          <w:lang w:val="uk-UA"/>
        </w:rPr>
        <w:t xml:space="preserve"> </w:t>
      </w:r>
      <w:r w:rsidRPr="00BC570A">
        <w:rPr>
          <w:sz w:val="28"/>
          <w:szCs w:val="28"/>
          <w:lang w:val="uk-UA"/>
        </w:rPr>
        <w:t xml:space="preserve">-  рівень значущості відмінностей при порівнянні значення показника на початку спостереженя та після 12 місяців спостереження </w:t>
      </w:r>
    </w:p>
    <w:p w:rsidR="00E3259F" w:rsidRDefault="00E3259F" w:rsidP="00E3259F">
      <w:pPr>
        <w:ind w:firstLine="709"/>
        <w:jc w:val="both"/>
        <w:rPr>
          <w:lang w:val="uk-UA" w:eastAsia="en-US"/>
        </w:rPr>
      </w:pPr>
    </w:p>
    <w:p w:rsidR="00E3259F" w:rsidRPr="00BC570A" w:rsidRDefault="00E3259F" w:rsidP="00BC570A">
      <w:pPr>
        <w:spacing w:line="360" w:lineRule="auto"/>
        <w:ind w:firstLine="709"/>
        <w:jc w:val="both"/>
        <w:rPr>
          <w:rStyle w:val="tlid-translation"/>
          <w:sz w:val="28"/>
          <w:szCs w:val="28"/>
          <w:lang w:val="uk-UA"/>
        </w:rPr>
      </w:pPr>
      <w:r w:rsidRPr="00BC570A">
        <w:rPr>
          <w:rStyle w:val="tlid-translation"/>
          <w:sz w:val="28"/>
          <w:szCs w:val="28"/>
          <w:lang w:val="uk-UA"/>
        </w:rPr>
        <w:t xml:space="preserve">Поліпшення функціонального стану ЩЗ на тлі лікування левотироксином супроводжувалося зменшенням дисфункції ендотелію, що проявлялося достовірним зниженням рівня ВЕФР (до лікування </w:t>
      </w:r>
      <w:r w:rsidRPr="00BC570A">
        <w:rPr>
          <w:sz w:val="28"/>
          <w:szCs w:val="28"/>
          <w:lang w:val="uk-UA"/>
        </w:rPr>
        <w:t>482,77</w:t>
      </w:r>
      <w:r w:rsidRPr="00BC570A">
        <w:rPr>
          <w:rStyle w:val="tlid-translation"/>
          <w:sz w:val="28"/>
          <w:szCs w:val="28"/>
          <w:lang w:val="uk-UA"/>
        </w:rPr>
        <w:t xml:space="preserve">±21,33 пг/мл, після лікування - 418,82±15,68 пг/мл, р&lt;0,001 відповідно) (Рисунок 8.2). Однак, не було відзначено істотного зниження рівня ЦДЕК (до лікування - 10,29 ± 0,34 (кл. /100 мкл), після лікування - </w:t>
      </w:r>
      <w:r w:rsidRPr="00BC570A">
        <w:rPr>
          <w:sz w:val="28"/>
          <w:szCs w:val="28"/>
          <w:lang w:val="uk-UA"/>
        </w:rPr>
        <w:t>9,95</w:t>
      </w:r>
      <w:r w:rsidRPr="00BC570A">
        <w:rPr>
          <w:rStyle w:val="tlid-translation"/>
          <w:sz w:val="28"/>
          <w:szCs w:val="28"/>
          <w:lang w:val="uk-UA"/>
        </w:rPr>
        <w:t xml:space="preserve"> ± 0,30 (кл. / 100 мкл), </w:t>
      </w:r>
      <w:r w:rsidRPr="00BC570A">
        <w:rPr>
          <w:sz w:val="28"/>
          <w:szCs w:val="28"/>
          <w:lang w:val="uk-UA"/>
        </w:rPr>
        <w:t>р&gt;0,05</w:t>
      </w:r>
      <w:r w:rsidRPr="00BC570A">
        <w:rPr>
          <w:rStyle w:val="tlid-translation"/>
          <w:sz w:val="28"/>
          <w:szCs w:val="28"/>
          <w:lang w:val="uk-UA"/>
        </w:rPr>
        <w:t xml:space="preserve">, відповідно) та  достовірного зменшення ТКІМ ( до лікування - 0,080±0,002, після лікування – 0,079±0,002, відповідно, </w:t>
      </w:r>
      <w:r w:rsidRPr="00BC570A">
        <w:rPr>
          <w:sz w:val="28"/>
          <w:szCs w:val="28"/>
          <w:lang w:val="uk-UA"/>
        </w:rPr>
        <w:t>р&gt;0,05</w:t>
      </w:r>
      <w:r w:rsidRPr="00BC570A">
        <w:rPr>
          <w:rStyle w:val="tlid-translation"/>
          <w:sz w:val="28"/>
          <w:szCs w:val="28"/>
          <w:lang w:val="uk-UA"/>
        </w:rPr>
        <w:t xml:space="preserve">). </w:t>
      </w:r>
    </w:p>
    <w:p w:rsidR="00E3259F" w:rsidRPr="00BC570A" w:rsidRDefault="00E3259F" w:rsidP="00BC570A">
      <w:pPr>
        <w:spacing w:line="360" w:lineRule="auto"/>
        <w:ind w:firstLine="709"/>
        <w:jc w:val="both"/>
        <w:rPr>
          <w:lang w:val="uk-UA"/>
        </w:rPr>
      </w:pPr>
      <w:r w:rsidRPr="00BC570A">
        <w:rPr>
          <w:rStyle w:val="tlid-translation"/>
          <w:sz w:val="28"/>
          <w:szCs w:val="28"/>
          <w:lang w:val="uk-UA"/>
        </w:rPr>
        <w:t xml:space="preserve">Поліпшення ендотеліальної функції, що виявляється в достовірному зниженні рівнів ВЕФР, на тлі досягнення еутиреоїзу в пацієнтів досліджуваної групи збігається з результатами Gong N і співавт. </w:t>
      </w:r>
      <w:r w:rsidRPr="00BC570A">
        <w:rPr>
          <w:sz w:val="28"/>
          <w:szCs w:val="28"/>
          <w:lang w:val="uk-UA"/>
        </w:rPr>
        <w:t xml:space="preserve">[218], </w:t>
      </w:r>
      <w:r w:rsidRPr="00BC570A">
        <w:rPr>
          <w:rStyle w:val="tlid-translation"/>
          <w:sz w:val="28"/>
          <w:szCs w:val="28"/>
          <w:lang w:val="uk-UA"/>
        </w:rPr>
        <w:t>які виявили зниження дисфункції ендотелію на фоні лікування левотироксином в експерименті на щурах зі СГТ</w:t>
      </w:r>
      <w:r w:rsidRPr="00BC570A">
        <w:rPr>
          <w:sz w:val="28"/>
          <w:szCs w:val="28"/>
          <w:lang w:val="uk-UA"/>
        </w:rPr>
        <w:t xml:space="preserve"> та даними </w:t>
      </w:r>
      <w:r w:rsidRPr="00BC570A">
        <w:rPr>
          <w:sz w:val="28"/>
          <w:szCs w:val="28"/>
          <w:lang w:val="en-US"/>
        </w:rPr>
        <w:t>Nasmi</w:t>
      </w:r>
      <w:r w:rsidRPr="00BC570A">
        <w:rPr>
          <w:sz w:val="28"/>
          <w:szCs w:val="28"/>
          <w:lang w:val="uk-UA"/>
        </w:rPr>
        <w:t xml:space="preserve"> </w:t>
      </w:r>
      <w:r w:rsidRPr="00BC570A">
        <w:rPr>
          <w:sz w:val="28"/>
          <w:szCs w:val="28"/>
          <w:lang w:val="en-US"/>
        </w:rPr>
        <w:t>Niknam</w:t>
      </w:r>
      <w:r w:rsidRPr="00BC570A">
        <w:rPr>
          <w:sz w:val="28"/>
          <w:szCs w:val="28"/>
          <w:lang w:val="uk-UA"/>
        </w:rPr>
        <w:t xml:space="preserve"> та співавт., </w:t>
      </w:r>
      <w:r w:rsidRPr="00BC570A">
        <w:rPr>
          <w:rStyle w:val="tlid-translation"/>
          <w:sz w:val="28"/>
          <w:szCs w:val="28"/>
          <w:lang w:val="uk-UA"/>
        </w:rPr>
        <w:t>які при застосуванні методу «кровотік-</w:t>
      </w:r>
      <w:r w:rsidRPr="00BC570A">
        <w:rPr>
          <w:sz w:val="28"/>
          <w:szCs w:val="28"/>
          <w:lang w:val="uk-UA"/>
        </w:rPr>
        <w:t xml:space="preserve"> </w:t>
      </w:r>
      <w:r w:rsidRPr="00BC570A">
        <w:rPr>
          <w:rStyle w:val="tlid-translation"/>
          <w:sz w:val="28"/>
          <w:szCs w:val="28"/>
          <w:lang w:val="uk-UA"/>
        </w:rPr>
        <w:t xml:space="preserve">опосередковане розширення» </w:t>
      </w:r>
      <w:r w:rsidRPr="00BC570A">
        <w:rPr>
          <w:sz w:val="28"/>
          <w:szCs w:val="28"/>
          <w:lang w:val="uk-UA"/>
        </w:rPr>
        <w:t>(</w:t>
      </w:r>
      <w:r w:rsidRPr="00BC570A">
        <w:rPr>
          <w:sz w:val="28"/>
          <w:szCs w:val="28"/>
          <w:lang w:val="en-US"/>
        </w:rPr>
        <w:t>FMD</w:t>
      </w:r>
      <w:r w:rsidRPr="00BC570A">
        <w:rPr>
          <w:sz w:val="28"/>
          <w:szCs w:val="28"/>
          <w:lang w:val="uk-UA"/>
        </w:rPr>
        <w:t xml:space="preserve"> – </w:t>
      </w:r>
      <w:r w:rsidRPr="00BC570A">
        <w:rPr>
          <w:sz w:val="28"/>
          <w:szCs w:val="28"/>
          <w:lang w:val="en-US"/>
        </w:rPr>
        <w:t>Flow</w:t>
      </w:r>
      <w:r w:rsidRPr="00BC570A">
        <w:rPr>
          <w:sz w:val="28"/>
          <w:szCs w:val="28"/>
          <w:lang w:val="uk-UA"/>
        </w:rPr>
        <w:t xml:space="preserve"> </w:t>
      </w:r>
      <w:r w:rsidRPr="00BC570A">
        <w:rPr>
          <w:sz w:val="28"/>
          <w:szCs w:val="28"/>
          <w:lang w:val="en-US"/>
        </w:rPr>
        <w:t>Mediated</w:t>
      </w:r>
      <w:r w:rsidRPr="00BC570A">
        <w:rPr>
          <w:sz w:val="28"/>
          <w:szCs w:val="28"/>
          <w:lang w:val="uk-UA"/>
        </w:rPr>
        <w:t xml:space="preserve"> </w:t>
      </w:r>
      <w:r w:rsidRPr="00BC570A">
        <w:rPr>
          <w:sz w:val="28"/>
          <w:szCs w:val="28"/>
          <w:lang w:val="en-US"/>
        </w:rPr>
        <w:t>Dilatation</w:t>
      </w:r>
      <w:r w:rsidRPr="00BC570A">
        <w:rPr>
          <w:sz w:val="28"/>
          <w:szCs w:val="28"/>
          <w:lang w:val="uk-UA"/>
        </w:rPr>
        <w:t xml:space="preserve">) вимірювання ЕД </w:t>
      </w:r>
      <w:r w:rsidRPr="00BC570A">
        <w:rPr>
          <w:rStyle w:val="tlid-translation"/>
          <w:sz w:val="28"/>
          <w:szCs w:val="28"/>
          <w:lang w:val="uk-UA"/>
        </w:rPr>
        <w:t>продемонстрували покращення</w:t>
      </w:r>
    </w:p>
    <w:p w:rsidR="00E3259F" w:rsidRDefault="00E3259F" w:rsidP="00E3259F">
      <w:pPr>
        <w:spacing w:line="360" w:lineRule="auto"/>
        <w:ind w:firstLine="709"/>
        <w:jc w:val="both"/>
        <w:rPr>
          <w:rStyle w:val="tlid-translation"/>
        </w:rPr>
      </w:pPr>
      <w:r>
        <w:rPr>
          <w:noProof/>
        </w:rPr>
        <w:drawing>
          <wp:inline distT="0" distB="0" distL="0" distR="0">
            <wp:extent cx="4524375" cy="2276475"/>
            <wp:effectExtent l="0" t="0" r="9525" b="9525"/>
            <wp:docPr id="90" name="Диаграмма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E3259F" w:rsidRDefault="00E3259F" w:rsidP="00E3259F">
      <w:pPr>
        <w:spacing w:line="360" w:lineRule="auto"/>
        <w:ind w:firstLine="709"/>
        <w:jc w:val="both"/>
        <w:rPr>
          <w:rFonts w:asciiTheme="minorHAnsi" w:hAnsiTheme="minorHAnsi" w:cstheme="minorBidi"/>
          <w:sz w:val="22"/>
          <w:szCs w:val="22"/>
        </w:rPr>
      </w:pPr>
      <w:r>
        <w:rPr>
          <w:lang w:val="uk-UA"/>
        </w:rPr>
        <w:t>а)</w:t>
      </w:r>
    </w:p>
    <w:p w:rsidR="00E3259F" w:rsidRDefault="00E3259F" w:rsidP="00E3259F">
      <w:pPr>
        <w:spacing w:line="360" w:lineRule="auto"/>
        <w:ind w:firstLine="709"/>
        <w:jc w:val="both"/>
        <w:rPr>
          <w:lang w:val="uk-UA"/>
        </w:rPr>
      </w:pPr>
      <w:r>
        <w:rPr>
          <w:noProof/>
        </w:rPr>
        <w:drawing>
          <wp:inline distT="0" distB="0" distL="0" distR="0">
            <wp:extent cx="4562475" cy="2314575"/>
            <wp:effectExtent l="0" t="0" r="9525" b="9525"/>
            <wp:docPr id="89" name="Диаграмма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E3259F" w:rsidRDefault="00E3259F" w:rsidP="00E3259F">
      <w:pPr>
        <w:spacing w:line="360" w:lineRule="auto"/>
        <w:ind w:firstLine="709"/>
        <w:jc w:val="both"/>
        <w:rPr>
          <w:lang w:val="uk-UA"/>
        </w:rPr>
      </w:pPr>
      <w:r>
        <w:rPr>
          <w:lang w:val="uk-UA"/>
        </w:rPr>
        <w:t>б)</w:t>
      </w:r>
      <w:r>
        <w:rPr>
          <w:noProof/>
          <w:lang w:val="uk-UA"/>
        </w:rPr>
        <w:t xml:space="preserve"> </w:t>
      </w:r>
    </w:p>
    <w:p w:rsidR="00E3259F" w:rsidRDefault="00E3259F" w:rsidP="00E3259F">
      <w:pPr>
        <w:spacing w:line="360" w:lineRule="auto"/>
        <w:ind w:firstLine="709"/>
        <w:jc w:val="both"/>
        <w:rPr>
          <w:lang w:val="uk-UA"/>
        </w:rPr>
      </w:pPr>
      <w:r>
        <w:rPr>
          <w:noProof/>
        </w:rPr>
        <w:drawing>
          <wp:inline distT="0" distB="0" distL="0" distR="0">
            <wp:extent cx="4562475" cy="2314575"/>
            <wp:effectExtent l="0" t="0" r="9525" b="9525"/>
            <wp:docPr id="88" name="Диаграмма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E3259F" w:rsidRDefault="00E3259F" w:rsidP="00E3259F">
      <w:pPr>
        <w:spacing w:line="360" w:lineRule="auto"/>
        <w:ind w:firstLine="709"/>
        <w:jc w:val="both"/>
        <w:rPr>
          <w:lang w:val="uk-UA"/>
        </w:rPr>
      </w:pPr>
      <w:r>
        <w:rPr>
          <w:lang w:val="uk-UA"/>
        </w:rPr>
        <w:t>в)</w:t>
      </w:r>
    </w:p>
    <w:p w:rsidR="00E3259F" w:rsidRDefault="00E3259F" w:rsidP="00E3259F">
      <w:pPr>
        <w:spacing w:line="360" w:lineRule="auto"/>
        <w:ind w:firstLine="709"/>
        <w:jc w:val="both"/>
        <w:rPr>
          <w:rStyle w:val="tlid-translation"/>
          <w:rFonts w:asciiTheme="minorHAnsi" w:hAnsiTheme="minorHAnsi" w:cstheme="minorBidi"/>
          <w:sz w:val="28"/>
          <w:szCs w:val="28"/>
        </w:rPr>
      </w:pPr>
      <w:r>
        <w:rPr>
          <w:sz w:val="28"/>
          <w:szCs w:val="28"/>
          <w:shd w:val="clear" w:color="auto" w:fill="FFFFFF"/>
          <w:lang w:val="uk-UA"/>
        </w:rPr>
        <w:t>Рисунок 8.2 Динаміка  рівнів ВЕФР</w:t>
      </w:r>
      <w:r>
        <w:rPr>
          <w:rStyle w:val="tlid-translation"/>
          <w:sz w:val="28"/>
          <w:szCs w:val="28"/>
          <w:lang w:val="uk-UA"/>
        </w:rPr>
        <w:t xml:space="preserve"> (а) кількості ЦДЕК (б)  та ТКІМ ЗСА (в) на тлі додаткового призначення левотироксину у пацієнтів з ГХ, ЦД 2 типу та СГТ.</w:t>
      </w:r>
    </w:p>
    <w:p w:rsidR="00E3259F" w:rsidRDefault="00E3259F" w:rsidP="00E3259F">
      <w:pPr>
        <w:spacing w:line="360" w:lineRule="auto"/>
        <w:ind w:firstLine="709"/>
        <w:jc w:val="both"/>
        <w:rPr>
          <w:rStyle w:val="tlid-translation"/>
          <w:sz w:val="28"/>
          <w:szCs w:val="28"/>
          <w:lang w:val="uk-UA"/>
        </w:rPr>
      </w:pPr>
    </w:p>
    <w:p w:rsidR="00E3259F" w:rsidRPr="00E00CAF" w:rsidRDefault="00E3259F" w:rsidP="00E3259F">
      <w:pPr>
        <w:spacing w:line="360" w:lineRule="auto"/>
        <w:jc w:val="both"/>
      </w:pPr>
      <w:r w:rsidRPr="00E00CAF">
        <w:rPr>
          <w:rStyle w:val="tlid-translation"/>
          <w:sz w:val="28"/>
          <w:szCs w:val="28"/>
          <w:lang w:val="uk-UA"/>
        </w:rPr>
        <w:t xml:space="preserve">цього показника в пацієнтів з СГТ на тлі лікування левотироксином </w:t>
      </w:r>
      <w:r w:rsidRPr="00E00CAF">
        <w:rPr>
          <w:sz w:val="28"/>
          <w:szCs w:val="28"/>
          <w:lang w:val="uk-UA"/>
        </w:rPr>
        <w:t>[</w:t>
      </w:r>
      <w:r w:rsidRPr="00E00CAF">
        <w:rPr>
          <w:sz w:val="28"/>
          <w:szCs w:val="28"/>
          <w:shd w:val="clear" w:color="auto" w:fill="FFFFFF"/>
          <w:lang w:val="uk-UA"/>
        </w:rPr>
        <w:t>302</w:t>
      </w:r>
      <w:r w:rsidRPr="00E00CAF">
        <w:rPr>
          <w:sz w:val="28"/>
          <w:szCs w:val="28"/>
          <w:lang w:val="uk-UA"/>
        </w:rPr>
        <w:t xml:space="preserve">]. </w:t>
      </w:r>
    </w:p>
    <w:p w:rsidR="00E3259F" w:rsidRDefault="00E3259F" w:rsidP="00E3259F">
      <w:pPr>
        <w:spacing w:line="360" w:lineRule="auto"/>
        <w:ind w:firstLine="709"/>
        <w:jc w:val="both"/>
        <w:rPr>
          <w:rStyle w:val="tlid-translation"/>
          <w:rFonts w:eastAsiaTheme="majorEastAsia"/>
        </w:rPr>
      </w:pPr>
      <w:r w:rsidRPr="00E00CAF">
        <w:rPr>
          <w:rStyle w:val="tlid-translation"/>
          <w:rFonts w:eastAsiaTheme="majorEastAsia"/>
          <w:sz w:val="28"/>
          <w:szCs w:val="28"/>
          <w:lang w:val="uk-UA"/>
        </w:rPr>
        <w:t xml:space="preserve">Відсутність достовірних змін кількості ЦДЕК на тлі замісної терапії можливо може бути пояснено існуючим уявленням, що ЕД при СГТ не супроводжується вираженим морфологічним ушкодженням ендотелію </w:t>
      </w:r>
      <w:r w:rsidRPr="00E00CAF">
        <w:rPr>
          <w:bCs/>
          <w:kern w:val="36"/>
          <w:sz w:val="28"/>
          <w:szCs w:val="28"/>
          <w:lang w:val="uk-UA"/>
        </w:rPr>
        <w:t>[</w:t>
      </w:r>
      <w:r w:rsidRPr="00E00CAF">
        <w:rPr>
          <w:sz w:val="28"/>
          <w:szCs w:val="28"/>
          <w:lang w:val="uk-UA"/>
        </w:rPr>
        <w:t>100</w:t>
      </w:r>
      <w:r w:rsidRPr="00E00CAF">
        <w:rPr>
          <w:bCs/>
          <w:kern w:val="36"/>
          <w:sz w:val="28"/>
          <w:szCs w:val="28"/>
          <w:lang w:val="uk-UA"/>
        </w:rPr>
        <w:t xml:space="preserve">], </w:t>
      </w:r>
      <w:r w:rsidRPr="00E00CAF">
        <w:rPr>
          <w:rStyle w:val="tlid-translation"/>
          <w:rFonts w:eastAsiaTheme="majorEastAsia"/>
          <w:sz w:val="28"/>
          <w:szCs w:val="28"/>
          <w:lang w:val="uk-UA"/>
        </w:rPr>
        <w:t>а наявність підвищеної кількості ЦДЕК ще до лікування</w:t>
      </w:r>
      <w:r>
        <w:rPr>
          <w:rStyle w:val="tlid-translation"/>
          <w:rFonts w:eastAsiaTheme="majorEastAsia"/>
          <w:sz w:val="28"/>
          <w:szCs w:val="28"/>
          <w:lang w:val="uk-UA"/>
        </w:rPr>
        <w:t xml:space="preserve"> переважно обумовлена наявністю ГХ та ЦД 2 типу.</w:t>
      </w:r>
    </w:p>
    <w:p w:rsidR="00E3259F" w:rsidRPr="00BC570A" w:rsidRDefault="00E3259F" w:rsidP="00BC570A">
      <w:pPr>
        <w:pStyle w:val="1"/>
        <w:shd w:val="clear" w:color="auto" w:fill="FFFFFF"/>
        <w:spacing w:before="0" w:beforeAutospacing="0" w:after="0" w:afterAutospacing="0" w:line="360" w:lineRule="auto"/>
        <w:ind w:firstLine="709"/>
        <w:jc w:val="both"/>
        <w:rPr>
          <w:rFonts w:eastAsiaTheme="majorEastAsia"/>
          <w:b w:val="0"/>
        </w:rPr>
      </w:pPr>
      <w:r w:rsidRPr="00BC570A">
        <w:rPr>
          <w:rStyle w:val="tlid-translation"/>
          <w:rFonts w:eastAsiaTheme="majorEastAsia"/>
          <w:b w:val="0"/>
          <w:sz w:val="28"/>
          <w:szCs w:val="28"/>
          <w:lang w:val="uk-UA"/>
        </w:rPr>
        <w:t xml:space="preserve">Вивчення впливу замісної терапії левотироксином на ТКІМ у пацієнтів з СГТ проводилось неодноразово, однак до цього часу не існує однозначної точки зору. Так у метааналізі, проведеному </w:t>
      </w:r>
      <w:r w:rsidRPr="00BC570A">
        <w:rPr>
          <w:rFonts w:eastAsiaTheme="majorEastAsia"/>
          <w:b w:val="0"/>
          <w:sz w:val="28"/>
          <w:szCs w:val="28"/>
          <w:lang w:val="en-US"/>
        </w:rPr>
        <w:t>Swaid</w:t>
      </w:r>
      <w:r w:rsidRPr="00BC570A">
        <w:rPr>
          <w:rFonts w:eastAsiaTheme="majorEastAsia"/>
          <w:b w:val="0"/>
          <w:sz w:val="28"/>
          <w:szCs w:val="28"/>
          <w:lang w:val="uk-UA"/>
        </w:rPr>
        <w:t xml:space="preserve"> </w:t>
      </w:r>
      <w:r w:rsidRPr="00BC570A">
        <w:rPr>
          <w:rFonts w:eastAsiaTheme="majorEastAsia"/>
          <w:b w:val="0"/>
          <w:sz w:val="28"/>
          <w:szCs w:val="28"/>
          <w:lang w:val="en-US"/>
        </w:rPr>
        <w:t>B</w:t>
      </w:r>
      <w:r w:rsidRPr="00BC570A">
        <w:rPr>
          <w:b w:val="0"/>
          <w:sz w:val="28"/>
          <w:szCs w:val="28"/>
          <w:lang w:val="uk-UA"/>
        </w:rPr>
        <w:t xml:space="preserve"> та співавт.</w:t>
      </w:r>
      <w:r w:rsidRPr="00BC570A">
        <w:rPr>
          <w:rStyle w:val="tlid-translation"/>
          <w:rFonts w:eastAsiaTheme="majorEastAsia"/>
          <w:b w:val="0"/>
          <w:sz w:val="28"/>
          <w:szCs w:val="28"/>
          <w:lang w:val="uk-UA"/>
        </w:rPr>
        <w:t>, який включав 7 РКД, не було виявлено достовірного впливу терапії левотироксином на ТКІМ при СГТ [</w:t>
      </w:r>
      <w:r w:rsidRPr="00BC570A">
        <w:rPr>
          <w:rStyle w:val="tlid-translation"/>
          <w:rFonts w:eastAsiaTheme="majorEastAsia"/>
          <w:b w:val="0"/>
          <w:sz w:val="28"/>
          <w:szCs w:val="28"/>
        </w:rPr>
        <w:t>3</w:t>
      </w:r>
      <w:r w:rsidRPr="00BC570A">
        <w:rPr>
          <w:rStyle w:val="tlid-translation"/>
          <w:rFonts w:eastAsiaTheme="majorEastAsia"/>
          <w:b w:val="0"/>
          <w:sz w:val="28"/>
          <w:szCs w:val="28"/>
          <w:lang w:val="uk-UA"/>
        </w:rPr>
        <w:t>65</w:t>
      </w:r>
      <w:r w:rsidRPr="00BC570A">
        <w:rPr>
          <w:b w:val="0"/>
          <w:sz w:val="28"/>
          <w:szCs w:val="28"/>
        </w:rPr>
        <w:t>]</w:t>
      </w:r>
      <w:r w:rsidRPr="00BC570A">
        <w:rPr>
          <w:b w:val="0"/>
          <w:sz w:val="28"/>
          <w:szCs w:val="28"/>
          <w:lang w:val="uk-UA"/>
        </w:rPr>
        <w:t>. Подібні дані були отримані в РКД, яке включало пацієнтів зі СГТ похилого віку [161]. Результати нашого дослідження частково співпадають з результатами іншого мета-аналізу, який включав 12 РКД,  де було продемонстровано не лише підвищення ТКІМ  при СГТ порівняно з еутиреозом, але й достовірний регрес цього показника, як маркера субклінічного атеросклеротичного ураження судин, під впливом терапії левотироксином [</w:t>
      </w:r>
      <w:r w:rsidRPr="00BC570A">
        <w:rPr>
          <w:b w:val="0"/>
          <w:sz w:val="28"/>
          <w:szCs w:val="28"/>
        </w:rPr>
        <w:t>1</w:t>
      </w:r>
      <w:r w:rsidRPr="00BC570A">
        <w:rPr>
          <w:b w:val="0"/>
          <w:sz w:val="28"/>
          <w:szCs w:val="28"/>
          <w:lang w:val="uk-UA"/>
        </w:rPr>
        <w:t>48</w:t>
      </w:r>
      <w:r w:rsidRPr="00BC570A">
        <w:rPr>
          <w:b w:val="0"/>
          <w:sz w:val="28"/>
          <w:szCs w:val="28"/>
        </w:rPr>
        <w:t>]</w:t>
      </w:r>
      <w:r w:rsidRPr="00BC570A">
        <w:rPr>
          <w:b w:val="0"/>
          <w:sz w:val="28"/>
          <w:szCs w:val="28"/>
          <w:lang w:val="uk-UA"/>
        </w:rPr>
        <w:t>.</w:t>
      </w:r>
    </w:p>
    <w:p w:rsidR="00E3259F" w:rsidRPr="00BC570A" w:rsidRDefault="00E3259F" w:rsidP="00BC570A">
      <w:pPr>
        <w:spacing w:line="360" w:lineRule="auto"/>
        <w:ind w:firstLine="709"/>
        <w:jc w:val="both"/>
        <w:rPr>
          <w:sz w:val="28"/>
          <w:szCs w:val="28"/>
          <w:lang w:val="uk-UA"/>
        </w:rPr>
      </w:pPr>
      <w:r w:rsidRPr="00BC570A">
        <w:rPr>
          <w:rStyle w:val="tlid-translation"/>
          <w:sz w:val="28"/>
          <w:szCs w:val="28"/>
          <w:lang w:val="uk-UA"/>
        </w:rPr>
        <w:t>Покращення функціонального стану ендотелію відбувалося на тлі незначного, але достовірного зниження маркерів хронічного системного запалення СРП(</w:t>
      </w:r>
      <w:r w:rsidRPr="00BC570A">
        <w:rPr>
          <w:sz w:val="28"/>
          <w:szCs w:val="28"/>
          <w:lang w:val="uk-UA"/>
        </w:rPr>
        <w:t>8,00±0,33 мг/л</w:t>
      </w:r>
      <w:r w:rsidRPr="00BC570A">
        <w:rPr>
          <w:rStyle w:val="tlid-translation"/>
          <w:sz w:val="28"/>
          <w:szCs w:val="28"/>
          <w:lang w:val="uk-UA"/>
        </w:rPr>
        <w:t xml:space="preserve"> проти </w:t>
      </w:r>
      <w:r w:rsidRPr="00BC570A">
        <w:rPr>
          <w:sz w:val="28"/>
          <w:szCs w:val="28"/>
          <w:lang w:val="uk-UA"/>
        </w:rPr>
        <w:t>7,14</w:t>
      </w:r>
      <w:r w:rsidRPr="00BC570A">
        <w:rPr>
          <w:rStyle w:val="tlid-translation"/>
          <w:sz w:val="28"/>
          <w:szCs w:val="28"/>
          <w:lang w:val="uk-UA"/>
        </w:rPr>
        <w:t>±</w:t>
      </w:r>
      <w:r w:rsidRPr="00BC570A">
        <w:rPr>
          <w:sz w:val="28"/>
          <w:szCs w:val="28"/>
          <w:lang w:val="uk-UA"/>
        </w:rPr>
        <w:t>0,26</w:t>
      </w:r>
      <w:r w:rsidRPr="00BC570A">
        <w:rPr>
          <w:rStyle w:val="tlid-translation"/>
          <w:sz w:val="28"/>
          <w:szCs w:val="28"/>
          <w:lang w:val="uk-UA"/>
        </w:rPr>
        <w:t xml:space="preserve"> </w:t>
      </w:r>
      <w:r w:rsidRPr="00BC570A">
        <w:rPr>
          <w:sz w:val="28"/>
          <w:szCs w:val="28"/>
          <w:lang w:val="uk-UA"/>
        </w:rPr>
        <w:t>мг/л</w:t>
      </w:r>
      <w:r w:rsidRPr="00BC570A">
        <w:rPr>
          <w:rStyle w:val="tlid-translation"/>
          <w:sz w:val="28"/>
          <w:szCs w:val="28"/>
          <w:lang w:val="uk-UA"/>
        </w:rPr>
        <w:t xml:space="preserve">  відповідно, р&lt;0,001) і ФНП-α (</w:t>
      </w:r>
      <w:r w:rsidRPr="00BC570A">
        <w:rPr>
          <w:sz w:val="28"/>
          <w:szCs w:val="28"/>
          <w:lang w:val="uk-UA"/>
        </w:rPr>
        <w:t xml:space="preserve">13,4617±,64256 пг/мл, 12,1932±,57976 пг/мл, відповідно, </w:t>
      </w:r>
      <w:r w:rsidRPr="00BC570A">
        <w:rPr>
          <w:rStyle w:val="tlid-translation"/>
          <w:sz w:val="28"/>
          <w:szCs w:val="28"/>
          <w:lang w:val="uk-UA"/>
        </w:rPr>
        <w:t>р&lt;0,001), що збігається з даними інших дослідників, які спостерігали зменшення процесів хронічного запалення під впливом лікування левотироксином. Так, позитивний вплив замісної терапії левотироксином на маркери хронічного запалення у пацієнтів з ішемічною хворобою серця і СГТ було продемонстровано в роботі Долбіна І.В. та співавт.</w:t>
      </w:r>
      <w:r w:rsidRPr="00BC570A">
        <w:rPr>
          <w:sz w:val="28"/>
          <w:szCs w:val="28"/>
          <w:lang w:val="uk-UA"/>
        </w:rPr>
        <w:t xml:space="preserve"> [33].</w:t>
      </w:r>
    </w:p>
    <w:p w:rsidR="00E3259F" w:rsidRPr="00BC570A" w:rsidRDefault="00E3259F" w:rsidP="00BC570A">
      <w:pPr>
        <w:shd w:val="clear" w:color="auto" w:fill="FFFFFF"/>
        <w:spacing w:line="360" w:lineRule="auto"/>
        <w:ind w:firstLine="709"/>
        <w:jc w:val="both"/>
        <w:rPr>
          <w:sz w:val="28"/>
          <w:szCs w:val="28"/>
          <w:lang w:val="uk-UA"/>
        </w:rPr>
      </w:pPr>
      <w:r w:rsidRPr="00BC570A">
        <w:rPr>
          <w:sz w:val="28"/>
          <w:szCs w:val="28"/>
          <w:lang w:val="uk-UA"/>
        </w:rPr>
        <w:t>Більшість наукових досліджень, присвячених вивченню впливу замісної терапії левотироксином на маркери ОС при коморбідній патології, яка містить СГТ, були проведені або на тлі ЦД 2 типу [182] або АГ [</w:t>
      </w:r>
      <w:r w:rsidRPr="00BC570A">
        <w:rPr>
          <w:sz w:val="28"/>
          <w:szCs w:val="28"/>
          <w:shd w:val="clear" w:color="auto" w:fill="FFFFFF"/>
          <w:lang w:val="uk-UA"/>
        </w:rPr>
        <w:t>69</w:t>
      </w:r>
      <w:r w:rsidRPr="00BC570A">
        <w:rPr>
          <w:sz w:val="28"/>
          <w:szCs w:val="28"/>
          <w:lang w:val="uk-UA"/>
        </w:rPr>
        <w:t>].</w:t>
      </w:r>
      <w:r w:rsidRPr="00BC570A">
        <w:rPr>
          <w:rStyle w:val="tlid-translation"/>
          <w:sz w:val="28"/>
          <w:szCs w:val="28"/>
          <w:lang w:val="uk-UA"/>
        </w:rPr>
        <w:t xml:space="preserve"> Досягнення еутиреозу супроводжувалось значним покращенням балансу оксидантно-антиоксидантної системи (таблиця 8.8).</w:t>
      </w:r>
    </w:p>
    <w:p w:rsidR="00E3259F" w:rsidRPr="00BC570A" w:rsidRDefault="00E3259F" w:rsidP="00BC570A">
      <w:pPr>
        <w:spacing w:line="360" w:lineRule="auto"/>
        <w:jc w:val="right"/>
        <w:rPr>
          <w:sz w:val="28"/>
          <w:szCs w:val="28"/>
          <w:lang w:val="uk-UA"/>
        </w:rPr>
      </w:pPr>
      <w:r w:rsidRPr="00BC570A">
        <w:rPr>
          <w:sz w:val="28"/>
          <w:szCs w:val="28"/>
          <w:lang w:val="en"/>
        </w:rPr>
        <w:t>T</w:t>
      </w:r>
      <w:r w:rsidRPr="00BC570A">
        <w:rPr>
          <w:sz w:val="28"/>
          <w:szCs w:val="28"/>
          <w:lang w:val="uk-UA"/>
        </w:rPr>
        <w:t xml:space="preserve">аблица 8.8 </w:t>
      </w:r>
    </w:p>
    <w:p w:rsidR="00E3259F" w:rsidRPr="00BC570A" w:rsidRDefault="00E3259F" w:rsidP="00BC570A">
      <w:pPr>
        <w:spacing w:line="360" w:lineRule="auto"/>
        <w:jc w:val="center"/>
        <w:rPr>
          <w:sz w:val="28"/>
          <w:szCs w:val="28"/>
          <w:lang w:val="uk-UA"/>
        </w:rPr>
      </w:pPr>
      <w:r w:rsidRPr="00BC570A">
        <w:rPr>
          <w:sz w:val="28"/>
          <w:szCs w:val="28"/>
          <w:lang w:val="uk-UA"/>
        </w:rPr>
        <w:t>Порівняльний аналіз показників оксидативного стресу в пацієнтів з поєднаним перебігом ГХ, ЦД 2 типу та СГТ на тлі застосування левотироксину, (</w:t>
      </w:r>
      <w:r w:rsidRPr="00BC570A">
        <w:rPr>
          <w:sz w:val="28"/>
          <w:szCs w:val="28"/>
        </w:rPr>
        <w:t>M</w:t>
      </w:r>
      <w:r w:rsidRPr="00BC570A">
        <w:rPr>
          <w:sz w:val="28"/>
          <w:szCs w:val="28"/>
          <w:lang w:val="uk-UA"/>
        </w:rPr>
        <w:t>±</w:t>
      </w:r>
      <w:r w:rsidRPr="00BC570A">
        <w:rPr>
          <w:sz w:val="28"/>
          <w:szCs w:val="28"/>
        </w:rPr>
        <w:t>m</w:t>
      </w:r>
      <w:r w:rsidRPr="00BC570A">
        <w:rPr>
          <w:sz w:val="28"/>
          <w:szCs w:val="28"/>
          <w:lang w:val="uk-UA"/>
        </w:rPr>
        <w:t>)</w:t>
      </w:r>
    </w:p>
    <w:tbl>
      <w:tblPr>
        <w:tblW w:w="0" w:type="auto"/>
        <w:tblLook w:val="04A0" w:firstRow="1" w:lastRow="0" w:firstColumn="1" w:lastColumn="0" w:noHBand="0" w:noVBand="1"/>
      </w:tblPr>
      <w:tblGrid>
        <w:gridCol w:w="2942"/>
        <w:gridCol w:w="1701"/>
        <w:gridCol w:w="1560"/>
        <w:gridCol w:w="1701"/>
        <w:gridCol w:w="1666"/>
      </w:tblGrid>
      <w:tr w:rsidR="00BC570A" w:rsidRPr="00BC570A" w:rsidTr="00E3259F">
        <w:tc>
          <w:tcPr>
            <w:tcW w:w="2942"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eastAsia="en-US"/>
              </w:rPr>
              <w:t>Показник</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val="uk-UA" w:eastAsia="en-US"/>
              </w:rPr>
              <w:t>МДА, мкмоль/л</w:t>
            </w:r>
          </w:p>
        </w:tc>
        <w:tc>
          <w:tcPr>
            <w:tcW w:w="1560"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val="uk-UA" w:eastAsia="en-US"/>
              </w:rPr>
              <w:t>ГПО, мккат/гНв</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val="uk-UA" w:eastAsia="en-US"/>
              </w:rPr>
              <w:t>SН-групи, мкмоль/л</w:t>
            </w:r>
          </w:p>
        </w:tc>
        <w:tc>
          <w:tcPr>
            <w:tcW w:w="1666"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val="uk-UA" w:eastAsia="en-US"/>
              </w:rPr>
              <w:t>8-OH-dG, пкг/мл</w:t>
            </w:r>
          </w:p>
        </w:tc>
      </w:tr>
      <w:tr w:rsidR="00BC570A" w:rsidRPr="00BC570A" w:rsidTr="00E3259F">
        <w:tc>
          <w:tcPr>
            <w:tcW w:w="9570" w:type="dxa"/>
            <w:gridSpan w:val="5"/>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eastAsia="en-US"/>
              </w:rPr>
              <w:t xml:space="preserve">Група </w:t>
            </w:r>
            <w:r w:rsidRPr="00BC570A">
              <w:rPr>
                <w:sz w:val="28"/>
                <w:szCs w:val="28"/>
                <w:lang w:val="uk-UA" w:eastAsia="en-US"/>
              </w:rPr>
              <w:t>3</w:t>
            </w:r>
            <w:r w:rsidRPr="00BC570A">
              <w:rPr>
                <w:sz w:val="28"/>
                <w:szCs w:val="28"/>
                <w:lang w:eastAsia="en-US"/>
              </w:rPr>
              <w:t xml:space="preserve"> (n=</w:t>
            </w:r>
            <w:r w:rsidRPr="00BC570A">
              <w:rPr>
                <w:sz w:val="28"/>
                <w:szCs w:val="28"/>
                <w:lang w:val="uk-UA" w:eastAsia="en-US"/>
              </w:rPr>
              <w:t>93</w:t>
            </w:r>
            <w:r w:rsidRPr="00BC570A">
              <w:rPr>
                <w:sz w:val="28"/>
                <w:szCs w:val="28"/>
                <w:lang w:eastAsia="en-US"/>
              </w:rPr>
              <w:t>)</w:t>
            </w:r>
          </w:p>
        </w:tc>
      </w:tr>
      <w:tr w:rsidR="00BC570A" w:rsidRPr="00BC570A" w:rsidTr="00E3259F">
        <w:tc>
          <w:tcPr>
            <w:tcW w:w="2942"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До лікування левотироксином</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eastAsia="en-US"/>
              </w:rPr>
              <w:t>6,68±0,15</w:t>
            </w:r>
          </w:p>
        </w:tc>
        <w:tc>
          <w:tcPr>
            <w:tcW w:w="1560"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eastAsia="en-US"/>
              </w:rPr>
              <w:t>5,1</w:t>
            </w:r>
            <w:r w:rsidRPr="00BC570A">
              <w:rPr>
                <w:sz w:val="28"/>
                <w:szCs w:val="28"/>
                <w:lang w:val="uk-UA" w:eastAsia="en-US"/>
              </w:rPr>
              <w:t>9</w:t>
            </w:r>
            <w:r w:rsidRPr="00BC570A">
              <w:rPr>
                <w:sz w:val="28"/>
                <w:szCs w:val="28"/>
                <w:lang w:eastAsia="en-US"/>
              </w:rPr>
              <w:t>±0,1</w:t>
            </w:r>
            <w:r w:rsidRPr="00BC570A">
              <w:rPr>
                <w:sz w:val="28"/>
                <w:szCs w:val="28"/>
                <w:lang w:val="uk-UA" w:eastAsia="en-US"/>
              </w:rPr>
              <w:t>3</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en-US" w:eastAsia="en-US"/>
              </w:rPr>
            </w:pPr>
            <w:r w:rsidRPr="00BC570A">
              <w:rPr>
                <w:sz w:val="28"/>
                <w:szCs w:val="28"/>
                <w:lang w:eastAsia="en-US"/>
              </w:rPr>
              <w:t>566,31±9,24</w:t>
            </w:r>
          </w:p>
        </w:tc>
        <w:tc>
          <w:tcPr>
            <w:tcW w:w="1666"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14,13±0,3</w:t>
            </w:r>
            <w:r w:rsidRPr="00BC570A">
              <w:rPr>
                <w:sz w:val="28"/>
                <w:szCs w:val="28"/>
                <w:lang w:val="uk-UA" w:eastAsia="en-US"/>
              </w:rPr>
              <w:t>6</w:t>
            </w:r>
          </w:p>
        </w:tc>
      </w:tr>
      <w:tr w:rsidR="00BC570A" w:rsidRPr="00BC570A" w:rsidTr="00E3259F">
        <w:tc>
          <w:tcPr>
            <w:tcW w:w="2942"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val="uk-UA" w:eastAsia="en-US"/>
              </w:rPr>
              <w:t xml:space="preserve">Через 1 рік </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6,58±0,13</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р&gt;0,05</w:t>
            </w:r>
          </w:p>
        </w:tc>
        <w:tc>
          <w:tcPr>
            <w:tcW w:w="1560"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eastAsia="en-US"/>
              </w:rPr>
              <w:t>5,48±0,1</w:t>
            </w:r>
            <w:r w:rsidRPr="00BC570A">
              <w:rPr>
                <w:sz w:val="28"/>
                <w:szCs w:val="28"/>
                <w:lang w:val="uk-UA" w:eastAsia="en-US"/>
              </w:rPr>
              <w:t>1</w:t>
            </w:r>
          </w:p>
          <w:p w:rsidR="00E3259F" w:rsidRPr="00BC570A" w:rsidRDefault="00E3259F" w:rsidP="00BC570A">
            <w:pPr>
              <w:spacing w:line="360" w:lineRule="auto"/>
              <w:jc w:val="both"/>
              <w:rPr>
                <w:sz w:val="28"/>
                <w:szCs w:val="28"/>
                <w:lang w:val="uk-UA" w:eastAsia="en-US"/>
              </w:rPr>
            </w:pPr>
            <w:r w:rsidRPr="00BC570A">
              <w:rPr>
                <w:sz w:val="28"/>
                <w:szCs w:val="28"/>
                <w:lang w:eastAsia="en-US"/>
              </w:rPr>
              <w:t>р=0,00</w:t>
            </w:r>
            <w:r w:rsidRPr="00BC570A">
              <w:rPr>
                <w:sz w:val="28"/>
                <w:szCs w:val="28"/>
                <w:lang w:val="uk-UA"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eastAsia="en-US"/>
              </w:rPr>
            </w:pPr>
            <w:r w:rsidRPr="00BC570A">
              <w:rPr>
                <w:sz w:val="28"/>
                <w:szCs w:val="28"/>
                <w:lang w:eastAsia="en-US"/>
              </w:rPr>
              <w:t>597,10±8,66</w:t>
            </w:r>
          </w:p>
          <w:p w:rsidR="00E3259F" w:rsidRPr="00BC570A" w:rsidRDefault="00E3259F" w:rsidP="00BC570A">
            <w:pPr>
              <w:spacing w:line="360" w:lineRule="auto"/>
              <w:jc w:val="both"/>
              <w:rPr>
                <w:sz w:val="28"/>
                <w:szCs w:val="28"/>
                <w:lang w:val="uk-UA" w:eastAsia="en-US"/>
              </w:rPr>
            </w:pPr>
            <w:r w:rsidRPr="00BC570A">
              <w:rPr>
                <w:sz w:val="28"/>
                <w:szCs w:val="28"/>
                <w:lang w:eastAsia="en-US"/>
              </w:rPr>
              <w:t>р&lt;0,00</w:t>
            </w:r>
            <w:r w:rsidRPr="00BC570A">
              <w:rPr>
                <w:sz w:val="28"/>
                <w:szCs w:val="28"/>
                <w:lang w:val="uk-UA" w:eastAsia="en-US"/>
              </w:rPr>
              <w:t>1</w:t>
            </w:r>
          </w:p>
        </w:tc>
        <w:tc>
          <w:tcPr>
            <w:tcW w:w="1666" w:type="dxa"/>
            <w:tcBorders>
              <w:top w:val="single" w:sz="4" w:space="0" w:color="auto"/>
              <w:left w:val="single" w:sz="4" w:space="0" w:color="auto"/>
              <w:bottom w:val="single" w:sz="4" w:space="0" w:color="auto"/>
              <w:right w:val="single" w:sz="4" w:space="0" w:color="auto"/>
            </w:tcBorders>
            <w:hideMark/>
          </w:tcPr>
          <w:p w:rsidR="00E3259F" w:rsidRPr="00BC570A" w:rsidRDefault="00E3259F" w:rsidP="00BC570A">
            <w:pPr>
              <w:spacing w:line="360" w:lineRule="auto"/>
              <w:jc w:val="both"/>
              <w:rPr>
                <w:sz w:val="28"/>
                <w:szCs w:val="28"/>
                <w:lang w:val="uk-UA" w:eastAsia="en-US"/>
              </w:rPr>
            </w:pPr>
            <w:r w:rsidRPr="00BC570A">
              <w:rPr>
                <w:sz w:val="28"/>
                <w:szCs w:val="28"/>
                <w:lang w:eastAsia="en-US"/>
              </w:rPr>
              <w:t>13,62±0,3</w:t>
            </w:r>
            <w:r w:rsidRPr="00BC570A">
              <w:rPr>
                <w:sz w:val="28"/>
                <w:szCs w:val="28"/>
                <w:lang w:val="uk-UA" w:eastAsia="en-US"/>
              </w:rPr>
              <w:t>6</w:t>
            </w:r>
          </w:p>
          <w:p w:rsidR="00E3259F" w:rsidRPr="00BC570A" w:rsidRDefault="00E3259F" w:rsidP="00BC570A">
            <w:pPr>
              <w:spacing w:line="360" w:lineRule="auto"/>
              <w:jc w:val="both"/>
              <w:rPr>
                <w:sz w:val="28"/>
                <w:szCs w:val="28"/>
                <w:lang w:val="uk-UA" w:eastAsia="en-US"/>
              </w:rPr>
            </w:pPr>
            <w:r w:rsidRPr="00BC570A">
              <w:rPr>
                <w:sz w:val="28"/>
                <w:szCs w:val="28"/>
                <w:lang w:val="uk-UA" w:eastAsia="en-US"/>
              </w:rPr>
              <w:t>р&gt;0,05</w:t>
            </w:r>
          </w:p>
        </w:tc>
      </w:tr>
    </w:tbl>
    <w:p w:rsidR="00E3259F" w:rsidRPr="00BC570A" w:rsidRDefault="00E3259F" w:rsidP="00BC570A">
      <w:pPr>
        <w:spacing w:line="360" w:lineRule="auto"/>
        <w:jc w:val="both"/>
        <w:rPr>
          <w:sz w:val="28"/>
          <w:szCs w:val="28"/>
          <w:lang w:val="uk-UA"/>
        </w:rPr>
      </w:pPr>
      <w:r w:rsidRPr="00BC570A">
        <w:rPr>
          <w:sz w:val="28"/>
          <w:szCs w:val="28"/>
        </w:rPr>
        <w:t>Прим</w:t>
      </w:r>
      <w:r w:rsidRPr="00BC570A">
        <w:rPr>
          <w:sz w:val="28"/>
          <w:szCs w:val="28"/>
          <w:lang w:val="uk-UA"/>
        </w:rPr>
        <w:t>ітка</w:t>
      </w:r>
      <w:r w:rsidRPr="00BC570A">
        <w:rPr>
          <w:sz w:val="28"/>
          <w:szCs w:val="28"/>
        </w:rPr>
        <w:t>:</w:t>
      </w:r>
      <w:r w:rsidRPr="00BC570A">
        <w:rPr>
          <w:sz w:val="28"/>
          <w:szCs w:val="28"/>
          <w:lang w:val="uk-UA"/>
        </w:rPr>
        <w:t xml:space="preserve"> р</w:t>
      </w:r>
      <w:r w:rsidRPr="00BC570A">
        <w:rPr>
          <w:sz w:val="28"/>
          <w:szCs w:val="28"/>
          <w:vertAlign w:val="subscript"/>
          <w:lang w:val="uk-UA"/>
        </w:rPr>
        <w:t xml:space="preserve"> -</w:t>
      </w:r>
      <w:r w:rsidRPr="00BC570A">
        <w:rPr>
          <w:sz w:val="28"/>
          <w:szCs w:val="28"/>
          <w:lang w:val="uk-UA"/>
        </w:rPr>
        <w:t xml:space="preserve"> значення достовірності при порівнянні груп після 1 року спостереження </w:t>
      </w:r>
    </w:p>
    <w:p w:rsidR="00E3259F" w:rsidRPr="00BC570A" w:rsidRDefault="00E3259F" w:rsidP="00BC570A">
      <w:pPr>
        <w:spacing w:line="360" w:lineRule="auto"/>
        <w:jc w:val="both"/>
        <w:rPr>
          <w:lang w:val="uk-UA" w:eastAsia="en-US"/>
        </w:rPr>
      </w:pPr>
    </w:p>
    <w:p w:rsidR="00E3259F" w:rsidRPr="00BC570A" w:rsidRDefault="00E3259F" w:rsidP="00BC570A">
      <w:pPr>
        <w:spacing w:line="360" w:lineRule="auto"/>
        <w:ind w:firstLine="709"/>
        <w:jc w:val="both"/>
        <w:rPr>
          <w:sz w:val="28"/>
          <w:szCs w:val="28"/>
          <w:lang w:val="uk-UA"/>
        </w:rPr>
      </w:pPr>
      <w:r w:rsidRPr="00BC570A">
        <w:rPr>
          <w:rStyle w:val="tlid-translation"/>
          <w:sz w:val="28"/>
          <w:szCs w:val="28"/>
          <w:lang w:val="uk-UA"/>
        </w:rPr>
        <w:t>Досягнення еутиреозу супроводжувалося значним покращенням балансу оксидантно-антиоксидантної системи. Було виявлено не значне зниження інтенсивності процесів окислення -рівнів МДА (</w:t>
      </w:r>
      <w:r w:rsidRPr="00BC570A">
        <w:rPr>
          <w:sz w:val="28"/>
          <w:szCs w:val="28"/>
          <w:lang w:val="uk-UA"/>
        </w:rPr>
        <w:t>р&gt;0,05)</w:t>
      </w:r>
      <w:r w:rsidRPr="00BC570A">
        <w:rPr>
          <w:rStyle w:val="tlid-translation"/>
          <w:sz w:val="28"/>
          <w:szCs w:val="28"/>
          <w:lang w:val="uk-UA"/>
        </w:rPr>
        <w:t xml:space="preserve"> та </w:t>
      </w:r>
      <w:r w:rsidRPr="00BC570A">
        <w:rPr>
          <w:sz w:val="28"/>
          <w:szCs w:val="28"/>
          <w:shd w:val="clear" w:color="auto" w:fill="FFFFFF"/>
          <w:lang w:val="uk-UA"/>
        </w:rPr>
        <w:t>8-OHdG (</w:t>
      </w:r>
      <w:r w:rsidRPr="00BC570A">
        <w:rPr>
          <w:sz w:val="28"/>
          <w:szCs w:val="28"/>
          <w:lang w:val="uk-UA"/>
        </w:rPr>
        <w:t xml:space="preserve">р&gt;0,05) </w:t>
      </w:r>
      <w:r w:rsidRPr="00BC570A">
        <w:rPr>
          <w:rStyle w:val="tlid-translation"/>
          <w:sz w:val="28"/>
          <w:szCs w:val="28"/>
          <w:lang w:val="uk-UA"/>
        </w:rPr>
        <w:t xml:space="preserve">наприкінці терміну спостереження та достовірне підвищення показників АОЗ – активності </w:t>
      </w:r>
      <w:r w:rsidRPr="00BC570A">
        <w:rPr>
          <w:sz w:val="28"/>
          <w:szCs w:val="28"/>
          <w:shd w:val="clear" w:color="auto" w:fill="FFFFFF"/>
          <w:lang w:val="uk-UA"/>
        </w:rPr>
        <w:t xml:space="preserve">ГПО (р=0,001) та рівнів </w:t>
      </w:r>
      <w:r w:rsidRPr="00BC570A">
        <w:rPr>
          <w:sz w:val="28"/>
          <w:szCs w:val="28"/>
          <w:lang w:val="en-US"/>
        </w:rPr>
        <w:t>SH</w:t>
      </w:r>
      <w:r w:rsidRPr="00BC570A">
        <w:rPr>
          <w:sz w:val="28"/>
          <w:szCs w:val="28"/>
          <w:lang w:val="uk-UA"/>
        </w:rPr>
        <w:t xml:space="preserve">-груп (р&lt;0,001). На користь позитивного впливу замісної терапії  левотироксином на ОС свідчить також її дія на динаміку досліджувальних показників у осіб з різним вихідним рівнем окислювальних маркерів. Так, при первинному досліджені </w:t>
      </w:r>
      <w:r w:rsidRPr="00E00CAF">
        <w:rPr>
          <w:sz w:val="28"/>
          <w:szCs w:val="28"/>
          <w:lang w:val="uk-UA"/>
        </w:rPr>
        <w:t>рівень МДА був не менший медіани групових значень у 53 (56,</w:t>
      </w:r>
      <w:r w:rsidRPr="00E00CAF">
        <w:rPr>
          <w:rStyle w:val="afa"/>
          <w:b w:val="0"/>
          <w:sz w:val="28"/>
          <w:szCs w:val="28"/>
          <w:lang w:val="uk-UA"/>
        </w:rPr>
        <w:t>99±</w:t>
      </w:r>
      <w:r w:rsidR="00E00CAF">
        <w:rPr>
          <w:rStyle w:val="afa"/>
          <w:b w:val="0"/>
          <w:sz w:val="28"/>
          <w:szCs w:val="28"/>
          <w:lang w:val="uk-UA"/>
        </w:rPr>
        <w:t>5,13%</w:t>
      </w:r>
      <w:r w:rsidRPr="00E00CAF">
        <w:rPr>
          <w:rStyle w:val="afa"/>
          <w:b w:val="0"/>
          <w:sz w:val="28"/>
          <w:szCs w:val="28"/>
          <w:lang w:val="uk-UA"/>
        </w:rPr>
        <w:t xml:space="preserve">) </w:t>
      </w:r>
      <w:r w:rsidRPr="00E00CAF">
        <w:rPr>
          <w:rStyle w:val="afa"/>
          <w:sz w:val="28"/>
          <w:szCs w:val="28"/>
          <w:lang w:val="uk-UA"/>
        </w:rPr>
        <w:t xml:space="preserve"> </w:t>
      </w:r>
      <w:r w:rsidRPr="00E00CAF">
        <w:rPr>
          <w:rStyle w:val="afa"/>
          <w:b w:val="0"/>
          <w:sz w:val="28"/>
          <w:szCs w:val="28"/>
          <w:lang w:val="uk-UA"/>
        </w:rPr>
        <w:t>пацієнтів, а рівень</w:t>
      </w:r>
      <w:r w:rsidRPr="00E00CAF">
        <w:rPr>
          <w:rStyle w:val="afa"/>
          <w:sz w:val="28"/>
          <w:szCs w:val="28"/>
          <w:lang w:val="uk-UA"/>
        </w:rPr>
        <w:t xml:space="preserve"> </w:t>
      </w:r>
      <w:r w:rsidRPr="00E00CAF">
        <w:rPr>
          <w:sz w:val="28"/>
          <w:szCs w:val="28"/>
          <w:shd w:val="clear" w:color="auto" w:fill="FFFFFF"/>
          <w:lang w:val="uk-UA"/>
        </w:rPr>
        <w:t>8-OHdG</w:t>
      </w:r>
      <w:r w:rsidRPr="00E00CAF">
        <w:rPr>
          <w:b/>
          <w:sz w:val="28"/>
          <w:szCs w:val="28"/>
          <w:shd w:val="clear" w:color="auto" w:fill="FFFFFF"/>
          <w:lang w:val="uk-UA"/>
        </w:rPr>
        <w:t xml:space="preserve"> - </w:t>
      </w:r>
      <w:r w:rsidRPr="00E00CAF">
        <w:rPr>
          <w:sz w:val="28"/>
          <w:szCs w:val="28"/>
          <w:shd w:val="clear" w:color="auto" w:fill="FFFFFF"/>
          <w:lang w:val="uk-UA"/>
        </w:rPr>
        <w:t>у</w:t>
      </w:r>
      <w:r w:rsidRPr="00E00CAF">
        <w:rPr>
          <w:rStyle w:val="afa"/>
          <w:sz w:val="28"/>
          <w:szCs w:val="28"/>
          <w:lang w:val="uk-UA"/>
        </w:rPr>
        <w:t xml:space="preserve"> </w:t>
      </w:r>
      <w:r w:rsidRPr="00E00CAF">
        <w:rPr>
          <w:rStyle w:val="afa"/>
          <w:b w:val="0"/>
          <w:sz w:val="28"/>
          <w:szCs w:val="28"/>
          <w:lang w:val="uk-UA"/>
        </w:rPr>
        <w:t>44 (</w:t>
      </w:r>
      <w:r w:rsidRPr="00E00CAF">
        <w:rPr>
          <w:rStyle w:val="afa"/>
          <w:b w:val="0"/>
          <w:sz w:val="28"/>
          <w:szCs w:val="28"/>
        </w:rPr>
        <w:t>47</w:t>
      </w:r>
      <w:r w:rsidRPr="00E00CAF">
        <w:rPr>
          <w:rStyle w:val="afa"/>
          <w:b w:val="0"/>
          <w:sz w:val="28"/>
          <w:szCs w:val="28"/>
          <w:lang w:val="uk-UA"/>
        </w:rPr>
        <w:t>,31</w:t>
      </w:r>
      <w:r w:rsidR="00E00CAF">
        <w:rPr>
          <w:rStyle w:val="afa"/>
          <w:b w:val="0"/>
          <w:sz w:val="28"/>
          <w:szCs w:val="28"/>
          <w:lang w:val="uk-UA"/>
        </w:rPr>
        <w:t>±5,17%</w:t>
      </w:r>
      <w:r w:rsidRPr="00E00CAF">
        <w:rPr>
          <w:b/>
          <w:sz w:val="28"/>
          <w:szCs w:val="28"/>
          <w:lang w:val="uk-UA"/>
        </w:rPr>
        <w:t xml:space="preserve">) </w:t>
      </w:r>
      <w:r w:rsidRPr="00E00CAF">
        <w:rPr>
          <w:sz w:val="28"/>
          <w:szCs w:val="28"/>
          <w:lang w:val="uk-UA"/>
        </w:rPr>
        <w:t>з 93 пацієнтів</w:t>
      </w:r>
      <w:r w:rsidRPr="00E00CAF">
        <w:rPr>
          <w:b/>
          <w:sz w:val="28"/>
          <w:szCs w:val="28"/>
          <w:lang w:val="uk-UA"/>
        </w:rPr>
        <w:t xml:space="preserve">. </w:t>
      </w:r>
      <w:r w:rsidRPr="00E00CAF">
        <w:rPr>
          <w:sz w:val="28"/>
          <w:szCs w:val="28"/>
          <w:lang w:val="uk-UA"/>
        </w:rPr>
        <w:t>В динаміці рівень МДА знизився у 37</w:t>
      </w:r>
      <w:r w:rsidRPr="00E00CAF">
        <w:rPr>
          <w:b/>
          <w:sz w:val="28"/>
          <w:szCs w:val="28"/>
          <w:lang w:val="uk-UA"/>
        </w:rPr>
        <w:t xml:space="preserve"> (</w:t>
      </w:r>
      <w:r w:rsidRPr="00E00CAF">
        <w:rPr>
          <w:rStyle w:val="afa"/>
          <w:b w:val="0"/>
          <w:sz w:val="28"/>
          <w:szCs w:val="28"/>
          <w:lang w:val="uk-UA"/>
        </w:rPr>
        <w:t>69.81±</w:t>
      </w:r>
      <w:r w:rsidR="00E00CAF">
        <w:rPr>
          <w:rStyle w:val="afa"/>
          <w:b w:val="0"/>
          <w:sz w:val="28"/>
          <w:szCs w:val="28"/>
          <w:lang w:val="uk-UA"/>
        </w:rPr>
        <w:t>6,31%</w:t>
      </w:r>
      <w:r w:rsidRPr="00E00CAF">
        <w:rPr>
          <w:sz w:val="28"/>
          <w:szCs w:val="28"/>
          <w:lang w:val="uk-UA"/>
        </w:rPr>
        <w:t xml:space="preserve">) з 53 пацієнтів, які мали рівень МДА, вищий ніж медіана в групі, рівні </w:t>
      </w:r>
      <w:r w:rsidRPr="00E00CAF">
        <w:rPr>
          <w:sz w:val="28"/>
          <w:szCs w:val="28"/>
          <w:shd w:val="clear" w:color="auto" w:fill="FFFFFF"/>
          <w:lang w:val="uk-UA"/>
        </w:rPr>
        <w:t xml:space="preserve">8-OHdG знизилися </w:t>
      </w:r>
      <w:r w:rsidRPr="00E00CAF">
        <w:rPr>
          <w:sz w:val="28"/>
          <w:szCs w:val="28"/>
          <w:lang w:val="uk-UA"/>
        </w:rPr>
        <w:t xml:space="preserve">у значної більшості пацієнтів - 39 </w:t>
      </w:r>
      <w:r w:rsidRPr="00E00CAF">
        <w:rPr>
          <w:b/>
          <w:sz w:val="28"/>
          <w:szCs w:val="28"/>
          <w:lang w:val="uk-UA"/>
        </w:rPr>
        <w:t>(</w:t>
      </w:r>
      <w:r w:rsidRPr="00E00CAF">
        <w:rPr>
          <w:rStyle w:val="afa"/>
          <w:b w:val="0"/>
          <w:sz w:val="28"/>
          <w:szCs w:val="28"/>
          <w:lang w:val="uk-UA"/>
        </w:rPr>
        <w:t>88.64</w:t>
      </w:r>
      <w:r w:rsidR="00E00CAF">
        <w:rPr>
          <w:rStyle w:val="afa"/>
          <w:b w:val="0"/>
          <w:sz w:val="28"/>
          <w:szCs w:val="28"/>
          <w:lang w:val="uk-UA"/>
        </w:rPr>
        <w:t>±4,78%</w:t>
      </w:r>
      <w:r w:rsidRPr="00E00CAF">
        <w:rPr>
          <w:rStyle w:val="afa"/>
          <w:b w:val="0"/>
          <w:sz w:val="28"/>
          <w:szCs w:val="28"/>
          <w:lang w:val="uk-UA"/>
        </w:rPr>
        <w:t>) з 44</w:t>
      </w:r>
      <w:r w:rsidRPr="00E00CAF">
        <w:rPr>
          <w:rStyle w:val="afa"/>
          <w:sz w:val="28"/>
          <w:szCs w:val="28"/>
          <w:lang w:val="uk-UA"/>
        </w:rPr>
        <w:t xml:space="preserve"> </w:t>
      </w:r>
      <w:r w:rsidRPr="00E00CAF">
        <w:rPr>
          <w:rStyle w:val="afa"/>
          <w:b w:val="0"/>
          <w:sz w:val="28"/>
          <w:szCs w:val="28"/>
          <w:lang w:val="uk-UA"/>
        </w:rPr>
        <w:t>пацієнтів</w:t>
      </w:r>
      <w:r w:rsidRPr="00E00CAF">
        <w:rPr>
          <w:b/>
          <w:sz w:val="28"/>
          <w:szCs w:val="28"/>
          <w:lang w:val="uk-UA"/>
        </w:rPr>
        <w:t>,</w:t>
      </w:r>
      <w:r w:rsidRPr="00E00CAF">
        <w:rPr>
          <w:sz w:val="28"/>
          <w:szCs w:val="28"/>
          <w:lang w:val="uk-UA"/>
        </w:rPr>
        <w:t xml:space="preserve"> які мали рівень цього показника  вище медіани групи.</w:t>
      </w:r>
      <w:r w:rsidRPr="00BC570A">
        <w:rPr>
          <w:sz w:val="28"/>
          <w:szCs w:val="28"/>
          <w:lang w:val="uk-UA"/>
        </w:rPr>
        <w:t xml:space="preserve"> Серед осіб, які мали показники менш ніж медіана групи, зниження рівнів </w:t>
      </w:r>
      <w:r w:rsidRPr="00BC570A">
        <w:rPr>
          <w:sz w:val="28"/>
          <w:szCs w:val="28"/>
          <w:shd w:val="clear" w:color="auto" w:fill="FFFFFF"/>
          <w:lang w:val="uk-UA"/>
        </w:rPr>
        <w:t>8-OHdG на тлі замісної терапії спостерігалось у всіх осіб, а рівнів МДА –  у 21 (</w:t>
      </w:r>
      <w:r w:rsidRPr="00BC570A">
        <w:rPr>
          <w:rStyle w:val="afa"/>
          <w:b w:val="0"/>
          <w:sz w:val="28"/>
          <w:szCs w:val="28"/>
          <w:lang w:val="uk-UA"/>
        </w:rPr>
        <w:t>52,5±</w:t>
      </w:r>
      <w:r w:rsidR="00BC570A">
        <w:rPr>
          <w:rStyle w:val="afa"/>
          <w:b w:val="0"/>
          <w:sz w:val="28"/>
          <w:szCs w:val="28"/>
          <w:lang w:val="uk-UA"/>
        </w:rPr>
        <w:t>7,89</w:t>
      </w:r>
      <w:r w:rsidRPr="00BC570A">
        <w:rPr>
          <w:rStyle w:val="afa"/>
          <w:b w:val="0"/>
          <w:sz w:val="28"/>
          <w:szCs w:val="28"/>
          <w:lang w:val="uk-UA"/>
        </w:rPr>
        <w:t>%)</w:t>
      </w:r>
      <w:r w:rsidRPr="00BC570A">
        <w:rPr>
          <w:sz w:val="28"/>
          <w:szCs w:val="28"/>
          <w:shd w:val="clear" w:color="auto" w:fill="FFFFFF"/>
          <w:lang w:val="uk-UA"/>
        </w:rPr>
        <w:t xml:space="preserve"> з </w:t>
      </w:r>
      <w:r w:rsidRPr="00BC570A">
        <w:rPr>
          <w:sz w:val="28"/>
          <w:szCs w:val="28"/>
          <w:lang w:val="uk-UA"/>
        </w:rPr>
        <w:t xml:space="preserve"> 40 пацієнтів. В той же час рівень антиоксидантного захисту підвищився у більшості пацієнтів незалежно від вихідних значень окислювальних показників: ГПО у 40 (</w:t>
      </w:r>
      <w:r w:rsidRPr="00BC570A">
        <w:rPr>
          <w:rStyle w:val="afa"/>
          <w:b w:val="0"/>
          <w:sz w:val="28"/>
          <w:szCs w:val="28"/>
          <w:lang w:val="uk-UA"/>
        </w:rPr>
        <w:t>43.01</w:t>
      </w:r>
      <w:r w:rsidR="008E5154">
        <w:rPr>
          <w:rStyle w:val="afa"/>
          <w:b w:val="0"/>
          <w:sz w:val="28"/>
          <w:szCs w:val="28"/>
          <w:lang w:val="uk-UA"/>
        </w:rPr>
        <w:t>±5,13</w:t>
      </w:r>
      <w:r w:rsidRPr="00BC570A">
        <w:rPr>
          <w:rStyle w:val="afa"/>
          <w:b w:val="0"/>
          <w:sz w:val="28"/>
          <w:szCs w:val="28"/>
          <w:lang w:val="uk-UA"/>
        </w:rPr>
        <w:t>%</w:t>
      </w:r>
      <w:r w:rsidRPr="00BC570A">
        <w:rPr>
          <w:b/>
          <w:sz w:val="28"/>
          <w:szCs w:val="28"/>
          <w:lang w:val="uk-UA"/>
        </w:rPr>
        <w:t>)</w:t>
      </w:r>
      <w:r w:rsidRPr="00BC570A">
        <w:rPr>
          <w:sz w:val="28"/>
          <w:szCs w:val="28"/>
          <w:lang w:val="uk-UA"/>
        </w:rPr>
        <w:t xml:space="preserve"> з 93 пацієнтів та рівень </w:t>
      </w:r>
      <w:r w:rsidRPr="00BC570A">
        <w:rPr>
          <w:sz w:val="28"/>
          <w:szCs w:val="28"/>
          <w:lang w:val="en-US"/>
        </w:rPr>
        <w:t>SH</w:t>
      </w:r>
      <w:r w:rsidRPr="00BC570A">
        <w:rPr>
          <w:sz w:val="28"/>
          <w:szCs w:val="28"/>
          <w:lang w:val="uk-UA"/>
        </w:rPr>
        <w:t xml:space="preserve"> у всіх 93 (100±0%) пацієнтів. Подібні зміни можна розцінювати як зниження ступеня ОС та, оскільки ОС вважається додатковим фактором КВР, та припустити зниження рівня загального ризику на тлі додатково призначеної замісної терапії в подібних клінічних випадках.</w:t>
      </w:r>
    </w:p>
    <w:p w:rsidR="00E3259F" w:rsidRPr="008E5154" w:rsidRDefault="00E3259F" w:rsidP="008E5154">
      <w:pPr>
        <w:spacing w:line="360" w:lineRule="auto"/>
        <w:ind w:firstLine="709"/>
        <w:jc w:val="both"/>
        <w:rPr>
          <w:rStyle w:val="tlid-translation"/>
          <w:sz w:val="22"/>
          <w:szCs w:val="22"/>
          <w:lang w:val="uk-UA"/>
        </w:rPr>
      </w:pPr>
      <w:r w:rsidRPr="008E5154">
        <w:rPr>
          <w:rStyle w:val="tlid-translation"/>
          <w:sz w:val="28"/>
          <w:szCs w:val="28"/>
          <w:lang w:val="uk-UA"/>
        </w:rPr>
        <w:t xml:space="preserve">Таким чином, призначення замісної терапії левотироксином пацієнтам з коморбідною патологією, яка включає ГХ, ЦД 2 типу та СГТ, призводить до покращення оксидантно-антиоксидантного балансу за рахунок інтенсифікації захисних антиоксидантних механізмів більшою мірою, ніж за рахунок пригнічення окислювальних процесів. </w:t>
      </w:r>
    </w:p>
    <w:p w:rsidR="00E3259F" w:rsidRPr="008E5154" w:rsidRDefault="00E3259F" w:rsidP="008E5154">
      <w:pPr>
        <w:spacing w:line="360" w:lineRule="auto"/>
        <w:ind w:firstLine="709"/>
        <w:jc w:val="both"/>
        <w:rPr>
          <w:lang w:val="uk-UA"/>
        </w:rPr>
      </w:pPr>
      <w:r w:rsidRPr="008E5154">
        <w:rPr>
          <w:sz w:val="28"/>
          <w:szCs w:val="28"/>
          <w:lang w:val="uk-UA"/>
        </w:rPr>
        <w:t>Беручи до уваги суперечливі дані відносно прогресування ОС на тлі лікування статинами, зокрема в осіб з коморбідною патологією, яка включає ЦД 2 типу, на підставі отриманих в досліджені даних, був запропонований метод прогнозування</w:t>
      </w:r>
      <w:r w:rsidRPr="008E5154">
        <w:rPr>
          <w:b/>
          <w:sz w:val="28"/>
          <w:szCs w:val="28"/>
          <w:lang w:val="uk-UA"/>
        </w:rPr>
        <w:t xml:space="preserve"> </w:t>
      </w:r>
      <w:r w:rsidRPr="008E5154">
        <w:rPr>
          <w:sz w:val="28"/>
          <w:szCs w:val="28"/>
          <w:lang w:val="uk-UA"/>
        </w:rPr>
        <w:t>розвитку та вираженість ОС, який полягає в тому, що у пацієнтів з ГХ, ЦД 2 типу та СГТ на тлі статинотерапії на підставі лабораторних ознак таких, як рівень МДА, рівень тіолових групп, за допомогою математичного апарата визначають вираженість ОС, який відрізняється тим</w:t>
      </w:r>
      <w:r w:rsidRPr="008E5154">
        <w:rPr>
          <w:b/>
          <w:sz w:val="28"/>
          <w:szCs w:val="28"/>
          <w:lang w:val="uk-UA"/>
        </w:rPr>
        <w:t xml:space="preserve">, </w:t>
      </w:r>
      <w:r w:rsidRPr="008E5154">
        <w:rPr>
          <w:sz w:val="28"/>
          <w:szCs w:val="28"/>
          <w:lang w:val="uk-UA"/>
        </w:rPr>
        <w:t xml:space="preserve">що додатково обстежують та ураховують, активність ГПО, рівень </w:t>
      </w:r>
      <w:r w:rsidRPr="008E5154">
        <w:rPr>
          <w:sz w:val="28"/>
          <w:szCs w:val="28"/>
          <w:shd w:val="clear" w:color="auto" w:fill="FFFFFF"/>
          <w:lang w:val="uk-UA"/>
        </w:rPr>
        <w:t>8-OHdG</w:t>
      </w:r>
      <w:r w:rsidRPr="008E5154">
        <w:rPr>
          <w:sz w:val="28"/>
          <w:szCs w:val="28"/>
          <w:lang w:val="uk-UA"/>
        </w:rPr>
        <w:t xml:space="preserve">, інформацію щодо вживання статинів, рівень САТ та рівень ТТГ, за регресійним рівнянням визначають у пацієнта ймовірність прогресування ОС за формулою: </w:t>
      </w:r>
    </w:p>
    <w:p w:rsidR="00E3259F" w:rsidRPr="008E5154" w:rsidRDefault="00E3259F" w:rsidP="008E5154">
      <w:pPr>
        <w:spacing w:line="360" w:lineRule="auto"/>
        <w:jc w:val="center"/>
        <w:rPr>
          <w:sz w:val="28"/>
          <w:szCs w:val="28"/>
          <w:lang w:val="uk-UA"/>
        </w:rPr>
      </w:pPr>
      <w:r w:rsidRPr="008E5154">
        <w:rPr>
          <w:rFonts w:eastAsiaTheme="minorHAnsi"/>
          <w:sz w:val="28"/>
          <w:szCs w:val="28"/>
          <w:lang w:eastAsia="en-US"/>
        </w:rPr>
        <w:object w:dxaOrig="240" w:dyaOrig="405">
          <v:shape id="_x0000_i1077" type="#_x0000_t75" style="width:12.75pt;height:20.25pt" o:ole="">
            <v:imagedata r:id="rId48" o:title=""/>
          </v:shape>
          <o:OLEObject Type="Embed" ProgID="Equation.3" ShapeID="_x0000_i1077" DrawAspect="Content" ObjectID="_1669446861" r:id="rId93"/>
        </w:object>
      </w:r>
      <w:r w:rsidRPr="008E5154">
        <w:rPr>
          <w:sz w:val="28"/>
          <w:szCs w:val="28"/>
          <w:lang w:val="uk-UA"/>
        </w:rPr>
        <w:t xml:space="preserve"> =[1+ </w:t>
      </w:r>
      <w:r w:rsidRPr="008E5154">
        <w:rPr>
          <w:sz w:val="28"/>
          <w:szCs w:val="28"/>
          <w:lang w:val="en-US"/>
        </w:rPr>
        <w:t>exp</w:t>
      </w:r>
      <w:r w:rsidRPr="008E5154">
        <w:rPr>
          <w:sz w:val="28"/>
          <w:szCs w:val="28"/>
          <w:lang w:val="uk-UA"/>
        </w:rPr>
        <w:t xml:space="preserve">(4,229 </w:t>
      </w:r>
      <w:r w:rsidRPr="008E5154">
        <w:rPr>
          <w:i/>
          <w:sz w:val="28"/>
          <w:szCs w:val="28"/>
          <w:lang w:val="en-US"/>
        </w:rPr>
        <w:t>X</w:t>
      </w:r>
      <w:r w:rsidRPr="008E5154">
        <w:rPr>
          <w:i/>
          <w:sz w:val="28"/>
          <w:szCs w:val="28"/>
          <w:vertAlign w:val="subscript"/>
          <w:lang w:val="uk-UA"/>
        </w:rPr>
        <w:t xml:space="preserve">1 </w:t>
      </w:r>
      <w:r w:rsidRPr="008E5154">
        <w:rPr>
          <w:sz w:val="28"/>
          <w:szCs w:val="28"/>
          <w:lang w:val="uk-UA"/>
        </w:rPr>
        <w:t xml:space="preserve">- 2,530 </w:t>
      </w:r>
      <w:r w:rsidRPr="008E5154">
        <w:rPr>
          <w:i/>
          <w:sz w:val="28"/>
          <w:szCs w:val="28"/>
          <w:lang w:val="en-US"/>
        </w:rPr>
        <w:t>X</w:t>
      </w:r>
      <w:r w:rsidRPr="008E5154">
        <w:rPr>
          <w:i/>
          <w:sz w:val="28"/>
          <w:szCs w:val="28"/>
          <w:vertAlign w:val="subscript"/>
          <w:lang w:val="uk-UA"/>
        </w:rPr>
        <w:t>2</w:t>
      </w:r>
      <w:r w:rsidRPr="008E5154">
        <w:rPr>
          <w:sz w:val="28"/>
          <w:szCs w:val="28"/>
          <w:vertAlign w:val="subscript"/>
          <w:lang w:val="uk-UA"/>
        </w:rPr>
        <w:t xml:space="preserve"> </w:t>
      </w:r>
      <w:r w:rsidRPr="008E5154">
        <w:rPr>
          <w:sz w:val="28"/>
          <w:szCs w:val="28"/>
          <w:lang w:val="uk-UA"/>
        </w:rPr>
        <w:t xml:space="preserve">- 0,059 </w:t>
      </w:r>
      <w:r w:rsidRPr="008E5154">
        <w:rPr>
          <w:i/>
          <w:sz w:val="28"/>
          <w:szCs w:val="28"/>
          <w:lang w:val="en-US"/>
        </w:rPr>
        <w:t>X</w:t>
      </w:r>
      <w:r w:rsidRPr="008E5154">
        <w:rPr>
          <w:i/>
          <w:sz w:val="28"/>
          <w:szCs w:val="28"/>
          <w:vertAlign w:val="subscript"/>
          <w:lang w:val="uk-UA"/>
        </w:rPr>
        <w:t xml:space="preserve">3 </w:t>
      </w:r>
      <w:r w:rsidRPr="008E5154">
        <w:rPr>
          <w:sz w:val="28"/>
          <w:szCs w:val="28"/>
          <w:lang w:val="uk-UA"/>
        </w:rPr>
        <w:t xml:space="preserve">+ 0,871 </w:t>
      </w:r>
      <w:r w:rsidRPr="008E5154">
        <w:rPr>
          <w:i/>
          <w:sz w:val="28"/>
          <w:szCs w:val="28"/>
          <w:lang w:val="en-US"/>
        </w:rPr>
        <w:t>X</w:t>
      </w:r>
      <w:r w:rsidRPr="008E5154">
        <w:rPr>
          <w:i/>
          <w:sz w:val="28"/>
          <w:szCs w:val="28"/>
          <w:vertAlign w:val="subscript"/>
          <w:lang w:val="uk-UA"/>
        </w:rPr>
        <w:t>4</w:t>
      </w:r>
      <w:r w:rsidRPr="008E5154">
        <w:rPr>
          <w:sz w:val="28"/>
          <w:szCs w:val="28"/>
          <w:vertAlign w:val="subscript"/>
          <w:lang w:val="uk-UA"/>
        </w:rPr>
        <w:t xml:space="preserve"> </w:t>
      </w:r>
      <w:r w:rsidRPr="008E5154">
        <w:rPr>
          <w:sz w:val="28"/>
          <w:szCs w:val="28"/>
          <w:lang w:val="uk-UA"/>
        </w:rPr>
        <w:t xml:space="preserve">+ 3,380 </w:t>
      </w:r>
      <w:r w:rsidRPr="008E5154">
        <w:rPr>
          <w:i/>
          <w:sz w:val="28"/>
          <w:szCs w:val="28"/>
          <w:lang w:val="en-US"/>
        </w:rPr>
        <w:t>X</w:t>
      </w:r>
      <w:r w:rsidRPr="008E5154">
        <w:rPr>
          <w:i/>
          <w:sz w:val="28"/>
          <w:szCs w:val="28"/>
          <w:vertAlign w:val="subscript"/>
          <w:lang w:val="uk-UA"/>
        </w:rPr>
        <w:t>5</w:t>
      </w:r>
      <w:r w:rsidRPr="008E5154">
        <w:rPr>
          <w:sz w:val="28"/>
          <w:szCs w:val="28"/>
          <w:lang w:val="uk-UA"/>
        </w:rPr>
        <w:t xml:space="preserve"> - 0,149 </w:t>
      </w:r>
      <w:r w:rsidRPr="008E5154">
        <w:rPr>
          <w:i/>
          <w:sz w:val="28"/>
          <w:szCs w:val="28"/>
          <w:lang w:val="en-US"/>
        </w:rPr>
        <w:t>X</w:t>
      </w:r>
      <w:r w:rsidRPr="008E5154">
        <w:rPr>
          <w:i/>
          <w:sz w:val="28"/>
          <w:szCs w:val="28"/>
          <w:vertAlign w:val="subscript"/>
          <w:lang w:val="uk-UA"/>
        </w:rPr>
        <w:t>6</w:t>
      </w:r>
      <w:r w:rsidRPr="008E5154">
        <w:rPr>
          <w:sz w:val="28"/>
          <w:szCs w:val="28"/>
          <w:lang w:val="uk-UA"/>
        </w:rPr>
        <w:t xml:space="preserve"> - 0,611 </w:t>
      </w:r>
      <w:r w:rsidRPr="008E5154">
        <w:rPr>
          <w:i/>
          <w:sz w:val="28"/>
          <w:szCs w:val="28"/>
          <w:lang w:val="en-US"/>
        </w:rPr>
        <w:t>X</w:t>
      </w:r>
      <w:r w:rsidRPr="008E5154">
        <w:rPr>
          <w:i/>
          <w:sz w:val="28"/>
          <w:szCs w:val="28"/>
          <w:vertAlign w:val="subscript"/>
          <w:lang w:val="uk-UA"/>
        </w:rPr>
        <w:t>7</w:t>
      </w:r>
      <w:r w:rsidRPr="008E5154">
        <w:rPr>
          <w:sz w:val="28"/>
          <w:szCs w:val="28"/>
          <w:lang w:val="uk-UA"/>
        </w:rPr>
        <w:t xml:space="preserve"> + 29,490)]</w:t>
      </w:r>
      <w:r w:rsidRPr="008E5154">
        <w:rPr>
          <w:sz w:val="28"/>
          <w:szCs w:val="28"/>
          <w:vertAlign w:val="superscript"/>
          <w:lang w:val="uk-UA"/>
        </w:rPr>
        <w:t>-1</w:t>
      </w:r>
      <w:r w:rsidRPr="008E5154">
        <w:rPr>
          <w:sz w:val="28"/>
          <w:szCs w:val="28"/>
          <w:lang w:val="uk-UA"/>
        </w:rPr>
        <w:t>,                                      (8.1)</w:t>
      </w:r>
    </w:p>
    <w:p w:rsidR="00E3259F" w:rsidRPr="008E5154" w:rsidRDefault="00E3259F" w:rsidP="008E5154">
      <w:pPr>
        <w:spacing w:line="360" w:lineRule="auto"/>
        <w:ind w:firstLine="709"/>
        <w:jc w:val="both"/>
        <w:rPr>
          <w:sz w:val="28"/>
          <w:szCs w:val="28"/>
          <w:lang w:val="uk-UA"/>
        </w:rPr>
      </w:pPr>
      <w:r w:rsidRPr="008E5154">
        <w:rPr>
          <w:sz w:val="28"/>
          <w:szCs w:val="28"/>
        </w:rPr>
        <w:t xml:space="preserve">де </w:t>
      </w:r>
      <w:r w:rsidRPr="008E5154">
        <w:rPr>
          <w:rFonts w:eastAsiaTheme="minorHAnsi"/>
          <w:sz w:val="28"/>
          <w:szCs w:val="28"/>
          <w:lang w:eastAsia="en-US"/>
        </w:rPr>
        <w:object w:dxaOrig="240" w:dyaOrig="405">
          <v:shape id="_x0000_i1078" type="#_x0000_t75" style="width:12.75pt;height:20.25pt" o:ole="">
            <v:imagedata r:id="rId48" o:title=""/>
          </v:shape>
          <o:OLEObject Type="Embed" ProgID="Equation.3" ShapeID="_x0000_i1078" DrawAspect="Content" ObjectID="_1669446862" r:id="rId94"/>
        </w:object>
      </w:r>
      <w:r w:rsidRPr="008E5154">
        <w:rPr>
          <w:sz w:val="28"/>
          <w:szCs w:val="28"/>
          <w:lang w:val="uk-UA"/>
        </w:rPr>
        <w:t xml:space="preserve"> </w:t>
      </w:r>
      <w:r w:rsidRPr="008E5154">
        <w:rPr>
          <w:sz w:val="28"/>
          <w:szCs w:val="28"/>
        </w:rPr>
        <w:t>–</w:t>
      </w:r>
      <w:r w:rsidRPr="008E5154">
        <w:rPr>
          <w:sz w:val="28"/>
          <w:szCs w:val="28"/>
          <w:lang w:val="uk-UA"/>
        </w:rPr>
        <w:t xml:space="preserve"> імовірність прогресування оксидативного стресу в пацієнтів з ГХ та ЦД 2 типу у поєднанні з СГТ на тлі статинотерапії;</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1</w:t>
      </w:r>
      <w:r w:rsidRPr="008E5154">
        <w:rPr>
          <w:sz w:val="28"/>
          <w:szCs w:val="28"/>
          <w:vertAlign w:val="subscript"/>
          <w:lang w:val="uk-UA"/>
        </w:rPr>
        <w:t xml:space="preserve"> </w:t>
      </w:r>
      <w:r w:rsidRPr="008E5154">
        <w:rPr>
          <w:sz w:val="28"/>
          <w:szCs w:val="28"/>
          <w:lang w:val="uk-UA"/>
        </w:rPr>
        <w:t xml:space="preserve">– рівень МДА, мкмоль/л; </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 xml:space="preserve">2 </w:t>
      </w:r>
      <w:r w:rsidRPr="008E5154">
        <w:rPr>
          <w:sz w:val="28"/>
          <w:szCs w:val="28"/>
          <w:lang w:val="uk-UA"/>
        </w:rPr>
        <w:t xml:space="preserve">– активність ГПО, мккат/г Hb; </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3</w:t>
      </w:r>
      <w:r w:rsidRPr="008E5154">
        <w:rPr>
          <w:sz w:val="28"/>
          <w:szCs w:val="28"/>
          <w:vertAlign w:val="subscript"/>
          <w:lang w:val="uk-UA"/>
        </w:rPr>
        <w:t xml:space="preserve"> </w:t>
      </w:r>
      <w:r w:rsidRPr="008E5154">
        <w:rPr>
          <w:sz w:val="28"/>
          <w:szCs w:val="28"/>
          <w:lang w:val="uk-UA"/>
        </w:rPr>
        <w:t xml:space="preserve">–  рівень </w:t>
      </w:r>
      <w:r w:rsidRPr="008E5154">
        <w:rPr>
          <w:sz w:val="28"/>
          <w:szCs w:val="28"/>
        </w:rPr>
        <w:t>SH</w:t>
      </w:r>
      <w:r w:rsidRPr="008E5154">
        <w:rPr>
          <w:sz w:val="28"/>
          <w:szCs w:val="28"/>
          <w:lang w:val="uk-UA"/>
        </w:rPr>
        <w:t xml:space="preserve">-груп, мкмоль/л; </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4</w:t>
      </w:r>
      <w:r w:rsidRPr="008E5154">
        <w:rPr>
          <w:sz w:val="28"/>
          <w:szCs w:val="28"/>
          <w:vertAlign w:val="subscript"/>
          <w:lang w:val="uk-UA"/>
        </w:rPr>
        <w:t xml:space="preserve"> </w:t>
      </w:r>
      <w:r w:rsidRPr="008E5154">
        <w:rPr>
          <w:sz w:val="28"/>
          <w:szCs w:val="28"/>
          <w:lang w:val="uk-UA"/>
        </w:rPr>
        <w:t xml:space="preserve">–  рівень 8-OH-dG, нг/л; </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5</w:t>
      </w:r>
      <w:r w:rsidRPr="008E5154">
        <w:rPr>
          <w:sz w:val="28"/>
          <w:szCs w:val="28"/>
          <w:vertAlign w:val="subscript"/>
          <w:lang w:val="uk-UA"/>
        </w:rPr>
        <w:t xml:space="preserve"> </w:t>
      </w:r>
      <w:r w:rsidRPr="008E5154">
        <w:rPr>
          <w:sz w:val="28"/>
          <w:szCs w:val="28"/>
          <w:lang w:val="uk-UA"/>
        </w:rPr>
        <w:t xml:space="preserve">– інформація щодо прийому статинів (1 – не приймає; 2 – приймає); </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 xml:space="preserve">6 </w:t>
      </w:r>
      <w:r w:rsidRPr="008E5154">
        <w:rPr>
          <w:sz w:val="28"/>
          <w:szCs w:val="28"/>
          <w:lang w:val="uk-UA"/>
        </w:rPr>
        <w:t xml:space="preserve">– рівень САТ, мм.рт.ст; </w:t>
      </w:r>
    </w:p>
    <w:p w:rsidR="00E3259F" w:rsidRPr="008E5154" w:rsidRDefault="00E3259F" w:rsidP="008E5154">
      <w:pPr>
        <w:spacing w:line="360" w:lineRule="auto"/>
        <w:ind w:firstLine="709"/>
        <w:jc w:val="both"/>
        <w:rPr>
          <w:sz w:val="28"/>
          <w:szCs w:val="28"/>
          <w:lang w:val="uk-UA"/>
        </w:rPr>
      </w:pPr>
      <w:r w:rsidRPr="008E5154">
        <w:rPr>
          <w:i/>
          <w:sz w:val="28"/>
          <w:szCs w:val="28"/>
          <w:lang w:val="en-US"/>
        </w:rPr>
        <w:t>X</w:t>
      </w:r>
      <w:r w:rsidRPr="008E5154">
        <w:rPr>
          <w:i/>
          <w:sz w:val="28"/>
          <w:szCs w:val="28"/>
          <w:vertAlign w:val="subscript"/>
          <w:lang w:val="uk-UA"/>
        </w:rPr>
        <w:t xml:space="preserve">7 </w:t>
      </w:r>
      <w:r w:rsidRPr="008E5154">
        <w:rPr>
          <w:sz w:val="28"/>
          <w:szCs w:val="28"/>
          <w:lang w:val="uk-UA"/>
        </w:rPr>
        <w:t>– рівень ТТГ, мкМО/мл.</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Якщо значення </w:t>
      </w:r>
      <w:r w:rsidRPr="008E5154">
        <w:rPr>
          <w:rFonts w:eastAsiaTheme="minorHAnsi"/>
          <w:sz w:val="28"/>
          <w:szCs w:val="28"/>
          <w:lang w:eastAsia="en-US"/>
        </w:rPr>
        <w:object w:dxaOrig="240" w:dyaOrig="405">
          <v:shape id="_x0000_i1079" type="#_x0000_t75" style="width:12.75pt;height:20.25pt" o:ole="">
            <v:imagedata r:id="rId48" o:title=""/>
          </v:shape>
          <o:OLEObject Type="Embed" ProgID="Equation.3" ShapeID="_x0000_i1079" DrawAspect="Content" ObjectID="_1669446863" r:id="rId95"/>
        </w:object>
      </w:r>
      <w:r w:rsidRPr="008E5154">
        <w:rPr>
          <w:sz w:val="28"/>
          <w:szCs w:val="28"/>
          <w:lang w:val="uk-UA"/>
        </w:rPr>
        <w:t xml:space="preserve"> знаходиться в межах від 0 до 1, то  чим ближче значення прогнозованої ймовірності до одиниці, тим вище вираженість та ймовірність прогресування ОС у пацієнтів з ГХ та ЦД  2 типу у поєднанні зі СГТ на тлі стітинотерапії, якщо значення </w:t>
      </w:r>
      <w:r w:rsidRPr="008E5154">
        <w:rPr>
          <w:rFonts w:eastAsiaTheme="minorHAnsi"/>
          <w:sz w:val="28"/>
          <w:szCs w:val="28"/>
          <w:lang w:eastAsia="en-US"/>
        </w:rPr>
        <w:object w:dxaOrig="240" w:dyaOrig="405">
          <v:shape id="_x0000_i1080" type="#_x0000_t75" style="width:12.75pt;height:20.25pt" o:ole="">
            <v:imagedata r:id="rId48" o:title=""/>
          </v:shape>
          <o:OLEObject Type="Embed" ProgID="Equation.3" ShapeID="_x0000_i1080" DrawAspect="Content" ObjectID="_1669446864" r:id="rId96"/>
        </w:object>
      </w:r>
      <w:r w:rsidRPr="008E5154">
        <w:rPr>
          <w:sz w:val="28"/>
          <w:szCs w:val="28"/>
          <w:lang w:val="uk-UA"/>
        </w:rPr>
        <w:t xml:space="preserve"> знаходиться в діапазоні від 0 до 0,5, робиться висновок, що у пацієнта низька ймовірність прогресування ОС, якщо </w:t>
      </w:r>
      <w:r w:rsidRPr="008E5154">
        <w:rPr>
          <w:rFonts w:eastAsiaTheme="minorHAnsi"/>
          <w:sz w:val="28"/>
          <w:szCs w:val="28"/>
          <w:lang w:eastAsia="en-US"/>
        </w:rPr>
        <w:object w:dxaOrig="240" w:dyaOrig="405">
          <v:shape id="_x0000_i1081" type="#_x0000_t75" style="width:12.75pt;height:20.25pt" o:ole="">
            <v:imagedata r:id="rId48" o:title=""/>
          </v:shape>
          <o:OLEObject Type="Embed" ProgID="Equation.3" ShapeID="_x0000_i1081" DrawAspect="Content" ObjectID="_1669446865" r:id="rId97"/>
        </w:object>
      </w:r>
      <w:r w:rsidRPr="008E5154">
        <w:rPr>
          <w:sz w:val="28"/>
          <w:szCs w:val="28"/>
          <w:lang w:val="uk-UA"/>
        </w:rPr>
        <w:t xml:space="preserve"> перевищує 0,5 –ймовірність прогресування ОС підвищена.</w:t>
      </w:r>
    </w:p>
    <w:p w:rsidR="00E3259F" w:rsidRPr="008E5154" w:rsidRDefault="00E3259F" w:rsidP="008E5154">
      <w:pPr>
        <w:spacing w:line="360" w:lineRule="auto"/>
        <w:ind w:firstLine="709"/>
        <w:jc w:val="both"/>
        <w:rPr>
          <w:sz w:val="28"/>
          <w:szCs w:val="28"/>
          <w:lang w:val="uk-UA"/>
        </w:rPr>
      </w:pPr>
      <w:r w:rsidRPr="008E5154">
        <w:rPr>
          <w:sz w:val="28"/>
          <w:szCs w:val="28"/>
          <w:lang w:val="uk-UA"/>
        </w:rPr>
        <w:t>Використання цих показників має високу інформативність для оцінки прогресування та прогностичного значення ОС. Так, рівень MДA  є одним з найбільш інформативних маркерів активності ПОЛ та окисної системи організму, ГПО відіграє важливу роль у захисті біологічних клітинних мембран від окислювального ушкодження шляхом збільшення концентрації зниженого глутатіону (GSSG-R) в процесі аеробного гліколізу. ГПО каталізує процес розкладання пероксиду водню та органічних перекисів з одночасним окисленням глутатіону, що й надає цьому ферменту першочергове значення в АОЗ. SH-групи серед всіх антиоксидантів, які доступні в організмі, складають основну частину антиоксидантів всього тіла, та вони відіграють значну роль у захисті від активних форм кисню. Кількісне визначення 8-OH-dG запропоновано використовувати як один з маркерів вільнорадикальних процесів, він вважається одним із кращих клініко-лабораторних маркерів ушкодження ДНК та ОС. З великої кількості відомих факторів ризику САТ відноситься до одного з найбільш значимих серед факторів ризику, які модифікуються, та входить до всіх рекомендованих шкал для підрахунку ризику розвитку кардіо-васкулярних подій (</w:t>
      </w:r>
      <w:r w:rsidRPr="008E5154">
        <w:rPr>
          <w:sz w:val="28"/>
          <w:szCs w:val="28"/>
          <w:lang w:val="en-US"/>
        </w:rPr>
        <w:t>SCORE</w:t>
      </w:r>
      <w:r w:rsidRPr="008E5154">
        <w:rPr>
          <w:sz w:val="28"/>
          <w:szCs w:val="28"/>
          <w:lang w:val="uk-UA"/>
        </w:rPr>
        <w:t xml:space="preserve">, Фрамінгемська шкала та інші), а підвищення рівня ТТГ є діагностичним маркером СГТ. </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У </w:t>
      </w:r>
      <w:r w:rsidRPr="008E5154">
        <w:rPr>
          <w:bCs/>
          <w:sz w:val="28"/>
          <w:szCs w:val="28"/>
          <w:lang w:val="uk-UA"/>
        </w:rPr>
        <w:t xml:space="preserve">таблиці 8.9 надані розраховані коефіцієнти </w:t>
      </w:r>
      <w:r w:rsidRPr="008E5154">
        <w:rPr>
          <w:sz w:val="28"/>
          <w:szCs w:val="28"/>
          <w:lang w:val="uk-UA"/>
        </w:rPr>
        <w:t>моделі бінарної логістичної регресії, створеної для визначення прогресування ОС на тлі статинотерапії у пацієнтів з ГХ, ЦД 2 типу у поєднанні з СГТ , та результати перевірки їх значущості. Всі змінні, згідно статистики Вальда, значущі                    (p</w:t>
      </w:r>
      <w:r w:rsidRPr="008E5154">
        <w:rPr>
          <w:sz w:val="28"/>
          <w:szCs w:val="28"/>
          <w:vertAlign w:val="subscript"/>
          <w:lang w:val="uk-UA"/>
        </w:rPr>
        <w:t>i</w:t>
      </w:r>
      <w:r w:rsidRPr="008E5154">
        <w:rPr>
          <w:sz w:val="28"/>
          <w:szCs w:val="28"/>
          <w:lang w:val="uk-UA"/>
        </w:rPr>
        <w:t xml:space="preserve"> &lt;0,05) та підібрані правильно.</w:t>
      </w:r>
    </w:p>
    <w:p w:rsidR="00E3259F" w:rsidRDefault="00E3259F" w:rsidP="00E3259F">
      <w:pPr>
        <w:jc w:val="right"/>
        <w:rPr>
          <w:bCs/>
          <w:sz w:val="28"/>
          <w:szCs w:val="28"/>
          <w:lang w:val="uk-UA"/>
        </w:rPr>
      </w:pPr>
      <w:r>
        <w:rPr>
          <w:bCs/>
          <w:sz w:val="28"/>
          <w:szCs w:val="28"/>
          <w:lang w:val="uk-UA"/>
        </w:rPr>
        <w:t>Таблиця 8.9</w:t>
      </w:r>
    </w:p>
    <w:p w:rsidR="00E3259F" w:rsidRPr="008E5154" w:rsidRDefault="00E3259F" w:rsidP="00E3259F">
      <w:pPr>
        <w:spacing w:line="360" w:lineRule="auto"/>
        <w:ind w:firstLine="709"/>
        <w:jc w:val="center"/>
        <w:rPr>
          <w:sz w:val="28"/>
          <w:szCs w:val="28"/>
          <w:lang w:val="uk-UA"/>
        </w:rPr>
      </w:pPr>
      <w:r w:rsidRPr="008E5154">
        <w:rPr>
          <w:bCs/>
          <w:sz w:val="28"/>
          <w:szCs w:val="28"/>
          <w:lang w:val="uk-UA"/>
        </w:rPr>
        <w:t xml:space="preserve">Коефіцієнти </w:t>
      </w:r>
      <w:r w:rsidRPr="008E5154">
        <w:rPr>
          <w:sz w:val="28"/>
          <w:szCs w:val="28"/>
          <w:lang w:val="uk-UA"/>
        </w:rPr>
        <w:t>моделі бінарної логістичної регресії, створеної для визначення прогресування оксидативного стресу в пацієнтів з ГХ та ЦД у поєднанні зі СГТ на тлі статинотерапії</w:t>
      </w:r>
    </w:p>
    <w:tbl>
      <w:tblPr>
        <w:tblW w:w="49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4A0" w:firstRow="1" w:lastRow="0" w:firstColumn="1" w:lastColumn="0" w:noHBand="0" w:noVBand="1"/>
      </w:tblPr>
      <w:tblGrid>
        <w:gridCol w:w="1423"/>
        <w:gridCol w:w="2139"/>
        <w:gridCol w:w="2190"/>
        <w:gridCol w:w="2136"/>
        <w:gridCol w:w="1454"/>
      </w:tblGrid>
      <w:tr w:rsidR="00E3259F" w:rsidRPr="008E5154" w:rsidTr="00E3259F">
        <w:trPr>
          <w:cantSplit/>
          <w:trHeight w:val="690"/>
          <w:tblHeader/>
          <w:jc w:val="center"/>
        </w:trPr>
        <w:tc>
          <w:tcPr>
            <w:tcW w:w="762"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pPr>
              <w:spacing w:line="276" w:lineRule="auto"/>
              <w:jc w:val="center"/>
              <w:rPr>
                <w:sz w:val="28"/>
                <w:szCs w:val="28"/>
                <w:lang w:val="uk-UA" w:eastAsia="en-US"/>
              </w:rPr>
            </w:pPr>
            <w:r w:rsidRPr="008E5154">
              <w:rPr>
                <w:sz w:val="28"/>
                <w:szCs w:val="28"/>
                <w:lang w:val="uk-UA" w:eastAsia="en-US"/>
              </w:rPr>
              <w:t>Ознаки,</w:t>
            </w:r>
          </w:p>
          <w:p w:rsidR="00E3259F" w:rsidRPr="008E5154" w:rsidRDefault="00E3259F">
            <w:pPr>
              <w:spacing w:line="276" w:lineRule="auto"/>
              <w:jc w:val="center"/>
              <w:rPr>
                <w:sz w:val="28"/>
                <w:szCs w:val="28"/>
                <w:lang w:val="uk-UA" w:eastAsia="en-US"/>
              </w:rPr>
            </w:pPr>
            <w:r w:rsidRPr="008E5154">
              <w:rPr>
                <w:sz w:val="28"/>
                <w:szCs w:val="28"/>
                <w:lang w:val="uk-UA" w:eastAsia="en-US"/>
              </w:rPr>
              <w:t>Х</w:t>
            </w:r>
            <w:r w:rsidRPr="008E5154">
              <w:rPr>
                <w:sz w:val="28"/>
                <w:szCs w:val="28"/>
                <w:vertAlign w:val="subscript"/>
                <w:lang w:val="uk-UA" w:eastAsia="en-US"/>
              </w:rPr>
              <w:t>i</w:t>
            </w:r>
          </w:p>
        </w:tc>
        <w:tc>
          <w:tcPr>
            <w:tcW w:w="1145"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pPr>
              <w:spacing w:line="276" w:lineRule="auto"/>
              <w:jc w:val="center"/>
              <w:rPr>
                <w:sz w:val="28"/>
                <w:szCs w:val="28"/>
                <w:lang w:val="uk-UA" w:eastAsia="en-US"/>
              </w:rPr>
            </w:pPr>
            <w:r w:rsidRPr="008E5154">
              <w:rPr>
                <w:sz w:val="28"/>
                <w:szCs w:val="28"/>
                <w:lang w:val="uk-UA" w:eastAsia="en-US"/>
              </w:rPr>
              <w:t>Коефіцієнти</w:t>
            </w:r>
          </w:p>
        </w:tc>
        <w:tc>
          <w:tcPr>
            <w:tcW w:w="1172"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pPr>
              <w:spacing w:line="276" w:lineRule="auto"/>
              <w:jc w:val="center"/>
              <w:rPr>
                <w:sz w:val="28"/>
                <w:szCs w:val="28"/>
                <w:lang w:val="uk-UA" w:eastAsia="en-US"/>
              </w:rPr>
            </w:pPr>
            <w:r w:rsidRPr="008E5154">
              <w:rPr>
                <w:sz w:val="28"/>
                <w:szCs w:val="28"/>
                <w:lang w:val="uk-UA" w:eastAsia="en-US"/>
              </w:rPr>
              <w:t>Стандартні похибки</w:t>
            </w:r>
          </w:p>
        </w:tc>
        <w:tc>
          <w:tcPr>
            <w:tcW w:w="1143"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pPr>
              <w:spacing w:line="276" w:lineRule="auto"/>
              <w:jc w:val="center"/>
              <w:rPr>
                <w:sz w:val="28"/>
                <w:szCs w:val="28"/>
                <w:lang w:val="uk-UA" w:eastAsia="en-US"/>
              </w:rPr>
            </w:pPr>
            <w:r w:rsidRPr="008E5154">
              <w:rPr>
                <w:sz w:val="28"/>
                <w:szCs w:val="28"/>
                <w:lang w:val="uk-UA" w:eastAsia="en-US"/>
              </w:rPr>
              <w:t>Критерій</w:t>
            </w:r>
          </w:p>
          <w:p w:rsidR="00E3259F" w:rsidRPr="008E5154" w:rsidRDefault="00E3259F">
            <w:pPr>
              <w:spacing w:line="276" w:lineRule="auto"/>
              <w:jc w:val="center"/>
              <w:rPr>
                <w:sz w:val="28"/>
                <w:szCs w:val="28"/>
                <w:lang w:val="uk-UA" w:eastAsia="en-US"/>
              </w:rPr>
            </w:pPr>
            <w:r w:rsidRPr="008E5154">
              <w:rPr>
                <w:sz w:val="28"/>
                <w:szCs w:val="28"/>
                <w:lang w:val="uk-UA" w:eastAsia="en-US"/>
              </w:rPr>
              <w:t>Вальда</w:t>
            </w:r>
          </w:p>
        </w:tc>
        <w:tc>
          <w:tcPr>
            <w:tcW w:w="778" w:type="pct"/>
            <w:vMerge w:val="restar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pPr>
              <w:spacing w:line="276" w:lineRule="auto"/>
              <w:jc w:val="center"/>
              <w:rPr>
                <w:sz w:val="28"/>
                <w:szCs w:val="28"/>
                <w:lang w:val="uk-UA" w:eastAsia="en-US"/>
              </w:rPr>
            </w:pPr>
            <w:r w:rsidRPr="008E5154">
              <w:rPr>
                <w:sz w:val="28"/>
                <w:szCs w:val="28"/>
                <w:lang w:val="uk-UA" w:eastAsia="en-US"/>
              </w:rPr>
              <w:t>Значущість (p</w:t>
            </w:r>
            <w:r w:rsidRPr="008E5154">
              <w:rPr>
                <w:sz w:val="28"/>
                <w:szCs w:val="28"/>
                <w:vertAlign w:val="subscript"/>
                <w:lang w:val="uk-UA" w:eastAsia="en-US"/>
              </w:rPr>
              <w:t>i</w:t>
            </w:r>
            <w:r w:rsidRPr="008E5154">
              <w:rPr>
                <w:sz w:val="28"/>
                <w:szCs w:val="28"/>
                <w:lang w:val="uk-UA" w:eastAsia="en-US"/>
              </w:rPr>
              <w:t>)</w:t>
            </w:r>
          </w:p>
        </w:tc>
      </w:tr>
      <w:tr w:rsidR="00E3259F" w:rsidTr="00E3259F">
        <w:trPr>
          <w:cantSplit/>
          <w:trHeight w:val="322"/>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sz w:val="28"/>
                <w:szCs w:val="28"/>
                <w:lang w:val="uk-UA"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sz w:val="28"/>
                <w:szCs w:val="28"/>
                <w:lang w:val="uk-UA" w:eastAsia="en-US"/>
              </w:rPr>
            </w:pP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rFonts w:eastAsiaTheme="minorHAnsi"/>
                <w:sz w:val="28"/>
                <w:szCs w:val="28"/>
                <w:lang w:eastAsia="en-US"/>
              </w:rPr>
              <w:object w:dxaOrig="330" w:dyaOrig="360">
                <v:shape id="_x0000_i1082" type="#_x0000_t75" style="width:16.5pt;height:18pt" o:ole="">
                  <v:imagedata r:id="rId98" o:title=""/>
                </v:shape>
                <o:OLEObject Type="Embed" ProgID="Equation.3" ShapeID="_x0000_i1082" DrawAspect="Content" ObjectID="_1669446866" r:id="rId99"/>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4,229</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1,647</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6,592</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,010</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rFonts w:eastAsiaTheme="minorHAnsi"/>
                <w:sz w:val="28"/>
                <w:szCs w:val="28"/>
                <w:lang w:eastAsia="en-US"/>
              </w:rPr>
              <w:object w:dxaOrig="360" w:dyaOrig="360">
                <v:shape id="_x0000_i1083" type="#_x0000_t75" style="width:18pt;height:18pt" o:ole="">
                  <v:imagedata r:id="rId100" o:title=""/>
                </v:shape>
                <o:OLEObject Type="Embed" ProgID="Equation.3" ShapeID="_x0000_i1083" DrawAspect="Content" ObjectID="_1669446867" r:id="rId101"/>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-2,530</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1,001</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6,390</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,011</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rFonts w:eastAsiaTheme="minorHAnsi"/>
                <w:sz w:val="28"/>
                <w:szCs w:val="28"/>
                <w:lang w:eastAsia="en-US"/>
              </w:rPr>
              <w:object w:dxaOrig="330" w:dyaOrig="360">
                <v:shape id="_x0000_i1084" type="#_x0000_t75" style="width:16.5pt;height:18pt" o:ole="">
                  <v:imagedata r:id="rId34" o:title=""/>
                </v:shape>
                <o:OLEObject Type="Embed" ProgID="Equation.3" ShapeID="_x0000_i1084" DrawAspect="Content" ObjectID="_1669446868" r:id="rId102"/>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w:t>
            </w:r>
            <w:r>
              <w:rPr>
                <w:sz w:val="28"/>
                <w:szCs w:val="28"/>
                <w:lang w:val="uk-UA" w:eastAsia="en-US"/>
              </w:rPr>
              <w:t>0</w:t>
            </w:r>
            <w:r>
              <w:rPr>
                <w:sz w:val="28"/>
                <w:szCs w:val="28"/>
                <w:lang w:eastAsia="en-US"/>
              </w:rPr>
              <w:t>,059</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,023</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6,607</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,010</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rFonts w:eastAsiaTheme="minorHAnsi"/>
                <w:sz w:val="28"/>
                <w:szCs w:val="28"/>
                <w:lang w:eastAsia="en-US"/>
              </w:rPr>
              <w:object w:dxaOrig="360" w:dyaOrig="360">
                <v:shape id="_x0000_i1085" type="#_x0000_t75" style="width:18pt;height:18pt" o:ole="">
                  <v:imagedata r:id="rId103" o:title=""/>
                </v:shape>
                <o:OLEObject Type="Embed" ProgID="Equation.3" ShapeID="_x0000_i1085" DrawAspect="Content" ObjectID="_1669446869" r:id="rId104"/>
              </w:objec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,871</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,428</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4,141</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,042</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en-US" w:eastAsia="en-US"/>
              </w:rPr>
              <w:t>X</w:t>
            </w:r>
            <w:r>
              <w:rPr>
                <w:sz w:val="28"/>
                <w:szCs w:val="28"/>
                <w:vertAlign w:val="subscript"/>
                <w:lang w:eastAsia="en-US"/>
              </w:rPr>
              <w:t>5</w: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3,380</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1,625</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4,328</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,037</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val="uk-UA" w:eastAsia="en-US"/>
              </w:rPr>
            </w:pPr>
            <w:r>
              <w:rPr>
                <w:sz w:val="28"/>
                <w:szCs w:val="28"/>
                <w:lang w:val="en-US" w:eastAsia="en-US"/>
              </w:rPr>
              <w:t>X</w:t>
            </w:r>
            <w:r>
              <w:rPr>
                <w:sz w:val="28"/>
                <w:szCs w:val="28"/>
                <w:vertAlign w:val="subscript"/>
                <w:lang w:val="uk-UA" w:eastAsia="en-US"/>
              </w:rPr>
              <w:t>6</w: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w:t>
            </w:r>
            <w:r>
              <w:rPr>
                <w:sz w:val="28"/>
                <w:szCs w:val="28"/>
                <w:lang w:val="uk-UA" w:eastAsia="en-US"/>
              </w:rPr>
              <w:t>0</w:t>
            </w:r>
            <w:r>
              <w:rPr>
                <w:sz w:val="28"/>
                <w:szCs w:val="28"/>
                <w:lang w:eastAsia="en-US"/>
              </w:rPr>
              <w:t>,149</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,076</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3,882</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,049</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val="uk-UA" w:eastAsia="en-US"/>
              </w:rPr>
            </w:pPr>
            <w:r>
              <w:rPr>
                <w:sz w:val="28"/>
                <w:szCs w:val="28"/>
                <w:lang w:val="en-US" w:eastAsia="en-US"/>
              </w:rPr>
              <w:t>X</w:t>
            </w:r>
            <w:r>
              <w:rPr>
                <w:sz w:val="28"/>
                <w:szCs w:val="28"/>
                <w:vertAlign w:val="subscript"/>
                <w:lang w:val="uk-UA" w:eastAsia="en-US"/>
              </w:rPr>
              <w:t>7</w: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w:t>
            </w:r>
            <w:r>
              <w:rPr>
                <w:sz w:val="28"/>
                <w:szCs w:val="28"/>
                <w:lang w:val="uk-UA" w:eastAsia="en-US"/>
              </w:rPr>
              <w:t>0</w:t>
            </w:r>
            <w:r>
              <w:rPr>
                <w:sz w:val="28"/>
                <w:szCs w:val="28"/>
                <w:lang w:eastAsia="en-US"/>
              </w:rPr>
              <w:t>,611</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,309</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3,917</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,048</w:t>
            </w:r>
          </w:p>
        </w:tc>
      </w:tr>
      <w:tr w:rsidR="00E3259F" w:rsidTr="00E3259F">
        <w:trPr>
          <w:cantSplit/>
          <w:tblHeader/>
          <w:jc w:val="center"/>
        </w:trPr>
        <w:tc>
          <w:tcPr>
            <w:tcW w:w="76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Константа</w:t>
            </w:r>
          </w:p>
        </w:tc>
        <w:tc>
          <w:tcPr>
            <w:tcW w:w="11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29,490</w:t>
            </w:r>
          </w:p>
        </w:tc>
        <w:tc>
          <w:tcPr>
            <w:tcW w:w="11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12,993</w:t>
            </w:r>
          </w:p>
        </w:tc>
        <w:tc>
          <w:tcPr>
            <w:tcW w:w="1143"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eastAsia="en-US"/>
              </w:rPr>
              <w:t>5,151</w:t>
            </w:r>
          </w:p>
        </w:tc>
        <w:tc>
          <w:tcPr>
            <w:tcW w:w="778"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Default="00E3259F">
            <w:pPr>
              <w:spacing w:line="276" w:lineRule="auto"/>
              <w:jc w:val="center"/>
              <w:rPr>
                <w:sz w:val="28"/>
                <w:szCs w:val="28"/>
                <w:lang w:eastAsia="en-US"/>
              </w:rPr>
            </w:pPr>
            <w:r>
              <w:rPr>
                <w:sz w:val="28"/>
                <w:szCs w:val="28"/>
                <w:lang w:val="uk-UA" w:eastAsia="en-US"/>
              </w:rPr>
              <w:t>0</w:t>
            </w:r>
            <w:r>
              <w:rPr>
                <w:sz w:val="28"/>
                <w:szCs w:val="28"/>
                <w:lang w:eastAsia="en-US"/>
              </w:rPr>
              <w:t>,023</w:t>
            </w:r>
          </w:p>
        </w:tc>
      </w:tr>
    </w:tbl>
    <w:p w:rsidR="00E3259F" w:rsidRDefault="00E3259F" w:rsidP="00E3259F">
      <w:pPr>
        <w:rPr>
          <w:sz w:val="28"/>
          <w:szCs w:val="28"/>
          <w:lang w:val="uk-UA" w:eastAsia="en-US"/>
        </w:rPr>
      </w:pPr>
    </w:p>
    <w:p w:rsidR="00E3259F" w:rsidRDefault="00E3259F" w:rsidP="00E3259F">
      <w:pPr>
        <w:spacing w:line="360" w:lineRule="auto"/>
        <w:ind w:firstLine="709"/>
        <w:jc w:val="both"/>
        <w:rPr>
          <w:sz w:val="28"/>
          <w:szCs w:val="28"/>
          <w:lang w:val="uk-UA"/>
        </w:rPr>
      </w:pPr>
    </w:p>
    <w:p w:rsidR="00E3259F" w:rsidRPr="008E5154" w:rsidRDefault="00E3259F" w:rsidP="00E3259F">
      <w:pPr>
        <w:spacing w:line="360" w:lineRule="auto"/>
        <w:ind w:firstLine="709"/>
        <w:jc w:val="both"/>
        <w:rPr>
          <w:sz w:val="28"/>
          <w:szCs w:val="28"/>
          <w:lang w:val="uk-UA"/>
        </w:rPr>
      </w:pPr>
      <w:r w:rsidRPr="008E5154">
        <w:rPr>
          <w:sz w:val="28"/>
          <w:szCs w:val="28"/>
          <w:lang w:val="uk-UA"/>
        </w:rPr>
        <w:t>У таблиці 8.10 надані характеристики моделі бінарної логістичної регресії, створеної для визначення прогресування ОС тлі статинотерапії у пацієнтів з ГХ та ЦД 2 типу у поєднанні з СГТ. Якість наближення регресійній моделі оцінюється за допомогою функції подібності. У дослідженні, G = 20,055 при р = 0,001, що вказує на те, що в цілому незалежні змінні мають значний внесок щодо прогнозування залежної змінної.</w:t>
      </w:r>
    </w:p>
    <w:p w:rsidR="00E3259F" w:rsidRPr="008E5154" w:rsidRDefault="00E3259F" w:rsidP="008E5154">
      <w:pPr>
        <w:spacing w:line="360" w:lineRule="auto"/>
        <w:jc w:val="both"/>
        <w:rPr>
          <w:sz w:val="28"/>
          <w:szCs w:val="28"/>
          <w:lang w:val="uk-UA"/>
        </w:rPr>
      </w:pPr>
      <w:r w:rsidRPr="008E5154">
        <w:rPr>
          <w:sz w:val="28"/>
          <w:szCs w:val="28"/>
          <w:lang w:val="uk-UA"/>
        </w:rPr>
        <w:t>Показник Нейджелкерка, який варіюється від 0 до 1 є мірою визначеності. Згідно зі значенням розрахованого показника R² Нейджелкерка, частина дисперсії, поясненої за допомогою отриманої логістичної функції становить 91,2%.</w:t>
      </w:r>
    </w:p>
    <w:p w:rsidR="00E3259F" w:rsidRPr="008E5154" w:rsidRDefault="00E3259F" w:rsidP="008E5154">
      <w:pPr>
        <w:spacing w:line="360" w:lineRule="auto"/>
        <w:jc w:val="right"/>
        <w:rPr>
          <w:sz w:val="28"/>
          <w:szCs w:val="28"/>
          <w:lang w:val="uk-UA"/>
        </w:rPr>
      </w:pPr>
      <w:r w:rsidRPr="008E5154">
        <w:rPr>
          <w:bCs/>
          <w:sz w:val="28"/>
          <w:szCs w:val="28"/>
          <w:lang w:val="uk-UA"/>
        </w:rPr>
        <w:t>Таблиця</w:t>
      </w:r>
      <w:r w:rsidRPr="008E5154">
        <w:rPr>
          <w:sz w:val="28"/>
          <w:szCs w:val="28"/>
          <w:lang w:val="uk-UA"/>
        </w:rPr>
        <w:t xml:space="preserve"> 8.10</w:t>
      </w:r>
    </w:p>
    <w:p w:rsidR="00E3259F" w:rsidRPr="008E5154" w:rsidRDefault="00E3259F" w:rsidP="008E5154">
      <w:pPr>
        <w:spacing w:line="360" w:lineRule="auto"/>
        <w:jc w:val="center"/>
        <w:rPr>
          <w:sz w:val="28"/>
          <w:szCs w:val="28"/>
          <w:lang w:val="uk-UA"/>
        </w:rPr>
      </w:pPr>
      <w:r w:rsidRPr="008E5154">
        <w:rPr>
          <w:sz w:val="28"/>
          <w:szCs w:val="28"/>
          <w:lang w:val="uk-UA"/>
        </w:rPr>
        <w:t>Характеристики моделі бінарної логістичної регресії, створеної для визначення прогресування оксидативного стресу у пацієнтів з АГ та ЦД в поєднанні з СГТ на тлі статинотерапії</w:t>
      </w:r>
    </w:p>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1"/>
        <w:gridCol w:w="2608"/>
        <w:gridCol w:w="2269"/>
        <w:gridCol w:w="1135"/>
        <w:gridCol w:w="1702"/>
      </w:tblGrid>
      <w:tr w:rsidR="00E3259F" w:rsidTr="00E3259F">
        <w:trPr>
          <w:cantSplit/>
        </w:trPr>
        <w:tc>
          <w:tcPr>
            <w:tcW w:w="1930" w:type="dxa"/>
            <w:vMerge w:val="restart"/>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Результати заключного кроку аналізу</w:t>
            </w:r>
          </w:p>
        </w:tc>
        <w:tc>
          <w:tcPr>
            <w:tcW w:w="2606"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 xml:space="preserve"> –2 Log Правдоподіб’я (G)</w:t>
            </w:r>
          </w:p>
        </w:tc>
        <w:tc>
          <w:tcPr>
            <w:tcW w:w="2268"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 xml:space="preserve">R ²    </w:t>
            </w:r>
          </w:p>
          <w:p w:rsidR="00E3259F" w:rsidRDefault="00E3259F">
            <w:pPr>
              <w:spacing w:line="276" w:lineRule="auto"/>
              <w:rPr>
                <w:sz w:val="28"/>
                <w:szCs w:val="28"/>
                <w:lang w:val="uk-UA" w:eastAsia="en-US"/>
              </w:rPr>
            </w:pPr>
            <w:r>
              <w:rPr>
                <w:sz w:val="28"/>
                <w:szCs w:val="28"/>
                <w:lang w:val="uk-UA" w:eastAsia="en-US"/>
              </w:rPr>
              <w:t>Нейджелкерка</w:t>
            </w:r>
          </w:p>
        </w:tc>
        <w:tc>
          <w:tcPr>
            <w:tcW w:w="1134"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χ²</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Значущість (p)</w:t>
            </w:r>
          </w:p>
        </w:tc>
      </w:tr>
      <w:tr w:rsidR="00E3259F" w:rsidTr="00E3259F">
        <w:trPr>
          <w:cantSplit/>
        </w:trPr>
        <w:tc>
          <w:tcPr>
            <w:tcW w:w="1930" w:type="dxa"/>
            <w:vMerge/>
            <w:tcBorders>
              <w:top w:val="single" w:sz="4" w:space="0" w:color="auto"/>
              <w:left w:val="single" w:sz="4" w:space="0" w:color="auto"/>
              <w:bottom w:val="single" w:sz="4" w:space="0" w:color="auto"/>
              <w:right w:val="single" w:sz="4" w:space="0" w:color="auto"/>
            </w:tcBorders>
            <w:vAlign w:val="center"/>
            <w:hideMark/>
          </w:tcPr>
          <w:p w:rsidR="00E3259F" w:rsidRDefault="00E3259F">
            <w:pPr>
              <w:rPr>
                <w:sz w:val="28"/>
                <w:szCs w:val="28"/>
                <w:lang w:val="uk-UA" w:eastAsia="en-US"/>
              </w:rPr>
            </w:pPr>
          </w:p>
        </w:tc>
        <w:tc>
          <w:tcPr>
            <w:tcW w:w="2606"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20,055</w:t>
            </w:r>
          </w:p>
        </w:tc>
        <w:tc>
          <w:tcPr>
            <w:tcW w:w="2268"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0,912</w:t>
            </w:r>
          </w:p>
        </w:tc>
        <w:tc>
          <w:tcPr>
            <w:tcW w:w="1134"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103,862</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276" w:lineRule="auto"/>
              <w:rPr>
                <w:sz w:val="28"/>
                <w:szCs w:val="28"/>
                <w:lang w:val="uk-UA" w:eastAsia="en-US"/>
              </w:rPr>
            </w:pPr>
            <w:r>
              <w:rPr>
                <w:sz w:val="28"/>
                <w:szCs w:val="28"/>
                <w:lang w:val="uk-UA" w:eastAsia="en-US"/>
              </w:rPr>
              <w:t>0,001</w:t>
            </w:r>
          </w:p>
        </w:tc>
      </w:tr>
    </w:tbl>
    <w:p w:rsidR="00E3259F" w:rsidRDefault="00E3259F" w:rsidP="00E3259F">
      <w:pPr>
        <w:spacing w:line="360" w:lineRule="auto"/>
        <w:ind w:firstLine="709"/>
        <w:jc w:val="both"/>
        <w:rPr>
          <w:sz w:val="28"/>
          <w:szCs w:val="28"/>
          <w:lang w:val="uk-UA" w:eastAsia="en-US"/>
        </w:rPr>
      </w:pP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На Рисунку 8.3 надана діаграма розподілу значень розрахованих ймовірністей </w:t>
      </w:r>
      <w:r w:rsidRPr="008E5154">
        <w:rPr>
          <w:rFonts w:eastAsiaTheme="minorHAnsi"/>
          <w:sz w:val="28"/>
          <w:szCs w:val="28"/>
          <w:lang w:eastAsia="en-US"/>
        </w:rPr>
        <w:object w:dxaOrig="240" w:dyaOrig="405">
          <v:shape id="_x0000_i1086" type="#_x0000_t75" style="width:12.75pt;height:20.25pt" o:ole="">
            <v:imagedata r:id="rId48" o:title=""/>
          </v:shape>
          <o:OLEObject Type="Embed" ProgID="Equation.3" ShapeID="_x0000_i1086" DrawAspect="Content" ObjectID="_1669446870" r:id="rId105"/>
        </w:object>
      </w:r>
      <w:r w:rsidRPr="008E5154">
        <w:rPr>
          <w:sz w:val="28"/>
          <w:szCs w:val="28"/>
          <w:lang w:val="uk-UA"/>
        </w:rPr>
        <w:t xml:space="preserve"> прогресування ОС в пацієнтів з ГХ та ЦД 2 типу в поєднанні зі СГТ на тлі статинотерапії. </w:t>
      </w:r>
    </w:p>
    <w:p w:rsidR="00E3259F" w:rsidRDefault="00E3259F" w:rsidP="00E3259F">
      <w:pPr>
        <w:rPr>
          <w:sz w:val="28"/>
          <w:szCs w:val="28"/>
          <w:lang w:val="uk-UA"/>
        </w:rPr>
      </w:pPr>
      <w:r>
        <w:rPr>
          <w:noProof/>
        </w:rPr>
        <w:drawing>
          <wp:inline distT="0" distB="0" distL="0" distR="0" wp14:anchorId="4E9448F1" wp14:editId="29BF2250">
            <wp:extent cx="5086350" cy="2647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086350" cy="2647950"/>
                    </a:xfrm>
                    <a:prstGeom prst="rect">
                      <a:avLst/>
                    </a:prstGeom>
                    <a:noFill/>
                    <a:ln>
                      <a:noFill/>
                    </a:ln>
                  </pic:spPr>
                </pic:pic>
              </a:graphicData>
            </a:graphic>
          </wp:inline>
        </w:drawing>
      </w:r>
    </w:p>
    <w:p w:rsidR="00E3259F" w:rsidRDefault="00E3259F" w:rsidP="00E3259F">
      <w:pPr>
        <w:jc w:val="center"/>
        <w:rPr>
          <w:sz w:val="28"/>
          <w:szCs w:val="28"/>
          <w:lang w:val="uk-UA"/>
        </w:rPr>
      </w:pPr>
    </w:p>
    <w:p w:rsidR="00E3259F" w:rsidRDefault="00E3259F" w:rsidP="008E5154">
      <w:pPr>
        <w:spacing w:line="360" w:lineRule="auto"/>
        <w:ind w:firstLine="709"/>
        <w:rPr>
          <w:sz w:val="28"/>
          <w:szCs w:val="28"/>
          <w:lang w:val="uk-UA"/>
        </w:rPr>
      </w:pPr>
      <w:r>
        <w:rPr>
          <w:sz w:val="28"/>
          <w:szCs w:val="28"/>
          <w:lang w:val="uk-UA"/>
        </w:rPr>
        <w:t xml:space="preserve">Рисунок 8.3 – Діаграма класифікації. Символи: </w:t>
      </w:r>
      <w:r>
        <w:rPr>
          <w:sz w:val="28"/>
          <w:szCs w:val="28"/>
        </w:rPr>
        <w:t>н</w:t>
      </w:r>
      <w:r>
        <w:rPr>
          <w:sz w:val="28"/>
          <w:szCs w:val="28"/>
          <w:lang w:val="uk-UA"/>
        </w:rPr>
        <w:t xml:space="preserve"> – пацієнти з низьким ризиком прогресування ОС; </w:t>
      </w:r>
      <w:r w:rsidR="008E5154">
        <w:rPr>
          <w:sz w:val="28"/>
          <w:szCs w:val="28"/>
          <w:lang w:val="uk-UA"/>
        </w:rPr>
        <w:t xml:space="preserve"> </w:t>
      </w:r>
      <w:r>
        <w:rPr>
          <w:sz w:val="28"/>
          <w:szCs w:val="28"/>
          <w:lang w:val="uk-UA"/>
        </w:rPr>
        <w:t>в – пацієнти з високим ризиком прогресування ОС</w:t>
      </w:r>
    </w:p>
    <w:p w:rsidR="008E5154" w:rsidRDefault="008E5154" w:rsidP="008E5154">
      <w:pPr>
        <w:spacing w:line="360" w:lineRule="auto"/>
        <w:ind w:firstLine="709"/>
        <w:jc w:val="both"/>
        <w:rPr>
          <w:sz w:val="28"/>
          <w:szCs w:val="28"/>
          <w:lang w:val="uk-UA"/>
        </w:rPr>
      </w:pPr>
    </w:p>
    <w:p w:rsidR="008E5154" w:rsidRDefault="008E5154" w:rsidP="008E5154">
      <w:pPr>
        <w:spacing w:line="360" w:lineRule="auto"/>
        <w:ind w:firstLine="709"/>
        <w:jc w:val="both"/>
        <w:rPr>
          <w:sz w:val="28"/>
          <w:szCs w:val="28"/>
          <w:lang w:val="uk-UA"/>
        </w:rPr>
      </w:pPr>
      <w:r w:rsidRPr="008E5154">
        <w:rPr>
          <w:sz w:val="28"/>
          <w:szCs w:val="28"/>
          <w:lang w:val="uk-UA"/>
        </w:rPr>
        <w:t xml:space="preserve">По горизонтальній вісі відкладені значення передбаченої ймовірності прогресування ОС, обчислені за розробленим рівнянням бінарної логістичної регресії, по вертикалі – кількість пацієнтів з відповідним значенням </w:t>
      </w:r>
      <w:r w:rsidRPr="008E5154">
        <w:rPr>
          <w:rFonts w:eastAsiaTheme="minorHAnsi"/>
          <w:sz w:val="28"/>
          <w:szCs w:val="28"/>
          <w:lang w:eastAsia="en-US"/>
        </w:rPr>
        <w:object w:dxaOrig="240" w:dyaOrig="405">
          <v:shape id="_x0000_i1087" type="#_x0000_t75" style="width:12.75pt;height:20.25pt" o:ole="">
            <v:imagedata r:id="rId48" o:title=""/>
          </v:shape>
          <o:OLEObject Type="Embed" ProgID="Equation.3" ShapeID="_x0000_i1087" DrawAspect="Content" ObjectID="_1669446871" r:id="rId107"/>
        </w:object>
      </w:r>
      <w:r w:rsidRPr="008E5154">
        <w:rPr>
          <w:sz w:val="28"/>
          <w:szCs w:val="28"/>
          <w:lang w:val="uk-UA"/>
        </w:rPr>
        <w:t>. Чим ближче значення прогнозованої імовірності до одиниці, тим вище вираженість оксидативного стресу у пацієнтів з ГХ та ЦД 2 типу у поєднанні з СГТ на тлі статинотерапії.</w:t>
      </w:r>
    </w:p>
    <w:p w:rsidR="00E3259F" w:rsidRPr="008E5154" w:rsidRDefault="00E3259F" w:rsidP="008E5154">
      <w:pPr>
        <w:spacing w:line="360" w:lineRule="auto"/>
        <w:ind w:firstLine="709"/>
        <w:jc w:val="both"/>
        <w:rPr>
          <w:sz w:val="28"/>
          <w:szCs w:val="28"/>
          <w:lang w:val="uk-UA"/>
        </w:rPr>
      </w:pPr>
      <w:r w:rsidRPr="008E5154">
        <w:rPr>
          <w:sz w:val="28"/>
          <w:szCs w:val="28"/>
          <w:lang w:val="uk-UA"/>
        </w:rPr>
        <w:t>Класифікаційна таблиця (таблиця 8.11) дозволяє судити про кількість правильних та неправильних прогнозів. З таблиці можна зробити висновок про те, що із загально кількості пацієнтів з невираженим (не інтенсивним) ОС на тлі статинотерапії, рівного 32, тестом були визначені всі вірно. Із загальної кількості пацієнтів з вираженим на тлі статинотерапії ОС, рівної 61, тестом були визнані 60 та 1 помилково віднесений до групи з не вираженим ОС. Загалом, правильно були розпізнані 94 випадку з 95, це становить 98,9%.</w:t>
      </w:r>
    </w:p>
    <w:p w:rsidR="00E3259F" w:rsidRDefault="00E3259F" w:rsidP="00E3259F">
      <w:pPr>
        <w:jc w:val="right"/>
        <w:rPr>
          <w:sz w:val="28"/>
          <w:szCs w:val="28"/>
          <w:lang w:val="uk-UA"/>
        </w:rPr>
      </w:pPr>
    </w:p>
    <w:p w:rsidR="00E3259F" w:rsidRDefault="00E3259F" w:rsidP="008E5154">
      <w:pPr>
        <w:spacing w:line="360" w:lineRule="auto"/>
        <w:jc w:val="right"/>
        <w:rPr>
          <w:sz w:val="28"/>
          <w:szCs w:val="28"/>
          <w:lang w:val="uk-UA"/>
        </w:rPr>
      </w:pPr>
      <w:r>
        <w:rPr>
          <w:sz w:val="28"/>
          <w:szCs w:val="28"/>
          <w:lang w:val="uk-UA"/>
        </w:rPr>
        <w:t>Таблиця 8.11</w:t>
      </w:r>
    </w:p>
    <w:p w:rsidR="00E3259F" w:rsidRDefault="00E3259F" w:rsidP="008E5154">
      <w:pPr>
        <w:spacing w:line="360" w:lineRule="auto"/>
        <w:ind w:firstLine="709"/>
        <w:rPr>
          <w:sz w:val="28"/>
          <w:szCs w:val="28"/>
          <w:lang w:val="uk-UA"/>
        </w:rPr>
      </w:pPr>
      <w:r>
        <w:rPr>
          <w:sz w:val="28"/>
          <w:szCs w:val="28"/>
          <w:lang w:val="uk-UA"/>
        </w:rPr>
        <w:t xml:space="preserve">Класифікаційні результати моделі бінарної логістичної регресії, створеної для визначення прогресування оксидативного стресу в пацієнтів з ГХ та ЦД 2 типу у поєднанні зі </w:t>
      </w:r>
      <w:r w:rsidRPr="00E00CAF">
        <w:rPr>
          <w:sz w:val="28"/>
          <w:szCs w:val="28"/>
          <w:lang w:val="uk-UA"/>
        </w:rPr>
        <w:t>СГТ на тлі статинотерапії</w:t>
      </w:r>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0" w:type="dxa"/>
          <w:right w:w="0" w:type="dxa"/>
        </w:tblCellMar>
        <w:tblLook w:val="04A0" w:firstRow="1" w:lastRow="0" w:firstColumn="1" w:lastColumn="0" w:noHBand="0" w:noVBand="1"/>
      </w:tblPr>
      <w:tblGrid>
        <w:gridCol w:w="588"/>
        <w:gridCol w:w="2205"/>
        <w:gridCol w:w="1988"/>
        <w:gridCol w:w="1687"/>
        <w:gridCol w:w="2893"/>
      </w:tblGrid>
      <w:tr w:rsidR="00E3259F" w:rsidTr="00E3259F">
        <w:trPr>
          <w:cantSplit/>
        </w:trPr>
        <w:tc>
          <w:tcPr>
            <w:tcW w:w="1492" w:type="pct"/>
            <w:gridSpan w:val="2"/>
            <w:vMerge w:val="restart"/>
            <w:tcBorders>
              <w:top w:val="single" w:sz="2" w:space="0" w:color="000000"/>
              <w:left w:val="single" w:sz="2" w:space="0" w:color="000000"/>
              <w:bottom w:val="single" w:sz="2" w:space="0" w:color="000000"/>
              <w:right w:val="single" w:sz="2" w:space="0" w:color="000000"/>
            </w:tcBorders>
            <w:vAlign w:val="center"/>
            <w:hideMark/>
          </w:tcPr>
          <w:p w:rsidR="00E3259F" w:rsidRDefault="00E3259F" w:rsidP="008E5154">
            <w:pPr>
              <w:spacing w:line="360" w:lineRule="auto"/>
              <w:jc w:val="center"/>
              <w:rPr>
                <w:sz w:val="28"/>
                <w:szCs w:val="28"/>
                <w:lang w:val="uk-UA" w:eastAsia="en-US"/>
              </w:rPr>
            </w:pPr>
            <w:r>
              <w:rPr>
                <w:sz w:val="28"/>
                <w:szCs w:val="28"/>
                <w:lang w:val="uk-UA" w:eastAsia="en-US"/>
              </w:rPr>
              <w:t>Дійсні групи</w:t>
            </w:r>
          </w:p>
        </w:tc>
        <w:tc>
          <w:tcPr>
            <w:tcW w:w="3508" w:type="pct"/>
            <w:gridSpan w:val="3"/>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Спрогнозовані групи</w:t>
            </w:r>
          </w:p>
        </w:tc>
      </w:tr>
      <w:tr w:rsidR="00E3259F" w:rsidTr="00E3259F">
        <w:trPr>
          <w:cantSplit/>
        </w:trPr>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rsidP="008E5154">
            <w:pPr>
              <w:spacing w:line="360" w:lineRule="auto"/>
              <w:rPr>
                <w:sz w:val="28"/>
                <w:szCs w:val="28"/>
                <w:lang w:val="uk-UA" w:eastAsia="en-US"/>
              </w:rPr>
            </w:pPr>
          </w:p>
        </w:tc>
        <w:tc>
          <w:tcPr>
            <w:tcW w:w="1963" w:type="pct"/>
            <w:gridSpan w:val="2"/>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ОС</w:t>
            </w:r>
          </w:p>
        </w:tc>
        <w:tc>
          <w:tcPr>
            <w:tcW w:w="1545" w:type="pct"/>
            <w:vMerge w:val="restar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 вірно спрогнозованих</w:t>
            </w:r>
          </w:p>
        </w:tc>
      </w:tr>
      <w:tr w:rsidR="00E3259F" w:rsidTr="00E3259F">
        <w:trPr>
          <w:cantSplit/>
        </w:trPr>
        <w:tc>
          <w:tcPr>
            <w:tcW w:w="0" w:type="auto"/>
            <w:gridSpan w:val="2"/>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rsidP="008E5154">
            <w:pPr>
              <w:spacing w:line="360" w:lineRule="auto"/>
              <w:rPr>
                <w:sz w:val="28"/>
                <w:szCs w:val="28"/>
                <w:lang w:val="uk-UA" w:eastAsia="en-US"/>
              </w:rPr>
            </w:pPr>
          </w:p>
        </w:tc>
        <w:tc>
          <w:tcPr>
            <w:tcW w:w="1062"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не</w:t>
            </w:r>
            <w:r w:rsidR="008E5154">
              <w:rPr>
                <w:sz w:val="28"/>
                <w:szCs w:val="28"/>
                <w:lang w:val="uk-UA" w:eastAsia="en-US"/>
              </w:rPr>
              <w:t xml:space="preserve"> </w:t>
            </w:r>
            <w:r>
              <w:rPr>
                <w:sz w:val="28"/>
                <w:szCs w:val="28"/>
                <w:lang w:val="uk-UA" w:eastAsia="en-US"/>
              </w:rPr>
              <w:t>інтенсивний</w:t>
            </w:r>
          </w:p>
        </w:tc>
        <w:tc>
          <w:tcPr>
            <w:tcW w:w="900"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виражений</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rsidP="008E5154">
            <w:pPr>
              <w:spacing w:line="360" w:lineRule="auto"/>
              <w:rPr>
                <w:sz w:val="28"/>
                <w:szCs w:val="28"/>
                <w:lang w:val="uk-UA" w:eastAsia="en-US"/>
              </w:rPr>
            </w:pPr>
          </w:p>
        </w:tc>
      </w:tr>
      <w:tr w:rsidR="00E3259F" w:rsidTr="00E3259F">
        <w:trPr>
          <w:cantSplit/>
        </w:trPr>
        <w:tc>
          <w:tcPr>
            <w:tcW w:w="314" w:type="pct"/>
            <w:vMerge w:val="restar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rsidP="008E5154">
            <w:pPr>
              <w:spacing w:line="360" w:lineRule="auto"/>
              <w:jc w:val="center"/>
              <w:rPr>
                <w:sz w:val="28"/>
                <w:szCs w:val="28"/>
                <w:lang w:val="uk-UA" w:eastAsia="en-US"/>
              </w:rPr>
            </w:pPr>
            <w:r>
              <w:rPr>
                <w:sz w:val="28"/>
                <w:szCs w:val="28"/>
                <w:lang w:val="uk-UA" w:eastAsia="en-US"/>
              </w:rPr>
              <w:t>ОС</w:t>
            </w:r>
          </w:p>
        </w:tc>
        <w:tc>
          <w:tcPr>
            <w:tcW w:w="1178" w:type="pc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rsidP="008E5154">
            <w:pPr>
              <w:spacing w:line="360" w:lineRule="auto"/>
              <w:jc w:val="center"/>
              <w:rPr>
                <w:sz w:val="28"/>
                <w:szCs w:val="28"/>
                <w:lang w:val="uk-UA" w:eastAsia="en-US"/>
              </w:rPr>
            </w:pPr>
            <w:r>
              <w:rPr>
                <w:sz w:val="28"/>
                <w:szCs w:val="28"/>
                <w:lang w:val="uk-UA" w:eastAsia="en-US"/>
              </w:rPr>
              <w:t>не інтенсивний</w:t>
            </w:r>
          </w:p>
        </w:tc>
        <w:tc>
          <w:tcPr>
            <w:tcW w:w="1062"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32</w:t>
            </w:r>
          </w:p>
        </w:tc>
        <w:tc>
          <w:tcPr>
            <w:tcW w:w="900"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0</w:t>
            </w:r>
          </w:p>
        </w:tc>
        <w:tc>
          <w:tcPr>
            <w:tcW w:w="154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100,0</w:t>
            </w:r>
          </w:p>
        </w:tc>
      </w:tr>
      <w:tr w:rsidR="00E3259F" w:rsidTr="00E3259F">
        <w:trPr>
          <w:cantSplit/>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E3259F" w:rsidRDefault="00E3259F" w:rsidP="008E5154">
            <w:pPr>
              <w:spacing w:line="360" w:lineRule="auto"/>
              <w:rPr>
                <w:sz w:val="28"/>
                <w:szCs w:val="28"/>
                <w:lang w:val="uk-UA" w:eastAsia="en-US"/>
              </w:rPr>
            </w:pPr>
          </w:p>
        </w:tc>
        <w:tc>
          <w:tcPr>
            <w:tcW w:w="1178" w:type="pct"/>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rsidP="008E5154">
            <w:pPr>
              <w:spacing w:line="360" w:lineRule="auto"/>
              <w:jc w:val="center"/>
              <w:rPr>
                <w:sz w:val="28"/>
                <w:szCs w:val="28"/>
                <w:lang w:val="uk-UA" w:eastAsia="en-US"/>
              </w:rPr>
            </w:pPr>
            <w:r>
              <w:rPr>
                <w:sz w:val="28"/>
                <w:szCs w:val="28"/>
                <w:lang w:val="uk-UA" w:eastAsia="en-US"/>
              </w:rPr>
              <w:t>виражений</w:t>
            </w:r>
          </w:p>
        </w:tc>
        <w:tc>
          <w:tcPr>
            <w:tcW w:w="1062"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1</w:t>
            </w:r>
          </w:p>
        </w:tc>
        <w:tc>
          <w:tcPr>
            <w:tcW w:w="900"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60</w:t>
            </w:r>
          </w:p>
        </w:tc>
        <w:tc>
          <w:tcPr>
            <w:tcW w:w="154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val="uk-UA" w:eastAsia="en-US"/>
              </w:rPr>
              <w:t>98,4</w:t>
            </w:r>
          </w:p>
        </w:tc>
      </w:tr>
      <w:tr w:rsidR="00E3259F" w:rsidTr="00E3259F">
        <w:trPr>
          <w:cantSplit/>
        </w:trPr>
        <w:tc>
          <w:tcPr>
            <w:tcW w:w="3455" w:type="pct"/>
            <w:gridSpan w:val="4"/>
            <w:tcBorders>
              <w:top w:val="single" w:sz="2" w:space="0" w:color="000000"/>
              <w:left w:val="single" w:sz="2" w:space="0" w:color="000000"/>
              <w:bottom w:val="single" w:sz="2" w:space="0" w:color="000000"/>
              <w:right w:val="single" w:sz="2" w:space="0" w:color="000000"/>
            </w:tcBorders>
            <w:shd w:val="clear" w:color="auto" w:fill="FFFFFF"/>
            <w:vAlign w:val="center"/>
            <w:hideMark/>
          </w:tcPr>
          <w:p w:rsidR="00E3259F" w:rsidRDefault="00E3259F" w:rsidP="008E5154">
            <w:pPr>
              <w:spacing w:line="360" w:lineRule="auto"/>
              <w:jc w:val="center"/>
              <w:rPr>
                <w:sz w:val="28"/>
                <w:szCs w:val="28"/>
                <w:lang w:val="uk-UA" w:eastAsia="en-US"/>
              </w:rPr>
            </w:pPr>
            <w:r>
              <w:rPr>
                <w:sz w:val="28"/>
                <w:szCs w:val="28"/>
                <w:lang w:val="uk-UA" w:eastAsia="en-US"/>
              </w:rPr>
              <w:t xml:space="preserve">Загальний </w:t>
            </w:r>
            <w:r w:rsidR="008E5154">
              <w:rPr>
                <w:sz w:val="28"/>
                <w:szCs w:val="28"/>
                <w:lang w:val="uk-UA" w:eastAsia="en-US"/>
              </w:rPr>
              <w:t>відсоток</w:t>
            </w:r>
          </w:p>
        </w:tc>
        <w:tc>
          <w:tcPr>
            <w:tcW w:w="1545" w:type="pct"/>
            <w:tcBorders>
              <w:top w:val="single" w:sz="2" w:space="0" w:color="000000"/>
              <w:left w:val="single" w:sz="2" w:space="0" w:color="000000"/>
              <w:bottom w:val="single" w:sz="2" w:space="0" w:color="000000"/>
              <w:right w:val="single" w:sz="2" w:space="0" w:color="000000"/>
            </w:tcBorders>
            <w:shd w:val="clear" w:color="auto" w:fill="FFFFFF"/>
            <w:hideMark/>
          </w:tcPr>
          <w:p w:rsidR="00E3259F" w:rsidRDefault="00E3259F" w:rsidP="008E5154">
            <w:pPr>
              <w:spacing w:line="360" w:lineRule="auto"/>
              <w:jc w:val="center"/>
              <w:rPr>
                <w:sz w:val="28"/>
                <w:szCs w:val="28"/>
                <w:lang w:val="uk-UA" w:eastAsia="en-US"/>
              </w:rPr>
            </w:pPr>
            <w:r>
              <w:rPr>
                <w:sz w:val="28"/>
                <w:szCs w:val="28"/>
                <w:lang w:eastAsia="en-US"/>
              </w:rPr>
              <w:t>98,9</w:t>
            </w:r>
          </w:p>
        </w:tc>
      </w:tr>
    </w:tbl>
    <w:p w:rsidR="00E3259F" w:rsidRDefault="00E3259F" w:rsidP="00E3259F">
      <w:pPr>
        <w:rPr>
          <w:sz w:val="28"/>
          <w:szCs w:val="28"/>
          <w:lang w:val="uk-UA" w:eastAsia="en-US"/>
        </w:rPr>
      </w:pPr>
    </w:p>
    <w:p w:rsidR="00E3259F" w:rsidRDefault="00E3259F" w:rsidP="00E3259F">
      <w:pPr>
        <w:rPr>
          <w:sz w:val="28"/>
          <w:szCs w:val="28"/>
          <w:lang w:val="uk-UA"/>
        </w:rPr>
      </w:pPr>
    </w:p>
    <w:p w:rsidR="00E3259F" w:rsidRDefault="00E3259F" w:rsidP="008E5154">
      <w:pPr>
        <w:spacing w:line="360" w:lineRule="auto"/>
        <w:ind w:firstLine="709"/>
        <w:jc w:val="both"/>
        <w:rPr>
          <w:sz w:val="28"/>
          <w:szCs w:val="28"/>
          <w:lang w:val="uk-UA"/>
        </w:rPr>
      </w:pPr>
      <w:r>
        <w:rPr>
          <w:sz w:val="28"/>
          <w:szCs w:val="28"/>
          <w:lang w:val="uk-UA"/>
        </w:rPr>
        <w:t>Загальна оцінка згоди між впливом виявлених факторів прогресування ОС в пацієнтів з ГХ та ЦД 2 типу поєднаної зі СГТ та реально зафіксованим настанням несприятливого результату проводилася з використанням тесту згоди Хосмера-Лемешова (</w:t>
      </w:r>
      <w:r>
        <w:rPr>
          <w:rFonts w:eastAsiaTheme="minorHAnsi"/>
          <w:sz w:val="28"/>
          <w:szCs w:val="28"/>
          <w:lang w:val="uk-UA" w:eastAsia="en-US"/>
        </w:rPr>
        <w:object w:dxaOrig="360" w:dyaOrig="345">
          <v:shape id="_x0000_i1088" type="#_x0000_t75" style="width:18pt;height:18pt" o:ole="">
            <v:imagedata r:id="rId108" o:title=""/>
          </v:shape>
          <o:OLEObject Type="Embed" ProgID="Equation.3" ShapeID="_x0000_i1088" DrawAspect="Content" ObjectID="_1669446872" r:id="rId109"/>
        </w:object>
      </w:r>
      <w:r>
        <w:rPr>
          <w:sz w:val="28"/>
          <w:szCs w:val="28"/>
          <w:lang w:val="uk-UA"/>
        </w:rPr>
        <w:t>) (таблиця 8.12).</w:t>
      </w:r>
      <w:r>
        <w:rPr>
          <w:color w:val="FF0000"/>
          <w:sz w:val="28"/>
          <w:szCs w:val="28"/>
          <w:lang w:val="uk-UA"/>
        </w:rPr>
        <w:t xml:space="preserve"> </w:t>
      </w:r>
      <w:r>
        <w:rPr>
          <w:sz w:val="28"/>
          <w:szCs w:val="28"/>
          <w:lang w:val="uk-UA"/>
        </w:rPr>
        <w:t xml:space="preserve">Отримане значення = 6,184, при рівні значущості р&gt; 0,05 (р= 0,518), свідчить про високу якість підібраної моделі. </w:t>
      </w:r>
    </w:p>
    <w:p w:rsidR="00E3259F" w:rsidRDefault="00E3259F" w:rsidP="00E3259F">
      <w:pPr>
        <w:jc w:val="right"/>
        <w:rPr>
          <w:bCs/>
          <w:sz w:val="28"/>
          <w:szCs w:val="28"/>
          <w:lang w:val="uk-UA"/>
        </w:rPr>
      </w:pPr>
      <w:r>
        <w:rPr>
          <w:bCs/>
          <w:sz w:val="28"/>
          <w:szCs w:val="28"/>
          <w:lang w:val="uk-UA"/>
        </w:rPr>
        <w:t>Таблиця 8.12</w:t>
      </w:r>
    </w:p>
    <w:p w:rsidR="00E3259F" w:rsidRDefault="00E3259F" w:rsidP="00E3259F">
      <w:pPr>
        <w:ind w:firstLine="709"/>
        <w:jc w:val="center"/>
        <w:rPr>
          <w:bCs/>
          <w:sz w:val="28"/>
          <w:szCs w:val="28"/>
          <w:lang w:val="uk-UA"/>
        </w:rPr>
      </w:pPr>
      <w:r>
        <w:rPr>
          <w:bCs/>
          <w:sz w:val="28"/>
          <w:szCs w:val="28"/>
          <w:lang w:val="uk-UA"/>
        </w:rPr>
        <w:t>Критерій Хосмера-Лемешова</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1"/>
        <w:gridCol w:w="2896"/>
        <w:gridCol w:w="2898"/>
      </w:tblGrid>
      <w:tr w:rsidR="00E3259F" w:rsidTr="00E3259F">
        <w:trPr>
          <w:cantSplit/>
          <w:tblHeader/>
        </w:trPr>
        <w:tc>
          <w:tcPr>
            <w:tcW w:w="1907"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E3259F" w:rsidRDefault="00E3259F">
            <w:pPr>
              <w:spacing w:line="276" w:lineRule="auto"/>
              <w:jc w:val="center"/>
              <w:rPr>
                <w:sz w:val="28"/>
                <w:szCs w:val="28"/>
                <w:lang w:val="uk-UA" w:eastAsia="en-US"/>
              </w:rPr>
            </w:pPr>
            <w:r>
              <w:rPr>
                <w:rFonts w:eastAsiaTheme="minorHAnsi"/>
                <w:sz w:val="28"/>
                <w:szCs w:val="28"/>
                <w:lang w:val="uk-UA" w:eastAsia="en-US"/>
              </w:rPr>
              <w:object w:dxaOrig="360" w:dyaOrig="345">
                <v:shape id="_x0000_i1089" type="#_x0000_t75" style="width:18pt;height:18pt" o:ole="">
                  <v:imagedata r:id="rId108" o:title=""/>
                </v:shape>
                <o:OLEObject Type="Embed" ProgID="Equation.3" ShapeID="_x0000_i1089" DrawAspect="Content" ObjectID="_1669446873" r:id="rId110"/>
              </w:object>
            </w:r>
          </w:p>
        </w:tc>
        <w:tc>
          <w:tcPr>
            <w:tcW w:w="1546"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E3259F" w:rsidRDefault="00E3259F">
            <w:pPr>
              <w:spacing w:line="276" w:lineRule="auto"/>
              <w:jc w:val="center"/>
              <w:rPr>
                <w:sz w:val="28"/>
                <w:szCs w:val="28"/>
                <w:lang w:val="uk-UA" w:eastAsia="en-US"/>
              </w:rPr>
            </w:pPr>
            <w:r>
              <w:rPr>
                <w:sz w:val="28"/>
                <w:szCs w:val="28"/>
                <w:lang w:val="uk-UA" w:eastAsia="en-US"/>
              </w:rPr>
              <w:t>Ступінь свободи</w:t>
            </w:r>
          </w:p>
        </w:tc>
        <w:tc>
          <w:tcPr>
            <w:tcW w:w="1547" w:type="pct"/>
            <w:tcBorders>
              <w:top w:val="single" w:sz="4" w:space="0" w:color="auto"/>
              <w:left w:val="single" w:sz="4" w:space="0" w:color="auto"/>
              <w:bottom w:val="single" w:sz="4" w:space="0" w:color="auto"/>
              <w:right w:val="single" w:sz="4" w:space="0" w:color="auto"/>
            </w:tcBorders>
            <w:shd w:val="clear" w:color="auto" w:fill="FFFFFF"/>
            <w:vAlign w:val="bottom"/>
            <w:hideMark/>
          </w:tcPr>
          <w:p w:rsidR="00E3259F" w:rsidRDefault="00E3259F">
            <w:pPr>
              <w:spacing w:line="276" w:lineRule="auto"/>
              <w:jc w:val="center"/>
              <w:rPr>
                <w:sz w:val="28"/>
                <w:szCs w:val="28"/>
                <w:lang w:val="uk-UA" w:eastAsia="en-US"/>
              </w:rPr>
            </w:pPr>
            <w:r>
              <w:rPr>
                <w:sz w:val="28"/>
                <w:szCs w:val="28"/>
                <w:lang w:val="uk-UA" w:eastAsia="en-US"/>
              </w:rPr>
              <w:t>Значущість (p)</w:t>
            </w:r>
          </w:p>
        </w:tc>
      </w:tr>
      <w:tr w:rsidR="00E3259F" w:rsidTr="00E3259F">
        <w:trPr>
          <w:cantSplit/>
          <w:tblHeader/>
        </w:trPr>
        <w:tc>
          <w:tcPr>
            <w:tcW w:w="1907" w:type="pct"/>
            <w:tcBorders>
              <w:top w:val="single" w:sz="4" w:space="0" w:color="auto"/>
              <w:left w:val="single" w:sz="4" w:space="0" w:color="auto"/>
              <w:bottom w:val="single" w:sz="4" w:space="0" w:color="auto"/>
              <w:right w:val="single" w:sz="4" w:space="0" w:color="auto"/>
            </w:tcBorders>
            <w:shd w:val="clear" w:color="auto" w:fill="FFFFFF"/>
            <w:hideMark/>
          </w:tcPr>
          <w:p w:rsidR="00E3259F" w:rsidRDefault="00E3259F">
            <w:pPr>
              <w:spacing w:line="276" w:lineRule="auto"/>
              <w:jc w:val="center"/>
              <w:rPr>
                <w:sz w:val="28"/>
                <w:szCs w:val="28"/>
                <w:lang w:eastAsia="en-US"/>
              </w:rPr>
            </w:pPr>
            <w:r>
              <w:rPr>
                <w:sz w:val="28"/>
                <w:szCs w:val="28"/>
                <w:lang w:eastAsia="en-US"/>
              </w:rPr>
              <w:t>6,184</w:t>
            </w:r>
          </w:p>
        </w:tc>
        <w:tc>
          <w:tcPr>
            <w:tcW w:w="1546" w:type="pct"/>
            <w:tcBorders>
              <w:top w:val="single" w:sz="4" w:space="0" w:color="auto"/>
              <w:left w:val="single" w:sz="4" w:space="0" w:color="auto"/>
              <w:bottom w:val="single" w:sz="4" w:space="0" w:color="auto"/>
              <w:right w:val="single" w:sz="4" w:space="0" w:color="auto"/>
            </w:tcBorders>
            <w:shd w:val="clear" w:color="auto" w:fill="FFFFFF"/>
            <w:hideMark/>
          </w:tcPr>
          <w:p w:rsidR="00E3259F" w:rsidRDefault="00E3259F">
            <w:pPr>
              <w:spacing w:line="276" w:lineRule="auto"/>
              <w:jc w:val="center"/>
              <w:rPr>
                <w:sz w:val="28"/>
                <w:szCs w:val="28"/>
                <w:lang w:eastAsia="en-US"/>
              </w:rPr>
            </w:pPr>
            <w:r>
              <w:rPr>
                <w:sz w:val="28"/>
                <w:szCs w:val="28"/>
                <w:lang w:eastAsia="en-US"/>
              </w:rPr>
              <w:t>8</w:t>
            </w:r>
          </w:p>
        </w:tc>
        <w:tc>
          <w:tcPr>
            <w:tcW w:w="1547" w:type="pct"/>
            <w:tcBorders>
              <w:top w:val="single" w:sz="4" w:space="0" w:color="auto"/>
              <w:left w:val="single" w:sz="4" w:space="0" w:color="auto"/>
              <w:bottom w:val="single" w:sz="4" w:space="0" w:color="auto"/>
              <w:right w:val="single" w:sz="4" w:space="0" w:color="auto"/>
            </w:tcBorders>
            <w:shd w:val="clear" w:color="auto" w:fill="FFFFFF"/>
            <w:hideMark/>
          </w:tcPr>
          <w:p w:rsidR="00E3259F" w:rsidRDefault="00E3259F">
            <w:pPr>
              <w:spacing w:line="276" w:lineRule="auto"/>
              <w:jc w:val="center"/>
              <w:rPr>
                <w:sz w:val="28"/>
                <w:szCs w:val="28"/>
                <w:lang w:eastAsia="en-US"/>
              </w:rPr>
            </w:pPr>
            <w:r>
              <w:rPr>
                <w:sz w:val="28"/>
                <w:szCs w:val="28"/>
                <w:lang w:eastAsia="en-US"/>
              </w:rPr>
              <w:t>0,518</w:t>
            </w:r>
          </w:p>
        </w:tc>
      </w:tr>
    </w:tbl>
    <w:p w:rsidR="00E3259F" w:rsidRDefault="00E3259F" w:rsidP="00E3259F">
      <w:pPr>
        <w:spacing w:line="360" w:lineRule="auto"/>
        <w:ind w:firstLine="709"/>
        <w:jc w:val="both"/>
        <w:rPr>
          <w:bCs/>
          <w:sz w:val="28"/>
          <w:szCs w:val="28"/>
          <w:lang w:val="uk-UA" w:eastAsia="en-US"/>
        </w:rPr>
      </w:pP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Для оцінки ефективності моделі використовувався також ROC-аналіз (рисунок 8.4, таблиця 8.13), який виявив її характеристики, що є показником відмінної якості. </w:t>
      </w:r>
    </w:p>
    <w:p w:rsidR="00E3259F" w:rsidRPr="008E5154" w:rsidRDefault="00E3259F" w:rsidP="008E5154">
      <w:pPr>
        <w:spacing w:line="360" w:lineRule="auto"/>
        <w:rPr>
          <w:sz w:val="28"/>
          <w:szCs w:val="28"/>
          <w:lang w:val="uk-UA"/>
        </w:rPr>
      </w:pPr>
    </w:p>
    <w:p w:rsidR="00E3259F" w:rsidRPr="008E5154" w:rsidRDefault="00E3259F" w:rsidP="008E5154">
      <w:pPr>
        <w:spacing w:line="360" w:lineRule="auto"/>
        <w:jc w:val="center"/>
        <w:rPr>
          <w:sz w:val="28"/>
          <w:szCs w:val="28"/>
          <w:lang w:val="uk-UA"/>
        </w:rPr>
      </w:pPr>
      <w:r w:rsidRPr="008E5154">
        <w:rPr>
          <w:noProof/>
          <w:sz w:val="28"/>
          <w:szCs w:val="28"/>
        </w:rPr>
        <w:drawing>
          <wp:inline distT="0" distB="0" distL="0" distR="0" wp14:anchorId="0F18E812" wp14:editId="498BBE80">
            <wp:extent cx="3362325" cy="32670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362325" cy="3267075"/>
                    </a:xfrm>
                    <a:prstGeom prst="rect">
                      <a:avLst/>
                    </a:prstGeom>
                    <a:noFill/>
                    <a:ln>
                      <a:noFill/>
                    </a:ln>
                  </pic:spPr>
                </pic:pic>
              </a:graphicData>
            </a:graphic>
          </wp:inline>
        </w:drawing>
      </w:r>
    </w:p>
    <w:p w:rsidR="00E3259F" w:rsidRPr="008E5154" w:rsidRDefault="00E3259F" w:rsidP="008E5154">
      <w:pPr>
        <w:spacing w:line="360" w:lineRule="auto"/>
        <w:rPr>
          <w:bCs/>
          <w:sz w:val="28"/>
          <w:szCs w:val="28"/>
          <w:lang w:val="uk-UA"/>
        </w:rPr>
      </w:pPr>
      <w:r w:rsidRPr="008E5154">
        <w:rPr>
          <w:sz w:val="28"/>
          <w:szCs w:val="28"/>
          <w:lang w:val="uk-UA"/>
        </w:rPr>
        <w:t xml:space="preserve">Рисунок 8.4 – </w:t>
      </w:r>
      <w:r w:rsidRPr="008E5154">
        <w:rPr>
          <w:bCs/>
          <w:sz w:val="28"/>
          <w:szCs w:val="28"/>
          <w:lang w:val="uk-UA"/>
        </w:rPr>
        <w:t>ROC крива</w:t>
      </w:r>
    </w:p>
    <w:p w:rsidR="00E3259F" w:rsidRPr="008E5154" w:rsidRDefault="00E3259F" w:rsidP="008E5154">
      <w:pPr>
        <w:spacing w:line="360" w:lineRule="auto"/>
        <w:jc w:val="center"/>
        <w:rPr>
          <w:bCs/>
          <w:sz w:val="28"/>
          <w:szCs w:val="28"/>
          <w:lang w:val="uk-UA"/>
        </w:rPr>
      </w:pPr>
    </w:p>
    <w:p w:rsidR="00E3259F" w:rsidRDefault="00E3259F" w:rsidP="008E5154">
      <w:pPr>
        <w:spacing w:line="360" w:lineRule="auto"/>
        <w:ind w:firstLine="709"/>
        <w:jc w:val="both"/>
        <w:rPr>
          <w:sz w:val="28"/>
          <w:szCs w:val="28"/>
          <w:lang w:val="uk-UA"/>
        </w:rPr>
      </w:pPr>
      <w:r w:rsidRPr="008E5154">
        <w:rPr>
          <w:sz w:val="28"/>
          <w:szCs w:val="28"/>
          <w:lang w:val="uk-UA"/>
        </w:rPr>
        <w:t>Значення площі під кривою AUC (Area Under Curve) становило 0,992. ROC-аналіз отриманої моделі виявив її характеристики, які є показником відмінної якості досліджуваної моделі</w:t>
      </w:r>
      <w:r>
        <w:rPr>
          <w:sz w:val="28"/>
          <w:szCs w:val="28"/>
          <w:lang w:val="uk-UA"/>
        </w:rPr>
        <w:t>.</w:t>
      </w:r>
    </w:p>
    <w:p w:rsidR="00E3259F" w:rsidRDefault="00E3259F" w:rsidP="00E3259F">
      <w:pPr>
        <w:jc w:val="right"/>
        <w:rPr>
          <w:bCs/>
          <w:sz w:val="28"/>
          <w:szCs w:val="28"/>
          <w:lang w:val="uk-UA"/>
        </w:rPr>
      </w:pPr>
      <w:r>
        <w:rPr>
          <w:bCs/>
          <w:sz w:val="28"/>
          <w:szCs w:val="28"/>
          <w:lang w:val="uk-UA"/>
        </w:rPr>
        <w:t xml:space="preserve">Таблиця 8.13 </w:t>
      </w:r>
    </w:p>
    <w:p w:rsidR="00E3259F" w:rsidRDefault="00E3259F" w:rsidP="00E3259F">
      <w:pPr>
        <w:jc w:val="center"/>
        <w:rPr>
          <w:sz w:val="28"/>
          <w:szCs w:val="28"/>
          <w:lang w:val="uk-UA"/>
        </w:rPr>
      </w:pPr>
      <w:r>
        <w:rPr>
          <w:bCs/>
          <w:sz w:val="28"/>
          <w:szCs w:val="28"/>
          <w:lang w:val="uk-UA"/>
        </w:rPr>
        <w:t xml:space="preserve">Результати </w:t>
      </w:r>
      <w:r>
        <w:rPr>
          <w:sz w:val="28"/>
          <w:szCs w:val="28"/>
          <w:lang w:val="uk-UA"/>
        </w:rPr>
        <w:t>ROC-аналізу</w:t>
      </w:r>
    </w:p>
    <w:tbl>
      <w:tblPr>
        <w:tblW w:w="5000" w:type="pc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A0" w:firstRow="1" w:lastRow="0" w:firstColumn="1" w:lastColumn="0" w:noHBand="0" w:noVBand="0"/>
      </w:tblPr>
      <w:tblGrid>
        <w:gridCol w:w="1266"/>
        <w:gridCol w:w="1685"/>
        <w:gridCol w:w="2248"/>
        <w:gridCol w:w="1968"/>
        <w:gridCol w:w="2248"/>
      </w:tblGrid>
      <w:tr w:rsidR="00E3259F" w:rsidRPr="008E5154" w:rsidTr="00E3259F">
        <w:trPr>
          <w:cantSplit/>
          <w:tblHeader/>
        </w:trPr>
        <w:tc>
          <w:tcPr>
            <w:tcW w:w="2761" w:type="pct"/>
            <w:gridSpan w:val="3"/>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bCs/>
                <w:sz w:val="28"/>
                <w:szCs w:val="28"/>
                <w:lang w:val="uk-UA" w:eastAsia="en-US"/>
              </w:rPr>
              <w:t>Характеристики ROC- кривої</w:t>
            </w:r>
          </w:p>
        </w:tc>
        <w:tc>
          <w:tcPr>
            <w:tcW w:w="2239" w:type="pct"/>
            <w:gridSpan w:val="2"/>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sz w:val="28"/>
                <w:szCs w:val="28"/>
                <w:lang w:val="uk-UA" w:eastAsia="en-US"/>
              </w:rPr>
              <w:t>95% Довірчий інтервал</w:t>
            </w:r>
          </w:p>
        </w:tc>
      </w:tr>
      <w:tr w:rsidR="00E3259F" w:rsidRPr="008E5154" w:rsidTr="00E3259F">
        <w:trPr>
          <w:cantSplit/>
          <w:tblHeader/>
        </w:trPr>
        <w:tc>
          <w:tcPr>
            <w:tcW w:w="6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sz w:val="28"/>
                <w:szCs w:val="28"/>
                <w:lang w:val="uk-UA" w:eastAsia="en-US"/>
              </w:rPr>
              <w:t>Площа</w:t>
            </w:r>
          </w:p>
        </w:tc>
        <w:tc>
          <w:tcPr>
            <w:tcW w:w="89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sz w:val="28"/>
                <w:szCs w:val="28"/>
                <w:lang w:val="uk-UA" w:eastAsia="en-US"/>
              </w:rPr>
              <w:t>Стандартна похибка</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sz w:val="28"/>
                <w:szCs w:val="28"/>
                <w:lang w:val="uk-UA" w:eastAsia="en-US"/>
              </w:rPr>
              <w:t>Значущість (p)</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sz w:val="28"/>
                <w:szCs w:val="28"/>
                <w:lang w:val="uk-UA" w:eastAsia="en-US"/>
              </w:rPr>
              <w:t>Нижня межа</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vAlign w:val="bottom"/>
            <w:hideMark/>
          </w:tcPr>
          <w:p w:rsidR="00E3259F" w:rsidRPr="008E5154" w:rsidRDefault="00E3259F" w:rsidP="008E5154">
            <w:pPr>
              <w:spacing w:line="360" w:lineRule="auto"/>
              <w:jc w:val="center"/>
              <w:rPr>
                <w:sz w:val="28"/>
                <w:szCs w:val="28"/>
                <w:lang w:val="uk-UA" w:eastAsia="en-US"/>
              </w:rPr>
            </w:pPr>
            <w:r w:rsidRPr="008E5154">
              <w:rPr>
                <w:sz w:val="28"/>
                <w:szCs w:val="28"/>
                <w:lang w:val="uk-UA" w:eastAsia="en-US"/>
              </w:rPr>
              <w:t>Верхня межа</w:t>
            </w:r>
          </w:p>
        </w:tc>
      </w:tr>
      <w:tr w:rsidR="00E3259F" w:rsidRPr="008E5154" w:rsidTr="00E3259F">
        <w:trPr>
          <w:cantSplit/>
          <w:tblHeader/>
        </w:trPr>
        <w:tc>
          <w:tcPr>
            <w:tcW w:w="672"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rsidP="008E5154">
            <w:pPr>
              <w:spacing w:line="360" w:lineRule="auto"/>
              <w:jc w:val="center"/>
              <w:rPr>
                <w:sz w:val="28"/>
                <w:szCs w:val="28"/>
                <w:lang w:eastAsia="en-US"/>
              </w:rPr>
            </w:pPr>
            <w:r w:rsidRPr="008E5154">
              <w:rPr>
                <w:sz w:val="28"/>
                <w:szCs w:val="28"/>
                <w:lang w:eastAsia="en-US"/>
              </w:rPr>
              <w:t>0,992</w:t>
            </w:r>
          </w:p>
        </w:tc>
        <w:tc>
          <w:tcPr>
            <w:tcW w:w="89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rsidP="008E5154">
            <w:pPr>
              <w:spacing w:line="360" w:lineRule="auto"/>
              <w:jc w:val="center"/>
              <w:rPr>
                <w:sz w:val="28"/>
                <w:szCs w:val="28"/>
                <w:lang w:eastAsia="en-US"/>
              </w:rPr>
            </w:pPr>
            <w:r w:rsidRPr="008E5154">
              <w:rPr>
                <w:sz w:val="28"/>
                <w:szCs w:val="28"/>
                <w:lang w:eastAsia="en-US"/>
              </w:rPr>
              <w:t>0,008</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rsidP="008E5154">
            <w:pPr>
              <w:spacing w:line="360" w:lineRule="auto"/>
              <w:jc w:val="center"/>
              <w:rPr>
                <w:sz w:val="28"/>
                <w:szCs w:val="28"/>
                <w:lang w:eastAsia="en-US"/>
              </w:rPr>
            </w:pPr>
            <w:r w:rsidRPr="008E5154">
              <w:rPr>
                <w:sz w:val="28"/>
                <w:szCs w:val="28"/>
                <w:lang w:eastAsia="en-US"/>
              </w:rPr>
              <w:t>0,001</w:t>
            </w:r>
          </w:p>
        </w:tc>
        <w:tc>
          <w:tcPr>
            <w:tcW w:w="1045"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rsidP="008E5154">
            <w:pPr>
              <w:spacing w:line="360" w:lineRule="auto"/>
              <w:jc w:val="center"/>
              <w:rPr>
                <w:sz w:val="28"/>
                <w:szCs w:val="28"/>
                <w:lang w:eastAsia="en-US"/>
              </w:rPr>
            </w:pPr>
            <w:r w:rsidRPr="008E5154">
              <w:rPr>
                <w:sz w:val="28"/>
                <w:szCs w:val="28"/>
                <w:lang w:eastAsia="en-US"/>
              </w:rPr>
              <w:t>0,977</w:t>
            </w:r>
          </w:p>
        </w:tc>
        <w:tc>
          <w:tcPr>
            <w:tcW w:w="1194" w:type="pct"/>
            <w:tcBorders>
              <w:top w:val="single" w:sz="4" w:space="0" w:color="auto"/>
              <w:left w:val="single" w:sz="4" w:space="0" w:color="auto"/>
              <w:bottom w:val="single" w:sz="4" w:space="0" w:color="auto"/>
              <w:right w:val="single" w:sz="4" w:space="0" w:color="auto"/>
            </w:tcBorders>
            <w:shd w:val="clear" w:color="auto" w:fill="FFFFFF"/>
            <w:tcMar>
              <w:top w:w="30" w:type="dxa"/>
              <w:left w:w="30" w:type="dxa"/>
              <w:bottom w:w="30" w:type="dxa"/>
              <w:right w:w="30" w:type="dxa"/>
            </w:tcMar>
            <w:hideMark/>
          </w:tcPr>
          <w:p w:rsidR="00E3259F" w:rsidRPr="008E5154" w:rsidRDefault="00E3259F" w:rsidP="008E5154">
            <w:pPr>
              <w:spacing w:line="360" w:lineRule="auto"/>
              <w:jc w:val="center"/>
              <w:rPr>
                <w:sz w:val="28"/>
                <w:szCs w:val="28"/>
                <w:lang w:eastAsia="en-US"/>
              </w:rPr>
            </w:pPr>
            <w:r w:rsidRPr="008E5154">
              <w:rPr>
                <w:sz w:val="28"/>
                <w:szCs w:val="28"/>
                <w:lang w:eastAsia="en-US"/>
              </w:rPr>
              <w:t>1,000</w:t>
            </w:r>
          </w:p>
        </w:tc>
      </w:tr>
    </w:tbl>
    <w:p w:rsidR="00E3259F" w:rsidRDefault="00E3259F" w:rsidP="00E3259F">
      <w:pPr>
        <w:rPr>
          <w:sz w:val="28"/>
          <w:szCs w:val="28"/>
          <w:lang w:val="uk-UA" w:eastAsia="en-US"/>
        </w:rPr>
      </w:pPr>
    </w:p>
    <w:p w:rsidR="00E3259F" w:rsidRPr="008E5154" w:rsidRDefault="00E3259F" w:rsidP="008E5154">
      <w:pPr>
        <w:spacing w:line="360" w:lineRule="auto"/>
        <w:ind w:firstLine="709"/>
        <w:jc w:val="both"/>
        <w:rPr>
          <w:sz w:val="28"/>
          <w:szCs w:val="28"/>
          <w:lang w:val="uk-UA"/>
        </w:rPr>
      </w:pPr>
      <w:r w:rsidRPr="008E5154">
        <w:rPr>
          <w:sz w:val="28"/>
          <w:szCs w:val="28"/>
          <w:lang w:val="uk-UA"/>
        </w:rPr>
        <w:t>Розвиток позитивної та негативної події («невиражений ОС» та «виражений ОС») визначався за допомогою порога відсікання. Критерієм вибору оптимального порогу відсікання (optimal cut-off value) виступала вимога максимальної сумарної чутливості і специфічності моделі:</w:t>
      </w:r>
    </w:p>
    <w:p w:rsidR="00E3259F" w:rsidRPr="008E5154" w:rsidRDefault="00E3259F" w:rsidP="008E5154">
      <w:pPr>
        <w:spacing w:line="360" w:lineRule="auto"/>
        <w:jc w:val="center"/>
        <w:rPr>
          <w:sz w:val="28"/>
          <w:szCs w:val="28"/>
          <w:lang w:val="uk-UA"/>
        </w:rPr>
      </w:pPr>
      <w:r w:rsidRPr="008E5154">
        <w:rPr>
          <w:sz w:val="28"/>
          <w:szCs w:val="28"/>
          <w:lang w:val="uk-UA"/>
        </w:rPr>
        <w:t xml:space="preserve">               Cutt_off = max│Se + Sp│.                             (8.2)</w:t>
      </w:r>
    </w:p>
    <w:p w:rsidR="00E3259F" w:rsidRPr="008E5154" w:rsidRDefault="00E3259F" w:rsidP="008E5154">
      <w:pPr>
        <w:spacing w:line="360" w:lineRule="auto"/>
        <w:ind w:firstLine="709"/>
        <w:jc w:val="both"/>
        <w:rPr>
          <w:sz w:val="28"/>
          <w:szCs w:val="28"/>
        </w:rPr>
      </w:pPr>
      <w:r w:rsidRPr="008E5154">
        <w:rPr>
          <w:sz w:val="28"/>
          <w:szCs w:val="28"/>
          <w:lang w:val="uk-UA"/>
        </w:rPr>
        <w:t>Таким чином, згідно з координатами ROC-кривої точкою відсікання є значення 0,530, якій відповідає чутливість, рівна 0,984 (98,4%), та специфічність - 1 (100%). Точкою балансу, у якій чутливість та специфічність приблизно збігаються, є 0,433</w:t>
      </w:r>
      <w:r w:rsidRPr="008E5154">
        <w:rPr>
          <w:sz w:val="28"/>
          <w:szCs w:val="28"/>
        </w:rPr>
        <w:t>.</w:t>
      </w:r>
    </w:p>
    <w:p w:rsidR="00E3259F" w:rsidRPr="008E5154" w:rsidRDefault="00E3259F" w:rsidP="008E5154">
      <w:pPr>
        <w:spacing w:line="360" w:lineRule="auto"/>
        <w:ind w:firstLine="709"/>
        <w:jc w:val="both"/>
        <w:rPr>
          <w:sz w:val="28"/>
          <w:szCs w:val="28"/>
          <w:lang w:val="uk-UA"/>
        </w:rPr>
      </w:pPr>
      <w:r w:rsidRPr="008E5154">
        <w:rPr>
          <w:sz w:val="28"/>
          <w:szCs w:val="28"/>
          <w:lang w:val="uk-UA"/>
        </w:rPr>
        <w:t>Корисність математичної моделі була перевірена на практиці при визначенні вираженності ОС у хворих на ГХ в поєднанні з ЦД 2 типу та СГТ, які приймають статини та знаходилися на амбулаторному спостереженні у ДУ «Національний Інститут терапії ім. Л.Т. Малої НАМН України». Було обстежено 25 пацієнтів з ГХ у поєднанні зі ЦД 2 типу та СГТ. Кожному з пацієнтів було проведено комплексне клініко-діагностичне дослідження з додатковим визначенням рівня МДА, 8-OH-dG в сироватці крові, SH-груп, активності ГПО, САТ, ТТГ та отримання інформації щодо прийому статинів. 15 хворих приймали статини (аторвастатин 20 мг/доб. або розувастатин 10 мг/доб.) що найменше 1 рік до обстеження, 10 хворих не приймали статини. Усім пацієнтам був поставлений правильний прогноз.</w:t>
      </w:r>
    </w:p>
    <w:p w:rsidR="00E3259F" w:rsidRPr="008E5154" w:rsidRDefault="00E3259F" w:rsidP="008E5154">
      <w:pPr>
        <w:spacing w:line="360" w:lineRule="auto"/>
        <w:ind w:firstLine="709"/>
        <w:jc w:val="both"/>
        <w:rPr>
          <w:sz w:val="28"/>
          <w:szCs w:val="28"/>
          <w:lang w:val="uk-UA"/>
        </w:rPr>
      </w:pPr>
      <w:r w:rsidRPr="008E5154">
        <w:rPr>
          <w:sz w:val="28"/>
          <w:szCs w:val="28"/>
          <w:lang w:val="uk-UA"/>
        </w:rPr>
        <w:t>Наводимо два клінічних приклади.</w:t>
      </w:r>
    </w:p>
    <w:p w:rsidR="00E3259F" w:rsidRPr="008E5154" w:rsidRDefault="00E3259F" w:rsidP="008E5154">
      <w:pPr>
        <w:spacing w:line="360" w:lineRule="auto"/>
        <w:ind w:firstLine="709"/>
        <w:jc w:val="both"/>
        <w:rPr>
          <w:sz w:val="28"/>
          <w:szCs w:val="28"/>
          <w:lang w:val="uk-UA"/>
        </w:rPr>
      </w:pPr>
      <w:r w:rsidRPr="008E5154">
        <w:rPr>
          <w:sz w:val="28"/>
          <w:szCs w:val="28"/>
          <w:lang w:val="uk-UA"/>
        </w:rPr>
        <w:t>Приклад 1.</w:t>
      </w:r>
      <w:r w:rsidRPr="008E5154">
        <w:rPr>
          <w:b/>
          <w:bCs/>
          <w:sz w:val="28"/>
          <w:szCs w:val="28"/>
          <w:lang w:val="uk-UA"/>
        </w:rPr>
        <w:t xml:space="preserve"> </w:t>
      </w:r>
      <w:r w:rsidRPr="008E5154">
        <w:rPr>
          <w:bCs/>
          <w:sz w:val="28"/>
          <w:szCs w:val="28"/>
          <w:lang w:val="uk-UA"/>
        </w:rPr>
        <w:t>Пацієнтка</w:t>
      </w:r>
      <w:r w:rsidRPr="008E5154">
        <w:rPr>
          <w:sz w:val="28"/>
          <w:szCs w:val="28"/>
          <w:lang w:val="uk-UA"/>
        </w:rPr>
        <w:t xml:space="preserve"> А., 63 роки, 2016 р., звернулася зі скаргами слабкість, періодичний головний біль або відчуття важкості в потилиці, періодичне відчуття прискореного серцебиття, підвищення маси тіла протягом останнього року на 4 кг, іноді підвищену спрагу.</w:t>
      </w:r>
    </w:p>
    <w:p w:rsidR="00E3259F" w:rsidRPr="008E5154" w:rsidRDefault="00E3259F" w:rsidP="008E5154">
      <w:pPr>
        <w:spacing w:line="360" w:lineRule="auto"/>
        <w:ind w:firstLine="709"/>
        <w:jc w:val="both"/>
        <w:rPr>
          <w:b/>
          <w:bCs/>
          <w:sz w:val="28"/>
          <w:szCs w:val="28"/>
        </w:rPr>
      </w:pPr>
      <w:r w:rsidRPr="008E5154">
        <w:rPr>
          <w:sz w:val="28"/>
          <w:szCs w:val="28"/>
          <w:lang w:val="uk-UA"/>
        </w:rPr>
        <w:t>Були проведені загальноприйняті методи обстеження: анамнез захворювання та анамнез життя, об’єктивне обстеження.</w:t>
      </w:r>
    </w:p>
    <w:p w:rsidR="00E3259F" w:rsidRPr="008E5154" w:rsidRDefault="00E3259F" w:rsidP="008E5154">
      <w:pPr>
        <w:spacing w:line="360" w:lineRule="auto"/>
        <w:ind w:firstLine="709"/>
        <w:jc w:val="both"/>
        <w:rPr>
          <w:sz w:val="28"/>
          <w:szCs w:val="28"/>
          <w:lang w:val="uk-UA"/>
        </w:rPr>
      </w:pPr>
      <w:r w:rsidRPr="008E5154">
        <w:rPr>
          <w:sz w:val="28"/>
          <w:szCs w:val="28"/>
          <w:lang w:val="uk-UA"/>
        </w:rPr>
        <w:t>А</w:t>
      </w:r>
      <w:r w:rsidRPr="008E5154">
        <w:rPr>
          <w:bCs/>
          <w:sz w:val="28"/>
          <w:szCs w:val="28"/>
          <w:lang w:val="uk-UA"/>
        </w:rPr>
        <w:t>намнез захворювання</w:t>
      </w:r>
      <w:r w:rsidRPr="008E5154">
        <w:rPr>
          <w:b/>
          <w:bCs/>
          <w:sz w:val="28"/>
          <w:szCs w:val="28"/>
          <w:lang w:val="uk-UA"/>
        </w:rPr>
        <w:t>:</w:t>
      </w:r>
      <w:r w:rsidRPr="008E5154">
        <w:rPr>
          <w:sz w:val="28"/>
          <w:szCs w:val="28"/>
          <w:lang w:val="uk-UA"/>
        </w:rPr>
        <w:t xml:space="preserve"> вважає себе хворою більш 10 років, коли вперше зафіксовано підвищення артеріального тиску та діагностовано ГХ ІІ ст. ЦД 2 типу було діагностовано 6 роки поспіль. Під час планового обстеження 1,5 роки тому було виявлено ознаки СГТ (виявлено значення ТТГ -4,8 мОд/л, Т4 вільний-12,8 пмоль/л). Також було досліджено: рівень глюкози крові натще - 6,83 ммол/л, </w:t>
      </w:r>
      <w:r w:rsidRPr="008E5154">
        <w:rPr>
          <w:sz w:val="28"/>
          <w:szCs w:val="28"/>
        </w:rPr>
        <w:t>HbA</w:t>
      </w:r>
      <w:r w:rsidRPr="008E5154">
        <w:rPr>
          <w:sz w:val="28"/>
          <w:szCs w:val="28"/>
          <w:lang w:val="uk-UA"/>
        </w:rPr>
        <w:t>1с -7,10%, ЗХС – 6,97 ммоль/л, ХС ЛПВЩ-0,76 ммоль/л, ХС ЛПНЩ- 3,7 ммоль/л, ТГ-2,2 ммоль/л; АТ=165/95 мм.рт.ст. Під час УЗД ЩЗи – ознаки аутоімунного тиреоїдиту без вузлоутворення, органів черевної порожнини – без патологічних змін, при проведенні ехокардіографії – гіпертрофія лівого шлуночка. На ЕКГ – синусовий ритм, ознаки гіпертрофії міокарда лівого шлуночка. Рекомендована антигіпертензивна терапія, яка включає ІАПФ та діуретик, антидіабетична терапія – метформін 1000 мг/добу, статини – аторвастатин 20 мг/добу, дієта, дозовані фізичні навантаження, регулярний контроль функції ЩЗ. Більш не обстежувалась, рекомендовану терапію приймала регулярно, дієти практично не дотримувалась. У сімейному анамнезі – у матері ІХС.</w:t>
      </w:r>
    </w:p>
    <w:p w:rsidR="00E3259F" w:rsidRPr="008E5154" w:rsidRDefault="00E3259F" w:rsidP="008E5154">
      <w:pPr>
        <w:spacing w:line="360" w:lineRule="auto"/>
        <w:ind w:firstLine="709"/>
        <w:jc w:val="both"/>
        <w:rPr>
          <w:sz w:val="28"/>
          <w:szCs w:val="28"/>
          <w:lang w:val="uk-UA"/>
        </w:rPr>
      </w:pPr>
      <w:r w:rsidRPr="008E5154">
        <w:rPr>
          <w:bCs/>
          <w:sz w:val="28"/>
          <w:szCs w:val="28"/>
          <w:lang w:val="uk-UA"/>
        </w:rPr>
        <w:t>Об’єктивне обстеження:</w:t>
      </w:r>
      <w:r w:rsidRPr="008E5154">
        <w:rPr>
          <w:sz w:val="28"/>
          <w:szCs w:val="28"/>
          <w:lang w:val="uk-UA"/>
        </w:rPr>
        <w:t xml:space="preserve"> загальний стан відносно задовільний. Шкіра звичайного кольору, суха. Над легенями везикулярне дихання. Межі відносної серцевої тупості в межах фізіологічної норми. Серцева діяльність ритмічна, тони приглушені. ЧСС – 62 уд. за хв. АТ – 152/97 мм. рт. ст. При пальпації живіт збільшений у розмірах за рахунок надлишкової жирової тканини, м'який, безболісний. Печінка  не збільшена в розмірах. Периферійні набряки відсутні. Випорожнення та діурез без відмінностей. Маса тіла 83 кг, зріст 164 см, ІМТ- 30,86 кг/м</w:t>
      </w:r>
      <w:r w:rsidRPr="008E5154">
        <w:rPr>
          <w:sz w:val="28"/>
          <w:szCs w:val="28"/>
          <w:vertAlign w:val="superscript"/>
          <w:lang w:val="uk-UA"/>
        </w:rPr>
        <w:t>2</w:t>
      </w:r>
      <w:r w:rsidRPr="008E5154">
        <w:rPr>
          <w:sz w:val="28"/>
          <w:szCs w:val="28"/>
          <w:lang w:val="uk-UA"/>
        </w:rPr>
        <w:t>, що перевищує норму (25 кг/м</w:t>
      </w:r>
      <w:r w:rsidRPr="008E5154">
        <w:rPr>
          <w:sz w:val="28"/>
          <w:szCs w:val="28"/>
          <w:vertAlign w:val="superscript"/>
          <w:lang w:val="uk-UA"/>
        </w:rPr>
        <w:t>2</w:t>
      </w:r>
      <w:r w:rsidRPr="008E5154">
        <w:rPr>
          <w:sz w:val="28"/>
          <w:szCs w:val="28"/>
          <w:lang w:val="uk-UA"/>
        </w:rPr>
        <w:t xml:space="preserve">) та свідчить про наявність ожиріння І ступеня. </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Результати досліджень: </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У сироватці крові: ЗХС – 5,20 ммоль/л, ТГ – 1,96 ммоль/л, ХС ЛПНЩ – 3,3 ммоль/л; значення ХС ЛПВЩ – 0,90 мммоль/л, глюкоза – 7,02 ммоль/л, , </w:t>
      </w:r>
      <w:r w:rsidRPr="008E5154">
        <w:rPr>
          <w:sz w:val="28"/>
          <w:szCs w:val="28"/>
        </w:rPr>
        <w:t>HbA</w:t>
      </w:r>
      <w:r w:rsidRPr="008E5154">
        <w:rPr>
          <w:sz w:val="28"/>
          <w:szCs w:val="28"/>
          <w:lang w:val="uk-UA"/>
        </w:rPr>
        <w:t xml:space="preserve">1с -7,73%, інсулін крові – 24,63 мкОд/мл, НОМА – </w:t>
      </w:r>
      <w:r w:rsidRPr="008E5154">
        <w:rPr>
          <w:sz w:val="28"/>
          <w:szCs w:val="28"/>
          <w:lang w:val="en-US"/>
        </w:rPr>
        <w:t>IR</w:t>
      </w:r>
      <w:r w:rsidRPr="008E5154">
        <w:rPr>
          <w:sz w:val="28"/>
          <w:szCs w:val="28"/>
          <w:lang w:val="uk-UA"/>
        </w:rPr>
        <w:t>=7,68, що свідчить про наявність помірної дисліпідемії, гіперглікемії та інсулінорезистентності.</w:t>
      </w:r>
    </w:p>
    <w:p w:rsidR="00E3259F" w:rsidRPr="008E5154" w:rsidRDefault="00E3259F" w:rsidP="008E5154">
      <w:pPr>
        <w:spacing w:line="360" w:lineRule="auto"/>
        <w:ind w:firstLine="709"/>
        <w:jc w:val="both"/>
        <w:rPr>
          <w:sz w:val="28"/>
          <w:szCs w:val="28"/>
          <w:lang w:val="uk-UA"/>
        </w:rPr>
      </w:pPr>
      <w:r w:rsidRPr="008E5154">
        <w:rPr>
          <w:sz w:val="28"/>
          <w:szCs w:val="28"/>
          <w:lang w:val="uk-UA"/>
        </w:rPr>
        <w:t>Рівень ТТГ становив 6,3 мОд/л, Т4 вільний – 12,08 ммоль/л, що свідчить  про наявність СГТ. Вимірювання ТКІМ сонних артерій виявило збільшення ТКІМ= до 1,0 мм, атеросклеротичних бляшок не було виявлено.</w:t>
      </w:r>
    </w:p>
    <w:p w:rsidR="00E3259F" w:rsidRPr="008E5154" w:rsidRDefault="00E3259F" w:rsidP="008E5154">
      <w:pPr>
        <w:spacing w:line="360" w:lineRule="auto"/>
        <w:ind w:firstLine="709"/>
        <w:jc w:val="both"/>
        <w:rPr>
          <w:sz w:val="28"/>
          <w:szCs w:val="28"/>
          <w:lang w:val="uk-UA"/>
        </w:rPr>
      </w:pPr>
      <w:r w:rsidRPr="008E5154">
        <w:rPr>
          <w:bCs/>
          <w:sz w:val="28"/>
          <w:szCs w:val="28"/>
          <w:lang w:val="uk-UA"/>
        </w:rPr>
        <w:t xml:space="preserve">Хворій додатково проводять дослідження з визначенням показників оксидантної та антиоксидантної систем: рівень </w:t>
      </w:r>
      <w:r w:rsidRPr="008E5154">
        <w:rPr>
          <w:sz w:val="28"/>
          <w:szCs w:val="28"/>
          <w:lang w:val="uk-UA"/>
        </w:rPr>
        <w:t>8-</w:t>
      </w:r>
      <w:r w:rsidRPr="008E5154">
        <w:rPr>
          <w:sz w:val="28"/>
          <w:szCs w:val="28"/>
          <w:lang w:val="en-US"/>
        </w:rPr>
        <w:t>OH</w:t>
      </w:r>
      <w:r w:rsidRPr="008E5154">
        <w:rPr>
          <w:sz w:val="28"/>
          <w:szCs w:val="28"/>
          <w:lang w:val="uk-UA"/>
        </w:rPr>
        <w:t>-</w:t>
      </w:r>
      <w:r w:rsidRPr="008E5154">
        <w:rPr>
          <w:sz w:val="28"/>
          <w:szCs w:val="28"/>
          <w:lang w:val="en-US"/>
        </w:rPr>
        <w:t>dG</w:t>
      </w:r>
      <w:r w:rsidRPr="008E5154">
        <w:rPr>
          <w:sz w:val="28"/>
          <w:szCs w:val="28"/>
          <w:lang w:val="uk-UA"/>
        </w:rPr>
        <w:t xml:space="preserve"> у сироватці крові дорівнює 15,15 нг/л, що більш ніж у два рази перевищує контрольні значення та свідчить про виражене  окислювальне ушкодження ДНК; рівні МДА -6,46 мкмоль/л, </w:t>
      </w:r>
      <w:r w:rsidRPr="008E5154">
        <w:rPr>
          <w:sz w:val="28"/>
          <w:szCs w:val="28"/>
        </w:rPr>
        <w:t>SH</w:t>
      </w:r>
      <w:r w:rsidRPr="008E5154">
        <w:rPr>
          <w:sz w:val="28"/>
          <w:szCs w:val="28"/>
          <w:lang w:val="uk-UA"/>
        </w:rPr>
        <w:t xml:space="preserve"> –груп – 487,25 мкмоль/л, ГПО-4,86 мккат/гНв які значно відрізняються від контролю. Виражене підвищення МДА, 8-</w:t>
      </w:r>
      <w:r w:rsidRPr="008E5154">
        <w:rPr>
          <w:sz w:val="28"/>
          <w:szCs w:val="28"/>
          <w:lang w:val="en-US"/>
        </w:rPr>
        <w:t>OH</w:t>
      </w:r>
      <w:r w:rsidRPr="008E5154">
        <w:rPr>
          <w:sz w:val="28"/>
          <w:szCs w:val="28"/>
          <w:lang w:val="uk-UA"/>
        </w:rPr>
        <w:t>-</w:t>
      </w:r>
      <w:r w:rsidRPr="008E5154">
        <w:rPr>
          <w:sz w:val="28"/>
          <w:szCs w:val="28"/>
          <w:lang w:val="en-US"/>
        </w:rPr>
        <w:t>dG</w:t>
      </w:r>
      <w:r w:rsidRPr="008E5154">
        <w:rPr>
          <w:sz w:val="28"/>
          <w:szCs w:val="28"/>
          <w:lang w:val="uk-UA"/>
        </w:rPr>
        <w:t xml:space="preserve"> та зниження рівня </w:t>
      </w:r>
      <w:r w:rsidRPr="008E5154">
        <w:rPr>
          <w:sz w:val="28"/>
          <w:szCs w:val="28"/>
        </w:rPr>
        <w:t>SH</w:t>
      </w:r>
      <w:r w:rsidRPr="008E5154">
        <w:rPr>
          <w:sz w:val="28"/>
          <w:szCs w:val="28"/>
          <w:lang w:val="uk-UA"/>
        </w:rPr>
        <w:t xml:space="preserve"> – груп та ГПО свідчать про наявність вираженого ОС в цьому випадку.</w:t>
      </w:r>
    </w:p>
    <w:p w:rsidR="00E3259F" w:rsidRPr="008E5154" w:rsidRDefault="00E3259F" w:rsidP="008E5154">
      <w:pPr>
        <w:spacing w:line="360" w:lineRule="auto"/>
        <w:ind w:firstLine="709"/>
        <w:jc w:val="both"/>
        <w:rPr>
          <w:sz w:val="28"/>
          <w:szCs w:val="28"/>
          <w:lang w:val="uk-UA"/>
        </w:rPr>
      </w:pPr>
      <w:r w:rsidRPr="008E5154">
        <w:rPr>
          <w:sz w:val="28"/>
          <w:szCs w:val="28"/>
          <w:lang w:val="uk-UA"/>
        </w:rPr>
        <w:t>Таким чином, у хворої визначені такі значення прогностичних критеріїв: рівень МДА (х</w:t>
      </w:r>
      <w:r w:rsidRPr="008E5154">
        <w:rPr>
          <w:sz w:val="28"/>
          <w:szCs w:val="28"/>
          <w:vertAlign w:val="subscript"/>
          <w:lang w:val="uk-UA"/>
        </w:rPr>
        <w:t>1</w:t>
      </w:r>
      <w:r w:rsidRPr="008E5154">
        <w:rPr>
          <w:sz w:val="28"/>
          <w:szCs w:val="28"/>
          <w:lang w:val="uk-UA"/>
        </w:rPr>
        <w:t>) – 6,46 мкмоль/л, активність ГПО (х</w:t>
      </w:r>
      <w:r w:rsidRPr="008E5154">
        <w:rPr>
          <w:sz w:val="28"/>
          <w:szCs w:val="28"/>
          <w:vertAlign w:val="subscript"/>
          <w:lang w:val="uk-UA"/>
        </w:rPr>
        <w:t>2</w:t>
      </w:r>
      <w:r w:rsidRPr="008E5154">
        <w:rPr>
          <w:sz w:val="28"/>
          <w:szCs w:val="28"/>
          <w:lang w:val="uk-UA"/>
        </w:rPr>
        <w:t xml:space="preserve">) – 4,86 мккат/гНв, рівень </w:t>
      </w:r>
      <w:r w:rsidRPr="008E5154">
        <w:rPr>
          <w:sz w:val="28"/>
          <w:szCs w:val="28"/>
        </w:rPr>
        <w:t>SH</w:t>
      </w:r>
      <w:r w:rsidRPr="008E5154">
        <w:rPr>
          <w:sz w:val="28"/>
          <w:szCs w:val="28"/>
          <w:lang w:val="uk-UA"/>
        </w:rPr>
        <w:t>-групи (х</w:t>
      </w:r>
      <w:r w:rsidRPr="008E5154">
        <w:rPr>
          <w:sz w:val="28"/>
          <w:szCs w:val="28"/>
          <w:vertAlign w:val="subscript"/>
          <w:lang w:val="uk-UA"/>
        </w:rPr>
        <w:t>3</w:t>
      </w:r>
      <w:r w:rsidRPr="008E5154">
        <w:rPr>
          <w:sz w:val="28"/>
          <w:szCs w:val="28"/>
          <w:lang w:val="uk-UA"/>
        </w:rPr>
        <w:t>) – 487,25 мкмоль/л, рівень 8-OH-dG (х</w:t>
      </w:r>
      <w:r w:rsidRPr="008E5154">
        <w:rPr>
          <w:sz w:val="28"/>
          <w:szCs w:val="28"/>
          <w:vertAlign w:val="subscript"/>
          <w:lang w:val="uk-UA"/>
        </w:rPr>
        <w:t>4</w:t>
      </w:r>
      <w:r w:rsidRPr="008E5154">
        <w:rPr>
          <w:sz w:val="28"/>
          <w:szCs w:val="28"/>
          <w:lang w:val="uk-UA"/>
        </w:rPr>
        <w:t>)</w:t>
      </w:r>
      <w:r w:rsidRPr="008E5154">
        <w:rPr>
          <w:sz w:val="28"/>
          <w:szCs w:val="28"/>
          <w:vertAlign w:val="subscript"/>
          <w:lang w:val="uk-UA"/>
        </w:rPr>
        <w:t xml:space="preserve"> </w:t>
      </w:r>
      <w:r w:rsidRPr="008E5154">
        <w:rPr>
          <w:sz w:val="28"/>
          <w:szCs w:val="28"/>
          <w:lang w:val="uk-UA"/>
        </w:rPr>
        <w:t>– 15,15 нг/л, інформація щодо прийому статинів (х</w:t>
      </w:r>
      <w:r w:rsidRPr="008E5154">
        <w:rPr>
          <w:sz w:val="28"/>
          <w:szCs w:val="28"/>
          <w:vertAlign w:val="subscript"/>
          <w:lang w:val="uk-UA"/>
        </w:rPr>
        <w:t>5</w:t>
      </w:r>
      <w:r w:rsidRPr="008E5154">
        <w:rPr>
          <w:sz w:val="28"/>
          <w:szCs w:val="28"/>
          <w:lang w:val="uk-UA"/>
        </w:rPr>
        <w:t>) – приймає (значення-2), САТ (х</w:t>
      </w:r>
      <w:r w:rsidRPr="008E5154">
        <w:rPr>
          <w:sz w:val="28"/>
          <w:szCs w:val="28"/>
          <w:vertAlign w:val="subscript"/>
          <w:lang w:val="uk-UA"/>
        </w:rPr>
        <w:t>6</w:t>
      </w:r>
      <w:r w:rsidRPr="008E5154">
        <w:rPr>
          <w:sz w:val="28"/>
          <w:szCs w:val="28"/>
          <w:lang w:val="uk-UA"/>
        </w:rPr>
        <w:t>)</w:t>
      </w:r>
      <w:r w:rsidRPr="008E5154">
        <w:rPr>
          <w:sz w:val="28"/>
          <w:szCs w:val="28"/>
          <w:vertAlign w:val="subscript"/>
          <w:lang w:val="uk-UA"/>
        </w:rPr>
        <w:t xml:space="preserve"> </w:t>
      </w:r>
      <w:r w:rsidRPr="008E5154">
        <w:rPr>
          <w:sz w:val="28"/>
          <w:szCs w:val="28"/>
          <w:lang w:val="uk-UA"/>
        </w:rPr>
        <w:t>– 152 мм.рт.ст., рівнь ТТГ (х</w:t>
      </w:r>
      <w:r w:rsidRPr="008E5154">
        <w:rPr>
          <w:sz w:val="28"/>
          <w:szCs w:val="28"/>
          <w:vertAlign w:val="subscript"/>
          <w:lang w:val="uk-UA"/>
        </w:rPr>
        <w:t>7</w:t>
      </w:r>
      <w:r w:rsidRPr="008E5154">
        <w:rPr>
          <w:sz w:val="28"/>
          <w:szCs w:val="28"/>
          <w:lang w:val="uk-UA"/>
        </w:rPr>
        <w:t>)</w:t>
      </w:r>
      <w:r w:rsidRPr="008E5154">
        <w:rPr>
          <w:sz w:val="28"/>
          <w:szCs w:val="28"/>
          <w:vertAlign w:val="subscript"/>
          <w:lang w:val="uk-UA"/>
        </w:rPr>
        <w:t xml:space="preserve"> </w:t>
      </w:r>
      <w:r w:rsidRPr="008E5154">
        <w:rPr>
          <w:sz w:val="28"/>
          <w:szCs w:val="28"/>
          <w:lang w:val="uk-UA"/>
        </w:rPr>
        <w:t>– 6,3 мОд/л.</w:t>
      </w:r>
    </w:p>
    <w:p w:rsidR="00E3259F" w:rsidRPr="008E5154" w:rsidRDefault="00E3259F" w:rsidP="008E5154">
      <w:pPr>
        <w:spacing w:line="360" w:lineRule="auto"/>
        <w:ind w:firstLine="709"/>
        <w:jc w:val="both"/>
        <w:rPr>
          <w:bCs/>
          <w:sz w:val="28"/>
          <w:szCs w:val="28"/>
          <w:lang w:val="uk-UA"/>
        </w:rPr>
      </w:pPr>
      <w:r w:rsidRPr="008E5154">
        <w:rPr>
          <w:sz w:val="28"/>
          <w:szCs w:val="28"/>
          <w:lang w:val="uk-UA"/>
        </w:rPr>
        <w:t xml:space="preserve">Хворої здійснено індивідуальну кількісну оцінку прогностичних критеріїв та розраховано в автоматичному режимі в </w:t>
      </w:r>
      <w:r w:rsidRPr="008E5154">
        <w:rPr>
          <w:sz w:val="28"/>
          <w:szCs w:val="28"/>
        </w:rPr>
        <w:t>Ex</w:t>
      </w:r>
      <w:r w:rsidRPr="008E5154">
        <w:rPr>
          <w:sz w:val="28"/>
          <w:szCs w:val="28"/>
          <w:lang w:val="uk-UA"/>
        </w:rPr>
        <w:t>с</w:t>
      </w:r>
      <w:r w:rsidRPr="008E5154">
        <w:rPr>
          <w:sz w:val="28"/>
          <w:szCs w:val="28"/>
        </w:rPr>
        <w:t>el</w:t>
      </w:r>
      <w:r w:rsidRPr="008E5154">
        <w:rPr>
          <w:sz w:val="28"/>
          <w:szCs w:val="28"/>
          <w:lang w:val="uk-UA"/>
        </w:rPr>
        <w:t xml:space="preserve"> прогностичний індекс за розробленою формулою:</w:t>
      </w:r>
    </w:p>
    <w:p w:rsidR="00E3259F" w:rsidRPr="008E5154" w:rsidRDefault="00E3259F" w:rsidP="008E5154">
      <w:pPr>
        <w:spacing w:line="360" w:lineRule="auto"/>
        <w:jc w:val="center"/>
        <w:rPr>
          <w:sz w:val="28"/>
          <w:szCs w:val="28"/>
          <w:lang w:val="uk-UA"/>
        </w:rPr>
      </w:pPr>
      <w:r w:rsidRPr="008E5154">
        <w:rPr>
          <w:rFonts w:eastAsiaTheme="minorHAnsi"/>
          <w:sz w:val="28"/>
          <w:szCs w:val="28"/>
          <w:lang w:eastAsia="en-US"/>
        </w:rPr>
        <w:object w:dxaOrig="240" w:dyaOrig="405">
          <v:shape id="_x0000_i1090" type="#_x0000_t75" style="width:12.75pt;height:20.25pt" o:ole="">
            <v:imagedata r:id="rId48" o:title=""/>
          </v:shape>
          <o:OLEObject Type="Embed" ProgID="Equation.3" ShapeID="_x0000_i1090" DrawAspect="Content" ObjectID="_1669446874" r:id="rId112"/>
        </w:object>
      </w:r>
      <w:r w:rsidRPr="008E5154">
        <w:rPr>
          <w:sz w:val="28"/>
          <w:szCs w:val="28"/>
        </w:rPr>
        <w:t xml:space="preserve">=[1+ </w:t>
      </w:r>
      <w:r w:rsidRPr="008E5154">
        <w:rPr>
          <w:sz w:val="28"/>
          <w:szCs w:val="28"/>
          <w:lang w:val="en-US"/>
        </w:rPr>
        <w:t>exp</w:t>
      </w:r>
      <w:r w:rsidRPr="008E5154">
        <w:rPr>
          <w:sz w:val="28"/>
          <w:szCs w:val="28"/>
        </w:rPr>
        <w:t xml:space="preserve">(4,229 </w:t>
      </w:r>
      <w:r w:rsidRPr="008E5154">
        <w:rPr>
          <w:sz w:val="28"/>
          <w:szCs w:val="28"/>
          <w:lang w:val="uk-UA"/>
        </w:rPr>
        <w:t>*</w:t>
      </w:r>
      <w:r w:rsidRPr="008E5154">
        <w:rPr>
          <w:i/>
          <w:sz w:val="28"/>
          <w:szCs w:val="28"/>
        </w:rPr>
        <w:t>6,46</w:t>
      </w:r>
      <w:r w:rsidRPr="008E5154">
        <w:rPr>
          <w:i/>
          <w:sz w:val="28"/>
          <w:szCs w:val="28"/>
          <w:vertAlign w:val="subscript"/>
        </w:rPr>
        <w:t xml:space="preserve"> </w:t>
      </w:r>
      <w:r w:rsidRPr="008E5154">
        <w:rPr>
          <w:sz w:val="28"/>
          <w:szCs w:val="28"/>
        </w:rPr>
        <w:t>- 2,530</w:t>
      </w:r>
      <w:r w:rsidRPr="008E5154">
        <w:rPr>
          <w:sz w:val="28"/>
          <w:szCs w:val="28"/>
          <w:lang w:val="uk-UA"/>
        </w:rPr>
        <w:t xml:space="preserve">* </w:t>
      </w:r>
      <w:r w:rsidRPr="008E5154">
        <w:rPr>
          <w:i/>
          <w:sz w:val="28"/>
          <w:szCs w:val="28"/>
        </w:rPr>
        <w:t>4,86</w:t>
      </w:r>
      <w:r w:rsidRPr="008E5154">
        <w:rPr>
          <w:sz w:val="28"/>
          <w:szCs w:val="28"/>
          <w:vertAlign w:val="subscript"/>
        </w:rPr>
        <w:t xml:space="preserve"> </w:t>
      </w:r>
      <w:r w:rsidRPr="008E5154">
        <w:rPr>
          <w:sz w:val="28"/>
          <w:szCs w:val="28"/>
        </w:rPr>
        <w:t xml:space="preserve">- 0,059 </w:t>
      </w:r>
      <w:r w:rsidRPr="008E5154">
        <w:rPr>
          <w:sz w:val="28"/>
          <w:szCs w:val="28"/>
          <w:lang w:val="uk-UA"/>
        </w:rPr>
        <w:t>*</w:t>
      </w:r>
      <w:r w:rsidRPr="008E5154">
        <w:rPr>
          <w:i/>
          <w:sz w:val="28"/>
          <w:szCs w:val="28"/>
        </w:rPr>
        <w:t>487,25</w:t>
      </w:r>
      <w:r w:rsidRPr="008E5154">
        <w:rPr>
          <w:i/>
          <w:sz w:val="28"/>
          <w:szCs w:val="28"/>
          <w:vertAlign w:val="subscript"/>
        </w:rPr>
        <w:t xml:space="preserve"> </w:t>
      </w:r>
      <w:r w:rsidRPr="008E5154">
        <w:rPr>
          <w:sz w:val="28"/>
          <w:szCs w:val="28"/>
        </w:rPr>
        <w:t xml:space="preserve">+ 0,871 </w:t>
      </w:r>
      <w:r w:rsidRPr="008E5154">
        <w:rPr>
          <w:sz w:val="28"/>
          <w:szCs w:val="28"/>
          <w:lang w:val="uk-UA"/>
        </w:rPr>
        <w:t>*</w:t>
      </w:r>
      <w:r w:rsidRPr="008E5154">
        <w:rPr>
          <w:i/>
          <w:sz w:val="28"/>
          <w:szCs w:val="28"/>
        </w:rPr>
        <w:t>15,15</w:t>
      </w:r>
      <w:r w:rsidRPr="008E5154">
        <w:rPr>
          <w:sz w:val="28"/>
          <w:szCs w:val="28"/>
          <w:vertAlign w:val="subscript"/>
        </w:rPr>
        <w:t xml:space="preserve"> </w:t>
      </w:r>
      <w:r w:rsidRPr="008E5154">
        <w:rPr>
          <w:sz w:val="28"/>
          <w:szCs w:val="28"/>
        </w:rPr>
        <w:t>+ 3,380</w:t>
      </w:r>
      <w:r w:rsidRPr="008E5154">
        <w:rPr>
          <w:sz w:val="28"/>
          <w:szCs w:val="28"/>
          <w:lang w:val="uk-UA"/>
        </w:rPr>
        <w:t xml:space="preserve">* </w:t>
      </w:r>
      <w:r w:rsidRPr="008E5154">
        <w:rPr>
          <w:i/>
          <w:sz w:val="28"/>
          <w:szCs w:val="28"/>
        </w:rPr>
        <w:t>2</w:t>
      </w:r>
      <w:r w:rsidRPr="008E5154">
        <w:rPr>
          <w:sz w:val="28"/>
          <w:szCs w:val="28"/>
        </w:rPr>
        <w:t xml:space="preserve"> - 0,149</w:t>
      </w:r>
      <w:r w:rsidRPr="008E5154">
        <w:rPr>
          <w:sz w:val="28"/>
          <w:szCs w:val="28"/>
          <w:lang w:val="uk-UA"/>
        </w:rPr>
        <w:t xml:space="preserve">* </w:t>
      </w:r>
      <w:r w:rsidRPr="008E5154">
        <w:rPr>
          <w:i/>
          <w:sz w:val="28"/>
          <w:szCs w:val="28"/>
        </w:rPr>
        <w:t>152</w:t>
      </w:r>
      <w:r w:rsidRPr="008E5154">
        <w:rPr>
          <w:sz w:val="28"/>
          <w:szCs w:val="28"/>
        </w:rPr>
        <w:t xml:space="preserve"> - 0,611</w:t>
      </w:r>
      <w:r w:rsidRPr="008E5154">
        <w:rPr>
          <w:sz w:val="28"/>
          <w:szCs w:val="28"/>
          <w:lang w:val="uk-UA"/>
        </w:rPr>
        <w:t xml:space="preserve">* </w:t>
      </w:r>
      <w:r w:rsidRPr="008E5154">
        <w:rPr>
          <w:i/>
          <w:sz w:val="28"/>
          <w:szCs w:val="28"/>
        </w:rPr>
        <w:t>6,3</w:t>
      </w:r>
      <w:r w:rsidRPr="008E5154">
        <w:rPr>
          <w:sz w:val="28"/>
          <w:szCs w:val="28"/>
        </w:rPr>
        <w:t xml:space="preserve"> + 29,490)]</w:t>
      </w:r>
      <w:r w:rsidRPr="008E5154">
        <w:rPr>
          <w:sz w:val="28"/>
          <w:szCs w:val="28"/>
          <w:vertAlign w:val="superscript"/>
        </w:rPr>
        <w:t>-1</w:t>
      </w:r>
      <w:r w:rsidRPr="008E5154">
        <w:rPr>
          <w:sz w:val="28"/>
          <w:szCs w:val="28"/>
          <w:lang w:val="uk-UA"/>
        </w:rPr>
        <w:t>,</w:t>
      </w:r>
    </w:p>
    <w:p w:rsidR="00E3259F" w:rsidRPr="008E5154" w:rsidRDefault="008E5154" w:rsidP="008E5154">
      <w:pPr>
        <w:spacing w:line="360" w:lineRule="auto"/>
        <w:ind w:firstLine="709"/>
        <w:jc w:val="both"/>
        <w:rPr>
          <w:sz w:val="28"/>
          <w:szCs w:val="28"/>
          <w:lang w:val="uk-UA"/>
        </w:rPr>
      </w:pPr>
      <w:r w:rsidRPr="008E5154">
        <w:rPr>
          <w:sz w:val="28"/>
          <w:szCs w:val="28"/>
          <w:lang w:val="uk-UA"/>
        </w:rPr>
        <w:t>І</w:t>
      </w:r>
      <w:r w:rsidR="00E3259F" w:rsidRPr="008E5154">
        <w:rPr>
          <w:sz w:val="28"/>
          <w:szCs w:val="28"/>
          <w:lang w:val="uk-UA"/>
        </w:rPr>
        <w:t xml:space="preserve">мовірність прогресування оксидативного стресу </w:t>
      </w:r>
      <w:r w:rsidR="00E3259F" w:rsidRPr="008E5154">
        <w:rPr>
          <w:rFonts w:eastAsiaTheme="minorHAnsi"/>
          <w:sz w:val="28"/>
          <w:szCs w:val="28"/>
          <w:lang w:eastAsia="en-US"/>
        </w:rPr>
        <w:object w:dxaOrig="240" w:dyaOrig="405">
          <v:shape id="_x0000_i1091" type="#_x0000_t75" style="width:12.75pt;height:20.25pt" o:ole="">
            <v:imagedata r:id="rId48" o:title=""/>
          </v:shape>
          <o:OLEObject Type="Embed" ProgID="Equation.3" ShapeID="_x0000_i1091" DrawAspect="Content" ObjectID="_1669446875" r:id="rId113"/>
        </w:object>
      </w:r>
      <w:r w:rsidR="00E3259F" w:rsidRPr="008E5154">
        <w:rPr>
          <w:sz w:val="28"/>
          <w:szCs w:val="28"/>
          <w:lang w:val="uk-UA"/>
        </w:rPr>
        <w:t xml:space="preserve"> = 0,999.</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Висновок: у цієї хворої має місце висока ймовірність подальшого прогресування ОС, що  поєднано зі СГТ надає негативного поглиблюючого впливу на порушення обміну, які мають місце, (гіперглікемія, дисліпідемія, ознаки інсулінорезистентності)  та буде сприяти подальшому прогресуванню ГХ та ЦД 2 типу та підвищенню загального КВР. Уживання статинів у цьому випадку призвело до зниження ознаків дисліпідемії, деякі ознаки набули цільових значень (ХС ЛПВЩ, тригліцериди), але спостерігаються виражений ОС та інсулінорезистентність, яка потребує корекції комплексної схеми терапії. Вважається, що дисліпідемія при СГТ має не тільки атерогенний характер, а й розвивається під впливом тиреоїдної дисфункції, тому для корекції дисліпідемії в даному клінічному випадку доцільним буде розглянути можливість призначення </w:t>
      </w:r>
      <w:r w:rsidRPr="008E5154">
        <w:rPr>
          <w:sz w:val="28"/>
          <w:szCs w:val="28"/>
          <w:lang w:val="en-US"/>
        </w:rPr>
        <w:t>L</w:t>
      </w:r>
      <w:r w:rsidRPr="008E5154">
        <w:rPr>
          <w:sz w:val="28"/>
          <w:szCs w:val="28"/>
          <w:lang w:val="uk-UA"/>
        </w:rPr>
        <w:t>-тироксину в індивідуально підібраній дозі. Оскількі раніш призначена антигіпертензивна терапія не призвела до значного контролю АТ, передусім систолічного, необхідна корекція дози або всієї схеми антигіпертензивної терапії.</w:t>
      </w:r>
    </w:p>
    <w:p w:rsidR="00E3259F" w:rsidRPr="008E5154" w:rsidRDefault="00E3259F" w:rsidP="008E5154">
      <w:pPr>
        <w:spacing w:line="360" w:lineRule="auto"/>
        <w:ind w:firstLine="709"/>
        <w:jc w:val="both"/>
        <w:rPr>
          <w:b/>
          <w:sz w:val="28"/>
          <w:szCs w:val="28"/>
          <w:lang w:val="uk-UA"/>
        </w:rPr>
      </w:pPr>
      <w:r w:rsidRPr="008E5154">
        <w:rPr>
          <w:sz w:val="28"/>
          <w:szCs w:val="28"/>
          <w:lang w:val="uk-UA"/>
        </w:rPr>
        <w:t>Приклад 2.</w:t>
      </w:r>
      <w:r w:rsidRPr="008E5154">
        <w:rPr>
          <w:b/>
          <w:sz w:val="28"/>
          <w:szCs w:val="28"/>
          <w:lang w:val="uk-UA"/>
        </w:rPr>
        <w:t xml:space="preserve"> </w:t>
      </w:r>
      <w:r w:rsidRPr="008E5154">
        <w:rPr>
          <w:sz w:val="28"/>
          <w:szCs w:val="28"/>
          <w:lang w:val="uk-UA"/>
        </w:rPr>
        <w:t xml:space="preserve">Хвора І., 61 рік, амбулаторна картка, 2016 р., звернулась зі скаргами на помірну слабкість, періодичний головний біль або відчуття важкості в потилиці на тлі підвищення артеріального тиску, погіршення сну. </w:t>
      </w:r>
    </w:p>
    <w:p w:rsidR="00E3259F" w:rsidRPr="008E5154" w:rsidRDefault="00E3259F" w:rsidP="008E5154">
      <w:pPr>
        <w:spacing w:line="360" w:lineRule="auto"/>
        <w:ind w:firstLine="709"/>
        <w:jc w:val="both"/>
        <w:rPr>
          <w:sz w:val="28"/>
          <w:szCs w:val="28"/>
          <w:lang w:val="uk-UA"/>
        </w:rPr>
      </w:pPr>
      <w:r w:rsidRPr="008E5154">
        <w:rPr>
          <w:sz w:val="28"/>
          <w:szCs w:val="28"/>
          <w:lang w:val="uk-UA"/>
        </w:rPr>
        <w:t>Були проведені загальноприйняті методи обстеження: анамнез захворювання та анамнез життя, об’єктивне обстеження.</w:t>
      </w:r>
    </w:p>
    <w:p w:rsidR="00E3259F" w:rsidRPr="008E5154" w:rsidRDefault="00E3259F" w:rsidP="008E5154">
      <w:pPr>
        <w:spacing w:line="360" w:lineRule="auto"/>
        <w:ind w:firstLine="709"/>
        <w:jc w:val="both"/>
        <w:rPr>
          <w:b/>
          <w:bCs/>
          <w:sz w:val="28"/>
          <w:szCs w:val="28"/>
          <w:lang w:val="uk-UA"/>
        </w:rPr>
      </w:pPr>
      <w:r w:rsidRPr="008E5154">
        <w:rPr>
          <w:sz w:val="28"/>
          <w:szCs w:val="28"/>
          <w:lang w:val="uk-UA"/>
        </w:rPr>
        <w:t>А</w:t>
      </w:r>
      <w:r w:rsidRPr="008E5154">
        <w:rPr>
          <w:bCs/>
          <w:sz w:val="28"/>
          <w:szCs w:val="28"/>
          <w:lang w:val="uk-UA"/>
        </w:rPr>
        <w:t>намнез захворювання:</w:t>
      </w:r>
      <w:r w:rsidRPr="008E5154">
        <w:rPr>
          <w:sz w:val="28"/>
          <w:szCs w:val="28"/>
          <w:lang w:val="uk-UA"/>
        </w:rPr>
        <w:t xml:space="preserve"> вважає себе хворою протягом 8 років, коли вперше було діагностовано ГХ ІІ ступеня, ЦД 2 типу був виявлений 3 роки поспіль. Під час планового обстеження було виявлено значення ТТГ, що відповідало контрольному та дорівнювало 3,1 мОд/л. Також було виявлено: рівень глюкози крові - 6,78 ммол/л, </w:t>
      </w:r>
      <w:r w:rsidRPr="008E5154">
        <w:rPr>
          <w:sz w:val="28"/>
          <w:szCs w:val="28"/>
        </w:rPr>
        <w:t>HbA</w:t>
      </w:r>
      <w:r w:rsidRPr="008E5154">
        <w:rPr>
          <w:sz w:val="28"/>
          <w:szCs w:val="28"/>
          <w:lang w:val="uk-UA"/>
        </w:rPr>
        <w:t>1с -7,15%, ЗХС – 5,93 ммоль/л, ХС ЛПВЩ-0,91 ммоль/л, ХС ЛПНЩ- 3,4 ммоль/л, ТГ-2,7 ммоль/л;  АТ=150/100 мм.рт.ст. При час УЗД ЩЗ – без патологічних змін, ехокардіографія – ознаки гіпертрофії міокарда лівого шлуночка, органів черевної порожнини – без патологічних змін. Рекомендована антигіпертензивна терапія (ІАПФ, діуретики), антидіабетична терапія – метформін 850 мг на добу, розувастатин 10 мг/добу, дієта, дозовані фізичні навантаження. У сімейному анамнезі – без особливостей з боку захворювань серцево-судинної системи.</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У подальшому не обстежувалась, антигіпертензивну та антідіабетичну терапію приймала регулярно, розувастатин, незважаючи на призначення, приймала тільки перші 6 місяців, в подальшому не приймала, дієтичних рекомендацій намагалася дотримуватися. </w:t>
      </w:r>
    </w:p>
    <w:p w:rsidR="00E3259F" w:rsidRPr="008E5154" w:rsidRDefault="00E3259F" w:rsidP="008E5154">
      <w:pPr>
        <w:spacing w:line="360" w:lineRule="auto"/>
        <w:ind w:firstLine="709"/>
        <w:jc w:val="both"/>
        <w:rPr>
          <w:sz w:val="28"/>
          <w:szCs w:val="28"/>
          <w:lang w:val="uk-UA"/>
        </w:rPr>
      </w:pPr>
      <w:r w:rsidRPr="008E5154">
        <w:rPr>
          <w:bCs/>
          <w:sz w:val="28"/>
          <w:szCs w:val="28"/>
          <w:lang w:val="uk-UA"/>
        </w:rPr>
        <w:t>Об’єктивне обстеження</w:t>
      </w:r>
      <w:r w:rsidRPr="008E5154">
        <w:rPr>
          <w:b/>
          <w:bCs/>
          <w:sz w:val="28"/>
          <w:szCs w:val="28"/>
          <w:lang w:val="uk-UA"/>
        </w:rPr>
        <w:t>:</w:t>
      </w:r>
      <w:r w:rsidRPr="008E5154">
        <w:rPr>
          <w:sz w:val="28"/>
          <w:szCs w:val="28"/>
          <w:lang w:val="uk-UA"/>
        </w:rPr>
        <w:t xml:space="preserve"> загальний стан відносно задовільний. Шкіра звичайного кольору, суха. Над легенями везикулярне дихання. Серцева діяльність ритмічна, ЧСС 68 уд. за хв. АТ 130/79 мм. рт. ст. При пальпації живіт не збільшений у розмірах, м'який, безболісний. Печінка  не збільшена в розмірах. Периферійні набряки відсутні. Випорожнення та діурез без відмінностей.</w:t>
      </w:r>
    </w:p>
    <w:p w:rsidR="00E3259F" w:rsidRPr="008E5154" w:rsidRDefault="00E3259F" w:rsidP="008E5154">
      <w:pPr>
        <w:spacing w:line="360" w:lineRule="auto"/>
        <w:ind w:firstLine="709"/>
        <w:jc w:val="both"/>
        <w:rPr>
          <w:sz w:val="28"/>
          <w:szCs w:val="28"/>
          <w:lang w:val="uk-UA"/>
        </w:rPr>
      </w:pPr>
      <w:r w:rsidRPr="008E5154">
        <w:rPr>
          <w:sz w:val="28"/>
          <w:szCs w:val="28"/>
          <w:lang w:val="uk-UA"/>
        </w:rPr>
        <w:t>Були оцінені антропометричні показники: маса тіла 76 кг, зріст 168 см; ІМТ 26,93 кг/м</w:t>
      </w:r>
      <w:r w:rsidRPr="008E5154">
        <w:rPr>
          <w:sz w:val="28"/>
          <w:szCs w:val="28"/>
          <w:vertAlign w:val="superscript"/>
          <w:lang w:val="uk-UA"/>
        </w:rPr>
        <w:t>2</w:t>
      </w:r>
      <w:r w:rsidRPr="008E5154">
        <w:rPr>
          <w:sz w:val="28"/>
          <w:szCs w:val="28"/>
          <w:lang w:val="uk-UA"/>
        </w:rPr>
        <w:t>, що свідчить про наявність надлишкової маси тіла.</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Хворій, поряд із загальноприйнятим комплексом досліджень, проводять дослідження метаболічних показників та маркерів ОС, визначення ТКІМ сонних артерій, уміст ТТГ. </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Результати інструментальних досліджень: За даними УЗД сонних артерій – ТКІМ =0,7 мм, без наявності атеросклеротичних бляшок. Під час УЗД ЩЗ, органів черевної порожнини – без патологічних змін, при проведенні ехокардіографії – гіпертрофія лівого шлуночка. На ЕКГ – синусовий ритм, ознаки гіпертрофії міокарда лівого шлуночка. </w:t>
      </w:r>
    </w:p>
    <w:p w:rsidR="00E3259F" w:rsidRPr="008E5154" w:rsidRDefault="00E3259F" w:rsidP="008E5154">
      <w:pPr>
        <w:spacing w:line="360" w:lineRule="auto"/>
        <w:ind w:firstLine="709"/>
        <w:jc w:val="both"/>
        <w:rPr>
          <w:sz w:val="28"/>
          <w:szCs w:val="28"/>
          <w:lang w:val="uk-UA"/>
        </w:rPr>
      </w:pPr>
      <w:r w:rsidRPr="008E5154">
        <w:rPr>
          <w:sz w:val="28"/>
          <w:szCs w:val="28"/>
          <w:lang w:val="uk-UA"/>
        </w:rPr>
        <w:t>Результати лабораторних досліджень: у сироватці крові</w:t>
      </w:r>
      <w:r w:rsidRPr="008E5154">
        <w:rPr>
          <w:b/>
          <w:sz w:val="28"/>
          <w:szCs w:val="28"/>
          <w:lang w:val="uk-UA"/>
        </w:rPr>
        <w:t>:</w:t>
      </w:r>
      <w:r w:rsidRPr="008E5154">
        <w:rPr>
          <w:sz w:val="28"/>
          <w:szCs w:val="28"/>
          <w:lang w:val="uk-UA"/>
        </w:rPr>
        <w:t xml:space="preserve"> ЗХС – 6,2 ммоль/л, ТГ – 2,8 ммоль/л, ХС ЛПВЩ -1,01 ммоль/л ХС ЛПНЩ – 3,2 мкмоль/л. Рівень ТТГ становив 4,3 мОд/л, Т4 вільний – 10,6 ммоль/л, що свідчить про наявність СГТ. Рівень</w:t>
      </w:r>
      <w:r w:rsidRPr="008E5154">
        <w:rPr>
          <w:b/>
          <w:sz w:val="28"/>
          <w:szCs w:val="28"/>
          <w:lang w:val="uk-UA"/>
        </w:rPr>
        <w:t xml:space="preserve"> </w:t>
      </w:r>
      <w:r w:rsidRPr="008E5154">
        <w:rPr>
          <w:sz w:val="28"/>
          <w:szCs w:val="28"/>
          <w:lang w:val="uk-UA"/>
        </w:rPr>
        <w:t xml:space="preserve">інсуліну – 19,8 мкОд/мл, глюкози крові – 6,7 ммоль/л, </w:t>
      </w:r>
      <w:r w:rsidRPr="008E5154">
        <w:rPr>
          <w:sz w:val="28"/>
          <w:szCs w:val="28"/>
        </w:rPr>
        <w:t>HbA</w:t>
      </w:r>
      <w:r w:rsidRPr="008E5154">
        <w:rPr>
          <w:sz w:val="28"/>
          <w:szCs w:val="28"/>
          <w:lang w:val="uk-UA"/>
        </w:rPr>
        <w:t>1с-6,5%, НОМА –</w:t>
      </w:r>
      <w:r w:rsidRPr="008E5154">
        <w:rPr>
          <w:sz w:val="28"/>
          <w:szCs w:val="28"/>
          <w:lang w:val="en-US"/>
        </w:rPr>
        <w:t>IR</w:t>
      </w:r>
      <w:r w:rsidRPr="008E5154">
        <w:rPr>
          <w:sz w:val="28"/>
          <w:szCs w:val="28"/>
          <w:lang w:val="uk-UA"/>
        </w:rPr>
        <w:t xml:space="preserve"> – 5,90.</w:t>
      </w:r>
    </w:p>
    <w:p w:rsidR="00E3259F" w:rsidRPr="008E5154" w:rsidRDefault="00E3259F" w:rsidP="008E5154">
      <w:pPr>
        <w:spacing w:line="360" w:lineRule="auto"/>
        <w:ind w:firstLine="709"/>
        <w:jc w:val="both"/>
        <w:rPr>
          <w:sz w:val="28"/>
          <w:szCs w:val="28"/>
          <w:lang w:val="uk-UA"/>
        </w:rPr>
      </w:pPr>
      <w:r w:rsidRPr="008E5154">
        <w:rPr>
          <w:bCs/>
          <w:sz w:val="28"/>
          <w:szCs w:val="28"/>
          <w:lang w:val="uk-UA"/>
        </w:rPr>
        <w:t xml:space="preserve">Хворої додатково проводять дослідження з визначенням показників оксидантної та антиоксидантної систем: рівень </w:t>
      </w:r>
      <w:r w:rsidRPr="008E5154">
        <w:rPr>
          <w:sz w:val="28"/>
          <w:szCs w:val="28"/>
          <w:lang w:val="uk-UA"/>
        </w:rPr>
        <w:t>8-</w:t>
      </w:r>
      <w:r w:rsidRPr="008E5154">
        <w:rPr>
          <w:sz w:val="28"/>
          <w:szCs w:val="28"/>
          <w:lang w:val="en-US"/>
        </w:rPr>
        <w:t>OH</w:t>
      </w:r>
      <w:r w:rsidRPr="008E5154">
        <w:rPr>
          <w:sz w:val="28"/>
          <w:szCs w:val="28"/>
          <w:lang w:val="uk-UA"/>
        </w:rPr>
        <w:t>-</w:t>
      </w:r>
      <w:r w:rsidRPr="008E5154">
        <w:rPr>
          <w:sz w:val="28"/>
          <w:szCs w:val="28"/>
          <w:lang w:val="en-US"/>
        </w:rPr>
        <w:t>dG</w:t>
      </w:r>
      <w:r w:rsidRPr="008E5154">
        <w:rPr>
          <w:sz w:val="28"/>
          <w:szCs w:val="28"/>
          <w:lang w:val="uk-UA"/>
        </w:rPr>
        <w:t xml:space="preserve"> у сироватці крові дорівнює 9,63 нг/л, МДА - 5,23 мкмоль/л, </w:t>
      </w:r>
      <w:r w:rsidRPr="008E5154">
        <w:rPr>
          <w:sz w:val="28"/>
          <w:szCs w:val="28"/>
        </w:rPr>
        <w:t>SH</w:t>
      </w:r>
      <w:r w:rsidRPr="008E5154">
        <w:rPr>
          <w:sz w:val="28"/>
          <w:szCs w:val="28"/>
          <w:lang w:val="uk-UA"/>
        </w:rPr>
        <w:t xml:space="preserve"> –груп – 529,18 мкмоль/л, активність ГПО - 5,27 мккат/гНв, що свідчать про наявність ОС, але помірно вираженого.</w:t>
      </w:r>
    </w:p>
    <w:p w:rsidR="00E3259F" w:rsidRPr="008E5154" w:rsidRDefault="00E3259F" w:rsidP="008E5154">
      <w:pPr>
        <w:spacing w:line="360" w:lineRule="auto"/>
        <w:ind w:firstLine="709"/>
        <w:jc w:val="both"/>
        <w:rPr>
          <w:sz w:val="28"/>
          <w:szCs w:val="28"/>
          <w:lang w:val="uk-UA"/>
        </w:rPr>
      </w:pPr>
      <w:r w:rsidRPr="008E5154">
        <w:rPr>
          <w:sz w:val="28"/>
          <w:szCs w:val="28"/>
          <w:lang w:val="uk-UA"/>
        </w:rPr>
        <w:t>Таким чином, у хворої визначені наступні значення прогностичних критеріїв: МДА (х</w:t>
      </w:r>
      <w:r w:rsidRPr="008E5154">
        <w:rPr>
          <w:sz w:val="28"/>
          <w:szCs w:val="28"/>
          <w:vertAlign w:val="subscript"/>
          <w:lang w:val="uk-UA"/>
        </w:rPr>
        <w:t>1</w:t>
      </w:r>
      <w:r w:rsidRPr="008E5154">
        <w:rPr>
          <w:sz w:val="28"/>
          <w:szCs w:val="28"/>
          <w:lang w:val="uk-UA"/>
        </w:rPr>
        <w:t>) – 5,23 мкмоль/л, ГПО (х</w:t>
      </w:r>
      <w:r w:rsidRPr="008E5154">
        <w:rPr>
          <w:sz w:val="28"/>
          <w:szCs w:val="28"/>
          <w:vertAlign w:val="subscript"/>
          <w:lang w:val="uk-UA"/>
        </w:rPr>
        <w:t>2</w:t>
      </w:r>
      <w:r w:rsidRPr="008E5154">
        <w:rPr>
          <w:sz w:val="28"/>
          <w:szCs w:val="28"/>
          <w:lang w:val="uk-UA"/>
        </w:rPr>
        <w:t xml:space="preserve">) – 5,27 мккат/гНв, </w:t>
      </w:r>
      <w:r w:rsidRPr="008E5154">
        <w:rPr>
          <w:sz w:val="28"/>
          <w:szCs w:val="28"/>
        </w:rPr>
        <w:t>SH</w:t>
      </w:r>
      <w:r w:rsidRPr="008E5154">
        <w:rPr>
          <w:sz w:val="28"/>
          <w:szCs w:val="28"/>
          <w:lang w:val="uk-UA"/>
        </w:rPr>
        <w:t>-групи (х</w:t>
      </w:r>
      <w:r w:rsidRPr="008E5154">
        <w:rPr>
          <w:sz w:val="28"/>
          <w:szCs w:val="28"/>
          <w:vertAlign w:val="subscript"/>
          <w:lang w:val="uk-UA"/>
        </w:rPr>
        <w:t>3</w:t>
      </w:r>
      <w:r w:rsidRPr="008E5154">
        <w:rPr>
          <w:sz w:val="28"/>
          <w:szCs w:val="28"/>
          <w:lang w:val="uk-UA"/>
        </w:rPr>
        <w:t>) – 529,18 мкмоль/л, 8-OH-dG (х</w:t>
      </w:r>
      <w:r w:rsidRPr="008E5154">
        <w:rPr>
          <w:sz w:val="28"/>
          <w:szCs w:val="28"/>
          <w:vertAlign w:val="subscript"/>
          <w:lang w:val="uk-UA"/>
        </w:rPr>
        <w:t>4</w:t>
      </w:r>
      <w:r w:rsidRPr="008E5154">
        <w:rPr>
          <w:sz w:val="28"/>
          <w:szCs w:val="28"/>
          <w:lang w:val="uk-UA"/>
        </w:rPr>
        <w:t>)</w:t>
      </w:r>
      <w:r w:rsidRPr="008E5154">
        <w:rPr>
          <w:sz w:val="28"/>
          <w:szCs w:val="28"/>
          <w:vertAlign w:val="subscript"/>
          <w:lang w:val="uk-UA"/>
        </w:rPr>
        <w:t xml:space="preserve"> </w:t>
      </w:r>
      <w:r w:rsidRPr="008E5154">
        <w:rPr>
          <w:sz w:val="28"/>
          <w:szCs w:val="28"/>
          <w:lang w:val="uk-UA"/>
        </w:rPr>
        <w:t>– 9,63 нг/л, інформація щодо прийому статинів (х</w:t>
      </w:r>
      <w:r w:rsidRPr="008E5154">
        <w:rPr>
          <w:sz w:val="28"/>
          <w:szCs w:val="28"/>
          <w:vertAlign w:val="subscript"/>
          <w:lang w:val="uk-UA"/>
        </w:rPr>
        <w:t>5</w:t>
      </w:r>
      <w:r w:rsidRPr="008E5154">
        <w:rPr>
          <w:sz w:val="28"/>
          <w:szCs w:val="28"/>
          <w:lang w:val="uk-UA"/>
        </w:rPr>
        <w:t>) – не приймає (значення -1), САТ (х</w:t>
      </w:r>
      <w:r w:rsidRPr="008E5154">
        <w:rPr>
          <w:sz w:val="28"/>
          <w:szCs w:val="28"/>
          <w:vertAlign w:val="subscript"/>
          <w:lang w:val="uk-UA"/>
        </w:rPr>
        <w:t>6</w:t>
      </w:r>
      <w:r w:rsidRPr="008E5154">
        <w:rPr>
          <w:sz w:val="28"/>
          <w:szCs w:val="28"/>
          <w:lang w:val="uk-UA"/>
        </w:rPr>
        <w:t>)</w:t>
      </w:r>
      <w:r w:rsidRPr="008E5154">
        <w:rPr>
          <w:sz w:val="28"/>
          <w:szCs w:val="28"/>
          <w:vertAlign w:val="subscript"/>
          <w:lang w:val="uk-UA"/>
        </w:rPr>
        <w:t xml:space="preserve"> </w:t>
      </w:r>
      <w:r w:rsidRPr="008E5154">
        <w:rPr>
          <w:sz w:val="28"/>
          <w:szCs w:val="28"/>
          <w:lang w:val="uk-UA"/>
        </w:rPr>
        <w:t>– 143 мм.рт.ст., ТТГ (х</w:t>
      </w:r>
      <w:r w:rsidRPr="008E5154">
        <w:rPr>
          <w:sz w:val="28"/>
          <w:szCs w:val="28"/>
          <w:vertAlign w:val="subscript"/>
          <w:lang w:val="uk-UA"/>
        </w:rPr>
        <w:t>7</w:t>
      </w:r>
      <w:r w:rsidRPr="008E5154">
        <w:rPr>
          <w:sz w:val="28"/>
          <w:szCs w:val="28"/>
          <w:lang w:val="uk-UA"/>
        </w:rPr>
        <w:t>)</w:t>
      </w:r>
      <w:r w:rsidRPr="008E5154">
        <w:rPr>
          <w:sz w:val="28"/>
          <w:szCs w:val="28"/>
          <w:vertAlign w:val="subscript"/>
          <w:lang w:val="uk-UA"/>
        </w:rPr>
        <w:t xml:space="preserve"> </w:t>
      </w:r>
      <w:r w:rsidRPr="008E5154">
        <w:rPr>
          <w:sz w:val="28"/>
          <w:szCs w:val="28"/>
          <w:lang w:val="uk-UA"/>
        </w:rPr>
        <w:t>– 4,3 мОд/л.</w:t>
      </w:r>
    </w:p>
    <w:p w:rsidR="00E3259F" w:rsidRPr="008E5154" w:rsidRDefault="00E3259F" w:rsidP="008E5154">
      <w:pPr>
        <w:spacing w:line="360" w:lineRule="auto"/>
        <w:ind w:firstLine="709"/>
        <w:jc w:val="both"/>
        <w:rPr>
          <w:bCs/>
          <w:sz w:val="28"/>
          <w:szCs w:val="28"/>
          <w:lang w:val="uk-UA"/>
        </w:rPr>
      </w:pPr>
      <w:r w:rsidRPr="008E5154">
        <w:rPr>
          <w:sz w:val="28"/>
          <w:szCs w:val="28"/>
          <w:lang w:val="uk-UA"/>
        </w:rPr>
        <w:t xml:space="preserve">Хворій здійснено індивідуальну кількісну оцінку прогностичних критеріїв та розраховано в автоматичному режимі в </w:t>
      </w:r>
      <w:r w:rsidRPr="008E5154">
        <w:rPr>
          <w:i/>
          <w:sz w:val="28"/>
          <w:szCs w:val="28"/>
        </w:rPr>
        <w:t>Ex</w:t>
      </w:r>
      <w:r w:rsidRPr="008E5154">
        <w:rPr>
          <w:i/>
          <w:sz w:val="28"/>
          <w:szCs w:val="28"/>
          <w:lang w:val="uk-UA"/>
        </w:rPr>
        <w:t>с</w:t>
      </w:r>
      <w:r w:rsidRPr="008E5154">
        <w:rPr>
          <w:i/>
          <w:sz w:val="28"/>
          <w:szCs w:val="28"/>
        </w:rPr>
        <w:t>el</w:t>
      </w:r>
      <w:r w:rsidRPr="008E5154">
        <w:rPr>
          <w:sz w:val="28"/>
          <w:szCs w:val="28"/>
          <w:lang w:val="uk-UA"/>
        </w:rPr>
        <w:t xml:space="preserve"> прогностичний індекс за розробленою формулою:</w:t>
      </w:r>
      <w:r w:rsidRPr="008E5154">
        <w:rPr>
          <w:bCs/>
          <w:sz w:val="28"/>
          <w:szCs w:val="28"/>
          <w:lang w:val="uk-UA"/>
        </w:rPr>
        <w:t xml:space="preserve"> </w:t>
      </w:r>
    </w:p>
    <w:p w:rsidR="00E3259F" w:rsidRPr="008E5154" w:rsidRDefault="00E3259F" w:rsidP="008E5154">
      <w:pPr>
        <w:spacing w:line="360" w:lineRule="auto"/>
        <w:jc w:val="center"/>
        <w:rPr>
          <w:sz w:val="28"/>
          <w:szCs w:val="28"/>
          <w:lang w:val="uk-UA"/>
        </w:rPr>
      </w:pPr>
      <w:r w:rsidRPr="008E5154">
        <w:rPr>
          <w:rFonts w:eastAsiaTheme="minorHAnsi"/>
          <w:sz w:val="28"/>
          <w:szCs w:val="28"/>
          <w:lang w:eastAsia="en-US"/>
        </w:rPr>
        <w:object w:dxaOrig="240" w:dyaOrig="405">
          <v:shape id="_x0000_i1092" type="#_x0000_t75" style="width:12.75pt;height:20.25pt" o:ole="">
            <v:imagedata r:id="rId48" o:title=""/>
          </v:shape>
          <o:OLEObject Type="Embed" ProgID="Equation.3" ShapeID="_x0000_i1092" DrawAspect="Content" ObjectID="_1669446876" r:id="rId114"/>
        </w:object>
      </w:r>
      <w:r w:rsidRPr="008E5154">
        <w:rPr>
          <w:sz w:val="28"/>
          <w:szCs w:val="28"/>
        </w:rPr>
        <w:t xml:space="preserve">=[1+ </w:t>
      </w:r>
      <w:r w:rsidRPr="008E5154">
        <w:rPr>
          <w:sz w:val="28"/>
          <w:szCs w:val="28"/>
          <w:lang w:val="en-US"/>
        </w:rPr>
        <w:t>exp</w:t>
      </w:r>
      <w:r w:rsidRPr="008E5154">
        <w:rPr>
          <w:sz w:val="28"/>
          <w:szCs w:val="28"/>
        </w:rPr>
        <w:t>(4,229</w:t>
      </w:r>
      <w:r w:rsidRPr="008E5154">
        <w:rPr>
          <w:sz w:val="28"/>
          <w:szCs w:val="28"/>
          <w:lang w:val="uk-UA"/>
        </w:rPr>
        <w:t xml:space="preserve">* </w:t>
      </w:r>
      <w:r w:rsidRPr="008E5154">
        <w:rPr>
          <w:i/>
          <w:sz w:val="28"/>
          <w:szCs w:val="28"/>
          <w:lang w:val="uk-UA"/>
        </w:rPr>
        <w:t>5,23</w:t>
      </w:r>
      <w:r w:rsidRPr="008E5154">
        <w:rPr>
          <w:i/>
          <w:sz w:val="28"/>
          <w:szCs w:val="28"/>
          <w:vertAlign w:val="subscript"/>
          <w:lang w:val="uk-UA"/>
        </w:rPr>
        <w:t xml:space="preserve"> </w:t>
      </w:r>
      <w:r w:rsidRPr="008E5154">
        <w:rPr>
          <w:sz w:val="28"/>
          <w:szCs w:val="28"/>
        </w:rPr>
        <w:t>- 2,530</w:t>
      </w:r>
      <w:r w:rsidRPr="008E5154">
        <w:rPr>
          <w:sz w:val="28"/>
          <w:szCs w:val="28"/>
          <w:lang w:val="uk-UA"/>
        </w:rPr>
        <w:t xml:space="preserve">* </w:t>
      </w:r>
      <w:r w:rsidRPr="008E5154">
        <w:rPr>
          <w:i/>
          <w:sz w:val="28"/>
          <w:szCs w:val="28"/>
          <w:lang w:val="uk-UA"/>
        </w:rPr>
        <w:t>5,27</w:t>
      </w:r>
      <w:r w:rsidRPr="008E5154">
        <w:rPr>
          <w:sz w:val="28"/>
          <w:szCs w:val="28"/>
          <w:vertAlign w:val="subscript"/>
          <w:lang w:val="uk-UA"/>
        </w:rPr>
        <w:t xml:space="preserve"> </w:t>
      </w:r>
      <w:r w:rsidRPr="008E5154">
        <w:rPr>
          <w:sz w:val="28"/>
          <w:szCs w:val="28"/>
        </w:rPr>
        <w:t xml:space="preserve">- 0,059 </w:t>
      </w:r>
      <w:r w:rsidRPr="008E5154">
        <w:rPr>
          <w:sz w:val="28"/>
          <w:szCs w:val="28"/>
          <w:lang w:val="uk-UA"/>
        </w:rPr>
        <w:t>*</w:t>
      </w:r>
      <w:r w:rsidRPr="008E5154">
        <w:rPr>
          <w:i/>
          <w:sz w:val="28"/>
          <w:szCs w:val="28"/>
          <w:lang w:val="uk-UA"/>
        </w:rPr>
        <w:t>529,18</w:t>
      </w:r>
      <w:r w:rsidRPr="008E5154">
        <w:rPr>
          <w:i/>
          <w:sz w:val="28"/>
          <w:szCs w:val="28"/>
          <w:vertAlign w:val="subscript"/>
          <w:lang w:val="uk-UA"/>
        </w:rPr>
        <w:t xml:space="preserve"> </w:t>
      </w:r>
      <w:r w:rsidRPr="008E5154">
        <w:rPr>
          <w:sz w:val="28"/>
          <w:szCs w:val="28"/>
        </w:rPr>
        <w:t xml:space="preserve">+ 0,871 </w:t>
      </w:r>
      <w:r w:rsidRPr="008E5154">
        <w:rPr>
          <w:sz w:val="28"/>
          <w:szCs w:val="28"/>
          <w:lang w:val="uk-UA"/>
        </w:rPr>
        <w:t>*</w:t>
      </w:r>
      <w:r w:rsidRPr="008E5154">
        <w:rPr>
          <w:i/>
          <w:sz w:val="28"/>
          <w:szCs w:val="28"/>
          <w:lang w:val="uk-UA"/>
        </w:rPr>
        <w:t xml:space="preserve">9,63 </w:t>
      </w:r>
      <w:r w:rsidRPr="008E5154">
        <w:rPr>
          <w:sz w:val="28"/>
          <w:szCs w:val="28"/>
        </w:rPr>
        <w:t>+ 3,380</w:t>
      </w:r>
      <w:r w:rsidRPr="008E5154">
        <w:rPr>
          <w:sz w:val="28"/>
          <w:szCs w:val="28"/>
          <w:lang w:val="uk-UA"/>
        </w:rPr>
        <w:t xml:space="preserve">* </w:t>
      </w:r>
      <w:r w:rsidRPr="008E5154">
        <w:rPr>
          <w:i/>
          <w:sz w:val="28"/>
          <w:szCs w:val="28"/>
          <w:lang w:val="uk-UA"/>
        </w:rPr>
        <w:t>1</w:t>
      </w:r>
      <w:r w:rsidRPr="008E5154">
        <w:rPr>
          <w:sz w:val="28"/>
          <w:szCs w:val="28"/>
        </w:rPr>
        <w:t xml:space="preserve"> - 0,149 </w:t>
      </w:r>
      <w:r w:rsidRPr="008E5154">
        <w:rPr>
          <w:sz w:val="28"/>
          <w:szCs w:val="28"/>
          <w:lang w:val="uk-UA"/>
        </w:rPr>
        <w:t>*</w:t>
      </w:r>
      <w:r w:rsidRPr="008E5154">
        <w:rPr>
          <w:i/>
          <w:sz w:val="28"/>
          <w:szCs w:val="28"/>
          <w:lang w:val="uk-UA"/>
        </w:rPr>
        <w:t>143</w:t>
      </w:r>
      <w:r w:rsidRPr="008E5154">
        <w:rPr>
          <w:sz w:val="28"/>
          <w:szCs w:val="28"/>
        </w:rPr>
        <w:t xml:space="preserve"> - 0,611 </w:t>
      </w:r>
      <w:r w:rsidRPr="008E5154">
        <w:rPr>
          <w:sz w:val="28"/>
          <w:szCs w:val="28"/>
          <w:lang w:val="uk-UA"/>
        </w:rPr>
        <w:t>*</w:t>
      </w:r>
      <w:r w:rsidRPr="008E5154">
        <w:rPr>
          <w:i/>
          <w:sz w:val="28"/>
          <w:szCs w:val="28"/>
          <w:lang w:val="uk-UA"/>
        </w:rPr>
        <w:t>4,3</w:t>
      </w:r>
      <w:r w:rsidRPr="008E5154">
        <w:rPr>
          <w:sz w:val="28"/>
          <w:szCs w:val="28"/>
        </w:rPr>
        <w:t xml:space="preserve"> + 29,490)]</w:t>
      </w:r>
      <w:r w:rsidRPr="008E5154">
        <w:rPr>
          <w:sz w:val="28"/>
          <w:szCs w:val="28"/>
          <w:vertAlign w:val="superscript"/>
        </w:rPr>
        <w:t>-1</w:t>
      </w:r>
      <w:r w:rsidRPr="008E5154">
        <w:rPr>
          <w:sz w:val="28"/>
          <w:szCs w:val="28"/>
          <w:lang w:val="uk-UA"/>
        </w:rPr>
        <w:t>,</w:t>
      </w:r>
    </w:p>
    <w:p w:rsidR="00E3259F" w:rsidRPr="008E5154" w:rsidRDefault="00E3259F" w:rsidP="008E5154">
      <w:pPr>
        <w:spacing w:line="360" w:lineRule="auto"/>
        <w:ind w:firstLine="709"/>
        <w:jc w:val="both"/>
        <w:rPr>
          <w:sz w:val="28"/>
          <w:szCs w:val="28"/>
          <w:lang w:val="uk-UA"/>
        </w:rPr>
      </w:pPr>
      <w:r w:rsidRPr="008E5154">
        <w:rPr>
          <w:sz w:val="28"/>
          <w:szCs w:val="28"/>
          <w:lang w:val="uk-UA"/>
        </w:rPr>
        <w:t xml:space="preserve">Імовірність прогресування оксидативного стресу </w:t>
      </w:r>
      <w:r w:rsidRPr="008E5154">
        <w:rPr>
          <w:rFonts w:eastAsiaTheme="minorHAnsi"/>
          <w:sz w:val="28"/>
          <w:szCs w:val="28"/>
          <w:lang w:eastAsia="en-US"/>
        </w:rPr>
        <w:object w:dxaOrig="240" w:dyaOrig="405">
          <v:shape id="_x0000_i1093" type="#_x0000_t75" style="width:12.75pt;height:20.25pt" o:ole="">
            <v:imagedata r:id="rId48" o:title=""/>
          </v:shape>
          <o:OLEObject Type="Embed" ProgID="Equation.3" ShapeID="_x0000_i1093" DrawAspect="Content" ObjectID="_1669446877" r:id="rId115"/>
        </w:object>
      </w:r>
      <w:r w:rsidRPr="008E5154">
        <w:rPr>
          <w:sz w:val="28"/>
          <w:szCs w:val="28"/>
          <w:lang w:val="uk-UA"/>
        </w:rPr>
        <w:t xml:space="preserve"> =0,001.</w:t>
      </w:r>
    </w:p>
    <w:p w:rsidR="00E3259F" w:rsidRPr="008E5154" w:rsidRDefault="00E3259F" w:rsidP="008E5154">
      <w:pPr>
        <w:spacing w:line="360" w:lineRule="auto"/>
        <w:ind w:firstLine="709"/>
        <w:jc w:val="both"/>
        <w:rPr>
          <w:bCs/>
          <w:sz w:val="28"/>
          <w:szCs w:val="28"/>
          <w:lang w:val="uk-UA"/>
        </w:rPr>
      </w:pPr>
      <w:r w:rsidRPr="008E5154">
        <w:rPr>
          <w:bCs/>
          <w:sz w:val="28"/>
          <w:szCs w:val="28"/>
          <w:lang w:val="uk-UA"/>
        </w:rPr>
        <w:t>Результати:</w:t>
      </w:r>
      <w:r w:rsidRPr="008E5154">
        <w:rPr>
          <w:b/>
          <w:bCs/>
          <w:sz w:val="28"/>
          <w:szCs w:val="28"/>
          <w:lang w:val="uk-UA"/>
        </w:rPr>
        <w:t xml:space="preserve"> </w:t>
      </w:r>
      <w:r w:rsidRPr="008E5154">
        <w:rPr>
          <w:bCs/>
          <w:sz w:val="28"/>
          <w:szCs w:val="28"/>
          <w:lang w:val="uk-UA"/>
        </w:rPr>
        <w:t>незважаючи на наявність ознаків дисліпідемії, гіперглікемії, інсулінорезистентності та ОС, який проявляється незначним дисбалансом оксидантної та антиоксидантної систем</w:t>
      </w:r>
      <w:r w:rsidRPr="008E5154">
        <w:rPr>
          <w:b/>
          <w:bCs/>
          <w:sz w:val="28"/>
          <w:szCs w:val="28"/>
          <w:lang w:val="uk-UA"/>
        </w:rPr>
        <w:t xml:space="preserve">, </w:t>
      </w:r>
      <w:r w:rsidRPr="008E5154">
        <w:rPr>
          <w:bCs/>
          <w:sz w:val="28"/>
          <w:szCs w:val="28"/>
          <w:lang w:val="uk-UA"/>
        </w:rPr>
        <w:t xml:space="preserve">пацієнтка має не високу ймовірність прогресування ОС, що у сукупності з нормальними значеннями САТ та ТКІМ віддзеркалює мінімальний додатковий негативний вплив на перебіг та прогресування ГХ з ЦД 2 типу поєднано зі СГТ на </w:t>
      </w:r>
      <w:r w:rsidRPr="008E5154">
        <w:rPr>
          <w:sz w:val="28"/>
          <w:szCs w:val="28"/>
          <w:lang w:val="uk-UA"/>
        </w:rPr>
        <w:t>тлі статинотерапії</w:t>
      </w:r>
      <w:r w:rsidRPr="008E5154">
        <w:rPr>
          <w:bCs/>
          <w:sz w:val="28"/>
          <w:szCs w:val="28"/>
          <w:lang w:val="uk-UA"/>
        </w:rPr>
        <w:t>, незначно підвищуючи загальний КВР більшою мірою за рахунок  дисліпідемії, прогресування якої можливо є наслідком розвиненої гіпофункції ЩЗ. Призначення статинотерапії в цьому випадку необхідно під пильним контролем показників оксидантно-антиоксидантної системи для запобігання погіршення кардіо-васкулярного ризику.</w:t>
      </w:r>
    </w:p>
    <w:p w:rsidR="00E3259F" w:rsidRPr="008E5154" w:rsidRDefault="00E3259F" w:rsidP="008E5154">
      <w:pPr>
        <w:spacing w:line="360" w:lineRule="auto"/>
        <w:ind w:firstLine="709"/>
        <w:jc w:val="both"/>
        <w:rPr>
          <w:bCs/>
          <w:sz w:val="28"/>
          <w:szCs w:val="28"/>
          <w:lang w:val="uk-UA"/>
        </w:rPr>
      </w:pPr>
      <w:r w:rsidRPr="008E5154">
        <w:rPr>
          <w:sz w:val="28"/>
          <w:szCs w:val="28"/>
          <w:lang w:val="uk-UA"/>
        </w:rPr>
        <w:t>Таким чином, запропонований спосіб дозволяє визначати розвиток та ймовірність прогресування ОС у пацієнтів з ГХ та ЦД 2 типу поєднаної з СГТ</w:t>
      </w:r>
      <w:r w:rsidRPr="008E5154">
        <w:rPr>
          <w:bCs/>
          <w:sz w:val="28"/>
          <w:szCs w:val="28"/>
          <w:lang w:val="uk-UA"/>
        </w:rPr>
        <w:t xml:space="preserve"> </w:t>
      </w:r>
      <w:r w:rsidRPr="008E5154">
        <w:rPr>
          <w:sz w:val="28"/>
          <w:szCs w:val="28"/>
          <w:lang w:val="uk-UA"/>
        </w:rPr>
        <w:t>на тлі статинотерапії</w:t>
      </w:r>
      <w:r w:rsidRPr="008E5154">
        <w:rPr>
          <w:bCs/>
          <w:sz w:val="28"/>
          <w:szCs w:val="28"/>
          <w:lang w:val="uk-UA"/>
        </w:rPr>
        <w:t xml:space="preserve"> на основі клініко-лабораторних показників</w:t>
      </w:r>
      <w:r w:rsidRPr="008E5154">
        <w:rPr>
          <w:sz w:val="28"/>
          <w:szCs w:val="28"/>
          <w:lang w:val="uk-UA"/>
        </w:rPr>
        <w:t>.</w:t>
      </w:r>
    </w:p>
    <w:p w:rsidR="00E3259F" w:rsidRPr="00E3259F" w:rsidRDefault="00E3259F" w:rsidP="00E3259F">
      <w:pPr>
        <w:shd w:val="clear" w:color="auto" w:fill="FFFFFF"/>
        <w:spacing w:line="360" w:lineRule="auto"/>
        <w:ind w:firstLine="709"/>
        <w:jc w:val="both"/>
        <w:rPr>
          <w:rStyle w:val="tlid-translation"/>
          <w:lang w:val="uk-UA"/>
        </w:rPr>
      </w:pPr>
    </w:p>
    <w:p w:rsidR="00E3259F" w:rsidRPr="008E5154" w:rsidRDefault="00E3259F" w:rsidP="00E3259F">
      <w:pPr>
        <w:shd w:val="clear" w:color="auto" w:fill="FFFFFF"/>
        <w:spacing w:line="360" w:lineRule="auto"/>
        <w:ind w:firstLine="709"/>
        <w:jc w:val="both"/>
        <w:rPr>
          <w:rStyle w:val="tlid-translation"/>
          <w:lang w:val="uk-UA"/>
        </w:rPr>
      </w:pPr>
      <w:r w:rsidRPr="008E5154">
        <w:rPr>
          <w:rStyle w:val="tlid-translation"/>
          <w:sz w:val="28"/>
          <w:szCs w:val="28"/>
          <w:lang w:val="uk-UA"/>
        </w:rPr>
        <w:t>Лікування левотироксином призводило до збільшення ВДТ як крові, так і клітин букального епітелію,  але вірогідні відмінності спостерігались тільки при порівнянні ВДТ крові (р=0,047) (Рис.8.5). Так  у 63 пацієнтів (67,7±4,8%) спостерігалось збільшення ВДТ крові, у 17 пацієнтів (18,3±4,0%) – зниження ВДТ крові та в 13 пацієнтів (14,0±3,6%) рівень цього показника не змінився. Збільшення ВДТ клітин букального епітелію  спостерігалось у 51 (54,8±5,2%) пацієнта, зниження цього показника спостерігалося в 37   (39,8±5,1%) пацієнтів та в 5 (5,4±2,3%) пацієнтів ВДТ букального епітелію не змінилас</w:t>
      </w:r>
      <w:r w:rsidR="008E5154">
        <w:rPr>
          <w:rStyle w:val="tlid-translation"/>
          <w:sz w:val="28"/>
          <w:szCs w:val="28"/>
          <w:lang w:val="uk-UA"/>
        </w:rPr>
        <w:t>я</w:t>
      </w:r>
      <w:r w:rsidRPr="008E5154">
        <w:rPr>
          <w:rStyle w:val="tlid-translation"/>
          <w:sz w:val="28"/>
          <w:szCs w:val="28"/>
          <w:lang w:val="uk-UA"/>
        </w:rPr>
        <w:t xml:space="preserve">. </w:t>
      </w:r>
    </w:p>
    <w:p w:rsidR="00E3259F" w:rsidRDefault="00E3259F" w:rsidP="00E3259F">
      <w:pPr>
        <w:shd w:val="clear" w:color="auto" w:fill="FFFFFF"/>
        <w:spacing w:line="360" w:lineRule="auto"/>
        <w:ind w:firstLine="709"/>
        <w:jc w:val="both"/>
        <w:rPr>
          <w:rStyle w:val="tlid-translation"/>
          <w:sz w:val="28"/>
          <w:szCs w:val="28"/>
          <w:lang w:val="uk-UA"/>
        </w:rPr>
      </w:pPr>
    </w:p>
    <w:p w:rsidR="00E3259F" w:rsidRDefault="00E3259F" w:rsidP="00E3259F">
      <w:pPr>
        <w:shd w:val="clear" w:color="auto" w:fill="FFFFFF"/>
        <w:spacing w:line="360" w:lineRule="auto"/>
        <w:ind w:firstLine="709"/>
        <w:jc w:val="both"/>
        <w:rPr>
          <w:rStyle w:val="tlid-translation"/>
          <w:sz w:val="28"/>
          <w:szCs w:val="28"/>
          <w:lang w:val="uk-UA"/>
        </w:rPr>
      </w:pPr>
      <w:r>
        <w:rPr>
          <w:noProof/>
        </w:rPr>
        <w:drawing>
          <wp:inline distT="0" distB="0" distL="0" distR="0">
            <wp:extent cx="5514975" cy="3238500"/>
            <wp:effectExtent l="0" t="0" r="9525" b="19050"/>
            <wp:docPr id="95" name="Диаграмма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E3259F" w:rsidRPr="00E00CAF" w:rsidRDefault="00E3259F" w:rsidP="00E3259F">
      <w:pPr>
        <w:shd w:val="clear" w:color="auto" w:fill="FFFFFF"/>
        <w:spacing w:line="360" w:lineRule="auto"/>
        <w:ind w:firstLine="709"/>
        <w:jc w:val="both"/>
        <w:rPr>
          <w:rStyle w:val="tlid-translation"/>
          <w:sz w:val="28"/>
          <w:szCs w:val="28"/>
          <w:lang w:val="uk-UA"/>
        </w:rPr>
      </w:pPr>
      <w:r>
        <w:rPr>
          <w:rStyle w:val="tlid-translation"/>
          <w:sz w:val="28"/>
          <w:szCs w:val="28"/>
          <w:lang w:val="uk-UA"/>
        </w:rPr>
        <w:t xml:space="preserve">Рис.8.5. Зміни відносної довжини теломер під впливом додаткового призначення замісної </w:t>
      </w:r>
      <w:r w:rsidRPr="00E00CAF">
        <w:rPr>
          <w:rStyle w:val="tlid-translation"/>
          <w:sz w:val="28"/>
          <w:szCs w:val="28"/>
          <w:lang w:val="uk-UA"/>
        </w:rPr>
        <w:t xml:space="preserve">терапії левотироксином наприкінці терміну спостереження </w:t>
      </w:r>
    </w:p>
    <w:p w:rsidR="00E3259F" w:rsidRDefault="00E3259F" w:rsidP="00E3259F">
      <w:pPr>
        <w:shd w:val="clear" w:color="auto" w:fill="FFFFFF"/>
        <w:spacing w:line="360" w:lineRule="auto"/>
        <w:ind w:firstLine="709"/>
        <w:jc w:val="both"/>
        <w:rPr>
          <w:rStyle w:val="tlid-translation"/>
          <w:sz w:val="28"/>
          <w:szCs w:val="28"/>
          <w:lang w:val="uk-UA"/>
        </w:rPr>
      </w:pPr>
    </w:p>
    <w:p w:rsidR="00E3259F" w:rsidRPr="008E5154" w:rsidRDefault="00E3259F" w:rsidP="008E5154">
      <w:pPr>
        <w:shd w:val="clear" w:color="auto" w:fill="FFFFFF"/>
        <w:spacing w:line="360" w:lineRule="auto"/>
        <w:ind w:firstLine="709"/>
        <w:jc w:val="both"/>
        <w:rPr>
          <w:rStyle w:val="tlid-translation"/>
          <w:rFonts w:asciiTheme="minorHAnsi" w:hAnsiTheme="minorHAnsi" w:cstheme="minorBidi"/>
          <w:sz w:val="28"/>
          <w:szCs w:val="28"/>
          <w:lang w:val="uk-UA"/>
        </w:rPr>
      </w:pPr>
      <w:r w:rsidRPr="008E5154">
        <w:rPr>
          <w:rStyle w:val="tlid-translation"/>
          <w:sz w:val="28"/>
          <w:szCs w:val="28"/>
          <w:lang w:val="uk-UA"/>
        </w:rPr>
        <w:t xml:space="preserve">Відсутність достовірних відмінностей подовшення ВДТ клітин букального епітелію може бути частково пояснено значно більшим впливом сторонніх факторів на букальний епітелій, ніж на клітини крові, </w:t>
      </w:r>
      <w:r w:rsidRPr="008E5154">
        <w:rPr>
          <w:sz w:val="28"/>
          <w:szCs w:val="28"/>
          <w:lang w:val="uk-UA"/>
        </w:rPr>
        <w:t xml:space="preserve">зокрема </w:t>
      </w:r>
      <w:r w:rsidRPr="008E5154">
        <w:rPr>
          <w:rStyle w:val="tlid-translation"/>
          <w:sz w:val="28"/>
          <w:szCs w:val="28"/>
          <w:lang w:val="uk-UA"/>
        </w:rPr>
        <w:t xml:space="preserve">куріння, вживання занадто гарячої або холодної їжі, локальні запальні процеси та інш., які не брались до уваги при цьому дослідженні, але їхній додатковий вплив на ВДТ клітин букального епітелію виключити не можна.  </w:t>
      </w:r>
    </w:p>
    <w:p w:rsidR="00E3259F" w:rsidRPr="008E5154" w:rsidRDefault="00E3259F" w:rsidP="008E5154">
      <w:pPr>
        <w:pStyle w:val="1"/>
        <w:shd w:val="clear" w:color="auto" w:fill="FFFFFF"/>
        <w:spacing w:before="0" w:beforeAutospacing="0" w:after="0" w:afterAutospacing="0" w:line="360" w:lineRule="auto"/>
        <w:ind w:firstLine="709"/>
        <w:jc w:val="both"/>
        <w:rPr>
          <w:rStyle w:val="tlid-translation"/>
          <w:b w:val="0"/>
          <w:sz w:val="28"/>
          <w:szCs w:val="28"/>
          <w:lang w:val="uk-UA"/>
        </w:rPr>
      </w:pPr>
      <w:r w:rsidRPr="008E5154">
        <w:rPr>
          <w:rStyle w:val="tlid-translation"/>
          <w:b w:val="0"/>
          <w:sz w:val="28"/>
          <w:szCs w:val="28"/>
          <w:lang w:val="uk-UA"/>
        </w:rPr>
        <w:t xml:space="preserve">Сучасні європейські рекомендації з ведення пацієнтів зі СГТ містять досить чіткі рекомендації щодо тактики та ведення пацієнтів старше 80-85 років, вагітних жінок, молодих осіб, при рівнях ТТГ більш 10,0 мМО/ л </w:t>
      </w:r>
      <w:r w:rsidRPr="008E5154">
        <w:rPr>
          <w:b w:val="0"/>
          <w:bCs w:val="0"/>
          <w:i/>
          <w:iCs/>
          <w:sz w:val="28"/>
          <w:szCs w:val="28"/>
          <w:lang w:val="uk-UA"/>
        </w:rPr>
        <w:t xml:space="preserve"> </w:t>
      </w:r>
      <w:r w:rsidRPr="008E5154">
        <w:rPr>
          <w:b w:val="0"/>
          <w:sz w:val="28"/>
          <w:szCs w:val="28"/>
          <w:lang w:val="uk-UA"/>
        </w:rPr>
        <w:t xml:space="preserve">[92,314], але  й </w:t>
      </w:r>
      <w:r w:rsidRPr="008E5154">
        <w:rPr>
          <w:rStyle w:val="tlid-translation"/>
          <w:b w:val="0"/>
          <w:sz w:val="28"/>
          <w:szCs w:val="28"/>
          <w:lang w:val="uk-UA"/>
        </w:rPr>
        <w:t>до цього часу ведуться наукові дискусії у зв'язку з недостатнім рівнем доказовості щодо ведення пацієнтів середнього та похилого віку з рівнем ТТГ між верхньою межею контрольного діапазону та 10,0 мкМО/мл та при наявності високого КВР</w:t>
      </w:r>
      <w:r w:rsidRPr="008E5154">
        <w:rPr>
          <w:b w:val="0"/>
          <w:sz w:val="28"/>
          <w:szCs w:val="28"/>
          <w:lang w:val="uk-UA"/>
        </w:rPr>
        <w:t xml:space="preserve"> [202,285,332].  Беручи до уваги наявність значної кількості досліджень, зокрема</w:t>
      </w:r>
      <w:r w:rsidRPr="008E5154">
        <w:rPr>
          <w:sz w:val="28"/>
          <w:szCs w:val="28"/>
          <w:lang w:val="uk-UA"/>
        </w:rPr>
        <w:t xml:space="preserve"> </w:t>
      </w:r>
      <w:r w:rsidRPr="008E5154">
        <w:rPr>
          <w:b w:val="0"/>
          <w:sz w:val="28"/>
          <w:szCs w:val="28"/>
          <w:lang w:val="uk-UA"/>
        </w:rPr>
        <w:t xml:space="preserve">епідеміологічних, у яких містяться дані щодо підвищення ризику смертності серед осіб зі СГТ </w:t>
      </w:r>
      <w:r w:rsidRPr="008E5154">
        <w:rPr>
          <w:rStyle w:val="tlid-translation"/>
          <w:b w:val="0"/>
          <w:sz w:val="28"/>
          <w:szCs w:val="28"/>
          <w:lang w:val="uk-UA"/>
        </w:rPr>
        <w:t xml:space="preserve">[24,364,377], корекція гіпофункції ЩЖ , навіть на субклінічному рівні може бути значимою щодо зниження ризику серцево-судинних ускладнень. </w:t>
      </w:r>
    </w:p>
    <w:p w:rsidR="00E3259F" w:rsidRPr="008E5154" w:rsidRDefault="00E3259F" w:rsidP="008E5154">
      <w:pPr>
        <w:spacing w:line="360" w:lineRule="auto"/>
        <w:ind w:firstLine="709"/>
        <w:jc w:val="both"/>
        <w:rPr>
          <w:lang w:val="uk-UA"/>
        </w:rPr>
      </w:pPr>
      <w:r w:rsidRPr="008E5154">
        <w:rPr>
          <w:rStyle w:val="10"/>
          <w:rFonts w:eastAsiaTheme="minorHAnsi"/>
          <w:b w:val="0"/>
          <w:sz w:val="28"/>
          <w:szCs w:val="28"/>
          <w:lang w:val="uk-UA"/>
        </w:rPr>
        <w:t xml:space="preserve">Був проведений аналіз змін досліджуваних показників на тлі замісної терапії </w:t>
      </w:r>
      <w:r w:rsidRPr="008E5154">
        <w:rPr>
          <w:sz w:val="28"/>
          <w:szCs w:val="28"/>
          <w:lang w:val="uk-UA" w:eastAsia="en-US"/>
        </w:rPr>
        <w:t xml:space="preserve">залежно </w:t>
      </w:r>
      <w:r w:rsidRPr="008E5154">
        <w:rPr>
          <w:rStyle w:val="10"/>
          <w:rFonts w:eastAsiaTheme="minorHAnsi"/>
          <w:b w:val="0"/>
          <w:sz w:val="28"/>
          <w:szCs w:val="28"/>
          <w:lang w:val="uk-UA"/>
        </w:rPr>
        <w:t xml:space="preserve">від  вихідного рівня ТТГ до 6,0 мкМО/мл та від 6,1 до 10,0 мкМО/мл (Таблиця 8.14). </w:t>
      </w:r>
    </w:p>
    <w:p w:rsidR="00E3259F" w:rsidRDefault="00E3259F" w:rsidP="00E3259F">
      <w:pPr>
        <w:shd w:val="clear" w:color="auto" w:fill="FFFFFF"/>
        <w:spacing w:line="360" w:lineRule="auto"/>
        <w:ind w:firstLine="709"/>
        <w:jc w:val="right"/>
        <w:rPr>
          <w:rStyle w:val="tlid-translation"/>
        </w:rPr>
      </w:pPr>
      <w:r>
        <w:rPr>
          <w:rStyle w:val="tlid-translation"/>
          <w:sz w:val="28"/>
          <w:szCs w:val="28"/>
          <w:lang w:val="uk-UA"/>
        </w:rPr>
        <w:t>Таблиця 8.14</w:t>
      </w:r>
    </w:p>
    <w:p w:rsidR="00E3259F" w:rsidRDefault="00E3259F" w:rsidP="00E3259F">
      <w:pPr>
        <w:shd w:val="clear" w:color="auto" w:fill="FFFFFF"/>
        <w:spacing w:line="360" w:lineRule="auto"/>
        <w:ind w:firstLine="709"/>
        <w:jc w:val="center"/>
        <w:rPr>
          <w:rStyle w:val="tlid-translation"/>
          <w:rFonts w:asciiTheme="minorHAnsi" w:hAnsiTheme="minorHAnsi" w:cstheme="minorBidi"/>
          <w:sz w:val="22"/>
          <w:szCs w:val="22"/>
        </w:rPr>
      </w:pPr>
      <w:r>
        <w:rPr>
          <w:rStyle w:val="tlid-translation"/>
          <w:sz w:val="28"/>
          <w:szCs w:val="28"/>
          <w:lang w:val="uk-UA"/>
        </w:rPr>
        <w:t xml:space="preserve">Порівняльна характеристика антропометричних та метаболічних показників в динаміці лікування левотироксином  </w:t>
      </w:r>
      <w:r>
        <w:rPr>
          <w:sz w:val="28"/>
          <w:szCs w:val="28"/>
          <w:lang w:val="uk-UA" w:eastAsia="en-US"/>
        </w:rPr>
        <w:t xml:space="preserve">залежно </w:t>
      </w:r>
      <w:r>
        <w:rPr>
          <w:rStyle w:val="tlid-translation"/>
          <w:sz w:val="28"/>
          <w:szCs w:val="28"/>
          <w:lang w:val="uk-UA"/>
        </w:rPr>
        <w:t>від вихідного рівня ТТГ,  (</w:t>
      </w:r>
      <w:r>
        <w:rPr>
          <w:rStyle w:val="tlid-translation"/>
          <w:sz w:val="28"/>
          <w:szCs w:val="28"/>
          <w:lang w:val="en-US"/>
        </w:rPr>
        <w:t>M</w:t>
      </w:r>
      <w:r>
        <w:rPr>
          <w:rStyle w:val="tlid-translation"/>
          <w:sz w:val="28"/>
          <w:szCs w:val="28"/>
        </w:rPr>
        <w:t>±</w:t>
      </w:r>
      <w:r>
        <w:rPr>
          <w:rStyle w:val="tlid-translation"/>
          <w:sz w:val="28"/>
          <w:szCs w:val="28"/>
          <w:lang w:val="en-US"/>
        </w:rPr>
        <w:t>m</w:t>
      </w:r>
      <w:r>
        <w:rPr>
          <w:rStyle w:val="tlid-translation"/>
          <w:sz w:val="28"/>
          <w:szCs w:val="28"/>
        </w:rPr>
        <w:t>)</w:t>
      </w:r>
    </w:p>
    <w:tbl>
      <w:tblPr>
        <w:tblW w:w="0" w:type="auto"/>
        <w:tblLayout w:type="fixed"/>
        <w:tblLook w:val="04A0" w:firstRow="1" w:lastRow="0" w:firstColumn="1" w:lastColumn="0" w:noHBand="0" w:noVBand="1"/>
      </w:tblPr>
      <w:tblGrid>
        <w:gridCol w:w="1384"/>
        <w:gridCol w:w="1609"/>
        <w:gridCol w:w="1659"/>
        <w:gridCol w:w="1552"/>
        <w:gridCol w:w="1701"/>
        <w:gridCol w:w="1665"/>
      </w:tblGrid>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Підгрупа/</w:t>
            </w:r>
          </w:p>
        </w:tc>
        <w:tc>
          <w:tcPr>
            <w:tcW w:w="3268" w:type="dxa"/>
            <w:gridSpan w:val="2"/>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rStyle w:val="10"/>
                <w:rFonts w:eastAsiaTheme="minorHAnsi"/>
                <w:b w:val="0"/>
                <w:sz w:val="22"/>
                <w:szCs w:val="22"/>
                <w:lang w:val="uk-UA"/>
              </w:rPr>
              <w:t xml:space="preserve">Підгрупа І (ТТГ у діапазоні 4,1-6,0 </w:t>
            </w:r>
            <w:r w:rsidRPr="00514B9A">
              <w:rPr>
                <w:color w:val="000000"/>
                <w:sz w:val="22"/>
                <w:szCs w:val="22"/>
                <w:shd w:val="clear" w:color="auto" w:fill="FFFFFF"/>
                <w:lang w:val="uk-UA" w:eastAsia="en-US"/>
              </w:rPr>
              <w:t>мкОд /мл)</w:t>
            </w:r>
          </w:p>
        </w:tc>
        <w:tc>
          <w:tcPr>
            <w:tcW w:w="3253" w:type="dxa"/>
            <w:gridSpan w:val="2"/>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sz w:val="22"/>
                <w:szCs w:val="22"/>
                <w:lang w:val="uk-UA" w:eastAsia="en-US"/>
              </w:rPr>
              <w:t xml:space="preserve">Підгрупа ІІ (ТТГ від 6,1 до 10,0 </w:t>
            </w:r>
            <w:r w:rsidRPr="00514B9A">
              <w:rPr>
                <w:color w:val="000000"/>
                <w:sz w:val="22"/>
                <w:szCs w:val="22"/>
                <w:shd w:val="clear" w:color="auto" w:fill="FFFFFF"/>
                <w:lang w:val="uk-UA" w:eastAsia="en-US"/>
              </w:rPr>
              <w:t>мкОд/мл)</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val="uk-UA" w:eastAsia="en-US"/>
              </w:rPr>
              <w:t xml:space="preserve">  Група 2</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Показник</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rStyle w:val="tlid-translation"/>
                <w:sz w:val="22"/>
                <w:szCs w:val="22"/>
                <w:lang w:val="uk-UA" w:eastAsia="en-US"/>
              </w:rPr>
              <w:t>До лікування левотирок-сином</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rStyle w:val="tlid-translation"/>
                <w:sz w:val="22"/>
                <w:szCs w:val="22"/>
                <w:lang w:val="uk-UA" w:eastAsia="en-US"/>
              </w:rPr>
              <w:t>Через 1 рік спостере- ження</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rStyle w:val="tlid-translation"/>
                <w:sz w:val="22"/>
                <w:szCs w:val="22"/>
                <w:lang w:val="uk-UA" w:eastAsia="en-US"/>
              </w:rPr>
              <w:t>До лікування</w:t>
            </w:r>
          </w:p>
          <w:p w:rsidR="00E3259F" w:rsidRPr="00514B9A" w:rsidRDefault="00E3259F">
            <w:pPr>
              <w:spacing w:line="360" w:lineRule="auto"/>
              <w:jc w:val="center"/>
              <w:rPr>
                <w:rStyle w:val="tlid-translation"/>
                <w:sz w:val="22"/>
                <w:szCs w:val="22"/>
                <w:lang w:val="uk-UA" w:eastAsia="en-US"/>
              </w:rPr>
            </w:pPr>
            <w:r w:rsidRPr="00514B9A">
              <w:rPr>
                <w:rStyle w:val="tlid-translation"/>
                <w:sz w:val="22"/>
                <w:szCs w:val="22"/>
                <w:lang w:val="uk-UA" w:eastAsia="en-US"/>
              </w:rPr>
              <w:t>левотирок-сином</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rStyle w:val="tlid-translation"/>
                <w:sz w:val="22"/>
                <w:szCs w:val="22"/>
                <w:lang w:val="uk-UA" w:eastAsia="en-US"/>
              </w:rPr>
              <w:t>Через 1 рік</w:t>
            </w:r>
          </w:p>
          <w:p w:rsidR="00E3259F" w:rsidRPr="00514B9A" w:rsidRDefault="00E3259F">
            <w:pPr>
              <w:spacing w:line="360" w:lineRule="auto"/>
              <w:jc w:val="center"/>
              <w:rPr>
                <w:rStyle w:val="tlid-translation"/>
                <w:sz w:val="22"/>
                <w:szCs w:val="22"/>
                <w:lang w:val="uk-UA" w:eastAsia="en-US"/>
              </w:rPr>
            </w:pPr>
            <w:r w:rsidRPr="00514B9A">
              <w:rPr>
                <w:rStyle w:val="tlid-translation"/>
                <w:sz w:val="22"/>
                <w:szCs w:val="22"/>
                <w:lang w:val="uk-UA" w:eastAsia="en-US"/>
              </w:rPr>
              <w:t>спостере-ження</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center"/>
              <w:rPr>
                <w:rStyle w:val="tlid-translation"/>
                <w:sz w:val="22"/>
                <w:szCs w:val="22"/>
                <w:lang w:val="uk-UA"/>
              </w:rPr>
            </w:pPr>
            <w:r w:rsidRPr="00514B9A">
              <w:rPr>
                <w:rStyle w:val="tlid-translation"/>
                <w:sz w:val="22"/>
                <w:szCs w:val="22"/>
                <w:lang w:val="uk-UA" w:eastAsia="en-US"/>
              </w:rPr>
              <w:t>Через 1 рік статино-терапії</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БВ, рік</w:t>
            </w:r>
          </w:p>
        </w:tc>
        <w:tc>
          <w:tcPr>
            <w:tcW w:w="1609" w:type="dxa"/>
            <w:tcBorders>
              <w:top w:val="single" w:sz="4" w:space="0" w:color="auto"/>
              <w:left w:val="single" w:sz="4" w:space="0" w:color="auto"/>
              <w:bottom w:val="single" w:sz="4" w:space="0" w:color="auto"/>
              <w:right w:val="single" w:sz="4" w:space="0" w:color="auto"/>
            </w:tcBorders>
          </w:tcPr>
          <w:p w:rsidR="00E3259F" w:rsidRPr="00514B9A" w:rsidRDefault="00E3259F">
            <w:pPr>
              <w:spacing w:line="276" w:lineRule="auto"/>
              <w:jc w:val="both"/>
              <w:rPr>
                <w:color w:val="000000"/>
                <w:sz w:val="22"/>
                <w:szCs w:val="22"/>
                <w:lang w:val="uk-UA" w:eastAsia="en-US"/>
              </w:rPr>
            </w:pPr>
            <w:r w:rsidRPr="00514B9A">
              <w:rPr>
                <w:color w:val="000000"/>
                <w:sz w:val="22"/>
                <w:szCs w:val="22"/>
                <w:lang w:eastAsia="en-US"/>
              </w:rPr>
              <w:t>55,29±</w:t>
            </w:r>
            <w:r w:rsidRPr="00514B9A">
              <w:rPr>
                <w:color w:val="000000"/>
                <w:sz w:val="22"/>
                <w:szCs w:val="22"/>
                <w:lang w:val="uk-UA" w:eastAsia="en-US"/>
              </w:rPr>
              <w:t>1,07</w:t>
            </w:r>
          </w:p>
          <w:p w:rsidR="00E3259F" w:rsidRPr="00514B9A" w:rsidRDefault="00E3259F">
            <w:pPr>
              <w:spacing w:line="360" w:lineRule="auto"/>
              <w:jc w:val="both"/>
              <w:rPr>
                <w:rStyle w:val="tlid-translation"/>
                <w:sz w:val="22"/>
                <w:szCs w:val="22"/>
              </w:rPr>
            </w:pP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53,19±</w:t>
            </w:r>
            <w:r w:rsidRPr="00514B9A">
              <w:rPr>
                <w:sz w:val="22"/>
                <w:szCs w:val="22"/>
                <w:lang w:val="uk-UA" w:eastAsia="en-US"/>
              </w:rPr>
              <w:t>0</w:t>
            </w:r>
            <w:r w:rsidRPr="00514B9A">
              <w:rPr>
                <w:sz w:val="22"/>
                <w:szCs w:val="22"/>
                <w:lang w:eastAsia="en-US"/>
              </w:rPr>
              <w:t>,9</w:t>
            </w:r>
            <w:r w:rsidRPr="00514B9A">
              <w:rPr>
                <w:sz w:val="22"/>
                <w:szCs w:val="22"/>
                <w:lang w:val="uk-UA" w:eastAsia="en-US"/>
              </w:rPr>
              <w:t>7</w:t>
            </w:r>
          </w:p>
        </w:tc>
        <w:tc>
          <w:tcPr>
            <w:tcW w:w="1552" w:type="dxa"/>
            <w:tcBorders>
              <w:top w:val="single" w:sz="4" w:space="0" w:color="auto"/>
              <w:left w:val="single" w:sz="4" w:space="0" w:color="auto"/>
              <w:bottom w:val="single" w:sz="4" w:space="0" w:color="auto"/>
              <w:right w:val="single" w:sz="4" w:space="0" w:color="auto"/>
            </w:tcBorders>
          </w:tcPr>
          <w:p w:rsidR="00E3259F" w:rsidRPr="00514B9A" w:rsidRDefault="00E3259F">
            <w:pPr>
              <w:spacing w:line="276" w:lineRule="auto"/>
              <w:jc w:val="both"/>
              <w:rPr>
                <w:color w:val="000000"/>
                <w:sz w:val="22"/>
                <w:szCs w:val="22"/>
                <w:lang w:val="uk-UA" w:eastAsia="en-US"/>
              </w:rPr>
            </w:pPr>
            <w:r w:rsidRPr="00514B9A">
              <w:rPr>
                <w:color w:val="000000"/>
                <w:sz w:val="22"/>
                <w:szCs w:val="22"/>
                <w:lang w:eastAsia="en-US"/>
              </w:rPr>
              <w:t>55,07±</w:t>
            </w:r>
            <w:r w:rsidRPr="00514B9A">
              <w:rPr>
                <w:color w:val="000000"/>
                <w:sz w:val="22"/>
                <w:szCs w:val="22"/>
                <w:lang w:val="uk-UA" w:eastAsia="en-US"/>
              </w:rPr>
              <w:t>0,93</w:t>
            </w:r>
          </w:p>
          <w:p w:rsidR="00E3259F" w:rsidRPr="00514B9A" w:rsidRDefault="00E3259F">
            <w:pPr>
              <w:spacing w:line="360" w:lineRule="auto"/>
              <w:jc w:val="both"/>
              <w:rPr>
                <w:rStyle w:val="tlid-translation"/>
                <w:sz w:val="22"/>
                <w:szCs w:val="22"/>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52,6</w:t>
            </w:r>
            <w:r w:rsidRPr="00514B9A">
              <w:rPr>
                <w:sz w:val="22"/>
                <w:szCs w:val="22"/>
                <w:lang w:val="uk-UA" w:eastAsia="en-US"/>
              </w:rPr>
              <w:t>9</w:t>
            </w:r>
            <w:r w:rsidRPr="00514B9A">
              <w:rPr>
                <w:sz w:val="22"/>
                <w:szCs w:val="22"/>
                <w:lang w:eastAsia="en-US"/>
              </w:rPr>
              <w:t>±1,18</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57,5</w:t>
            </w:r>
            <w:r w:rsidRPr="00514B9A">
              <w:rPr>
                <w:sz w:val="22"/>
                <w:szCs w:val="22"/>
                <w:lang w:val="uk-UA" w:eastAsia="en-US"/>
              </w:rPr>
              <w:t>5</w:t>
            </w:r>
            <w:r w:rsidRPr="00514B9A">
              <w:rPr>
                <w:sz w:val="22"/>
                <w:szCs w:val="22"/>
                <w:lang w:eastAsia="en-US"/>
              </w:rPr>
              <w:t>±</w:t>
            </w:r>
            <w:r w:rsidRPr="00514B9A">
              <w:rPr>
                <w:sz w:val="22"/>
                <w:szCs w:val="22"/>
                <w:lang w:val="uk-UA" w:eastAsia="en-US"/>
              </w:rPr>
              <w:t>0</w:t>
            </w:r>
            <w:r w:rsidRPr="00514B9A">
              <w:rPr>
                <w:sz w:val="22"/>
                <w:szCs w:val="22"/>
                <w:lang w:eastAsia="en-US"/>
              </w:rPr>
              <w:t>,59</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ІМТ</w:t>
            </w:r>
          </w:p>
        </w:tc>
        <w:tc>
          <w:tcPr>
            <w:tcW w:w="1609" w:type="dxa"/>
            <w:tcBorders>
              <w:top w:val="single" w:sz="4" w:space="0" w:color="auto"/>
              <w:left w:val="single" w:sz="4" w:space="0" w:color="auto"/>
              <w:bottom w:val="single" w:sz="4" w:space="0" w:color="auto"/>
              <w:right w:val="single" w:sz="4" w:space="0" w:color="auto"/>
            </w:tcBorders>
          </w:tcPr>
          <w:p w:rsidR="00E3259F" w:rsidRPr="00514B9A" w:rsidRDefault="00E3259F">
            <w:pPr>
              <w:spacing w:line="276" w:lineRule="auto"/>
              <w:jc w:val="both"/>
              <w:rPr>
                <w:color w:val="000000"/>
                <w:sz w:val="22"/>
                <w:szCs w:val="22"/>
                <w:lang w:val="uk-UA" w:eastAsia="en-US"/>
              </w:rPr>
            </w:pPr>
            <w:r w:rsidRPr="00514B9A">
              <w:rPr>
                <w:color w:val="000000"/>
                <w:sz w:val="22"/>
                <w:szCs w:val="22"/>
                <w:lang w:eastAsia="en-US"/>
              </w:rPr>
              <w:t>28,7</w:t>
            </w:r>
            <w:r w:rsidRPr="00514B9A">
              <w:rPr>
                <w:color w:val="000000"/>
                <w:sz w:val="22"/>
                <w:szCs w:val="22"/>
                <w:lang w:val="uk-UA" w:eastAsia="en-US"/>
              </w:rPr>
              <w:t>6</w:t>
            </w:r>
            <w:r w:rsidRPr="00514B9A">
              <w:rPr>
                <w:color w:val="000000"/>
                <w:sz w:val="22"/>
                <w:szCs w:val="22"/>
                <w:lang w:eastAsia="en-US"/>
              </w:rPr>
              <w:t>±</w:t>
            </w:r>
            <w:r w:rsidRPr="00514B9A">
              <w:rPr>
                <w:color w:val="000000"/>
                <w:sz w:val="22"/>
                <w:szCs w:val="22"/>
                <w:lang w:val="uk-UA" w:eastAsia="en-US"/>
              </w:rPr>
              <w:t>0,39</w:t>
            </w:r>
          </w:p>
          <w:p w:rsidR="00E3259F" w:rsidRPr="00514B9A" w:rsidRDefault="00E3259F">
            <w:pPr>
              <w:spacing w:line="360" w:lineRule="auto"/>
              <w:jc w:val="both"/>
              <w:rPr>
                <w:rStyle w:val="tlid-translation"/>
                <w:sz w:val="22"/>
                <w:szCs w:val="22"/>
              </w:rPr>
            </w:pP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29,0</w:t>
            </w:r>
            <w:r w:rsidRPr="00514B9A">
              <w:rPr>
                <w:sz w:val="22"/>
                <w:szCs w:val="22"/>
                <w:lang w:val="uk-UA" w:eastAsia="en-US"/>
              </w:rPr>
              <w:t>5</w:t>
            </w:r>
            <w:r w:rsidRPr="00514B9A">
              <w:rPr>
                <w:sz w:val="22"/>
                <w:szCs w:val="22"/>
                <w:lang w:eastAsia="en-US"/>
              </w:rPr>
              <w:t>±</w:t>
            </w:r>
            <w:r w:rsidRPr="00514B9A">
              <w:rPr>
                <w:sz w:val="22"/>
                <w:szCs w:val="22"/>
                <w:lang w:val="uk-UA" w:eastAsia="en-US"/>
              </w:rPr>
              <w:t>0</w:t>
            </w:r>
            <w:r w:rsidRPr="00514B9A">
              <w:rPr>
                <w:sz w:val="22"/>
                <w:szCs w:val="22"/>
                <w:lang w:eastAsia="en-US"/>
              </w:rPr>
              <w:t>,40</w:t>
            </w:r>
          </w:p>
        </w:tc>
        <w:tc>
          <w:tcPr>
            <w:tcW w:w="1552" w:type="dxa"/>
            <w:tcBorders>
              <w:top w:val="single" w:sz="4" w:space="0" w:color="auto"/>
              <w:left w:val="single" w:sz="4" w:space="0" w:color="auto"/>
              <w:bottom w:val="single" w:sz="4" w:space="0" w:color="auto"/>
              <w:right w:val="single" w:sz="4" w:space="0" w:color="auto"/>
            </w:tcBorders>
          </w:tcPr>
          <w:p w:rsidR="00E3259F" w:rsidRPr="00514B9A" w:rsidRDefault="00E3259F">
            <w:pPr>
              <w:spacing w:line="276" w:lineRule="auto"/>
              <w:jc w:val="both"/>
              <w:rPr>
                <w:color w:val="000000"/>
                <w:sz w:val="22"/>
                <w:szCs w:val="22"/>
                <w:lang w:val="uk-UA" w:eastAsia="en-US"/>
              </w:rPr>
            </w:pPr>
            <w:r w:rsidRPr="00514B9A">
              <w:rPr>
                <w:color w:val="000000"/>
                <w:sz w:val="22"/>
                <w:szCs w:val="22"/>
                <w:lang w:eastAsia="en-US"/>
              </w:rPr>
              <w:t>28,2</w:t>
            </w:r>
            <w:r w:rsidRPr="00514B9A">
              <w:rPr>
                <w:color w:val="000000"/>
                <w:sz w:val="22"/>
                <w:szCs w:val="22"/>
                <w:lang w:val="uk-UA" w:eastAsia="en-US"/>
              </w:rPr>
              <w:t>5</w:t>
            </w:r>
            <w:r w:rsidRPr="00514B9A">
              <w:rPr>
                <w:color w:val="000000"/>
                <w:sz w:val="22"/>
                <w:szCs w:val="22"/>
                <w:lang w:eastAsia="en-US"/>
              </w:rPr>
              <w:t>±</w:t>
            </w:r>
            <w:r w:rsidRPr="00514B9A">
              <w:rPr>
                <w:color w:val="000000"/>
                <w:sz w:val="22"/>
                <w:szCs w:val="22"/>
                <w:lang w:val="uk-UA" w:eastAsia="en-US"/>
              </w:rPr>
              <w:t>0,46</w:t>
            </w:r>
          </w:p>
          <w:p w:rsidR="00E3259F" w:rsidRPr="00514B9A" w:rsidRDefault="00E3259F">
            <w:pPr>
              <w:spacing w:line="360" w:lineRule="auto"/>
              <w:jc w:val="both"/>
              <w:rPr>
                <w:rStyle w:val="tlid-translation"/>
                <w:sz w:val="22"/>
                <w:szCs w:val="22"/>
              </w:rPr>
            </w:pP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27,</w:t>
            </w:r>
            <w:r w:rsidRPr="00514B9A">
              <w:rPr>
                <w:sz w:val="22"/>
                <w:szCs w:val="22"/>
                <w:lang w:val="uk-UA" w:eastAsia="en-US"/>
              </w:rPr>
              <w:t>95</w:t>
            </w:r>
            <w:r w:rsidRPr="00514B9A">
              <w:rPr>
                <w:sz w:val="22"/>
                <w:szCs w:val="22"/>
                <w:lang w:eastAsia="en-US"/>
              </w:rPr>
              <w:t>±</w:t>
            </w:r>
            <w:r w:rsidRPr="00514B9A">
              <w:rPr>
                <w:sz w:val="22"/>
                <w:szCs w:val="22"/>
                <w:lang w:val="uk-UA" w:eastAsia="en-US"/>
              </w:rPr>
              <w:t>0</w:t>
            </w:r>
            <w:r w:rsidRPr="00514B9A">
              <w:rPr>
                <w:sz w:val="22"/>
                <w:szCs w:val="22"/>
                <w:lang w:eastAsia="en-US"/>
              </w:rPr>
              <w:t>,3</w:t>
            </w:r>
            <w:r w:rsidRPr="00514B9A">
              <w:rPr>
                <w:sz w:val="22"/>
                <w:szCs w:val="22"/>
                <w:lang w:val="uk-UA" w:eastAsia="en-US"/>
              </w:rPr>
              <w:t>7</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30,</w:t>
            </w:r>
            <w:r w:rsidRPr="00514B9A">
              <w:rPr>
                <w:sz w:val="22"/>
                <w:szCs w:val="22"/>
                <w:lang w:val="uk-UA" w:eastAsia="en-US"/>
              </w:rPr>
              <w:t>21</w:t>
            </w:r>
            <w:r w:rsidRPr="00514B9A">
              <w:rPr>
                <w:sz w:val="22"/>
                <w:szCs w:val="22"/>
                <w:lang w:eastAsia="en-US"/>
              </w:rPr>
              <w:t>±</w:t>
            </w:r>
            <w:r w:rsidRPr="00514B9A">
              <w:rPr>
                <w:sz w:val="22"/>
                <w:szCs w:val="22"/>
                <w:lang w:val="uk-UA" w:eastAsia="en-US"/>
              </w:rPr>
              <w:t>0</w:t>
            </w:r>
            <w:r w:rsidRPr="00514B9A">
              <w:rPr>
                <w:sz w:val="22"/>
                <w:szCs w:val="22"/>
                <w:lang w:eastAsia="en-US"/>
              </w:rPr>
              <w:t>,3</w:t>
            </w:r>
            <w:r w:rsidRPr="00514B9A">
              <w:rPr>
                <w:sz w:val="22"/>
                <w:szCs w:val="22"/>
                <w:lang w:val="uk-UA" w:eastAsia="en-US"/>
              </w:rPr>
              <w:t>0</w:t>
            </w:r>
          </w:p>
          <w:p w:rsidR="00E3259F" w:rsidRPr="00514B9A" w:rsidRDefault="00E3259F">
            <w:pPr>
              <w:spacing w:line="360" w:lineRule="auto"/>
              <w:jc w:val="both"/>
              <w:rPr>
                <w:rStyle w:val="tlid-translation"/>
                <w:sz w:val="22"/>
                <w:szCs w:val="22"/>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=0</w:t>
            </w:r>
            <w:r w:rsidRPr="00514B9A">
              <w:rPr>
                <w:sz w:val="22"/>
                <w:szCs w:val="22"/>
                <w:lang w:val="uk-UA" w:eastAsia="en-US"/>
              </w:rPr>
              <w:t>,004</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ЗХС, ммоль/л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5,73±</w:t>
            </w:r>
            <w:r w:rsidRPr="00514B9A">
              <w:rPr>
                <w:sz w:val="22"/>
                <w:szCs w:val="22"/>
                <w:lang w:val="uk-UA" w:eastAsia="en-US"/>
              </w:rPr>
              <w:t>0</w:t>
            </w:r>
            <w:r w:rsidRPr="00514B9A">
              <w:rPr>
                <w:sz w:val="22"/>
                <w:szCs w:val="22"/>
                <w:lang w:eastAsia="en-US"/>
              </w:rPr>
              <w:t>,1</w:t>
            </w:r>
            <w:r w:rsidRPr="00514B9A">
              <w:rPr>
                <w:sz w:val="22"/>
                <w:szCs w:val="22"/>
                <w:lang w:val="uk-UA" w:eastAsia="en-US"/>
              </w:rPr>
              <w:t>8</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val="uk-UA" w:eastAsia="en-US"/>
              </w:rPr>
              <w:t>5</w:t>
            </w:r>
            <w:r w:rsidRPr="00514B9A">
              <w:rPr>
                <w:sz w:val="22"/>
                <w:szCs w:val="22"/>
                <w:lang w:eastAsia="en-US"/>
              </w:rPr>
              <w:t>,</w:t>
            </w:r>
            <w:r w:rsidRPr="00514B9A">
              <w:rPr>
                <w:sz w:val="22"/>
                <w:szCs w:val="22"/>
                <w:lang w:val="uk-UA" w:eastAsia="en-US"/>
              </w:rPr>
              <w:t>00</w:t>
            </w:r>
            <w:r w:rsidRPr="00514B9A">
              <w:rPr>
                <w:sz w:val="22"/>
                <w:szCs w:val="22"/>
                <w:lang w:eastAsia="en-US"/>
              </w:rPr>
              <w:t>±</w:t>
            </w:r>
            <w:r w:rsidRPr="00514B9A">
              <w:rPr>
                <w:sz w:val="22"/>
                <w:szCs w:val="22"/>
                <w:lang w:val="uk-UA" w:eastAsia="en-US"/>
              </w:rPr>
              <w:t>0</w:t>
            </w:r>
            <w:r w:rsidRPr="00514B9A">
              <w:rPr>
                <w:sz w:val="22"/>
                <w:szCs w:val="22"/>
                <w:lang w:eastAsia="en-US"/>
              </w:rPr>
              <w:t>,1</w:t>
            </w:r>
            <w:r w:rsidRPr="00514B9A">
              <w:rPr>
                <w:sz w:val="22"/>
                <w:szCs w:val="22"/>
                <w:lang w:val="uk-UA" w:eastAsia="en-US"/>
              </w:rPr>
              <w:t>3</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5,84±</w:t>
            </w:r>
            <w:r w:rsidRPr="00514B9A">
              <w:rPr>
                <w:sz w:val="22"/>
                <w:szCs w:val="22"/>
                <w:lang w:val="uk-UA" w:eastAsia="en-US"/>
              </w:rPr>
              <w:t>0</w:t>
            </w:r>
            <w:r w:rsidRPr="00514B9A">
              <w:rPr>
                <w:sz w:val="22"/>
                <w:szCs w:val="22"/>
                <w:lang w:eastAsia="en-US"/>
              </w:rPr>
              <w:t>,</w:t>
            </w:r>
            <w:r w:rsidRPr="00514B9A">
              <w:rPr>
                <w:sz w:val="22"/>
                <w:szCs w:val="22"/>
                <w:lang w:val="uk-UA" w:eastAsia="en-US"/>
              </w:rPr>
              <w:t>20</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5,0</w:t>
            </w:r>
            <w:r w:rsidRPr="00514B9A">
              <w:rPr>
                <w:sz w:val="22"/>
                <w:szCs w:val="22"/>
                <w:lang w:val="uk-UA" w:eastAsia="en-US"/>
              </w:rPr>
              <w:t>2</w:t>
            </w:r>
            <w:r w:rsidRPr="00514B9A">
              <w:rPr>
                <w:sz w:val="22"/>
                <w:szCs w:val="22"/>
                <w:lang w:eastAsia="en-US"/>
              </w:rPr>
              <w:t>±</w:t>
            </w:r>
            <w:r w:rsidRPr="00514B9A">
              <w:rPr>
                <w:sz w:val="22"/>
                <w:szCs w:val="22"/>
                <w:lang w:val="uk-UA" w:eastAsia="en-US"/>
              </w:rPr>
              <w:t>0</w:t>
            </w:r>
            <w:r w:rsidRPr="00514B9A">
              <w:rPr>
                <w:sz w:val="22"/>
                <w:szCs w:val="22"/>
                <w:lang w:eastAsia="en-US"/>
              </w:rPr>
              <w:t>,13</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4,83±</w:t>
            </w:r>
            <w:r w:rsidRPr="00514B9A">
              <w:rPr>
                <w:sz w:val="22"/>
                <w:szCs w:val="22"/>
                <w:lang w:val="uk-UA" w:eastAsia="en-US"/>
              </w:rPr>
              <w:t>0</w:t>
            </w:r>
            <w:r w:rsidRPr="00514B9A">
              <w:rPr>
                <w:sz w:val="22"/>
                <w:szCs w:val="22"/>
                <w:lang w:eastAsia="en-US"/>
              </w:rPr>
              <w:t>,0</w:t>
            </w:r>
            <w:r w:rsidRPr="00514B9A">
              <w:rPr>
                <w:sz w:val="22"/>
                <w:szCs w:val="22"/>
                <w:lang w:val="uk-UA" w:eastAsia="en-US"/>
              </w:rPr>
              <w:t>8</w:t>
            </w:r>
          </w:p>
          <w:p w:rsidR="00E3259F" w:rsidRPr="00514B9A" w:rsidRDefault="00E3259F">
            <w:pPr>
              <w:spacing w:line="360" w:lineRule="auto"/>
              <w:jc w:val="both"/>
              <w:rPr>
                <w:rStyle w:val="tlid-translation"/>
                <w:sz w:val="22"/>
                <w:szCs w:val="22"/>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&lt;0,001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ТГ</w:t>
            </w:r>
            <w:r w:rsidRPr="00514B9A">
              <w:rPr>
                <w:sz w:val="22"/>
                <w:szCs w:val="22"/>
                <w:lang w:val="uk-UA" w:eastAsia="en-US"/>
              </w:rPr>
              <w:t>,</w:t>
            </w:r>
            <w:r w:rsidRPr="00514B9A">
              <w:rPr>
                <w:rStyle w:val="10"/>
                <w:rFonts w:eastAsiaTheme="majorEastAsia"/>
                <w:sz w:val="22"/>
                <w:szCs w:val="22"/>
                <w:lang w:val="uk-UA"/>
              </w:rPr>
              <w:t xml:space="preserve"> </w:t>
            </w:r>
            <w:r w:rsidRPr="00514B9A">
              <w:rPr>
                <w:rStyle w:val="tlid-translation"/>
                <w:sz w:val="22"/>
                <w:szCs w:val="22"/>
                <w:lang w:val="uk-UA" w:eastAsia="en-US"/>
              </w:rPr>
              <w:t>ммоль/л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1,82±</w:t>
            </w:r>
            <w:r w:rsidRPr="00514B9A">
              <w:rPr>
                <w:sz w:val="22"/>
                <w:szCs w:val="22"/>
                <w:lang w:val="uk-UA" w:eastAsia="en-US"/>
              </w:rPr>
              <w:t>0</w:t>
            </w:r>
            <w:r w:rsidRPr="00514B9A">
              <w:rPr>
                <w:sz w:val="22"/>
                <w:szCs w:val="22"/>
                <w:lang w:eastAsia="en-US"/>
              </w:rPr>
              <w:t>,15</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1,69±</w:t>
            </w:r>
            <w:r w:rsidRPr="00514B9A">
              <w:rPr>
                <w:sz w:val="22"/>
                <w:szCs w:val="22"/>
                <w:lang w:val="uk-UA" w:eastAsia="en-US"/>
              </w:rPr>
              <w:t>0</w:t>
            </w:r>
            <w:r w:rsidRPr="00514B9A">
              <w:rPr>
                <w:sz w:val="22"/>
                <w:szCs w:val="22"/>
                <w:lang w:eastAsia="en-US"/>
              </w:rPr>
              <w:t>,13</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2,25±</w:t>
            </w:r>
            <w:r w:rsidRPr="00514B9A">
              <w:rPr>
                <w:sz w:val="22"/>
                <w:szCs w:val="22"/>
                <w:lang w:val="uk-UA" w:eastAsia="en-US"/>
              </w:rPr>
              <w:t>0</w:t>
            </w:r>
            <w:r w:rsidRPr="00514B9A">
              <w:rPr>
                <w:sz w:val="22"/>
                <w:szCs w:val="22"/>
                <w:lang w:eastAsia="en-US"/>
              </w:rPr>
              <w:t>,2</w:t>
            </w:r>
            <w:r w:rsidRPr="00514B9A">
              <w:rPr>
                <w:sz w:val="22"/>
                <w:szCs w:val="22"/>
                <w:lang w:val="uk-UA" w:eastAsia="en-US"/>
              </w:rPr>
              <w:t>2</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2,2</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,2</w:t>
            </w:r>
            <w:r w:rsidRPr="00514B9A">
              <w:rPr>
                <w:sz w:val="22"/>
                <w:szCs w:val="22"/>
                <w:lang w:val="uk-UA" w:eastAsia="en-US"/>
              </w:rPr>
              <w:t>1</w:t>
            </w:r>
          </w:p>
          <w:p w:rsidR="00E3259F" w:rsidRPr="00514B9A" w:rsidRDefault="00E3259F">
            <w:pPr>
              <w:spacing w:line="360" w:lineRule="auto"/>
              <w:jc w:val="both"/>
              <w:rPr>
                <w:rStyle w:val="tlid-translation"/>
                <w:sz w:val="22"/>
                <w:szCs w:val="22"/>
              </w:rPr>
            </w:pPr>
            <w:r w:rsidRPr="00514B9A">
              <w:rPr>
                <w:rStyle w:val="10"/>
                <w:rFonts w:eastAsiaTheme="minorHAnsi"/>
                <w:b w:val="0"/>
                <w:sz w:val="22"/>
                <w:szCs w:val="22"/>
                <w:lang w:val="uk-UA"/>
              </w:rPr>
              <w:t>р</w:t>
            </w:r>
            <w:r w:rsidRPr="00514B9A">
              <w:rPr>
                <w:rStyle w:val="10"/>
                <w:rFonts w:eastAsiaTheme="minorHAnsi"/>
                <w:b w:val="0"/>
                <w:sz w:val="22"/>
                <w:szCs w:val="22"/>
                <w:vertAlign w:val="subscript"/>
                <w:lang w:val="uk-UA"/>
              </w:rPr>
              <w:t>1</w:t>
            </w:r>
            <w:r w:rsidRPr="00514B9A">
              <w:rPr>
                <w:rStyle w:val="10"/>
                <w:rFonts w:eastAsiaTheme="minorHAnsi"/>
                <w:b w:val="0"/>
                <w:sz w:val="22"/>
                <w:szCs w:val="22"/>
                <w:lang w:val="uk-UA"/>
              </w:rPr>
              <w:t>=0</w:t>
            </w:r>
            <w:r w:rsidRPr="00514B9A">
              <w:rPr>
                <w:sz w:val="22"/>
                <w:szCs w:val="22"/>
                <w:lang w:val="uk-UA" w:eastAsia="en-US"/>
              </w:rPr>
              <w:t>,039</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1,81±</w:t>
            </w:r>
            <w:r w:rsidRPr="00514B9A">
              <w:rPr>
                <w:sz w:val="22"/>
                <w:szCs w:val="22"/>
                <w:lang w:val="uk-UA" w:eastAsia="en-US"/>
              </w:rPr>
              <w:t>0</w:t>
            </w:r>
            <w:r w:rsidRPr="00514B9A">
              <w:rPr>
                <w:sz w:val="22"/>
                <w:szCs w:val="22"/>
                <w:lang w:eastAsia="en-US"/>
              </w:rPr>
              <w:t>,0</w:t>
            </w:r>
            <w:r w:rsidRPr="00514B9A">
              <w:rPr>
                <w:sz w:val="22"/>
                <w:szCs w:val="22"/>
                <w:lang w:val="uk-UA" w:eastAsia="en-US"/>
              </w:rPr>
              <w:t>7</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Х</w:t>
            </w:r>
            <w:r w:rsidRPr="00514B9A">
              <w:rPr>
                <w:sz w:val="22"/>
                <w:szCs w:val="22"/>
                <w:lang w:val="uk-UA" w:eastAsia="en-US"/>
              </w:rPr>
              <w:t xml:space="preserve">С </w:t>
            </w:r>
            <w:r w:rsidRPr="00514B9A">
              <w:rPr>
                <w:sz w:val="22"/>
                <w:szCs w:val="22"/>
                <w:lang w:eastAsia="en-US"/>
              </w:rPr>
              <w:t>ЛП</w:t>
            </w:r>
            <w:r w:rsidRPr="00514B9A">
              <w:rPr>
                <w:sz w:val="22"/>
                <w:szCs w:val="22"/>
                <w:lang w:val="uk-UA" w:eastAsia="en-US"/>
              </w:rPr>
              <w:t>ДНЩ,</w:t>
            </w:r>
            <w:r w:rsidRPr="00514B9A">
              <w:rPr>
                <w:rStyle w:val="10"/>
                <w:rFonts w:eastAsiaTheme="majorEastAsia"/>
                <w:sz w:val="22"/>
                <w:szCs w:val="22"/>
                <w:lang w:val="uk-UA"/>
              </w:rPr>
              <w:t xml:space="preserve"> </w:t>
            </w:r>
            <w:r w:rsidRPr="00514B9A">
              <w:rPr>
                <w:rStyle w:val="tlid-translation"/>
                <w:sz w:val="22"/>
                <w:szCs w:val="22"/>
                <w:lang w:val="uk-UA" w:eastAsia="en-US"/>
              </w:rPr>
              <w:t>ммоль/л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val="uk-UA" w:eastAsia="en-US"/>
              </w:rPr>
              <w:t>0</w:t>
            </w:r>
            <w:r w:rsidRPr="00514B9A">
              <w:rPr>
                <w:sz w:val="22"/>
                <w:szCs w:val="22"/>
                <w:lang w:eastAsia="en-US"/>
              </w:rPr>
              <w:t>,8</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,0</w:t>
            </w:r>
            <w:r w:rsidRPr="00514B9A">
              <w:rPr>
                <w:sz w:val="22"/>
                <w:szCs w:val="22"/>
                <w:lang w:val="uk-UA" w:eastAsia="en-US"/>
              </w:rPr>
              <w:t>6</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val="uk-UA" w:eastAsia="en-US"/>
              </w:rPr>
              <w:t>0</w:t>
            </w:r>
            <w:r w:rsidRPr="00514B9A">
              <w:rPr>
                <w:sz w:val="22"/>
                <w:szCs w:val="22"/>
                <w:lang w:eastAsia="en-US"/>
              </w:rPr>
              <w:t>,78±</w:t>
            </w:r>
            <w:r w:rsidRPr="00514B9A">
              <w:rPr>
                <w:sz w:val="22"/>
                <w:szCs w:val="22"/>
                <w:lang w:val="uk-UA" w:eastAsia="en-US"/>
              </w:rPr>
              <w:t>0</w:t>
            </w:r>
            <w:r w:rsidRPr="00514B9A">
              <w:rPr>
                <w:sz w:val="22"/>
                <w:szCs w:val="22"/>
                <w:lang w:eastAsia="en-US"/>
              </w:rPr>
              <w:t>,0</w:t>
            </w:r>
            <w:r w:rsidRPr="00514B9A">
              <w:rPr>
                <w:sz w:val="22"/>
                <w:szCs w:val="22"/>
                <w:lang w:val="uk-UA" w:eastAsia="en-US"/>
              </w:rPr>
              <w:t>5</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val="uk-UA" w:eastAsia="en-US"/>
              </w:rPr>
              <w:t>0</w:t>
            </w:r>
            <w:r w:rsidRPr="00514B9A">
              <w:rPr>
                <w:sz w:val="22"/>
                <w:szCs w:val="22"/>
                <w:lang w:eastAsia="en-US"/>
              </w:rPr>
              <w:t>,9</w:t>
            </w:r>
            <w:r w:rsidRPr="00514B9A">
              <w:rPr>
                <w:sz w:val="22"/>
                <w:szCs w:val="22"/>
                <w:lang w:val="uk-UA" w:eastAsia="en-US"/>
              </w:rPr>
              <w:t>7</w:t>
            </w:r>
            <w:r w:rsidRPr="00514B9A">
              <w:rPr>
                <w:sz w:val="22"/>
                <w:szCs w:val="22"/>
                <w:lang w:eastAsia="en-US"/>
              </w:rPr>
              <w:t>±</w:t>
            </w:r>
            <w:r w:rsidRPr="00514B9A">
              <w:rPr>
                <w:sz w:val="22"/>
                <w:szCs w:val="22"/>
                <w:lang w:val="uk-UA" w:eastAsia="en-US"/>
              </w:rPr>
              <w:t>0</w:t>
            </w:r>
            <w:r w:rsidRPr="00514B9A">
              <w:rPr>
                <w:sz w:val="22"/>
                <w:szCs w:val="22"/>
                <w:lang w:eastAsia="en-US"/>
              </w:rPr>
              <w:t>,</w:t>
            </w:r>
            <w:r w:rsidRPr="00514B9A">
              <w:rPr>
                <w:sz w:val="22"/>
                <w:szCs w:val="22"/>
                <w:lang w:val="uk-UA" w:eastAsia="en-US"/>
              </w:rPr>
              <w:t>10</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val="uk-UA" w:eastAsia="en-US"/>
              </w:rPr>
              <w:t>0</w:t>
            </w:r>
            <w:r w:rsidRPr="00514B9A">
              <w:rPr>
                <w:sz w:val="22"/>
                <w:szCs w:val="22"/>
                <w:lang w:eastAsia="en-US"/>
              </w:rPr>
              <w:t>,95±</w:t>
            </w:r>
            <w:r w:rsidRPr="00514B9A">
              <w:rPr>
                <w:sz w:val="22"/>
                <w:szCs w:val="22"/>
                <w:lang w:val="uk-UA" w:eastAsia="en-US"/>
              </w:rPr>
              <w:t>0</w:t>
            </w:r>
            <w:r w:rsidRPr="00514B9A">
              <w:rPr>
                <w:sz w:val="22"/>
                <w:szCs w:val="22"/>
                <w:lang w:eastAsia="en-US"/>
              </w:rPr>
              <w:t>,</w:t>
            </w:r>
            <w:r w:rsidRPr="00514B9A">
              <w:rPr>
                <w:sz w:val="22"/>
                <w:szCs w:val="22"/>
                <w:lang w:val="uk-UA" w:eastAsia="en-US"/>
              </w:rPr>
              <w:t>10</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val="uk-UA" w:eastAsia="en-US"/>
              </w:rPr>
              <w:t>0</w:t>
            </w:r>
            <w:r w:rsidRPr="00514B9A">
              <w:rPr>
                <w:sz w:val="22"/>
                <w:szCs w:val="22"/>
                <w:lang w:eastAsia="en-US"/>
              </w:rPr>
              <w:t>,79±</w:t>
            </w:r>
            <w:r w:rsidRPr="00514B9A">
              <w:rPr>
                <w:sz w:val="22"/>
                <w:szCs w:val="22"/>
                <w:lang w:val="uk-UA" w:eastAsia="en-US"/>
              </w:rPr>
              <w:t>0</w:t>
            </w:r>
            <w:r w:rsidRPr="00514B9A">
              <w:rPr>
                <w:sz w:val="22"/>
                <w:szCs w:val="22"/>
                <w:lang w:eastAsia="en-US"/>
              </w:rPr>
              <w:t>,0</w:t>
            </w:r>
            <w:r w:rsidRPr="00514B9A">
              <w:rPr>
                <w:sz w:val="22"/>
                <w:szCs w:val="22"/>
                <w:lang w:val="uk-UA" w:eastAsia="en-US"/>
              </w:rPr>
              <w:t>4</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Х</w:t>
            </w:r>
            <w:r w:rsidRPr="00514B9A">
              <w:rPr>
                <w:sz w:val="22"/>
                <w:szCs w:val="22"/>
                <w:lang w:val="uk-UA" w:eastAsia="en-US"/>
              </w:rPr>
              <w:t xml:space="preserve">С </w:t>
            </w:r>
            <w:r w:rsidRPr="00514B9A">
              <w:rPr>
                <w:sz w:val="22"/>
                <w:szCs w:val="22"/>
                <w:lang w:eastAsia="en-US"/>
              </w:rPr>
              <w:t>ЛПВ</w:t>
            </w:r>
            <w:r w:rsidRPr="00514B9A">
              <w:rPr>
                <w:sz w:val="22"/>
                <w:szCs w:val="22"/>
                <w:lang w:val="uk-UA" w:eastAsia="en-US"/>
              </w:rPr>
              <w:t>Щ,</w:t>
            </w:r>
            <w:r w:rsidRPr="00514B9A">
              <w:rPr>
                <w:rStyle w:val="10"/>
                <w:rFonts w:eastAsiaTheme="majorEastAsia"/>
                <w:sz w:val="22"/>
                <w:szCs w:val="22"/>
                <w:lang w:val="uk-UA"/>
              </w:rPr>
              <w:t xml:space="preserve"> </w:t>
            </w:r>
            <w:r w:rsidRPr="00514B9A">
              <w:rPr>
                <w:rStyle w:val="tlid-translation"/>
                <w:sz w:val="22"/>
                <w:szCs w:val="22"/>
                <w:lang w:val="uk-UA" w:eastAsia="en-US"/>
              </w:rPr>
              <w:t>ммоль/л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1,</w:t>
            </w:r>
            <w:r w:rsidRPr="00514B9A">
              <w:rPr>
                <w:sz w:val="22"/>
                <w:szCs w:val="22"/>
                <w:lang w:val="uk-UA" w:eastAsia="en-US"/>
              </w:rPr>
              <w:t>30</w:t>
            </w:r>
            <w:r w:rsidRPr="00514B9A">
              <w:rPr>
                <w:sz w:val="22"/>
                <w:szCs w:val="22"/>
                <w:lang w:eastAsia="en-US"/>
              </w:rPr>
              <w:t>±</w:t>
            </w:r>
            <w:r w:rsidRPr="00514B9A">
              <w:rPr>
                <w:sz w:val="22"/>
                <w:szCs w:val="22"/>
                <w:lang w:val="uk-UA" w:eastAsia="en-US"/>
              </w:rPr>
              <w:t>0</w:t>
            </w:r>
            <w:r w:rsidRPr="00514B9A">
              <w:rPr>
                <w:sz w:val="22"/>
                <w:szCs w:val="22"/>
                <w:lang w:eastAsia="en-US"/>
              </w:rPr>
              <w:t>,0</w:t>
            </w:r>
            <w:r w:rsidRPr="00514B9A">
              <w:rPr>
                <w:sz w:val="22"/>
                <w:szCs w:val="22"/>
                <w:lang w:val="uk-UA" w:eastAsia="en-US"/>
              </w:rPr>
              <w:t>4</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1,3</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,0</w:t>
            </w:r>
            <w:r w:rsidRPr="00514B9A">
              <w:rPr>
                <w:sz w:val="22"/>
                <w:szCs w:val="22"/>
                <w:lang w:val="uk-UA" w:eastAsia="en-US"/>
              </w:rPr>
              <w:t>4</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1,24±</w:t>
            </w:r>
            <w:r w:rsidRPr="00514B9A">
              <w:rPr>
                <w:sz w:val="22"/>
                <w:szCs w:val="22"/>
                <w:lang w:val="uk-UA" w:eastAsia="en-US"/>
              </w:rPr>
              <w:t>0</w:t>
            </w:r>
            <w:r w:rsidRPr="00514B9A">
              <w:rPr>
                <w:sz w:val="22"/>
                <w:szCs w:val="22"/>
                <w:lang w:eastAsia="en-US"/>
              </w:rPr>
              <w:t>,0</w:t>
            </w:r>
            <w:r w:rsidRPr="00514B9A">
              <w:rPr>
                <w:sz w:val="22"/>
                <w:szCs w:val="22"/>
                <w:lang w:val="uk-UA" w:eastAsia="en-US"/>
              </w:rPr>
              <w:t>6</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1,2</w:t>
            </w:r>
            <w:r w:rsidRPr="00514B9A">
              <w:rPr>
                <w:sz w:val="22"/>
                <w:szCs w:val="22"/>
                <w:lang w:val="uk-UA" w:eastAsia="en-US"/>
              </w:rPr>
              <w:t>6</w:t>
            </w:r>
            <w:r w:rsidRPr="00514B9A">
              <w:rPr>
                <w:sz w:val="22"/>
                <w:szCs w:val="22"/>
                <w:lang w:eastAsia="en-US"/>
              </w:rPr>
              <w:t>±</w:t>
            </w:r>
            <w:r w:rsidRPr="00514B9A">
              <w:rPr>
                <w:sz w:val="22"/>
                <w:szCs w:val="22"/>
                <w:lang w:val="uk-UA" w:eastAsia="en-US"/>
              </w:rPr>
              <w:t>0</w:t>
            </w:r>
            <w:r w:rsidRPr="00514B9A">
              <w:rPr>
                <w:sz w:val="22"/>
                <w:szCs w:val="22"/>
                <w:lang w:eastAsia="en-US"/>
              </w:rPr>
              <w:t>,0</w:t>
            </w:r>
            <w:r w:rsidRPr="00514B9A">
              <w:rPr>
                <w:sz w:val="22"/>
                <w:szCs w:val="22"/>
                <w:lang w:val="uk-UA" w:eastAsia="en-US"/>
              </w:rPr>
              <w:t>6</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1,24±</w:t>
            </w:r>
            <w:r w:rsidRPr="00514B9A">
              <w:rPr>
                <w:sz w:val="22"/>
                <w:szCs w:val="22"/>
                <w:lang w:val="uk-UA" w:eastAsia="en-US"/>
              </w:rPr>
              <w:t>0</w:t>
            </w:r>
            <w:r w:rsidRPr="00514B9A">
              <w:rPr>
                <w:sz w:val="22"/>
                <w:szCs w:val="22"/>
                <w:lang w:eastAsia="en-US"/>
              </w:rPr>
              <w:t>,0</w:t>
            </w:r>
            <w:r w:rsidRPr="00514B9A">
              <w:rPr>
                <w:sz w:val="22"/>
                <w:szCs w:val="22"/>
                <w:lang w:val="uk-UA" w:eastAsia="en-US"/>
              </w:rPr>
              <w:t>3</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Х</w:t>
            </w:r>
            <w:r w:rsidRPr="00514B9A">
              <w:rPr>
                <w:sz w:val="22"/>
                <w:szCs w:val="22"/>
                <w:lang w:val="uk-UA" w:eastAsia="en-US"/>
              </w:rPr>
              <w:t xml:space="preserve">С </w:t>
            </w:r>
            <w:r w:rsidRPr="00514B9A">
              <w:rPr>
                <w:sz w:val="22"/>
                <w:szCs w:val="22"/>
                <w:lang w:eastAsia="en-US"/>
              </w:rPr>
              <w:t>ЛПН</w:t>
            </w:r>
            <w:r w:rsidRPr="00514B9A">
              <w:rPr>
                <w:sz w:val="22"/>
                <w:szCs w:val="22"/>
                <w:lang w:val="uk-UA" w:eastAsia="en-US"/>
              </w:rPr>
              <w:t xml:space="preserve">Щ, </w:t>
            </w:r>
            <w:r w:rsidRPr="00514B9A">
              <w:rPr>
                <w:rStyle w:val="tlid-translation"/>
                <w:sz w:val="22"/>
                <w:szCs w:val="22"/>
                <w:lang w:val="uk-UA" w:eastAsia="en-US"/>
              </w:rPr>
              <w:t>ммоль/л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3,55±</w:t>
            </w:r>
            <w:r w:rsidRPr="00514B9A">
              <w:rPr>
                <w:sz w:val="22"/>
                <w:szCs w:val="22"/>
                <w:lang w:val="uk-UA" w:eastAsia="en-US"/>
              </w:rPr>
              <w:t>0</w:t>
            </w:r>
            <w:r w:rsidRPr="00514B9A">
              <w:rPr>
                <w:sz w:val="22"/>
                <w:szCs w:val="22"/>
                <w:lang w:eastAsia="en-US"/>
              </w:rPr>
              <w:t>,1</w:t>
            </w:r>
            <w:r w:rsidRPr="00514B9A">
              <w:rPr>
                <w:sz w:val="22"/>
                <w:szCs w:val="22"/>
                <w:lang w:val="uk-UA" w:eastAsia="en-US"/>
              </w:rPr>
              <w:t>5</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3,20±</w:t>
            </w:r>
            <w:r w:rsidRPr="00514B9A">
              <w:rPr>
                <w:sz w:val="22"/>
                <w:szCs w:val="22"/>
                <w:lang w:val="uk-UA" w:eastAsia="en-US"/>
              </w:rPr>
              <w:t>0</w:t>
            </w:r>
            <w:r w:rsidRPr="00514B9A">
              <w:rPr>
                <w:sz w:val="22"/>
                <w:szCs w:val="22"/>
                <w:lang w:eastAsia="en-US"/>
              </w:rPr>
              <w:t>,12</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3,5</w:t>
            </w:r>
            <w:r w:rsidRPr="00514B9A">
              <w:rPr>
                <w:sz w:val="22"/>
                <w:szCs w:val="22"/>
                <w:lang w:val="uk-UA" w:eastAsia="en-US"/>
              </w:rPr>
              <w:t>2</w:t>
            </w:r>
            <w:r w:rsidRPr="00514B9A">
              <w:rPr>
                <w:sz w:val="22"/>
                <w:szCs w:val="22"/>
                <w:lang w:eastAsia="en-US"/>
              </w:rPr>
              <w:t>±</w:t>
            </w:r>
            <w:r w:rsidRPr="00514B9A">
              <w:rPr>
                <w:sz w:val="22"/>
                <w:szCs w:val="22"/>
                <w:lang w:val="uk-UA" w:eastAsia="en-US"/>
              </w:rPr>
              <w:t>0</w:t>
            </w:r>
            <w:r w:rsidRPr="00514B9A">
              <w:rPr>
                <w:sz w:val="22"/>
                <w:szCs w:val="22"/>
                <w:lang w:eastAsia="en-US"/>
              </w:rPr>
              <w:t>,17</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3,2</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,13</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2,70</w:t>
            </w:r>
            <w:r w:rsidRPr="00514B9A">
              <w:rPr>
                <w:sz w:val="22"/>
                <w:szCs w:val="22"/>
                <w:lang w:val="uk-UA" w:eastAsia="en-US"/>
              </w:rPr>
              <w:t>4±0</w:t>
            </w:r>
            <w:r w:rsidRPr="00514B9A">
              <w:rPr>
                <w:sz w:val="22"/>
                <w:szCs w:val="22"/>
                <w:lang w:eastAsia="en-US"/>
              </w:rPr>
              <w:t>,08</w:t>
            </w:r>
          </w:p>
          <w:p w:rsidR="00E3259F" w:rsidRPr="00514B9A" w:rsidRDefault="00E3259F">
            <w:pPr>
              <w:spacing w:line="360" w:lineRule="auto"/>
              <w:jc w:val="both"/>
              <w:rPr>
                <w:rStyle w:val="tlid-translation"/>
                <w:sz w:val="22"/>
                <w:szCs w:val="22"/>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&lt;0,001</w:t>
            </w:r>
          </w:p>
        </w:tc>
      </w:tr>
    </w:tbl>
    <w:p w:rsidR="00E3259F" w:rsidRDefault="00E3259F" w:rsidP="00E3259F">
      <w:pPr>
        <w:rPr>
          <w:lang w:val="uk-UA"/>
        </w:rPr>
      </w:pPr>
    </w:p>
    <w:p w:rsidR="00E3259F" w:rsidRDefault="00E3259F" w:rsidP="00E3259F">
      <w:pPr>
        <w:rPr>
          <w:lang w:val="uk-UA"/>
        </w:rPr>
      </w:pPr>
    </w:p>
    <w:p w:rsidR="00E3259F" w:rsidRDefault="00E3259F" w:rsidP="00E3259F">
      <w:pPr>
        <w:jc w:val="right"/>
        <w:rPr>
          <w:sz w:val="2"/>
          <w:szCs w:val="2"/>
          <w:lang w:val="uk-UA"/>
        </w:rPr>
      </w:pPr>
      <w:r>
        <w:rPr>
          <w:i/>
          <w:spacing w:val="-2"/>
          <w:sz w:val="28"/>
          <w:szCs w:val="28"/>
        </w:rPr>
        <w:t xml:space="preserve">Продовження табл. </w:t>
      </w:r>
      <w:r>
        <w:rPr>
          <w:i/>
          <w:spacing w:val="-2"/>
          <w:sz w:val="28"/>
          <w:szCs w:val="28"/>
          <w:lang w:val="uk-UA"/>
        </w:rPr>
        <w:t>8</w:t>
      </w:r>
      <w:r>
        <w:rPr>
          <w:i/>
          <w:spacing w:val="-2"/>
          <w:sz w:val="28"/>
          <w:szCs w:val="28"/>
        </w:rPr>
        <w:t>.1</w:t>
      </w:r>
      <w:r>
        <w:rPr>
          <w:i/>
          <w:spacing w:val="-2"/>
          <w:sz w:val="28"/>
          <w:szCs w:val="28"/>
          <w:lang w:val="uk-UA"/>
        </w:rPr>
        <w:t>4</w:t>
      </w:r>
    </w:p>
    <w:tbl>
      <w:tblPr>
        <w:tblW w:w="0" w:type="auto"/>
        <w:tblLayout w:type="fixed"/>
        <w:tblLook w:val="04A0" w:firstRow="1" w:lastRow="0" w:firstColumn="1" w:lastColumn="0" w:noHBand="0" w:noVBand="1"/>
      </w:tblPr>
      <w:tblGrid>
        <w:gridCol w:w="1384"/>
        <w:gridCol w:w="1609"/>
        <w:gridCol w:w="1659"/>
        <w:gridCol w:w="1552"/>
        <w:gridCol w:w="1701"/>
        <w:gridCol w:w="1665"/>
      </w:tblGrid>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Глюкоза</w:t>
            </w:r>
            <w:r w:rsidRPr="00514B9A">
              <w:rPr>
                <w:sz w:val="22"/>
                <w:szCs w:val="22"/>
                <w:lang w:val="uk-UA" w:eastAsia="en-US"/>
              </w:rPr>
              <w:t xml:space="preserve"> крові,</w:t>
            </w:r>
            <w:r w:rsidRPr="00514B9A">
              <w:rPr>
                <w:rStyle w:val="10"/>
                <w:rFonts w:eastAsiaTheme="majorEastAsia"/>
                <w:sz w:val="22"/>
                <w:szCs w:val="22"/>
                <w:lang w:val="uk-UA"/>
              </w:rPr>
              <w:t xml:space="preserve"> </w:t>
            </w:r>
            <w:r w:rsidRPr="00514B9A">
              <w:rPr>
                <w:rStyle w:val="tlid-translation"/>
                <w:sz w:val="22"/>
                <w:szCs w:val="22"/>
                <w:lang w:val="uk-UA" w:eastAsia="en-US"/>
              </w:rPr>
              <w:t>ммоль/л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6,3</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,2</w:t>
            </w:r>
            <w:r w:rsidRPr="00514B9A">
              <w:rPr>
                <w:sz w:val="22"/>
                <w:szCs w:val="22"/>
                <w:lang w:val="uk-UA" w:eastAsia="en-US"/>
              </w:rPr>
              <w:t>4</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5,8</w:t>
            </w:r>
            <w:r w:rsidRPr="00514B9A">
              <w:rPr>
                <w:sz w:val="22"/>
                <w:szCs w:val="22"/>
                <w:lang w:val="uk-UA" w:eastAsia="en-US"/>
              </w:rPr>
              <w:t>3</w:t>
            </w:r>
            <w:r w:rsidRPr="00514B9A">
              <w:rPr>
                <w:sz w:val="22"/>
                <w:szCs w:val="22"/>
                <w:lang w:eastAsia="en-US"/>
              </w:rPr>
              <w:t>±</w:t>
            </w:r>
            <w:r w:rsidRPr="00514B9A">
              <w:rPr>
                <w:sz w:val="22"/>
                <w:szCs w:val="22"/>
                <w:lang w:val="uk-UA" w:eastAsia="en-US"/>
              </w:rPr>
              <w:t>0</w:t>
            </w:r>
            <w:r w:rsidRPr="00514B9A">
              <w:rPr>
                <w:sz w:val="22"/>
                <w:szCs w:val="22"/>
                <w:lang w:eastAsia="en-US"/>
              </w:rPr>
              <w:t>,17</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7,82±</w:t>
            </w:r>
            <w:r w:rsidRPr="00514B9A">
              <w:rPr>
                <w:sz w:val="22"/>
                <w:szCs w:val="22"/>
                <w:lang w:val="uk-UA" w:eastAsia="en-US"/>
              </w:rPr>
              <w:t>0</w:t>
            </w:r>
            <w:r w:rsidRPr="00514B9A">
              <w:rPr>
                <w:sz w:val="22"/>
                <w:szCs w:val="22"/>
                <w:lang w:eastAsia="en-US"/>
              </w:rPr>
              <w:t>,3</w:t>
            </w:r>
            <w:r w:rsidRPr="00514B9A">
              <w:rPr>
                <w:sz w:val="22"/>
                <w:szCs w:val="22"/>
                <w:lang w:val="uk-UA" w:eastAsia="en-US"/>
              </w:rPr>
              <w:t>6</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6,98±</w:t>
            </w:r>
            <w:r w:rsidRPr="00514B9A">
              <w:rPr>
                <w:sz w:val="22"/>
                <w:szCs w:val="22"/>
                <w:lang w:val="uk-UA" w:eastAsia="en-US"/>
              </w:rPr>
              <w:t>0</w:t>
            </w:r>
            <w:r w:rsidRPr="00514B9A">
              <w:rPr>
                <w:sz w:val="22"/>
                <w:szCs w:val="22"/>
                <w:lang w:eastAsia="en-US"/>
              </w:rPr>
              <w:t>,2</w:t>
            </w:r>
            <w:r w:rsidRPr="00514B9A">
              <w:rPr>
                <w:sz w:val="22"/>
                <w:szCs w:val="22"/>
                <w:lang w:val="uk-UA" w:eastAsia="en-US"/>
              </w:rPr>
              <w:t>7</w:t>
            </w:r>
          </w:p>
          <w:p w:rsidR="00E3259F" w:rsidRPr="00514B9A" w:rsidRDefault="00E3259F">
            <w:pPr>
              <w:spacing w:line="360" w:lineRule="auto"/>
              <w:jc w:val="both"/>
              <w:rPr>
                <w:sz w:val="22"/>
                <w:szCs w:val="22"/>
                <w:lang w:eastAsia="en-US"/>
              </w:rPr>
            </w:pPr>
            <w:r w:rsidRPr="00514B9A">
              <w:rPr>
                <w:sz w:val="22"/>
                <w:szCs w:val="22"/>
                <w:lang w:val="uk-UA" w:eastAsia="en-US"/>
              </w:rPr>
              <w:t>р</w:t>
            </w:r>
            <w:r w:rsidRPr="00514B9A">
              <w:rPr>
                <w:sz w:val="22"/>
                <w:szCs w:val="22"/>
                <w:vertAlign w:val="subscript"/>
                <w:lang w:val="uk-UA" w:eastAsia="en-US"/>
              </w:rPr>
              <w:t>1</w:t>
            </w:r>
            <w:r w:rsidRPr="00514B9A">
              <w:rPr>
                <w:sz w:val="22"/>
                <w:szCs w:val="22"/>
                <w:lang w:val="uk-UA" w:eastAsia="en-US"/>
              </w:rPr>
              <w:t>=0,001</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8,38±</w:t>
            </w:r>
            <w:r w:rsidRPr="00514B9A">
              <w:rPr>
                <w:sz w:val="22"/>
                <w:szCs w:val="22"/>
                <w:lang w:val="uk-UA" w:eastAsia="en-US"/>
              </w:rPr>
              <w:t>0</w:t>
            </w:r>
            <w:r w:rsidRPr="00514B9A">
              <w:rPr>
                <w:sz w:val="22"/>
                <w:szCs w:val="22"/>
                <w:lang w:eastAsia="en-US"/>
              </w:rPr>
              <w:t>,1</w:t>
            </w:r>
            <w:r w:rsidRPr="00514B9A">
              <w:rPr>
                <w:sz w:val="22"/>
                <w:szCs w:val="22"/>
                <w:lang w:val="uk-UA" w:eastAsia="en-US"/>
              </w:rPr>
              <w:t>4</w:t>
            </w:r>
          </w:p>
          <w:p w:rsidR="00E3259F" w:rsidRPr="00514B9A" w:rsidRDefault="00E3259F">
            <w:pPr>
              <w:spacing w:line="360" w:lineRule="auto"/>
              <w:jc w:val="both"/>
              <w:rPr>
                <w:rStyle w:val="tlid-translation"/>
                <w:sz w:val="22"/>
                <w:szCs w:val="22"/>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&lt;0,001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HbA1</w:t>
            </w:r>
            <w:r w:rsidRPr="00514B9A">
              <w:rPr>
                <w:sz w:val="22"/>
                <w:szCs w:val="22"/>
                <w:lang w:val="uk-UA" w:eastAsia="en-US"/>
              </w:rPr>
              <w:t>с,%</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6,9</w:t>
            </w:r>
            <w:r w:rsidRPr="00514B9A">
              <w:rPr>
                <w:sz w:val="22"/>
                <w:szCs w:val="22"/>
                <w:lang w:val="uk-UA" w:eastAsia="en-US"/>
              </w:rPr>
              <w:t>8</w:t>
            </w:r>
            <w:r w:rsidRPr="00514B9A">
              <w:rPr>
                <w:sz w:val="22"/>
                <w:szCs w:val="22"/>
                <w:lang w:eastAsia="en-US"/>
              </w:rPr>
              <w:t>±</w:t>
            </w:r>
            <w:r w:rsidRPr="00514B9A">
              <w:rPr>
                <w:sz w:val="22"/>
                <w:szCs w:val="22"/>
                <w:lang w:val="uk-UA" w:eastAsia="en-US"/>
              </w:rPr>
              <w:t>0</w:t>
            </w:r>
            <w:r w:rsidRPr="00514B9A">
              <w:rPr>
                <w:sz w:val="22"/>
                <w:szCs w:val="22"/>
                <w:lang w:eastAsia="en-US"/>
              </w:rPr>
              <w:t>,14</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6,38±</w:t>
            </w:r>
            <w:r w:rsidRPr="00514B9A">
              <w:rPr>
                <w:sz w:val="22"/>
                <w:szCs w:val="22"/>
                <w:lang w:val="uk-UA" w:eastAsia="en-US"/>
              </w:rPr>
              <w:t>0</w:t>
            </w:r>
            <w:r w:rsidRPr="00514B9A">
              <w:rPr>
                <w:sz w:val="22"/>
                <w:szCs w:val="22"/>
                <w:lang w:eastAsia="en-US"/>
              </w:rPr>
              <w:t>,1</w:t>
            </w:r>
            <w:r w:rsidRPr="00514B9A">
              <w:rPr>
                <w:sz w:val="22"/>
                <w:szCs w:val="22"/>
                <w:lang w:val="uk-UA" w:eastAsia="en-US"/>
              </w:rPr>
              <w:t>1</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7,4</w:t>
            </w:r>
            <w:r w:rsidRPr="00514B9A">
              <w:rPr>
                <w:sz w:val="22"/>
                <w:szCs w:val="22"/>
                <w:lang w:val="uk-UA" w:eastAsia="en-US"/>
              </w:rPr>
              <w:t>6</w:t>
            </w:r>
            <w:r w:rsidRPr="00514B9A">
              <w:rPr>
                <w:sz w:val="22"/>
                <w:szCs w:val="22"/>
                <w:lang w:eastAsia="en-US"/>
              </w:rPr>
              <w:t>±</w:t>
            </w:r>
            <w:r w:rsidRPr="00514B9A">
              <w:rPr>
                <w:sz w:val="22"/>
                <w:szCs w:val="22"/>
                <w:lang w:val="uk-UA" w:eastAsia="en-US"/>
              </w:rPr>
              <w:t>0</w:t>
            </w:r>
            <w:r w:rsidRPr="00514B9A">
              <w:rPr>
                <w:sz w:val="22"/>
                <w:szCs w:val="22"/>
                <w:lang w:eastAsia="en-US"/>
              </w:rPr>
              <w:t>,1</w:t>
            </w:r>
            <w:r w:rsidRPr="00514B9A">
              <w:rPr>
                <w:sz w:val="22"/>
                <w:szCs w:val="22"/>
                <w:lang w:val="uk-UA" w:eastAsia="en-US"/>
              </w:rPr>
              <w:t>5</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7,08±</w:t>
            </w:r>
            <w:r w:rsidRPr="00514B9A">
              <w:rPr>
                <w:sz w:val="22"/>
                <w:szCs w:val="22"/>
                <w:lang w:val="uk-UA" w:eastAsia="en-US"/>
              </w:rPr>
              <w:t>0</w:t>
            </w:r>
            <w:r w:rsidRPr="00514B9A">
              <w:rPr>
                <w:sz w:val="22"/>
                <w:szCs w:val="22"/>
                <w:lang w:eastAsia="en-US"/>
              </w:rPr>
              <w:t>,14</w:t>
            </w:r>
          </w:p>
          <w:p w:rsidR="00E3259F" w:rsidRPr="00514B9A" w:rsidRDefault="00E3259F">
            <w:pPr>
              <w:spacing w:line="360" w:lineRule="auto"/>
              <w:jc w:val="both"/>
              <w:rPr>
                <w:sz w:val="22"/>
                <w:szCs w:val="22"/>
                <w:lang w:val="uk-UA" w:eastAsia="en-US"/>
              </w:rPr>
            </w:pPr>
            <w:r w:rsidRPr="00514B9A">
              <w:rPr>
                <w:sz w:val="22"/>
                <w:szCs w:val="22"/>
                <w:lang w:val="uk-UA" w:eastAsia="en-US"/>
              </w:rPr>
              <w:t>р</w:t>
            </w:r>
            <w:r w:rsidRPr="00514B9A">
              <w:rPr>
                <w:sz w:val="22"/>
                <w:szCs w:val="22"/>
                <w:vertAlign w:val="subscript"/>
                <w:lang w:val="uk-UA" w:eastAsia="en-US"/>
              </w:rPr>
              <w:t>1</w:t>
            </w:r>
            <w:r w:rsidRPr="00514B9A">
              <w:rPr>
                <w:sz w:val="22"/>
                <w:szCs w:val="22"/>
                <w:lang w:val="uk-UA" w:eastAsia="en-US"/>
              </w:rPr>
              <w:t>&lt;0,001</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7,61±</w:t>
            </w:r>
            <w:r w:rsidRPr="00514B9A">
              <w:rPr>
                <w:sz w:val="22"/>
                <w:szCs w:val="22"/>
                <w:lang w:val="uk-UA" w:eastAsia="en-US"/>
              </w:rPr>
              <w:t>0</w:t>
            </w:r>
            <w:r w:rsidRPr="00514B9A">
              <w:rPr>
                <w:sz w:val="22"/>
                <w:szCs w:val="22"/>
                <w:lang w:eastAsia="en-US"/>
              </w:rPr>
              <w:t>,</w:t>
            </w:r>
            <w:r w:rsidRPr="00514B9A">
              <w:rPr>
                <w:sz w:val="22"/>
                <w:szCs w:val="22"/>
                <w:lang w:val="uk-UA" w:eastAsia="en-US"/>
              </w:rPr>
              <w:t>10</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val="uk-UA" w:eastAsia="en-US"/>
              </w:rPr>
              <w:t>І</w:t>
            </w:r>
            <w:r w:rsidRPr="00514B9A">
              <w:rPr>
                <w:sz w:val="22"/>
                <w:szCs w:val="22"/>
                <w:lang w:eastAsia="en-US"/>
              </w:rPr>
              <w:t>нсул</w:t>
            </w:r>
            <w:r w:rsidRPr="00514B9A">
              <w:rPr>
                <w:sz w:val="22"/>
                <w:szCs w:val="22"/>
                <w:lang w:val="uk-UA" w:eastAsia="en-US"/>
              </w:rPr>
              <w:t>і</w:t>
            </w:r>
            <w:r w:rsidRPr="00514B9A">
              <w:rPr>
                <w:sz w:val="22"/>
                <w:szCs w:val="22"/>
                <w:lang w:eastAsia="en-US"/>
              </w:rPr>
              <w:t>н</w:t>
            </w:r>
            <w:r w:rsidRPr="00514B9A">
              <w:rPr>
                <w:sz w:val="22"/>
                <w:szCs w:val="22"/>
                <w:lang w:val="uk-UA" w:eastAsia="en-US"/>
              </w:rPr>
              <w:t>,</w:t>
            </w:r>
            <w:r w:rsidRPr="00514B9A">
              <w:rPr>
                <w:sz w:val="22"/>
                <w:szCs w:val="22"/>
                <w:lang w:eastAsia="en-US"/>
              </w:rPr>
              <w:t xml:space="preserve"> мкМ</w:t>
            </w:r>
            <w:r w:rsidRPr="00514B9A">
              <w:rPr>
                <w:sz w:val="22"/>
                <w:szCs w:val="22"/>
                <w:lang w:val="uk-UA" w:eastAsia="en-US"/>
              </w:rPr>
              <w:t>О</w:t>
            </w:r>
            <w:r w:rsidRPr="00514B9A">
              <w:rPr>
                <w:sz w:val="22"/>
                <w:szCs w:val="22"/>
                <w:lang w:eastAsia="en-US"/>
              </w:rPr>
              <w:t>/мл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19,98±1,17</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20,00±</w:t>
            </w:r>
            <w:r w:rsidRPr="00514B9A">
              <w:rPr>
                <w:sz w:val="22"/>
                <w:szCs w:val="22"/>
                <w:lang w:val="uk-UA" w:eastAsia="en-US"/>
              </w:rPr>
              <w:t>0</w:t>
            </w:r>
            <w:r w:rsidRPr="00514B9A">
              <w:rPr>
                <w:sz w:val="22"/>
                <w:szCs w:val="22"/>
                <w:lang w:eastAsia="en-US"/>
              </w:rPr>
              <w:t>,8</w:t>
            </w:r>
            <w:r w:rsidRPr="00514B9A">
              <w:rPr>
                <w:sz w:val="22"/>
                <w:szCs w:val="22"/>
                <w:lang w:val="uk-UA" w:eastAsia="en-US"/>
              </w:rPr>
              <w:t>9</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20,70±1,83</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20,82±1,72</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23,03±1,1</w:t>
            </w:r>
            <w:r w:rsidRPr="00514B9A">
              <w:rPr>
                <w:sz w:val="22"/>
                <w:szCs w:val="22"/>
                <w:lang w:val="uk-UA" w:eastAsia="en-US"/>
              </w:rPr>
              <w:t>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НОМА</w:t>
            </w:r>
            <w:r w:rsidRPr="00514B9A">
              <w:rPr>
                <w:sz w:val="22"/>
                <w:szCs w:val="22"/>
                <w:lang w:val="uk-UA" w:eastAsia="en-US"/>
              </w:rPr>
              <w:t>-</w:t>
            </w:r>
            <w:r w:rsidRPr="00514B9A">
              <w:rPr>
                <w:sz w:val="22"/>
                <w:szCs w:val="22"/>
                <w:lang w:val="en-US" w:eastAsia="en-US"/>
              </w:rPr>
              <w:t>IR</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5,84±</w:t>
            </w:r>
            <w:r w:rsidRPr="00514B9A">
              <w:rPr>
                <w:sz w:val="22"/>
                <w:szCs w:val="22"/>
                <w:lang w:val="uk-UA" w:eastAsia="en-US"/>
              </w:rPr>
              <w:t>0</w:t>
            </w:r>
            <w:r w:rsidRPr="00514B9A">
              <w:rPr>
                <w:sz w:val="22"/>
                <w:szCs w:val="22"/>
                <w:lang w:eastAsia="en-US"/>
              </w:rPr>
              <w:t>,4</w:t>
            </w:r>
            <w:r w:rsidRPr="00514B9A">
              <w:rPr>
                <w:sz w:val="22"/>
                <w:szCs w:val="22"/>
                <w:lang w:val="uk-UA" w:eastAsia="en-US"/>
              </w:rPr>
              <w:t>8</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5,2</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,2</w:t>
            </w:r>
            <w:r w:rsidRPr="00514B9A">
              <w:rPr>
                <w:sz w:val="22"/>
                <w:szCs w:val="22"/>
                <w:lang w:val="uk-UA" w:eastAsia="en-US"/>
              </w:rPr>
              <w:t>9</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7,1</w:t>
            </w:r>
            <w:r w:rsidRPr="00514B9A">
              <w:rPr>
                <w:sz w:val="22"/>
                <w:szCs w:val="22"/>
                <w:lang w:val="uk-UA" w:eastAsia="en-US"/>
              </w:rPr>
              <w:t>5</w:t>
            </w:r>
            <w:r w:rsidRPr="00514B9A">
              <w:rPr>
                <w:sz w:val="22"/>
                <w:szCs w:val="22"/>
                <w:lang w:eastAsia="en-US"/>
              </w:rPr>
              <w:t>±</w:t>
            </w:r>
            <w:r w:rsidRPr="00514B9A">
              <w:rPr>
                <w:sz w:val="22"/>
                <w:szCs w:val="22"/>
                <w:lang w:val="uk-UA" w:eastAsia="en-US"/>
              </w:rPr>
              <w:t>0</w:t>
            </w:r>
            <w:r w:rsidRPr="00514B9A">
              <w:rPr>
                <w:sz w:val="22"/>
                <w:szCs w:val="22"/>
                <w:lang w:eastAsia="en-US"/>
              </w:rPr>
              <w:t>,76</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6,2</w:t>
            </w:r>
            <w:r w:rsidRPr="00514B9A">
              <w:rPr>
                <w:sz w:val="22"/>
                <w:szCs w:val="22"/>
                <w:lang w:val="uk-UA" w:eastAsia="en-US"/>
              </w:rPr>
              <w:t>4</w:t>
            </w:r>
            <w:r w:rsidRPr="00514B9A">
              <w:rPr>
                <w:sz w:val="22"/>
                <w:szCs w:val="22"/>
                <w:lang w:eastAsia="en-US"/>
              </w:rPr>
              <w:t>±</w:t>
            </w:r>
            <w:r w:rsidRPr="00514B9A">
              <w:rPr>
                <w:sz w:val="22"/>
                <w:szCs w:val="22"/>
                <w:lang w:val="uk-UA" w:eastAsia="en-US"/>
              </w:rPr>
              <w:t>0</w:t>
            </w:r>
            <w:r w:rsidRPr="00514B9A">
              <w:rPr>
                <w:sz w:val="22"/>
                <w:szCs w:val="22"/>
                <w:lang w:eastAsia="en-US"/>
              </w:rPr>
              <w:t>,5</w:t>
            </w:r>
            <w:r w:rsidRPr="00514B9A">
              <w:rPr>
                <w:sz w:val="22"/>
                <w:szCs w:val="22"/>
                <w:lang w:val="uk-UA" w:eastAsia="en-US"/>
              </w:rPr>
              <w:t>6</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8,32±</w:t>
            </w:r>
            <w:r w:rsidRPr="00514B9A">
              <w:rPr>
                <w:sz w:val="22"/>
                <w:szCs w:val="22"/>
                <w:lang w:val="uk-UA" w:eastAsia="en-US"/>
              </w:rPr>
              <w:t>0</w:t>
            </w:r>
            <w:r w:rsidRPr="00514B9A">
              <w:rPr>
                <w:sz w:val="22"/>
                <w:szCs w:val="22"/>
                <w:lang w:eastAsia="en-US"/>
              </w:rPr>
              <w:t>,3</w:t>
            </w:r>
            <w:r w:rsidRPr="00514B9A">
              <w:rPr>
                <w:sz w:val="22"/>
                <w:szCs w:val="22"/>
                <w:lang w:val="uk-UA" w:eastAsia="en-US"/>
              </w:rPr>
              <w:t>3</w:t>
            </w:r>
          </w:p>
          <w:p w:rsidR="00E3259F" w:rsidRPr="00514B9A" w:rsidRDefault="00E3259F">
            <w:pPr>
              <w:spacing w:line="360" w:lineRule="auto"/>
              <w:jc w:val="both"/>
              <w:rPr>
                <w:sz w:val="22"/>
                <w:szCs w:val="22"/>
                <w:lang w:eastAsia="en-US"/>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&lt;0,001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val="uk-UA" w:eastAsia="en-US"/>
              </w:rPr>
              <w:t>ТТГ, мкМО/мл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4,9</w:t>
            </w:r>
            <w:r w:rsidRPr="00514B9A">
              <w:rPr>
                <w:sz w:val="22"/>
                <w:szCs w:val="22"/>
                <w:lang w:val="uk-UA" w:eastAsia="en-US"/>
              </w:rPr>
              <w:t>3</w:t>
            </w:r>
            <w:r w:rsidRPr="00514B9A">
              <w:rPr>
                <w:sz w:val="22"/>
                <w:szCs w:val="22"/>
                <w:lang w:eastAsia="en-US"/>
              </w:rPr>
              <w:t>±</w:t>
            </w:r>
            <w:r w:rsidRPr="00514B9A">
              <w:rPr>
                <w:sz w:val="22"/>
                <w:szCs w:val="22"/>
                <w:lang w:val="uk-UA" w:eastAsia="en-US"/>
              </w:rPr>
              <w:t>0</w:t>
            </w:r>
            <w:r w:rsidRPr="00514B9A">
              <w:rPr>
                <w:sz w:val="22"/>
                <w:szCs w:val="22"/>
                <w:lang w:eastAsia="en-US"/>
              </w:rPr>
              <w:t>,0</w:t>
            </w:r>
            <w:r w:rsidRPr="00514B9A">
              <w:rPr>
                <w:sz w:val="22"/>
                <w:szCs w:val="22"/>
                <w:lang w:val="uk-UA" w:eastAsia="en-US"/>
              </w:rPr>
              <w:t>7</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3,58±</w:t>
            </w:r>
            <w:r w:rsidRPr="00514B9A">
              <w:rPr>
                <w:sz w:val="22"/>
                <w:szCs w:val="22"/>
                <w:lang w:val="uk-UA" w:eastAsia="en-US"/>
              </w:rPr>
              <w:t>0</w:t>
            </w:r>
            <w:r w:rsidRPr="00514B9A">
              <w:rPr>
                <w:sz w:val="22"/>
                <w:szCs w:val="22"/>
                <w:lang w:eastAsia="en-US"/>
              </w:rPr>
              <w:t>,2</w:t>
            </w:r>
            <w:r w:rsidRPr="00514B9A">
              <w:rPr>
                <w:sz w:val="22"/>
                <w:szCs w:val="22"/>
                <w:lang w:val="uk-UA" w:eastAsia="en-US"/>
              </w:rPr>
              <w:t>1</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7,43±</w:t>
            </w:r>
            <w:r w:rsidRPr="00514B9A">
              <w:rPr>
                <w:sz w:val="22"/>
                <w:szCs w:val="22"/>
                <w:lang w:val="uk-UA" w:eastAsia="en-US"/>
              </w:rPr>
              <w:t>0</w:t>
            </w:r>
            <w:r w:rsidRPr="00514B9A">
              <w:rPr>
                <w:sz w:val="22"/>
                <w:szCs w:val="22"/>
                <w:lang w:eastAsia="en-US"/>
              </w:rPr>
              <w:t>,0</w:t>
            </w:r>
            <w:r w:rsidRPr="00514B9A">
              <w:rPr>
                <w:sz w:val="22"/>
                <w:szCs w:val="22"/>
                <w:lang w:val="uk-UA" w:eastAsia="en-US"/>
              </w:rPr>
              <w:t>6</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3,58±</w:t>
            </w:r>
            <w:r w:rsidRPr="00514B9A">
              <w:rPr>
                <w:sz w:val="22"/>
                <w:szCs w:val="22"/>
                <w:lang w:val="uk-UA" w:eastAsia="en-US"/>
              </w:rPr>
              <w:t>0</w:t>
            </w:r>
            <w:r w:rsidRPr="00514B9A">
              <w:rPr>
                <w:sz w:val="22"/>
                <w:szCs w:val="22"/>
                <w:lang w:eastAsia="en-US"/>
              </w:rPr>
              <w:t>,0</w:t>
            </w:r>
            <w:r w:rsidRPr="00514B9A">
              <w:rPr>
                <w:sz w:val="22"/>
                <w:szCs w:val="22"/>
                <w:lang w:val="uk-UA" w:eastAsia="en-US"/>
              </w:rPr>
              <w:t>7</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eastAsia="en-US"/>
              </w:rPr>
            </w:pPr>
            <w:r w:rsidRPr="00514B9A">
              <w:rPr>
                <w:sz w:val="22"/>
                <w:szCs w:val="22"/>
                <w:lang w:eastAsia="en-US"/>
              </w:rPr>
              <w:t>1,81±</w:t>
            </w:r>
            <w:r w:rsidRPr="00514B9A">
              <w:rPr>
                <w:sz w:val="22"/>
                <w:szCs w:val="22"/>
                <w:lang w:val="uk-UA" w:eastAsia="en-US"/>
              </w:rPr>
              <w:t>0</w:t>
            </w:r>
            <w:r w:rsidRPr="00514B9A">
              <w:rPr>
                <w:sz w:val="22"/>
                <w:szCs w:val="22"/>
                <w:lang w:eastAsia="en-US"/>
              </w:rPr>
              <w:t>,0</w:t>
            </w:r>
            <w:r w:rsidRPr="00514B9A">
              <w:rPr>
                <w:sz w:val="22"/>
                <w:szCs w:val="22"/>
                <w:lang w:val="uk-UA" w:eastAsia="en-US"/>
              </w:rPr>
              <w:t>7</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ЦД</w:t>
            </w:r>
            <w:r w:rsidRPr="00514B9A">
              <w:rPr>
                <w:sz w:val="22"/>
                <w:szCs w:val="22"/>
                <w:lang w:val="uk-UA" w:eastAsia="en-US"/>
              </w:rPr>
              <w:t>Е</w:t>
            </w:r>
            <w:r w:rsidRPr="00514B9A">
              <w:rPr>
                <w:sz w:val="22"/>
                <w:szCs w:val="22"/>
                <w:lang w:eastAsia="en-US"/>
              </w:rPr>
              <w:t>К</w:t>
            </w:r>
            <w:r w:rsidRPr="00514B9A">
              <w:rPr>
                <w:sz w:val="22"/>
                <w:szCs w:val="22"/>
                <w:lang w:val="uk-UA" w:eastAsia="en-US"/>
              </w:rPr>
              <w:t>,</w:t>
            </w:r>
            <w:r w:rsidRPr="00514B9A">
              <w:rPr>
                <w:rFonts w:eastAsia="TimesNewRomanPSMT"/>
                <w:sz w:val="22"/>
                <w:szCs w:val="22"/>
                <w:lang w:val="uk-UA" w:eastAsia="en-US"/>
              </w:rPr>
              <w:t xml:space="preserve"> кл./100 мкл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10,21±</w:t>
            </w:r>
            <w:r w:rsidRPr="00514B9A">
              <w:rPr>
                <w:sz w:val="22"/>
                <w:szCs w:val="22"/>
                <w:lang w:val="uk-UA" w:eastAsia="en-US"/>
              </w:rPr>
              <w:t>0</w:t>
            </w:r>
            <w:r w:rsidRPr="00514B9A">
              <w:rPr>
                <w:sz w:val="22"/>
                <w:szCs w:val="22"/>
                <w:lang w:eastAsia="en-US"/>
              </w:rPr>
              <w:t>,44</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9,10±</w:t>
            </w:r>
            <w:r w:rsidRPr="00514B9A">
              <w:rPr>
                <w:sz w:val="22"/>
                <w:szCs w:val="22"/>
                <w:lang w:val="uk-UA" w:eastAsia="en-US"/>
              </w:rPr>
              <w:t>0</w:t>
            </w:r>
            <w:r w:rsidRPr="00514B9A">
              <w:rPr>
                <w:sz w:val="22"/>
                <w:szCs w:val="22"/>
                <w:lang w:eastAsia="en-US"/>
              </w:rPr>
              <w:t>,34</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10,39±</w:t>
            </w:r>
            <w:r w:rsidRPr="00514B9A">
              <w:rPr>
                <w:sz w:val="22"/>
                <w:szCs w:val="22"/>
                <w:lang w:val="uk-UA" w:eastAsia="en-US"/>
              </w:rPr>
              <w:t>0</w:t>
            </w:r>
            <w:r w:rsidRPr="00514B9A">
              <w:rPr>
                <w:sz w:val="22"/>
                <w:szCs w:val="22"/>
                <w:lang w:eastAsia="en-US"/>
              </w:rPr>
              <w:t>,534</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9,51±</w:t>
            </w:r>
            <w:r w:rsidRPr="00514B9A">
              <w:rPr>
                <w:sz w:val="22"/>
                <w:szCs w:val="22"/>
                <w:lang w:val="uk-UA" w:eastAsia="en-US"/>
              </w:rPr>
              <w:t>0</w:t>
            </w:r>
            <w:r w:rsidRPr="00514B9A">
              <w:rPr>
                <w:sz w:val="22"/>
                <w:szCs w:val="22"/>
                <w:lang w:eastAsia="en-US"/>
              </w:rPr>
              <w:t>,41</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10,49±</w:t>
            </w:r>
            <w:r w:rsidRPr="00514B9A">
              <w:rPr>
                <w:sz w:val="22"/>
                <w:szCs w:val="22"/>
                <w:lang w:val="uk-UA" w:eastAsia="en-US"/>
              </w:rPr>
              <w:t>0</w:t>
            </w:r>
            <w:r w:rsidRPr="00514B9A">
              <w:rPr>
                <w:sz w:val="22"/>
                <w:szCs w:val="22"/>
                <w:lang w:eastAsia="en-US"/>
              </w:rPr>
              <w:t>,28</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ВЕФР,</w:t>
            </w:r>
            <w:r w:rsidRPr="00514B9A">
              <w:rPr>
                <w:sz w:val="22"/>
                <w:szCs w:val="22"/>
                <w:lang w:val="uk-UA" w:eastAsia="en-US"/>
              </w:rPr>
              <w:t xml:space="preserve"> пг/мл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color w:val="000000"/>
                <w:sz w:val="22"/>
                <w:szCs w:val="22"/>
                <w:lang w:eastAsia="en-US"/>
              </w:rPr>
              <w:t>401,56±</w:t>
            </w:r>
            <w:r w:rsidRPr="00514B9A">
              <w:rPr>
                <w:sz w:val="22"/>
                <w:szCs w:val="22"/>
                <w:lang w:eastAsia="en-US"/>
              </w:rPr>
              <w:t>27,8</w:t>
            </w:r>
            <w:r w:rsidRPr="00514B9A">
              <w:rPr>
                <w:sz w:val="22"/>
                <w:szCs w:val="22"/>
                <w:lang w:val="uk-UA" w:eastAsia="en-US"/>
              </w:rPr>
              <w:t>7</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color w:val="000000"/>
                <w:sz w:val="22"/>
                <w:szCs w:val="22"/>
                <w:lang w:eastAsia="en-US"/>
              </w:rPr>
              <w:t>385,87±</w:t>
            </w:r>
            <w:r w:rsidRPr="00514B9A">
              <w:rPr>
                <w:sz w:val="22"/>
                <w:szCs w:val="22"/>
                <w:lang w:eastAsia="en-US"/>
              </w:rPr>
              <w:t>20,3</w:t>
            </w:r>
            <w:r w:rsidRPr="00514B9A">
              <w:rPr>
                <w:sz w:val="22"/>
                <w:szCs w:val="22"/>
                <w:lang w:val="uk-UA" w:eastAsia="en-US"/>
              </w:rPr>
              <w:t>6</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color w:val="000000"/>
                <w:sz w:val="22"/>
                <w:szCs w:val="22"/>
                <w:lang w:eastAsia="en-US"/>
              </w:rPr>
              <w:t>585,77±</w:t>
            </w:r>
            <w:r w:rsidRPr="00514B9A">
              <w:rPr>
                <w:sz w:val="22"/>
                <w:szCs w:val="22"/>
                <w:lang w:eastAsia="en-US"/>
              </w:rPr>
              <w:t>25,3</w:t>
            </w:r>
            <w:r w:rsidRPr="00514B9A">
              <w:rPr>
                <w:sz w:val="22"/>
                <w:szCs w:val="22"/>
                <w:lang w:val="uk-UA" w:eastAsia="en-US"/>
              </w:rPr>
              <w:t>9</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color w:val="000000"/>
                <w:sz w:val="22"/>
                <w:szCs w:val="22"/>
                <w:lang w:eastAsia="en-US"/>
              </w:rPr>
              <w:t>460,61±</w:t>
            </w:r>
            <w:r w:rsidRPr="00514B9A">
              <w:rPr>
                <w:sz w:val="22"/>
                <w:szCs w:val="22"/>
                <w:lang w:eastAsia="en-US"/>
              </w:rPr>
              <w:t>23,12</w:t>
            </w:r>
          </w:p>
          <w:p w:rsidR="00E3259F" w:rsidRPr="00514B9A" w:rsidRDefault="00E3259F">
            <w:pPr>
              <w:spacing w:line="360" w:lineRule="auto"/>
              <w:jc w:val="both"/>
              <w:rPr>
                <w:rStyle w:val="tlid-translation"/>
                <w:sz w:val="22"/>
                <w:szCs w:val="22"/>
              </w:rPr>
            </w:pPr>
            <w:r w:rsidRPr="00514B9A">
              <w:rPr>
                <w:rStyle w:val="10"/>
                <w:rFonts w:eastAsiaTheme="minorHAnsi"/>
                <w:b w:val="0"/>
                <w:sz w:val="22"/>
                <w:szCs w:val="22"/>
                <w:lang w:val="uk-UA"/>
              </w:rPr>
              <w:t>р</w:t>
            </w:r>
            <w:r w:rsidRPr="00514B9A">
              <w:rPr>
                <w:rStyle w:val="10"/>
                <w:rFonts w:eastAsiaTheme="minorHAnsi"/>
                <w:b w:val="0"/>
                <w:sz w:val="22"/>
                <w:szCs w:val="22"/>
                <w:vertAlign w:val="subscript"/>
                <w:lang w:val="uk-UA"/>
              </w:rPr>
              <w:t>1</w:t>
            </w:r>
            <w:r w:rsidRPr="00514B9A">
              <w:rPr>
                <w:rStyle w:val="10"/>
                <w:rFonts w:eastAsiaTheme="minorHAnsi"/>
                <w:b w:val="0"/>
                <w:sz w:val="22"/>
                <w:szCs w:val="22"/>
                <w:lang w:val="uk-UA"/>
              </w:rPr>
              <w:t>=0</w:t>
            </w:r>
            <w:r w:rsidRPr="00514B9A">
              <w:rPr>
                <w:b/>
                <w:sz w:val="22"/>
                <w:szCs w:val="22"/>
                <w:lang w:val="uk-UA" w:eastAsia="en-US"/>
              </w:rPr>
              <w:t>,</w:t>
            </w:r>
            <w:r w:rsidRPr="00514B9A">
              <w:rPr>
                <w:sz w:val="22"/>
                <w:szCs w:val="22"/>
                <w:lang w:val="uk-UA" w:eastAsia="en-US"/>
              </w:rPr>
              <w:t>012</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355,1</w:t>
            </w:r>
            <w:r w:rsidRPr="00514B9A">
              <w:rPr>
                <w:sz w:val="22"/>
                <w:szCs w:val="22"/>
                <w:lang w:val="uk-UA" w:eastAsia="en-US"/>
              </w:rPr>
              <w:t>7</w:t>
            </w:r>
            <w:r w:rsidRPr="00514B9A">
              <w:rPr>
                <w:sz w:val="22"/>
                <w:szCs w:val="22"/>
                <w:lang w:eastAsia="en-US"/>
              </w:rPr>
              <w:t>±14,1</w:t>
            </w:r>
            <w:r w:rsidRPr="00514B9A">
              <w:rPr>
                <w:sz w:val="22"/>
                <w:szCs w:val="22"/>
                <w:lang w:val="uk-UA" w:eastAsia="en-US"/>
              </w:rPr>
              <w:t>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СРП</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8,63±</w:t>
            </w:r>
            <w:r w:rsidRPr="00514B9A">
              <w:rPr>
                <w:color w:val="000000"/>
                <w:sz w:val="22"/>
                <w:szCs w:val="22"/>
                <w:lang w:val="uk-UA" w:eastAsia="en-US"/>
              </w:rPr>
              <w:t>0</w:t>
            </w:r>
            <w:r w:rsidRPr="00514B9A">
              <w:rPr>
                <w:sz w:val="22"/>
                <w:szCs w:val="22"/>
                <w:lang w:eastAsia="en-US"/>
              </w:rPr>
              <w:t>,5</w:t>
            </w:r>
            <w:r w:rsidRPr="00514B9A">
              <w:rPr>
                <w:sz w:val="22"/>
                <w:szCs w:val="22"/>
                <w:lang w:val="uk-UA" w:eastAsia="en-US"/>
              </w:rPr>
              <w:t>3</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7,4</w:t>
            </w:r>
            <w:r w:rsidRPr="00514B9A">
              <w:rPr>
                <w:color w:val="000000"/>
                <w:sz w:val="22"/>
                <w:szCs w:val="22"/>
                <w:lang w:val="uk-UA" w:eastAsia="en-US"/>
              </w:rPr>
              <w:t>2</w:t>
            </w:r>
            <w:r w:rsidRPr="00514B9A">
              <w:rPr>
                <w:color w:val="000000"/>
                <w:sz w:val="22"/>
                <w:szCs w:val="22"/>
                <w:lang w:eastAsia="en-US"/>
              </w:rPr>
              <w:t>±</w:t>
            </w:r>
            <w:r w:rsidRPr="00514B9A">
              <w:rPr>
                <w:color w:val="000000"/>
                <w:sz w:val="22"/>
                <w:szCs w:val="22"/>
                <w:lang w:val="uk-UA" w:eastAsia="en-US"/>
              </w:rPr>
              <w:t>0</w:t>
            </w:r>
            <w:r w:rsidRPr="00514B9A">
              <w:rPr>
                <w:sz w:val="22"/>
                <w:szCs w:val="22"/>
                <w:lang w:eastAsia="en-US"/>
              </w:rPr>
              <w:t>,3</w:t>
            </w:r>
            <w:r w:rsidRPr="00514B9A">
              <w:rPr>
                <w:sz w:val="22"/>
                <w:szCs w:val="22"/>
                <w:lang w:val="uk-UA" w:eastAsia="en-US"/>
              </w:rPr>
              <w:t>3</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8,00±</w:t>
            </w:r>
            <w:r w:rsidRPr="00514B9A">
              <w:rPr>
                <w:color w:val="000000"/>
                <w:sz w:val="22"/>
                <w:szCs w:val="22"/>
                <w:lang w:val="uk-UA" w:eastAsia="en-US"/>
              </w:rPr>
              <w:t>0</w:t>
            </w:r>
            <w:r w:rsidRPr="00514B9A">
              <w:rPr>
                <w:sz w:val="22"/>
                <w:szCs w:val="22"/>
                <w:lang w:eastAsia="en-US"/>
              </w:rPr>
              <w:t>,41</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7,14±</w:t>
            </w:r>
            <w:r w:rsidRPr="00514B9A">
              <w:rPr>
                <w:color w:val="000000"/>
                <w:sz w:val="22"/>
                <w:szCs w:val="22"/>
                <w:lang w:val="uk-UA" w:eastAsia="en-US"/>
              </w:rPr>
              <w:t>0</w:t>
            </w:r>
            <w:r w:rsidRPr="00514B9A">
              <w:rPr>
                <w:sz w:val="22"/>
                <w:szCs w:val="22"/>
                <w:lang w:eastAsia="en-US"/>
              </w:rPr>
              <w:t>,2</w:t>
            </w:r>
            <w:r w:rsidRPr="00514B9A">
              <w:rPr>
                <w:sz w:val="22"/>
                <w:szCs w:val="22"/>
                <w:lang w:val="uk-UA" w:eastAsia="en-US"/>
              </w:rPr>
              <w:t>6</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7,32±</w:t>
            </w:r>
            <w:r w:rsidRPr="00514B9A">
              <w:rPr>
                <w:sz w:val="22"/>
                <w:szCs w:val="22"/>
                <w:lang w:val="uk-UA" w:eastAsia="en-US"/>
              </w:rPr>
              <w:t>0</w:t>
            </w:r>
            <w:r w:rsidRPr="00514B9A">
              <w:rPr>
                <w:sz w:val="22"/>
                <w:szCs w:val="22"/>
                <w:lang w:eastAsia="en-US"/>
              </w:rPr>
              <w:t>,21</w:t>
            </w:r>
          </w:p>
          <w:p w:rsidR="00E3259F" w:rsidRPr="00514B9A" w:rsidRDefault="00E3259F">
            <w:pPr>
              <w:spacing w:line="360" w:lineRule="auto"/>
              <w:jc w:val="both"/>
              <w:rPr>
                <w:rStyle w:val="tlid-translation"/>
                <w:sz w:val="22"/>
                <w:szCs w:val="22"/>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=0,028</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ФНП-α</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11,9</w:t>
            </w:r>
            <w:r w:rsidRPr="00514B9A">
              <w:rPr>
                <w:sz w:val="22"/>
                <w:szCs w:val="22"/>
                <w:lang w:val="uk-UA" w:eastAsia="en-US"/>
              </w:rPr>
              <w:t>5</w:t>
            </w:r>
            <w:r w:rsidRPr="00514B9A">
              <w:rPr>
                <w:sz w:val="22"/>
                <w:szCs w:val="22"/>
                <w:lang w:eastAsia="en-US"/>
              </w:rPr>
              <w:t>±</w:t>
            </w:r>
            <w:r w:rsidRPr="00514B9A">
              <w:rPr>
                <w:sz w:val="22"/>
                <w:szCs w:val="22"/>
                <w:lang w:val="uk-UA" w:eastAsia="en-US"/>
              </w:rPr>
              <w:t>0</w:t>
            </w:r>
            <w:r w:rsidRPr="00514B9A">
              <w:rPr>
                <w:sz w:val="22"/>
                <w:szCs w:val="22"/>
                <w:lang w:eastAsia="en-US"/>
              </w:rPr>
              <w:t>,50</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11,45±</w:t>
            </w:r>
            <w:r w:rsidRPr="00514B9A">
              <w:rPr>
                <w:sz w:val="22"/>
                <w:szCs w:val="22"/>
                <w:lang w:val="uk-UA" w:eastAsia="en-US"/>
              </w:rPr>
              <w:t>0</w:t>
            </w:r>
            <w:r w:rsidRPr="00514B9A">
              <w:rPr>
                <w:sz w:val="22"/>
                <w:szCs w:val="22"/>
                <w:lang w:eastAsia="en-US"/>
              </w:rPr>
              <w:t>,42</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13,46±</w:t>
            </w:r>
            <w:r w:rsidRPr="00514B9A">
              <w:rPr>
                <w:sz w:val="22"/>
                <w:szCs w:val="22"/>
                <w:lang w:val="uk-UA" w:eastAsia="en-US"/>
              </w:rPr>
              <w:t>0</w:t>
            </w:r>
            <w:r w:rsidRPr="00514B9A">
              <w:rPr>
                <w:sz w:val="22"/>
                <w:szCs w:val="22"/>
                <w:lang w:eastAsia="en-US"/>
              </w:rPr>
              <w:t>,64</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12,19±</w:t>
            </w:r>
            <w:r w:rsidRPr="00514B9A">
              <w:rPr>
                <w:sz w:val="22"/>
                <w:szCs w:val="22"/>
                <w:lang w:val="uk-UA" w:eastAsia="en-US"/>
              </w:rPr>
              <w:t>0</w:t>
            </w:r>
            <w:r w:rsidRPr="00514B9A">
              <w:rPr>
                <w:sz w:val="22"/>
                <w:szCs w:val="22"/>
                <w:lang w:eastAsia="en-US"/>
              </w:rPr>
              <w:t>,5</w:t>
            </w:r>
            <w:r w:rsidRPr="00514B9A">
              <w:rPr>
                <w:sz w:val="22"/>
                <w:szCs w:val="22"/>
                <w:lang w:val="uk-UA" w:eastAsia="en-US"/>
              </w:rPr>
              <w:t>8</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sz w:val="22"/>
                <w:szCs w:val="22"/>
                <w:lang w:val="uk-UA" w:eastAsia="en-US"/>
              </w:rPr>
            </w:pPr>
            <w:r w:rsidRPr="00514B9A">
              <w:rPr>
                <w:sz w:val="22"/>
                <w:szCs w:val="22"/>
                <w:lang w:eastAsia="en-US"/>
              </w:rPr>
              <w:t>9,9</w:t>
            </w:r>
            <w:r w:rsidRPr="00514B9A">
              <w:rPr>
                <w:sz w:val="22"/>
                <w:szCs w:val="22"/>
                <w:lang w:val="uk-UA" w:eastAsia="en-US"/>
              </w:rPr>
              <w:t>4</w:t>
            </w:r>
            <w:r w:rsidRPr="00514B9A">
              <w:rPr>
                <w:sz w:val="22"/>
                <w:szCs w:val="22"/>
                <w:lang w:eastAsia="en-US"/>
              </w:rPr>
              <w:t>±</w:t>
            </w:r>
            <w:r w:rsidRPr="00514B9A">
              <w:rPr>
                <w:sz w:val="22"/>
                <w:szCs w:val="22"/>
                <w:lang w:val="uk-UA" w:eastAsia="en-US"/>
              </w:rPr>
              <w:t>0</w:t>
            </w:r>
            <w:r w:rsidRPr="00514B9A">
              <w:rPr>
                <w:sz w:val="22"/>
                <w:szCs w:val="22"/>
                <w:lang w:eastAsia="en-US"/>
              </w:rPr>
              <w:t>,3</w:t>
            </w:r>
            <w:r w:rsidRPr="00514B9A">
              <w:rPr>
                <w:sz w:val="22"/>
                <w:szCs w:val="22"/>
                <w:lang w:val="uk-UA" w:eastAsia="en-US"/>
              </w:rPr>
              <w:t>2</w:t>
            </w:r>
          </w:p>
          <w:p w:rsidR="00E3259F" w:rsidRPr="00514B9A" w:rsidRDefault="00E3259F">
            <w:pPr>
              <w:spacing w:line="360" w:lineRule="auto"/>
              <w:jc w:val="both"/>
              <w:rPr>
                <w:rStyle w:val="tlid-translation"/>
                <w:sz w:val="22"/>
                <w:szCs w:val="22"/>
              </w:rPr>
            </w:pPr>
            <w:r w:rsidRPr="00514B9A">
              <w:rPr>
                <w:rStyle w:val="tlid-translation"/>
                <w:rFonts w:eastAsiaTheme="majorEastAsia"/>
                <w:sz w:val="22"/>
                <w:szCs w:val="22"/>
                <w:lang w:val="uk-UA" w:eastAsia="en-US"/>
              </w:rPr>
              <w:t>р</w:t>
            </w:r>
            <w:r w:rsidRPr="00514B9A">
              <w:rPr>
                <w:rStyle w:val="tlid-translation"/>
                <w:rFonts w:eastAsiaTheme="majorEastAsia"/>
                <w:sz w:val="22"/>
                <w:szCs w:val="22"/>
                <w:vertAlign w:val="subscript"/>
                <w:lang w:val="uk-UA" w:eastAsia="en-US"/>
              </w:rPr>
              <w:t>2</w:t>
            </w:r>
            <w:r w:rsidRPr="00514B9A">
              <w:rPr>
                <w:rStyle w:val="tlid-translation"/>
                <w:rFonts w:eastAsiaTheme="majorEastAsia"/>
                <w:sz w:val="22"/>
                <w:szCs w:val="22"/>
                <w:lang w:val="uk-UA" w:eastAsia="en-US"/>
              </w:rPr>
              <w:t>&lt;0,001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276" w:lineRule="auto"/>
              <w:rPr>
                <w:rStyle w:val="tlid-translation"/>
                <w:sz w:val="22"/>
                <w:szCs w:val="22"/>
                <w:lang w:val="uk-UA"/>
              </w:rPr>
            </w:pPr>
            <w:r w:rsidRPr="00514B9A">
              <w:rPr>
                <w:sz w:val="22"/>
                <w:szCs w:val="22"/>
                <w:lang w:val="uk-UA" w:eastAsia="en-US"/>
              </w:rPr>
              <w:t>8-OH-dG,</w:t>
            </w:r>
            <w:r w:rsidRPr="00514B9A">
              <w:rPr>
                <w:rStyle w:val="10"/>
                <w:rFonts w:eastAsiaTheme="majorEastAsia"/>
                <w:sz w:val="22"/>
                <w:szCs w:val="22"/>
                <w:lang w:val="uk-UA"/>
              </w:rPr>
              <w:t xml:space="preserve"> </w:t>
            </w:r>
            <w:r w:rsidRPr="00514B9A">
              <w:rPr>
                <w:rStyle w:val="xfm65112403"/>
                <w:rFonts w:eastAsiaTheme="majorEastAsia"/>
                <w:sz w:val="22"/>
                <w:szCs w:val="22"/>
                <w:lang w:val="uk-UA" w:eastAsia="en-US"/>
              </w:rPr>
              <w:t>пг</w:t>
            </w:r>
            <w:r w:rsidRPr="00514B9A">
              <w:rPr>
                <w:sz w:val="22"/>
                <w:szCs w:val="22"/>
                <w:lang w:val="uk-UA" w:eastAsia="en-US"/>
              </w:rPr>
              <w:t>/мл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13,5</w:t>
            </w:r>
            <w:r w:rsidRPr="00514B9A">
              <w:rPr>
                <w:sz w:val="22"/>
                <w:szCs w:val="22"/>
                <w:lang w:val="uk-UA" w:eastAsia="en-US"/>
              </w:rPr>
              <w:t>8</w:t>
            </w:r>
            <w:r w:rsidRPr="00514B9A">
              <w:rPr>
                <w:sz w:val="22"/>
                <w:szCs w:val="22"/>
                <w:lang w:eastAsia="en-US"/>
              </w:rPr>
              <w:t>±</w:t>
            </w:r>
            <w:r w:rsidRPr="00514B9A">
              <w:rPr>
                <w:sz w:val="22"/>
                <w:szCs w:val="22"/>
                <w:lang w:val="uk-UA" w:eastAsia="en-US"/>
              </w:rPr>
              <w:t>0</w:t>
            </w:r>
            <w:r w:rsidRPr="00514B9A">
              <w:rPr>
                <w:sz w:val="22"/>
                <w:szCs w:val="22"/>
                <w:lang w:eastAsia="en-US"/>
              </w:rPr>
              <w:t>,</w:t>
            </w:r>
            <w:r w:rsidRPr="00514B9A">
              <w:rPr>
                <w:sz w:val="22"/>
                <w:szCs w:val="22"/>
                <w:lang w:val="uk-UA" w:eastAsia="en-US"/>
              </w:rPr>
              <w:t>50</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13,0</w:t>
            </w:r>
            <w:r w:rsidRPr="00514B9A">
              <w:rPr>
                <w:sz w:val="22"/>
                <w:szCs w:val="22"/>
                <w:lang w:val="uk-UA" w:eastAsia="en-US"/>
              </w:rPr>
              <w:t>1</w:t>
            </w:r>
            <w:r w:rsidRPr="00514B9A">
              <w:rPr>
                <w:sz w:val="22"/>
                <w:szCs w:val="22"/>
                <w:lang w:eastAsia="en-US"/>
              </w:rPr>
              <w:t>±</w:t>
            </w:r>
            <w:r w:rsidRPr="00514B9A">
              <w:rPr>
                <w:sz w:val="22"/>
                <w:szCs w:val="22"/>
                <w:lang w:val="uk-UA" w:eastAsia="en-US"/>
              </w:rPr>
              <w:t>0</w:t>
            </w:r>
            <w:r w:rsidRPr="00514B9A">
              <w:rPr>
                <w:sz w:val="22"/>
                <w:szCs w:val="22"/>
                <w:lang w:eastAsia="en-US"/>
              </w:rPr>
              <w:t>,4</w:t>
            </w:r>
            <w:r w:rsidRPr="00514B9A">
              <w:rPr>
                <w:sz w:val="22"/>
                <w:szCs w:val="22"/>
                <w:lang w:val="uk-UA" w:eastAsia="en-US"/>
              </w:rPr>
              <w:t>6</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14,8</w:t>
            </w:r>
            <w:r w:rsidRPr="00514B9A">
              <w:rPr>
                <w:sz w:val="22"/>
                <w:szCs w:val="22"/>
                <w:lang w:val="uk-UA" w:eastAsia="en-US"/>
              </w:rPr>
              <w:t>4</w:t>
            </w:r>
            <w:r w:rsidRPr="00514B9A">
              <w:rPr>
                <w:sz w:val="22"/>
                <w:szCs w:val="22"/>
                <w:lang w:eastAsia="en-US"/>
              </w:rPr>
              <w:t>±</w:t>
            </w:r>
            <w:r w:rsidRPr="00514B9A">
              <w:rPr>
                <w:sz w:val="22"/>
                <w:szCs w:val="22"/>
                <w:lang w:val="uk-UA" w:eastAsia="en-US"/>
              </w:rPr>
              <w:t>0</w:t>
            </w:r>
            <w:r w:rsidRPr="00514B9A">
              <w:rPr>
                <w:sz w:val="22"/>
                <w:szCs w:val="22"/>
                <w:lang w:eastAsia="en-US"/>
              </w:rPr>
              <w:t>,49</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eastAsia="en-US"/>
              </w:rPr>
              <w:t>14,</w:t>
            </w:r>
            <w:r w:rsidRPr="00514B9A">
              <w:rPr>
                <w:sz w:val="22"/>
                <w:szCs w:val="22"/>
                <w:lang w:val="uk-UA" w:eastAsia="en-US"/>
              </w:rPr>
              <w:t>40</w:t>
            </w:r>
            <w:r w:rsidRPr="00514B9A">
              <w:rPr>
                <w:sz w:val="22"/>
                <w:szCs w:val="22"/>
                <w:lang w:eastAsia="en-US"/>
              </w:rPr>
              <w:t>±</w:t>
            </w:r>
            <w:r w:rsidRPr="00514B9A">
              <w:rPr>
                <w:sz w:val="22"/>
                <w:szCs w:val="22"/>
                <w:lang w:val="uk-UA" w:eastAsia="en-US"/>
              </w:rPr>
              <w:t>0</w:t>
            </w:r>
            <w:r w:rsidRPr="00514B9A">
              <w:rPr>
                <w:sz w:val="22"/>
                <w:szCs w:val="22"/>
                <w:lang w:eastAsia="en-US"/>
              </w:rPr>
              <w:t>,</w:t>
            </w:r>
            <w:r w:rsidRPr="00514B9A">
              <w:rPr>
                <w:sz w:val="22"/>
                <w:szCs w:val="22"/>
                <w:lang w:val="uk-UA" w:eastAsia="en-US"/>
              </w:rPr>
              <w:t>60</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14,</w:t>
            </w:r>
            <w:r w:rsidRPr="00514B9A">
              <w:rPr>
                <w:sz w:val="22"/>
                <w:szCs w:val="22"/>
                <w:lang w:val="uk-UA" w:eastAsia="en-US"/>
              </w:rPr>
              <w:t>40</w:t>
            </w:r>
            <w:r w:rsidRPr="00514B9A">
              <w:rPr>
                <w:sz w:val="22"/>
                <w:szCs w:val="22"/>
                <w:lang w:eastAsia="en-US"/>
              </w:rPr>
              <w:t>±</w:t>
            </w:r>
            <w:r w:rsidRPr="00514B9A">
              <w:rPr>
                <w:sz w:val="22"/>
                <w:szCs w:val="22"/>
                <w:lang w:val="uk-UA" w:eastAsia="en-US"/>
              </w:rPr>
              <w:t>0</w:t>
            </w:r>
            <w:r w:rsidRPr="00514B9A">
              <w:rPr>
                <w:sz w:val="22"/>
                <w:szCs w:val="22"/>
                <w:lang w:eastAsia="en-US"/>
              </w:rPr>
              <w:t>,24</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ГПО,</w:t>
            </w:r>
            <w:r w:rsidRPr="00514B9A">
              <w:rPr>
                <w:sz w:val="22"/>
                <w:szCs w:val="22"/>
                <w:lang w:val="uk-UA" w:eastAsia="en-US"/>
              </w:rPr>
              <w:t xml:space="preserve"> мккат/гНв</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4,9</w:t>
            </w:r>
            <w:r w:rsidRPr="00514B9A">
              <w:rPr>
                <w:color w:val="000000"/>
                <w:sz w:val="22"/>
                <w:szCs w:val="22"/>
                <w:lang w:val="uk-UA" w:eastAsia="en-US"/>
              </w:rPr>
              <w:t>4</w:t>
            </w:r>
            <w:r w:rsidRPr="00514B9A">
              <w:rPr>
                <w:color w:val="000000"/>
                <w:sz w:val="22"/>
                <w:szCs w:val="22"/>
                <w:lang w:eastAsia="en-US"/>
              </w:rPr>
              <w:t>±</w:t>
            </w:r>
            <w:r w:rsidRPr="00514B9A">
              <w:rPr>
                <w:color w:val="000000"/>
                <w:sz w:val="22"/>
                <w:szCs w:val="22"/>
                <w:lang w:val="uk-UA" w:eastAsia="en-US"/>
              </w:rPr>
              <w:t>0</w:t>
            </w:r>
            <w:r w:rsidRPr="00514B9A">
              <w:rPr>
                <w:color w:val="000000"/>
                <w:sz w:val="22"/>
                <w:szCs w:val="22"/>
                <w:lang w:eastAsia="en-US"/>
              </w:rPr>
              <w:t>,19</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5,34±</w:t>
            </w:r>
            <w:r w:rsidRPr="00514B9A">
              <w:rPr>
                <w:color w:val="000000"/>
                <w:sz w:val="22"/>
                <w:szCs w:val="22"/>
                <w:lang w:val="uk-UA" w:eastAsia="en-US"/>
              </w:rPr>
              <w:t>0</w:t>
            </w:r>
            <w:r w:rsidRPr="00514B9A">
              <w:rPr>
                <w:color w:val="000000"/>
                <w:sz w:val="22"/>
                <w:szCs w:val="22"/>
                <w:lang w:eastAsia="en-US"/>
              </w:rPr>
              <w:t>,14</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5,50±</w:t>
            </w:r>
            <w:r w:rsidRPr="00514B9A">
              <w:rPr>
                <w:color w:val="000000"/>
                <w:sz w:val="22"/>
                <w:szCs w:val="22"/>
                <w:lang w:val="uk-UA" w:eastAsia="en-US"/>
              </w:rPr>
              <w:t>1</w:t>
            </w:r>
            <w:r w:rsidRPr="00514B9A">
              <w:rPr>
                <w:color w:val="000000"/>
                <w:sz w:val="22"/>
                <w:szCs w:val="22"/>
                <w:lang w:eastAsia="en-US"/>
              </w:rPr>
              <w:t>,1</w:t>
            </w:r>
            <w:r w:rsidRPr="00514B9A">
              <w:rPr>
                <w:color w:val="000000"/>
                <w:sz w:val="22"/>
                <w:szCs w:val="22"/>
                <w:lang w:val="uk-UA" w:eastAsia="en-US"/>
              </w:rPr>
              <w:t>7</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5,66±</w:t>
            </w:r>
            <w:r w:rsidRPr="00514B9A">
              <w:rPr>
                <w:color w:val="000000"/>
                <w:sz w:val="22"/>
                <w:szCs w:val="22"/>
                <w:lang w:val="uk-UA" w:eastAsia="en-US"/>
              </w:rPr>
              <w:t>0</w:t>
            </w:r>
            <w:r w:rsidRPr="00514B9A">
              <w:rPr>
                <w:color w:val="000000"/>
                <w:sz w:val="22"/>
                <w:szCs w:val="22"/>
                <w:lang w:eastAsia="en-US"/>
              </w:rPr>
              <w:t>,12</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5,32±</w:t>
            </w:r>
            <w:r w:rsidRPr="00514B9A">
              <w:rPr>
                <w:sz w:val="22"/>
                <w:szCs w:val="22"/>
                <w:lang w:val="uk-UA" w:eastAsia="en-US"/>
              </w:rPr>
              <w:t>0</w:t>
            </w:r>
            <w:r w:rsidRPr="00514B9A">
              <w:rPr>
                <w:sz w:val="22"/>
                <w:szCs w:val="22"/>
                <w:lang w:eastAsia="en-US"/>
              </w:rPr>
              <w:t>,</w:t>
            </w:r>
            <w:r w:rsidRPr="00514B9A">
              <w:rPr>
                <w:sz w:val="22"/>
                <w:szCs w:val="22"/>
                <w:lang w:val="uk-UA" w:eastAsia="en-US"/>
              </w:rPr>
              <w:t>10</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МДА,</w:t>
            </w:r>
            <w:r w:rsidRPr="00514B9A">
              <w:rPr>
                <w:sz w:val="22"/>
                <w:szCs w:val="22"/>
                <w:lang w:val="uk-UA" w:eastAsia="en-US"/>
              </w:rPr>
              <w:t xml:space="preserve"> мкмоль/л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6,8</w:t>
            </w:r>
            <w:r w:rsidRPr="00514B9A">
              <w:rPr>
                <w:color w:val="000000"/>
                <w:sz w:val="22"/>
                <w:szCs w:val="22"/>
                <w:lang w:val="uk-UA" w:eastAsia="en-US"/>
              </w:rPr>
              <w:t>9</w:t>
            </w:r>
            <w:r w:rsidRPr="00514B9A">
              <w:rPr>
                <w:color w:val="000000"/>
                <w:sz w:val="22"/>
                <w:szCs w:val="22"/>
                <w:lang w:eastAsia="en-US"/>
              </w:rPr>
              <w:t>±</w:t>
            </w:r>
            <w:r w:rsidRPr="00514B9A">
              <w:rPr>
                <w:color w:val="000000"/>
                <w:sz w:val="22"/>
                <w:szCs w:val="22"/>
                <w:lang w:val="uk-UA" w:eastAsia="en-US"/>
              </w:rPr>
              <w:t>0</w:t>
            </w:r>
            <w:r w:rsidRPr="00514B9A">
              <w:rPr>
                <w:color w:val="000000"/>
                <w:sz w:val="22"/>
                <w:szCs w:val="22"/>
                <w:lang w:eastAsia="en-US"/>
              </w:rPr>
              <w:t>,2</w:t>
            </w:r>
            <w:r w:rsidRPr="00514B9A">
              <w:rPr>
                <w:color w:val="000000"/>
                <w:sz w:val="22"/>
                <w:szCs w:val="22"/>
                <w:lang w:val="uk-UA" w:eastAsia="en-US"/>
              </w:rPr>
              <w:t>2</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6,63±</w:t>
            </w:r>
            <w:r w:rsidRPr="00514B9A">
              <w:rPr>
                <w:color w:val="000000"/>
                <w:sz w:val="22"/>
                <w:szCs w:val="22"/>
                <w:lang w:val="uk-UA" w:eastAsia="en-US"/>
              </w:rPr>
              <w:t>0</w:t>
            </w:r>
            <w:r w:rsidRPr="00514B9A">
              <w:rPr>
                <w:color w:val="000000"/>
                <w:sz w:val="22"/>
                <w:szCs w:val="22"/>
                <w:lang w:eastAsia="en-US"/>
              </w:rPr>
              <w:t>,</w:t>
            </w:r>
            <w:r w:rsidRPr="00514B9A">
              <w:rPr>
                <w:color w:val="000000"/>
                <w:sz w:val="22"/>
                <w:szCs w:val="22"/>
                <w:lang w:val="uk-UA" w:eastAsia="en-US"/>
              </w:rPr>
              <w:t>20</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6,4</w:t>
            </w:r>
            <w:r w:rsidRPr="00514B9A">
              <w:rPr>
                <w:color w:val="000000"/>
                <w:sz w:val="22"/>
                <w:szCs w:val="22"/>
                <w:lang w:val="uk-UA" w:eastAsia="en-US"/>
              </w:rPr>
              <w:t>2</w:t>
            </w:r>
            <w:r w:rsidRPr="00514B9A">
              <w:rPr>
                <w:color w:val="000000"/>
                <w:sz w:val="22"/>
                <w:szCs w:val="22"/>
                <w:lang w:eastAsia="en-US"/>
              </w:rPr>
              <w:t>±</w:t>
            </w:r>
            <w:r w:rsidRPr="00514B9A">
              <w:rPr>
                <w:color w:val="000000"/>
                <w:sz w:val="22"/>
                <w:szCs w:val="22"/>
                <w:lang w:val="uk-UA" w:eastAsia="en-US"/>
              </w:rPr>
              <w:t>0</w:t>
            </w:r>
            <w:r w:rsidRPr="00514B9A">
              <w:rPr>
                <w:color w:val="000000"/>
                <w:sz w:val="22"/>
                <w:szCs w:val="22"/>
                <w:lang w:eastAsia="en-US"/>
              </w:rPr>
              <w:t>,1</w:t>
            </w:r>
            <w:r w:rsidRPr="00514B9A">
              <w:rPr>
                <w:color w:val="000000"/>
                <w:sz w:val="22"/>
                <w:szCs w:val="22"/>
                <w:lang w:val="uk-UA" w:eastAsia="en-US"/>
              </w:rPr>
              <w:t>9</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6,3</w:t>
            </w:r>
            <w:r w:rsidRPr="00514B9A">
              <w:rPr>
                <w:color w:val="000000"/>
                <w:sz w:val="22"/>
                <w:szCs w:val="22"/>
                <w:lang w:val="uk-UA" w:eastAsia="en-US"/>
              </w:rPr>
              <w:t>4</w:t>
            </w:r>
            <w:r w:rsidRPr="00514B9A">
              <w:rPr>
                <w:color w:val="000000"/>
                <w:sz w:val="22"/>
                <w:szCs w:val="22"/>
                <w:lang w:eastAsia="en-US"/>
              </w:rPr>
              <w:t>±</w:t>
            </w:r>
            <w:r w:rsidRPr="00514B9A">
              <w:rPr>
                <w:color w:val="000000"/>
                <w:sz w:val="22"/>
                <w:szCs w:val="22"/>
                <w:lang w:val="uk-UA" w:eastAsia="en-US"/>
              </w:rPr>
              <w:t>0</w:t>
            </w:r>
            <w:r w:rsidRPr="00514B9A">
              <w:rPr>
                <w:color w:val="000000"/>
                <w:sz w:val="22"/>
                <w:szCs w:val="22"/>
                <w:lang w:eastAsia="en-US"/>
              </w:rPr>
              <w:t>,1</w:t>
            </w:r>
            <w:r w:rsidRPr="00514B9A">
              <w:rPr>
                <w:color w:val="000000"/>
                <w:sz w:val="22"/>
                <w:szCs w:val="22"/>
                <w:lang w:val="uk-UA" w:eastAsia="en-US"/>
              </w:rPr>
              <w:t>9</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6,55±</w:t>
            </w:r>
            <w:r w:rsidRPr="00514B9A">
              <w:rPr>
                <w:sz w:val="22"/>
                <w:szCs w:val="22"/>
                <w:lang w:val="uk-UA" w:eastAsia="en-US"/>
              </w:rPr>
              <w:t>0</w:t>
            </w:r>
            <w:r w:rsidRPr="00514B9A">
              <w:rPr>
                <w:sz w:val="22"/>
                <w:szCs w:val="22"/>
                <w:lang w:eastAsia="en-US"/>
              </w:rPr>
              <w:t>,1</w:t>
            </w:r>
            <w:r w:rsidRPr="00514B9A">
              <w:rPr>
                <w:sz w:val="22"/>
                <w:szCs w:val="22"/>
                <w:lang w:val="uk-UA" w:eastAsia="en-US"/>
              </w:rPr>
              <w:t>4</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en-US" w:eastAsia="en-US"/>
              </w:rPr>
              <w:t>SH</w:t>
            </w:r>
            <w:r w:rsidRPr="00514B9A">
              <w:rPr>
                <w:rStyle w:val="tlid-translation"/>
                <w:sz w:val="22"/>
                <w:szCs w:val="22"/>
                <w:lang w:val="uk-UA" w:eastAsia="en-US"/>
              </w:rPr>
              <w:t>-групи,</w:t>
            </w:r>
            <w:r w:rsidRPr="00514B9A">
              <w:rPr>
                <w:sz w:val="22"/>
                <w:szCs w:val="22"/>
                <w:lang w:val="uk-UA" w:eastAsia="en-US"/>
              </w:rPr>
              <w:t xml:space="preserve"> мкмоль/л</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582,62±13,8</w:t>
            </w:r>
            <w:r w:rsidRPr="00514B9A">
              <w:rPr>
                <w:color w:val="000000"/>
                <w:sz w:val="22"/>
                <w:szCs w:val="22"/>
                <w:lang w:val="uk-UA" w:eastAsia="en-US"/>
              </w:rPr>
              <w:t>3</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608,8</w:t>
            </w:r>
            <w:r w:rsidRPr="00514B9A">
              <w:rPr>
                <w:color w:val="000000"/>
                <w:sz w:val="22"/>
                <w:szCs w:val="22"/>
                <w:lang w:val="uk-UA" w:eastAsia="en-US"/>
              </w:rPr>
              <w:t>8</w:t>
            </w:r>
            <w:r w:rsidRPr="00514B9A">
              <w:rPr>
                <w:color w:val="000000"/>
                <w:sz w:val="22"/>
                <w:szCs w:val="22"/>
                <w:lang w:eastAsia="en-US"/>
              </w:rPr>
              <w:t>±12,8</w:t>
            </w:r>
            <w:r w:rsidRPr="00514B9A">
              <w:rPr>
                <w:color w:val="000000"/>
                <w:sz w:val="22"/>
                <w:szCs w:val="22"/>
                <w:lang w:val="uk-UA" w:eastAsia="en-US"/>
              </w:rPr>
              <w:t>5</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545,62±10,8</w:t>
            </w:r>
            <w:r w:rsidRPr="00514B9A">
              <w:rPr>
                <w:color w:val="000000"/>
                <w:sz w:val="22"/>
                <w:szCs w:val="22"/>
                <w:lang w:val="uk-UA" w:eastAsia="en-US"/>
              </w:rPr>
              <w:t>4</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color w:val="000000"/>
                <w:sz w:val="22"/>
                <w:szCs w:val="22"/>
                <w:lang w:eastAsia="en-US"/>
              </w:rPr>
              <w:t>582,17±10,71</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eastAsia="en-US"/>
              </w:rPr>
              <w:t>600,1</w:t>
            </w:r>
            <w:r w:rsidRPr="00514B9A">
              <w:rPr>
                <w:sz w:val="22"/>
                <w:szCs w:val="22"/>
                <w:lang w:val="uk-UA" w:eastAsia="en-US"/>
              </w:rPr>
              <w:t>8</w:t>
            </w:r>
            <w:r w:rsidRPr="00514B9A">
              <w:rPr>
                <w:sz w:val="22"/>
                <w:szCs w:val="22"/>
                <w:lang w:eastAsia="en-US"/>
              </w:rPr>
              <w:t>±6,9</w:t>
            </w:r>
            <w:r w:rsidRPr="00514B9A">
              <w:rPr>
                <w:sz w:val="22"/>
                <w:szCs w:val="22"/>
                <w:lang w:val="uk-UA" w:eastAsia="en-US"/>
              </w:rPr>
              <w:t>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rStyle w:val="tlid-translation"/>
                <w:sz w:val="22"/>
                <w:szCs w:val="22"/>
                <w:lang w:val="uk-UA" w:eastAsia="en-US"/>
              </w:rPr>
              <w:t>ТКІМ,мм</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w:t>
            </w:r>
            <w:r w:rsidRPr="00514B9A">
              <w:rPr>
                <w:sz w:val="22"/>
                <w:szCs w:val="22"/>
                <w:lang w:eastAsia="en-US"/>
              </w:rPr>
              <w:t>,078±</w:t>
            </w:r>
            <w:r w:rsidRPr="00514B9A">
              <w:rPr>
                <w:sz w:val="22"/>
                <w:szCs w:val="22"/>
                <w:lang w:val="uk-UA" w:eastAsia="en-US"/>
              </w:rPr>
              <w:t>0</w:t>
            </w:r>
            <w:r w:rsidRPr="00514B9A">
              <w:rPr>
                <w:sz w:val="22"/>
                <w:szCs w:val="22"/>
                <w:lang w:eastAsia="en-US"/>
              </w:rPr>
              <w:t>,002</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w:t>
            </w:r>
            <w:r w:rsidRPr="00514B9A">
              <w:rPr>
                <w:sz w:val="22"/>
                <w:szCs w:val="22"/>
                <w:lang w:eastAsia="en-US"/>
              </w:rPr>
              <w:t>,077±</w:t>
            </w:r>
            <w:r w:rsidRPr="00514B9A">
              <w:rPr>
                <w:sz w:val="22"/>
                <w:szCs w:val="22"/>
                <w:lang w:val="uk-UA" w:eastAsia="en-US"/>
              </w:rPr>
              <w:t>0</w:t>
            </w:r>
            <w:r w:rsidRPr="00514B9A">
              <w:rPr>
                <w:sz w:val="22"/>
                <w:szCs w:val="22"/>
                <w:lang w:eastAsia="en-US"/>
              </w:rPr>
              <w:t>,00</w:t>
            </w:r>
            <w:r w:rsidRPr="00514B9A">
              <w:rPr>
                <w:sz w:val="22"/>
                <w:szCs w:val="22"/>
                <w:lang w:val="uk-UA" w:eastAsia="en-US"/>
              </w:rPr>
              <w:t>2</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w:t>
            </w:r>
            <w:r w:rsidRPr="00514B9A">
              <w:rPr>
                <w:sz w:val="22"/>
                <w:szCs w:val="22"/>
                <w:lang w:eastAsia="en-US"/>
              </w:rPr>
              <w:t>,08±</w:t>
            </w:r>
            <w:r w:rsidRPr="00514B9A">
              <w:rPr>
                <w:sz w:val="22"/>
                <w:szCs w:val="22"/>
                <w:lang w:val="uk-UA" w:eastAsia="en-US"/>
              </w:rPr>
              <w:t>0</w:t>
            </w:r>
            <w:r w:rsidRPr="00514B9A">
              <w:rPr>
                <w:sz w:val="22"/>
                <w:szCs w:val="22"/>
                <w:lang w:eastAsia="en-US"/>
              </w:rPr>
              <w:t>,00</w:t>
            </w:r>
            <w:r w:rsidRPr="00514B9A">
              <w:rPr>
                <w:sz w:val="22"/>
                <w:szCs w:val="22"/>
                <w:lang w:val="uk-UA" w:eastAsia="en-US"/>
              </w:rPr>
              <w:t>3</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w:t>
            </w:r>
            <w:r w:rsidRPr="00514B9A">
              <w:rPr>
                <w:sz w:val="22"/>
                <w:szCs w:val="22"/>
                <w:lang w:eastAsia="en-US"/>
              </w:rPr>
              <w:t>,08±</w:t>
            </w:r>
            <w:r w:rsidRPr="00514B9A">
              <w:rPr>
                <w:sz w:val="22"/>
                <w:szCs w:val="22"/>
                <w:lang w:val="uk-UA" w:eastAsia="en-US"/>
              </w:rPr>
              <w:t>0</w:t>
            </w:r>
            <w:r w:rsidRPr="00514B9A">
              <w:rPr>
                <w:sz w:val="22"/>
                <w:szCs w:val="22"/>
                <w:lang w:eastAsia="en-US"/>
              </w:rPr>
              <w:t>,00</w:t>
            </w:r>
            <w:r w:rsidRPr="00514B9A">
              <w:rPr>
                <w:sz w:val="22"/>
                <w:szCs w:val="22"/>
                <w:lang w:val="uk-UA" w:eastAsia="en-US"/>
              </w:rPr>
              <w:t>3</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val="uk-UA" w:eastAsia="en-US"/>
              </w:rPr>
              <w:t>0</w:t>
            </w:r>
            <w:r w:rsidRPr="00514B9A">
              <w:rPr>
                <w:sz w:val="22"/>
                <w:szCs w:val="22"/>
                <w:lang w:eastAsia="en-US"/>
              </w:rPr>
              <w:t>,077±</w:t>
            </w:r>
            <w:r w:rsidRPr="00514B9A">
              <w:rPr>
                <w:sz w:val="22"/>
                <w:szCs w:val="22"/>
                <w:lang w:val="uk-UA" w:eastAsia="en-US"/>
              </w:rPr>
              <w:t>0</w:t>
            </w:r>
            <w:r w:rsidRPr="00514B9A">
              <w:rPr>
                <w:sz w:val="22"/>
                <w:szCs w:val="22"/>
                <w:lang w:eastAsia="en-US"/>
              </w:rPr>
              <w:t>,001</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10"/>
                <w:rFonts w:eastAsiaTheme="minorHAnsi"/>
                <w:b w:val="0"/>
                <w:sz w:val="22"/>
                <w:szCs w:val="22"/>
                <w:lang w:val="uk-UA"/>
              </w:rPr>
            </w:pPr>
            <w:r w:rsidRPr="00514B9A">
              <w:rPr>
                <w:rStyle w:val="10"/>
                <w:rFonts w:eastAsiaTheme="minorHAnsi"/>
                <w:b w:val="0"/>
                <w:sz w:val="22"/>
                <w:szCs w:val="22"/>
                <w:lang w:val="uk-UA"/>
              </w:rPr>
              <w:t>ВДТ крові,</w:t>
            </w:r>
          </w:p>
          <w:p w:rsidR="00E3259F" w:rsidRPr="00514B9A" w:rsidRDefault="00E3259F">
            <w:pPr>
              <w:spacing w:line="360" w:lineRule="auto"/>
              <w:jc w:val="both"/>
              <w:rPr>
                <w:rStyle w:val="tlid-translation"/>
                <w:b/>
                <w:sz w:val="22"/>
                <w:szCs w:val="22"/>
                <w:lang w:eastAsia="en-US"/>
              </w:rPr>
            </w:pPr>
            <w:r w:rsidRPr="00514B9A">
              <w:rPr>
                <w:rStyle w:val="10"/>
                <w:rFonts w:eastAsiaTheme="minorHAnsi"/>
                <w:b w:val="0"/>
                <w:sz w:val="22"/>
                <w:szCs w:val="22"/>
                <w:lang w:val="uk-UA"/>
              </w:rPr>
              <w:t>ум.од</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0,96±0,06</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0,97±0,06</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0,88±0,06</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0,88±0,05</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val="uk-UA" w:eastAsia="en-US"/>
              </w:rPr>
              <w:t>0</w:t>
            </w:r>
            <w:r w:rsidRPr="00514B9A">
              <w:rPr>
                <w:sz w:val="22"/>
                <w:szCs w:val="22"/>
                <w:lang w:eastAsia="en-US"/>
              </w:rPr>
              <w:t>,96±</w:t>
            </w:r>
            <w:r w:rsidRPr="00514B9A">
              <w:rPr>
                <w:sz w:val="22"/>
                <w:szCs w:val="22"/>
                <w:lang w:val="uk-UA" w:eastAsia="en-US"/>
              </w:rPr>
              <w:t>0</w:t>
            </w:r>
            <w:r w:rsidRPr="00514B9A">
              <w:rPr>
                <w:sz w:val="22"/>
                <w:szCs w:val="22"/>
                <w:lang w:eastAsia="en-US"/>
              </w:rPr>
              <w:t>,04</w:t>
            </w:r>
          </w:p>
        </w:tc>
      </w:tr>
      <w:tr w:rsidR="00E3259F" w:rsidRPr="00514B9A" w:rsidTr="00E3259F">
        <w:tc>
          <w:tcPr>
            <w:tcW w:w="1384"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10"/>
                <w:rFonts w:eastAsiaTheme="minorHAnsi"/>
                <w:b w:val="0"/>
                <w:sz w:val="22"/>
                <w:szCs w:val="22"/>
                <w:lang w:val="uk-UA"/>
              </w:rPr>
            </w:pPr>
            <w:r w:rsidRPr="00514B9A">
              <w:rPr>
                <w:rStyle w:val="10"/>
                <w:rFonts w:eastAsiaTheme="minorHAnsi"/>
                <w:b w:val="0"/>
                <w:sz w:val="22"/>
                <w:szCs w:val="22"/>
                <w:lang w:val="uk-UA"/>
              </w:rPr>
              <w:t>ВДТ бук. епітелію,</w:t>
            </w:r>
          </w:p>
          <w:p w:rsidR="00E3259F" w:rsidRPr="00514B9A" w:rsidRDefault="00E3259F">
            <w:pPr>
              <w:spacing w:line="360" w:lineRule="auto"/>
              <w:jc w:val="both"/>
              <w:rPr>
                <w:rStyle w:val="tlid-translation"/>
                <w:b/>
                <w:sz w:val="22"/>
                <w:szCs w:val="22"/>
                <w:lang w:eastAsia="en-US"/>
              </w:rPr>
            </w:pPr>
            <w:r w:rsidRPr="00514B9A">
              <w:rPr>
                <w:rStyle w:val="10"/>
                <w:rFonts w:eastAsiaTheme="minorHAnsi"/>
                <w:b w:val="0"/>
                <w:sz w:val="22"/>
                <w:szCs w:val="22"/>
                <w:lang w:val="uk-UA"/>
              </w:rPr>
              <w:t>ум.од.</w:t>
            </w:r>
          </w:p>
        </w:tc>
        <w:tc>
          <w:tcPr>
            <w:tcW w:w="160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0,98±0,04</w:t>
            </w:r>
          </w:p>
        </w:tc>
        <w:tc>
          <w:tcPr>
            <w:tcW w:w="1659"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0,99±0,03</w:t>
            </w:r>
          </w:p>
        </w:tc>
        <w:tc>
          <w:tcPr>
            <w:tcW w:w="1552"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0,95±0,04</w:t>
            </w:r>
          </w:p>
        </w:tc>
        <w:tc>
          <w:tcPr>
            <w:tcW w:w="1701"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color w:val="000000"/>
                <w:sz w:val="22"/>
                <w:szCs w:val="22"/>
                <w:lang w:eastAsia="en-US"/>
              </w:rPr>
            </w:pPr>
            <w:r w:rsidRPr="00514B9A">
              <w:rPr>
                <w:sz w:val="22"/>
                <w:szCs w:val="22"/>
                <w:lang w:val="uk-UA" w:eastAsia="en-US"/>
              </w:rPr>
              <w:t>0,97±0,04</w:t>
            </w:r>
          </w:p>
        </w:tc>
        <w:tc>
          <w:tcPr>
            <w:tcW w:w="1665" w:type="dxa"/>
            <w:tcBorders>
              <w:top w:val="single" w:sz="4" w:space="0" w:color="auto"/>
              <w:left w:val="single" w:sz="4" w:space="0" w:color="auto"/>
              <w:bottom w:val="single" w:sz="4" w:space="0" w:color="auto"/>
              <w:right w:val="single" w:sz="4" w:space="0" w:color="auto"/>
            </w:tcBorders>
            <w:hideMark/>
          </w:tcPr>
          <w:p w:rsidR="00E3259F" w:rsidRPr="00514B9A" w:rsidRDefault="00E3259F">
            <w:pPr>
              <w:spacing w:line="360" w:lineRule="auto"/>
              <w:jc w:val="both"/>
              <w:rPr>
                <w:rStyle w:val="tlid-translation"/>
                <w:sz w:val="22"/>
                <w:szCs w:val="22"/>
                <w:lang w:val="uk-UA"/>
              </w:rPr>
            </w:pPr>
            <w:r w:rsidRPr="00514B9A">
              <w:rPr>
                <w:sz w:val="22"/>
                <w:szCs w:val="22"/>
                <w:lang w:val="uk-UA" w:eastAsia="en-US"/>
              </w:rPr>
              <w:t>0</w:t>
            </w:r>
            <w:r w:rsidRPr="00514B9A">
              <w:rPr>
                <w:sz w:val="22"/>
                <w:szCs w:val="22"/>
                <w:lang w:eastAsia="en-US"/>
              </w:rPr>
              <w:t>,89±</w:t>
            </w:r>
            <w:r w:rsidRPr="00514B9A">
              <w:rPr>
                <w:sz w:val="22"/>
                <w:szCs w:val="22"/>
                <w:lang w:val="uk-UA" w:eastAsia="en-US"/>
              </w:rPr>
              <w:t>0</w:t>
            </w:r>
            <w:r w:rsidRPr="00514B9A">
              <w:rPr>
                <w:sz w:val="22"/>
                <w:szCs w:val="22"/>
                <w:lang w:eastAsia="en-US"/>
              </w:rPr>
              <w:t>,0</w:t>
            </w:r>
            <w:r w:rsidRPr="00514B9A">
              <w:rPr>
                <w:sz w:val="22"/>
                <w:szCs w:val="22"/>
                <w:lang w:val="uk-UA" w:eastAsia="en-US"/>
              </w:rPr>
              <w:t>4</w:t>
            </w:r>
          </w:p>
        </w:tc>
      </w:tr>
    </w:tbl>
    <w:p w:rsidR="00D43235" w:rsidRDefault="00D43235">
      <w:pPr>
        <w:rPr>
          <w:lang w:val="uk-UA"/>
        </w:rPr>
      </w:pPr>
    </w:p>
    <w:p w:rsidR="00D43235" w:rsidRDefault="00D43235">
      <w:pPr>
        <w:rPr>
          <w:lang w:val="uk-UA"/>
        </w:rPr>
      </w:pPr>
    </w:p>
    <w:p w:rsidR="00D43235" w:rsidRDefault="00D43235">
      <w:pPr>
        <w:rPr>
          <w:lang w:val="uk-UA"/>
        </w:rPr>
      </w:pPr>
    </w:p>
    <w:p w:rsidR="00D43235" w:rsidRDefault="00D43235">
      <w:pPr>
        <w:rPr>
          <w:lang w:val="uk-UA"/>
        </w:rPr>
      </w:pPr>
    </w:p>
    <w:p w:rsidR="00D43235" w:rsidRDefault="00D43235">
      <w:pPr>
        <w:rPr>
          <w:lang w:val="uk-UA"/>
        </w:rPr>
      </w:pPr>
    </w:p>
    <w:p w:rsidR="00D43235" w:rsidRPr="00D43235" w:rsidRDefault="00D43235" w:rsidP="00D43235">
      <w:pPr>
        <w:jc w:val="right"/>
        <w:rPr>
          <w:lang w:val="uk-UA"/>
        </w:rPr>
      </w:pPr>
      <w:r>
        <w:rPr>
          <w:i/>
          <w:spacing w:val="-2"/>
          <w:sz w:val="28"/>
          <w:szCs w:val="28"/>
        </w:rPr>
        <w:t xml:space="preserve">Продовження табл. </w:t>
      </w:r>
      <w:r>
        <w:rPr>
          <w:i/>
          <w:spacing w:val="-2"/>
          <w:sz w:val="28"/>
          <w:szCs w:val="28"/>
          <w:lang w:val="uk-UA"/>
        </w:rPr>
        <w:t>8</w:t>
      </w:r>
      <w:r>
        <w:rPr>
          <w:i/>
          <w:spacing w:val="-2"/>
          <w:sz w:val="28"/>
          <w:szCs w:val="28"/>
        </w:rPr>
        <w:t>.1</w:t>
      </w:r>
      <w:r>
        <w:rPr>
          <w:i/>
          <w:spacing w:val="-2"/>
          <w:sz w:val="28"/>
          <w:szCs w:val="28"/>
          <w:lang w:val="uk-UA"/>
        </w:rPr>
        <w:t>4</w:t>
      </w:r>
    </w:p>
    <w:tbl>
      <w:tblPr>
        <w:tblW w:w="0" w:type="auto"/>
        <w:tblLayout w:type="fixed"/>
        <w:tblLook w:val="04A0" w:firstRow="1" w:lastRow="0" w:firstColumn="1" w:lastColumn="0" w:noHBand="0" w:noVBand="1"/>
      </w:tblPr>
      <w:tblGrid>
        <w:gridCol w:w="1384"/>
        <w:gridCol w:w="1609"/>
        <w:gridCol w:w="1659"/>
        <w:gridCol w:w="1552"/>
        <w:gridCol w:w="1701"/>
        <w:gridCol w:w="1665"/>
      </w:tblGrid>
      <w:tr w:rsidR="00E3259F" w:rsidTr="00E3259F">
        <w:tc>
          <w:tcPr>
            <w:tcW w:w="138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rStyle w:val="tlid-translation"/>
                <w:lang w:val="uk-UA"/>
              </w:rPr>
            </w:pPr>
            <w:r>
              <w:rPr>
                <w:rStyle w:val="tlid-translation"/>
                <w:lang w:val="uk-UA" w:eastAsia="en-US"/>
              </w:rPr>
              <w:t>САТ,</w:t>
            </w:r>
          </w:p>
          <w:p w:rsidR="00E3259F" w:rsidRDefault="00E3259F">
            <w:pPr>
              <w:spacing w:line="360" w:lineRule="auto"/>
              <w:jc w:val="both"/>
              <w:rPr>
                <w:rStyle w:val="tlid-translation"/>
                <w:lang w:val="uk-UA" w:eastAsia="en-US"/>
              </w:rPr>
            </w:pPr>
            <w:r>
              <w:rPr>
                <w:rStyle w:val="tlid-translation"/>
                <w:lang w:val="uk-UA" w:eastAsia="en-US"/>
              </w:rPr>
              <w:t>мм.рт.ст</w:t>
            </w:r>
          </w:p>
        </w:tc>
        <w:tc>
          <w:tcPr>
            <w:tcW w:w="160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143,54±</w:t>
            </w:r>
            <w:r>
              <w:rPr>
                <w:color w:val="000000"/>
                <w:lang w:eastAsia="en-US"/>
              </w:rPr>
              <w:t>1,65</w:t>
            </w:r>
          </w:p>
        </w:tc>
        <w:tc>
          <w:tcPr>
            <w:tcW w:w="16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val="uk-UA" w:eastAsia="en-US"/>
              </w:rPr>
            </w:pPr>
            <w:r>
              <w:rPr>
                <w:lang w:eastAsia="en-US"/>
              </w:rPr>
              <w:t>139,40±</w:t>
            </w:r>
            <w:r>
              <w:rPr>
                <w:color w:val="000000"/>
                <w:lang w:eastAsia="en-US"/>
              </w:rPr>
              <w:t>1,2</w:t>
            </w:r>
            <w:r>
              <w:rPr>
                <w:color w:val="000000"/>
                <w:lang w:val="uk-UA" w:eastAsia="en-US"/>
              </w:rPr>
              <w:t>3</w:t>
            </w:r>
          </w:p>
        </w:tc>
        <w:tc>
          <w:tcPr>
            <w:tcW w:w="155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val="uk-UA" w:eastAsia="en-US"/>
              </w:rPr>
            </w:pPr>
            <w:r>
              <w:rPr>
                <w:lang w:eastAsia="en-US"/>
              </w:rPr>
              <w:t>140,93±</w:t>
            </w:r>
            <w:r>
              <w:rPr>
                <w:color w:val="000000"/>
                <w:lang w:eastAsia="en-US"/>
              </w:rPr>
              <w:t>2,0</w:t>
            </w:r>
            <w:r>
              <w:rPr>
                <w:color w:val="000000"/>
                <w:lang w:val="uk-UA"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136,90±</w:t>
            </w:r>
            <w:r>
              <w:rPr>
                <w:color w:val="000000"/>
                <w:lang w:eastAsia="en-US"/>
              </w:rPr>
              <w:t>1,9</w:t>
            </w:r>
            <w:r>
              <w:rPr>
                <w:color w:val="000000"/>
                <w:lang w:val="uk-UA" w:eastAsia="en-US"/>
              </w:rPr>
              <w:t>2</w:t>
            </w:r>
          </w:p>
        </w:tc>
        <w:tc>
          <w:tcPr>
            <w:tcW w:w="166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rStyle w:val="tlid-translation"/>
                <w:lang w:val="uk-UA"/>
              </w:rPr>
            </w:pPr>
            <w:r>
              <w:rPr>
                <w:lang w:eastAsia="en-US"/>
              </w:rPr>
              <w:t>146,28±</w:t>
            </w:r>
            <w:r>
              <w:rPr>
                <w:lang w:val="uk-UA" w:eastAsia="en-US"/>
              </w:rPr>
              <w:t>0</w:t>
            </w:r>
            <w:r>
              <w:rPr>
                <w:lang w:eastAsia="en-US"/>
              </w:rPr>
              <w:t>,</w:t>
            </w:r>
            <w:r>
              <w:rPr>
                <w:lang w:val="uk-UA" w:eastAsia="en-US"/>
              </w:rPr>
              <w:t>90</w:t>
            </w:r>
          </w:p>
        </w:tc>
      </w:tr>
      <w:tr w:rsidR="00E3259F" w:rsidTr="00E3259F">
        <w:tc>
          <w:tcPr>
            <w:tcW w:w="138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rStyle w:val="tlid-translation"/>
                <w:lang w:val="uk-UA"/>
              </w:rPr>
            </w:pPr>
            <w:r>
              <w:rPr>
                <w:rStyle w:val="tlid-translation"/>
                <w:lang w:val="uk-UA" w:eastAsia="en-US"/>
              </w:rPr>
              <w:t>ДАТ,</w:t>
            </w:r>
          </w:p>
          <w:p w:rsidR="00E3259F" w:rsidRDefault="00E3259F">
            <w:pPr>
              <w:spacing w:line="360" w:lineRule="auto"/>
              <w:jc w:val="both"/>
              <w:rPr>
                <w:rStyle w:val="tlid-translation"/>
                <w:lang w:val="uk-UA" w:eastAsia="en-US"/>
              </w:rPr>
            </w:pPr>
            <w:r>
              <w:rPr>
                <w:rStyle w:val="tlid-translation"/>
                <w:lang w:val="uk-UA" w:eastAsia="en-US"/>
              </w:rPr>
              <w:t>мм.рт.ст</w:t>
            </w:r>
          </w:p>
        </w:tc>
        <w:tc>
          <w:tcPr>
            <w:tcW w:w="160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88,12±</w:t>
            </w:r>
            <w:r>
              <w:rPr>
                <w:color w:val="000000"/>
                <w:lang w:eastAsia="en-US"/>
              </w:rPr>
              <w:t>1,14</w:t>
            </w:r>
          </w:p>
        </w:tc>
        <w:tc>
          <w:tcPr>
            <w:tcW w:w="16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84,87±</w:t>
            </w:r>
            <w:r>
              <w:rPr>
                <w:color w:val="000000"/>
                <w:lang w:eastAsia="en-US"/>
              </w:rPr>
              <w:t>,910</w:t>
            </w:r>
          </w:p>
        </w:tc>
        <w:tc>
          <w:tcPr>
            <w:tcW w:w="155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val="uk-UA" w:eastAsia="en-US"/>
              </w:rPr>
            </w:pPr>
            <w:r>
              <w:rPr>
                <w:lang w:eastAsia="en-US"/>
              </w:rPr>
              <w:t>85,85±</w:t>
            </w:r>
            <w:r>
              <w:rPr>
                <w:color w:val="000000"/>
                <w:lang w:eastAsia="en-US"/>
              </w:rPr>
              <w:t>1,36</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val="uk-UA" w:eastAsia="en-US"/>
              </w:rPr>
            </w:pPr>
            <w:r>
              <w:rPr>
                <w:lang w:eastAsia="en-US"/>
              </w:rPr>
              <w:t>83,07±</w:t>
            </w:r>
            <w:r>
              <w:rPr>
                <w:color w:val="000000"/>
                <w:lang w:eastAsia="en-US"/>
              </w:rPr>
              <w:t>1,21</w:t>
            </w:r>
          </w:p>
        </w:tc>
        <w:tc>
          <w:tcPr>
            <w:tcW w:w="166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rStyle w:val="tlid-translation"/>
                <w:lang w:val="uk-UA"/>
              </w:rPr>
            </w:pPr>
            <w:r>
              <w:rPr>
                <w:lang w:eastAsia="en-US"/>
              </w:rPr>
              <w:t>89,24±</w:t>
            </w:r>
            <w:r>
              <w:rPr>
                <w:lang w:val="uk-UA" w:eastAsia="en-US"/>
              </w:rPr>
              <w:t>0</w:t>
            </w:r>
            <w:r>
              <w:rPr>
                <w:lang w:eastAsia="en-US"/>
              </w:rPr>
              <w:t>,67</w:t>
            </w:r>
          </w:p>
        </w:tc>
      </w:tr>
      <w:tr w:rsidR="00E3259F" w:rsidTr="00E3259F">
        <w:tc>
          <w:tcPr>
            <w:tcW w:w="138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rStyle w:val="tlid-translation"/>
                <w:lang w:val="uk-UA"/>
              </w:rPr>
            </w:pPr>
            <w:r>
              <w:rPr>
                <w:rStyle w:val="tlid-translation"/>
                <w:lang w:val="uk-UA" w:eastAsia="en-US"/>
              </w:rPr>
              <w:t>ПАТ, мм.рт.ст</w:t>
            </w:r>
          </w:p>
        </w:tc>
        <w:tc>
          <w:tcPr>
            <w:tcW w:w="160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55,65±</w:t>
            </w:r>
            <w:r>
              <w:rPr>
                <w:color w:val="000000"/>
                <w:lang w:eastAsia="en-US"/>
              </w:rPr>
              <w:t>1,1</w:t>
            </w:r>
            <w:r>
              <w:rPr>
                <w:color w:val="000000"/>
                <w:lang w:val="uk-UA" w:eastAsia="en-US"/>
              </w:rPr>
              <w:t>7</w:t>
            </w:r>
          </w:p>
        </w:tc>
        <w:tc>
          <w:tcPr>
            <w:tcW w:w="1659"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54,54±</w:t>
            </w:r>
            <w:r>
              <w:rPr>
                <w:color w:val="000000"/>
                <w:lang w:eastAsia="en-US"/>
              </w:rPr>
              <w:t>1,06</w:t>
            </w:r>
          </w:p>
        </w:tc>
        <w:tc>
          <w:tcPr>
            <w:tcW w:w="1552"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eastAsia="en-US"/>
              </w:rPr>
            </w:pPr>
            <w:r>
              <w:rPr>
                <w:lang w:eastAsia="en-US"/>
              </w:rPr>
              <w:t>55,07±</w:t>
            </w:r>
            <w:r>
              <w:rPr>
                <w:color w:val="000000"/>
                <w:lang w:eastAsia="en-US"/>
              </w:rPr>
              <w:t>1,651</w:t>
            </w:r>
          </w:p>
        </w:tc>
        <w:tc>
          <w:tcPr>
            <w:tcW w:w="1701"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color w:val="000000"/>
                <w:lang w:val="uk-UA" w:eastAsia="en-US"/>
              </w:rPr>
            </w:pPr>
            <w:r>
              <w:rPr>
                <w:lang w:eastAsia="en-US"/>
              </w:rPr>
              <w:t>52,46±</w:t>
            </w:r>
            <w:r>
              <w:rPr>
                <w:color w:val="000000"/>
                <w:lang w:eastAsia="en-US"/>
              </w:rPr>
              <w:t>1,4</w:t>
            </w:r>
            <w:r>
              <w:rPr>
                <w:color w:val="000000"/>
                <w:lang w:val="uk-UA" w:eastAsia="en-US"/>
              </w:rPr>
              <w:t>2</w:t>
            </w:r>
          </w:p>
        </w:tc>
        <w:tc>
          <w:tcPr>
            <w:tcW w:w="1665"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rStyle w:val="tlid-translation"/>
                <w:lang w:val="uk-UA"/>
              </w:rPr>
            </w:pPr>
            <w:r>
              <w:rPr>
                <w:lang w:eastAsia="en-US"/>
              </w:rPr>
              <w:t>57,04±</w:t>
            </w:r>
            <w:r>
              <w:rPr>
                <w:lang w:val="uk-UA" w:eastAsia="en-US"/>
              </w:rPr>
              <w:t>0</w:t>
            </w:r>
            <w:r>
              <w:rPr>
                <w:lang w:eastAsia="en-US"/>
              </w:rPr>
              <w:t>,7</w:t>
            </w:r>
            <w:r>
              <w:rPr>
                <w:lang w:val="uk-UA" w:eastAsia="en-US"/>
              </w:rPr>
              <w:t>7</w:t>
            </w:r>
          </w:p>
        </w:tc>
      </w:tr>
    </w:tbl>
    <w:p w:rsidR="00E3259F" w:rsidRPr="00D43235" w:rsidRDefault="00E3259F" w:rsidP="00E3259F">
      <w:pPr>
        <w:spacing w:line="360" w:lineRule="auto"/>
        <w:ind w:firstLine="709"/>
        <w:jc w:val="both"/>
        <w:rPr>
          <w:rStyle w:val="tlid-translation"/>
          <w:sz w:val="28"/>
          <w:szCs w:val="28"/>
          <w:lang w:val="uk-UA" w:eastAsia="en-US"/>
        </w:rPr>
      </w:pPr>
      <w:r w:rsidRPr="00D43235">
        <w:rPr>
          <w:sz w:val="28"/>
          <w:szCs w:val="28"/>
        </w:rPr>
        <w:t>Прим</w:t>
      </w:r>
      <w:r w:rsidRPr="00D43235">
        <w:rPr>
          <w:sz w:val="28"/>
          <w:szCs w:val="28"/>
          <w:lang w:val="uk-UA"/>
        </w:rPr>
        <w:t>ітка</w:t>
      </w:r>
      <w:r w:rsidRPr="00D43235">
        <w:rPr>
          <w:sz w:val="28"/>
          <w:szCs w:val="28"/>
        </w:rPr>
        <w:t>:</w:t>
      </w:r>
      <w:r w:rsidRPr="00D43235">
        <w:rPr>
          <w:sz w:val="28"/>
          <w:szCs w:val="28"/>
          <w:lang w:val="uk-UA"/>
        </w:rPr>
        <w:t xml:space="preserve"> р</w:t>
      </w:r>
      <w:r w:rsidRPr="00D43235">
        <w:rPr>
          <w:sz w:val="28"/>
          <w:szCs w:val="28"/>
          <w:vertAlign w:val="subscript"/>
          <w:lang w:val="uk-UA"/>
        </w:rPr>
        <w:t>1 -</w:t>
      </w:r>
      <w:r w:rsidRPr="00D43235">
        <w:rPr>
          <w:sz w:val="28"/>
          <w:szCs w:val="28"/>
          <w:lang w:val="uk-UA"/>
        </w:rPr>
        <w:t xml:space="preserve">  рівень достовірних відмінностей при порівнянні значення показника підгрупи І та підгрупи ІІ після 12 місяців спостереження, р</w:t>
      </w:r>
      <w:r w:rsidRPr="00D43235">
        <w:rPr>
          <w:sz w:val="28"/>
          <w:szCs w:val="28"/>
          <w:vertAlign w:val="subscript"/>
          <w:lang w:val="uk-UA"/>
        </w:rPr>
        <w:t>2 -</w:t>
      </w:r>
      <w:r w:rsidRPr="00D43235">
        <w:rPr>
          <w:sz w:val="28"/>
          <w:szCs w:val="28"/>
          <w:lang w:val="uk-UA"/>
        </w:rPr>
        <w:t xml:space="preserve">  рівень достовірних відмінностей при порівнянні значення показника підгрупи ІІ  та групи 2 після 12 місяців спостереження</w:t>
      </w:r>
    </w:p>
    <w:p w:rsidR="00E3259F" w:rsidRDefault="00E3259F" w:rsidP="00E3259F">
      <w:pPr>
        <w:spacing w:line="360" w:lineRule="auto"/>
        <w:ind w:firstLine="709"/>
        <w:jc w:val="both"/>
        <w:rPr>
          <w:rStyle w:val="10"/>
          <w:rFonts w:eastAsiaTheme="minorHAnsi"/>
          <w:b w:val="0"/>
          <w:sz w:val="28"/>
          <w:szCs w:val="28"/>
        </w:rPr>
      </w:pPr>
    </w:p>
    <w:p w:rsidR="00E3259F" w:rsidRPr="00D43235" w:rsidRDefault="00E3259F" w:rsidP="00D43235">
      <w:pPr>
        <w:spacing w:line="360" w:lineRule="auto"/>
        <w:ind w:firstLine="709"/>
        <w:jc w:val="both"/>
        <w:rPr>
          <w:rStyle w:val="tlid-translation"/>
          <w:rFonts w:eastAsiaTheme="majorEastAsia"/>
          <w:sz w:val="28"/>
          <w:szCs w:val="28"/>
          <w:lang w:val="uk-UA"/>
        </w:rPr>
      </w:pPr>
      <w:r w:rsidRPr="00D43235">
        <w:rPr>
          <w:rStyle w:val="10"/>
          <w:rFonts w:eastAsiaTheme="minorHAnsi"/>
          <w:b w:val="0"/>
          <w:sz w:val="28"/>
          <w:szCs w:val="28"/>
          <w:lang w:val="uk-UA"/>
        </w:rPr>
        <w:t>Покращення ліпідного обміну спостерігалось в обох підгрупах пацієнтів з ГХ, ЦД 2 типу та СГТ, проте зниження ТГ при ТТГ &lt;6,0 мкМО/мл було достовірно більшим, ніж у разі вихідного рівня ТТГ&gt;6,0 мкМО/мл (1,69±0,13 ммоль/л проти 2,21±0,21ммоль/л , р=0</w:t>
      </w:r>
      <w:r w:rsidRPr="00D43235">
        <w:rPr>
          <w:sz w:val="28"/>
          <w:szCs w:val="28"/>
          <w:lang w:val="uk-UA"/>
        </w:rPr>
        <w:t>,039).  Суттєве покращення вуглеводного обміну спостерігалося незалежно від вихідного рівня ТТГ, проте за умови вихідного рівня ТТГ</w:t>
      </w:r>
      <w:r w:rsidRPr="00D43235">
        <w:rPr>
          <w:rStyle w:val="10"/>
          <w:rFonts w:eastAsiaTheme="minorHAnsi"/>
          <w:sz w:val="28"/>
          <w:szCs w:val="28"/>
          <w:lang w:val="uk-UA"/>
        </w:rPr>
        <w:t>&lt;</w:t>
      </w:r>
      <w:r w:rsidRPr="00D43235">
        <w:rPr>
          <w:rStyle w:val="10"/>
          <w:rFonts w:eastAsiaTheme="minorHAnsi"/>
          <w:b w:val="0"/>
          <w:sz w:val="28"/>
          <w:szCs w:val="28"/>
          <w:lang w:val="uk-UA"/>
        </w:rPr>
        <w:t>6,0 мкМО/мл</w:t>
      </w:r>
      <w:r w:rsidRPr="00D43235">
        <w:rPr>
          <w:rStyle w:val="10"/>
          <w:rFonts w:eastAsiaTheme="minorHAnsi"/>
          <w:sz w:val="28"/>
          <w:szCs w:val="28"/>
          <w:lang w:val="uk-UA"/>
        </w:rPr>
        <w:t xml:space="preserve"> </w:t>
      </w:r>
      <w:r w:rsidRPr="00D43235">
        <w:rPr>
          <w:sz w:val="28"/>
          <w:szCs w:val="28"/>
          <w:lang w:val="uk-UA"/>
        </w:rPr>
        <w:t xml:space="preserve">наприкінці періоду спостереження рівні глюкози (р=0,001) та </w:t>
      </w:r>
      <w:r w:rsidRPr="00D43235">
        <w:rPr>
          <w:sz w:val="28"/>
          <w:szCs w:val="28"/>
        </w:rPr>
        <w:t>HbA</w:t>
      </w:r>
      <w:r w:rsidRPr="00D43235">
        <w:rPr>
          <w:sz w:val="28"/>
          <w:szCs w:val="28"/>
          <w:lang w:val="uk-UA"/>
        </w:rPr>
        <w:t>1с (р&lt;0,001)</w:t>
      </w:r>
      <w:r w:rsidRPr="00D43235">
        <w:rPr>
          <w:b/>
          <w:sz w:val="28"/>
          <w:szCs w:val="28"/>
          <w:lang w:val="uk-UA"/>
        </w:rPr>
        <w:t xml:space="preserve"> </w:t>
      </w:r>
      <w:r w:rsidRPr="00D43235">
        <w:rPr>
          <w:rStyle w:val="10"/>
          <w:rFonts w:eastAsiaTheme="minorHAnsi"/>
          <w:b w:val="0"/>
          <w:sz w:val="28"/>
          <w:szCs w:val="28"/>
          <w:lang w:val="uk-UA"/>
        </w:rPr>
        <w:t>були достовірно нижчі, ніж у пацієнтів з вихідним рівнем ТТГ &gt;6,0 мкМО/мл. Незважаючи на значне зниження рівнів ВЕФР в обох підгрупах під впливом терапії левотироксином, в підгрупі з більш високим рівнем ТТТ рівні ВЕФР наприкінці терміну спостереження були достовірно вищі, ніж у підгрупі пацієнтів з рівнем ТТГ&lt;6,0 мкМО/мл (р=0</w:t>
      </w:r>
      <w:r w:rsidRPr="00D43235">
        <w:rPr>
          <w:b/>
          <w:sz w:val="28"/>
          <w:szCs w:val="28"/>
          <w:lang w:val="uk-UA"/>
        </w:rPr>
        <w:t>,</w:t>
      </w:r>
      <w:r w:rsidRPr="00D43235">
        <w:rPr>
          <w:sz w:val="28"/>
          <w:szCs w:val="28"/>
          <w:lang w:val="uk-UA"/>
        </w:rPr>
        <w:t>012</w:t>
      </w:r>
      <w:r w:rsidRPr="00D43235">
        <w:rPr>
          <w:b/>
          <w:sz w:val="28"/>
          <w:szCs w:val="28"/>
          <w:lang w:val="uk-UA"/>
        </w:rPr>
        <w:t>).</w:t>
      </w:r>
      <w:r w:rsidRPr="00D43235">
        <w:rPr>
          <w:rStyle w:val="10"/>
          <w:rFonts w:eastAsiaTheme="minorHAnsi"/>
          <w:b w:val="0"/>
          <w:sz w:val="28"/>
          <w:szCs w:val="28"/>
          <w:lang w:val="uk-UA"/>
        </w:rPr>
        <w:t xml:space="preserve"> Крім того, у пацієнтів з вихідним рівнем ТТГ&lt;6,0 мкМО/мл під впливом лікування левотироксином спостерігалися більш низькі рівні </w:t>
      </w:r>
      <w:r w:rsidRPr="00D43235">
        <w:rPr>
          <w:sz w:val="28"/>
          <w:szCs w:val="28"/>
          <w:lang w:val="uk-UA"/>
        </w:rPr>
        <w:t>ХС ЛПДНЩ, 8-OH-dG,</w:t>
      </w:r>
      <w:r w:rsidRPr="00D43235">
        <w:rPr>
          <w:rStyle w:val="10"/>
          <w:rFonts w:eastAsiaTheme="minorHAnsi"/>
          <w:sz w:val="28"/>
          <w:szCs w:val="28"/>
          <w:lang w:val="uk-UA"/>
        </w:rPr>
        <w:t xml:space="preserve"> </w:t>
      </w:r>
      <w:r w:rsidRPr="00D43235">
        <w:rPr>
          <w:rStyle w:val="tlid-translation"/>
          <w:sz w:val="28"/>
          <w:szCs w:val="28"/>
          <w:lang w:val="en-US"/>
        </w:rPr>
        <w:t>SH</w:t>
      </w:r>
      <w:r w:rsidRPr="00D43235">
        <w:rPr>
          <w:rStyle w:val="tlid-translation"/>
          <w:sz w:val="28"/>
          <w:szCs w:val="28"/>
          <w:lang w:val="uk-UA"/>
        </w:rPr>
        <w:t>-груп,</w:t>
      </w:r>
      <w:r w:rsidRPr="00D43235">
        <w:rPr>
          <w:rStyle w:val="10"/>
          <w:rFonts w:eastAsiaTheme="minorHAnsi"/>
          <w:sz w:val="28"/>
          <w:szCs w:val="28"/>
          <w:lang w:val="uk-UA"/>
        </w:rPr>
        <w:t xml:space="preserve"> </w:t>
      </w:r>
      <w:r w:rsidRPr="00D43235">
        <w:rPr>
          <w:rStyle w:val="tlid-translation"/>
          <w:sz w:val="28"/>
          <w:szCs w:val="28"/>
          <w:lang w:val="uk-UA"/>
        </w:rPr>
        <w:t xml:space="preserve">МДА, </w:t>
      </w:r>
      <w:r w:rsidRPr="00D43235">
        <w:rPr>
          <w:sz w:val="28"/>
          <w:szCs w:val="28"/>
          <w:lang w:val="uk-UA"/>
        </w:rPr>
        <w:t>індексу НОМА-</w:t>
      </w:r>
      <w:r w:rsidRPr="00D43235">
        <w:rPr>
          <w:sz w:val="28"/>
          <w:szCs w:val="28"/>
          <w:lang w:val="en-US"/>
        </w:rPr>
        <w:t>IR</w:t>
      </w:r>
      <w:r w:rsidRPr="00D43235">
        <w:rPr>
          <w:sz w:val="28"/>
          <w:szCs w:val="28"/>
          <w:lang w:val="uk-UA"/>
        </w:rPr>
        <w:t>,</w:t>
      </w:r>
      <w:r w:rsidRPr="00D43235">
        <w:rPr>
          <w:rStyle w:val="tlid-translation"/>
          <w:sz w:val="28"/>
          <w:szCs w:val="28"/>
          <w:lang w:val="uk-UA"/>
        </w:rPr>
        <w:t xml:space="preserve"> активність ГПО,</w:t>
      </w:r>
      <w:r w:rsidRPr="00D43235">
        <w:rPr>
          <w:sz w:val="28"/>
          <w:szCs w:val="28"/>
          <w:lang w:val="uk-UA"/>
        </w:rPr>
        <w:t xml:space="preserve"> хоча ці відмінності не досягали статистичної значущості (р&gt;0,05).</w:t>
      </w:r>
      <w:r w:rsidRPr="00D43235">
        <w:rPr>
          <w:rStyle w:val="10"/>
          <w:rFonts w:eastAsiaTheme="minorHAnsi"/>
          <w:b w:val="0"/>
          <w:sz w:val="28"/>
          <w:szCs w:val="28"/>
          <w:lang w:val="uk-UA"/>
        </w:rPr>
        <w:t xml:space="preserve"> БВ наприкінці періоду спостереження був достовірно нижче (р&lt;0,001), незалежно від вихідного рівня ТТГ, що може бути пояснено покращенням більшості показників, вплив яких на БВ доведено або припускається.</w:t>
      </w:r>
    </w:p>
    <w:p w:rsidR="00E3259F" w:rsidRPr="00D43235" w:rsidRDefault="00E3259F" w:rsidP="00D43235">
      <w:pPr>
        <w:spacing w:line="360" w:lineRule="auto"/>
        <w:ind w:firstLine="709"/>
        <w:jc w:val="both"/>
        <w:rPr>
          <w:sz w:val="28"/>
          <w:szCs w:val="28"/>
          <w:shd w:val="clear" w:color="auto" w:fill="FFFFFF"/>
          <w:lang w:val="uk-UA"/>
        </w:rPr>
      </w:pPr>
      <w:r w:rsidRPr="00D43235">
        <w:rPr>
          <w:rStyle w:val="tlid-translation"/>
          <w:rFonts w:eastAsiaTheme="majorEastAsia"/>
          <w:sz w:val="28"/>
          <w:szCs w:val="28"/>
          <w:lang w:val="uk-UA"/>
        </w:rPr>
        <w:t>Звертає на себе увагу, що показники таких вагомих факторіів серцево-судинного ризику, як ІМТ, САТ, ХС ЛПВЩ, глюкоза натще, НОМА-</w:t>
      </w:r>
      <w:r w:rsidRPr="00D43235">
        <w:rPr>
          <w:rStyle w:val="tlid-translation"/>
          <w:rFonts w:eastAsiaTheme="majorEastAsia"/>
          <w:sz w:val="28"/>
          <w:szCs w:val="28"/>
          <w:lang w:val="en-US"/>
        </w:rPr>
        <w:t>IR</w:t>
      </w:r>
      <w:r w:rsidRPr="00D43235">
        <w:rPr>
          <w:rStyle w:val="tlid-translation"/>
          <w:rFonts w:eastAsiaTheme="majorEastAsia"/>
          <w:sz w:val="28"/>
          <w:szCs w:val="28"/>
          <w:lang w:val="uk-UA"/>
        </w:rPr>
        <w:t xml:space="preserve"> у пацієнтів групи 3 з вихідним рівнем </w:t>
      </w:r>
      <w:r w:rsidRPr="00D43235">
        <w:rPr>
          <w:rStyle w:val="10"/>
          <w:rFonts w:eastAsiaTheme="minorHAnsi"/>
          <w:b w:val="0"/>
          <w:sz w:val="28"/>
          <w:szCs w:val="28"/>
          <w:lang w:val="uk-UA"/>
        </w:rPr>
        <w:t xml:space="preserve">ТТГ у діапазоні 4,1-6,0 </w:t>
      </w:r>
      <w:r w:rsidRPr="00D43235">
        <w:rPr>
          <w:sz w:val="28"/>
          <w:szCs w:val="28"/>
          <w:shd w:val="clear" w:color="auto" w:fill="FFFFFF"/>
          <w:lang w:val="uk-UA"/>
        </w:rPr>
        <w:t xml:space="preserve">мкОд /мл  до початку замісної терапії левотироксином мали кращі значення, </w:t>
      </w:r>
      <w:r w:rsidRPr="00D43235">
        <w:rPr>
          <w:rStyle w:val="tlid-translation"/>
          <w:rFonts w:eastAsiaTheme="majorEastAsia"/>
          <w:sz w:val="28"/>
          <w:szCs w:val="28"/>
          <w:lang w:val="uk-UA"/>
        </w:rPr>
        <w:t>ніж у пацієнтів з поєднаним перебігом ГХ та ЦД 2 типу без порушення функції ЩЖ після 12 місяців статинотерпії (таблиця 8.2.9), причому  при порівнянні ІМТ(р=0</w:t>
      </w:r>
      <w:r w:rsidRPr="00D43235">
        <w:rPr>
          <w:sz w:val="28"/>
          <w:szCs w:val="28"/>
          <w:lang w:val="uk-UA"/>
        </w:rPr>
        <w:t>,004</w:t>
      </w:r>
      <w:r w:rsidRPr="00D43235">
        <w:rPr>
          <w:rStyle w:val="tlid-translation"/>
          <w:rFonts w:eastAsiaTheme="majorEastAsia"/>
          <w:sz w:val="28"/>
          <w:szCs w:val="28"/>
          <w:lang w:val="uk-UA"/>
        </w:rPr>
        <w:t>), НОМА-</w:t>
      </w:r>
      <w:r w:rsidRPr="00D43235">
        <w:rPr>
          <w:rStyle w:val="tlid-translation"/>
          <w:rFonts w:eastAsiaTheme="majorEastAsia"/>
          <w:sz w:val="28"/>
          <w:szCs w:val="28"/>
          <w:lang w:val="en-US"/>
        </w:rPr>
        <w:t>IR</w:t>
      </w:r>
      <w:r w:rsidRPr="00D43235">
        <w:rPr>
          <w:rStyle w:val="tlid-translation"/>
          <w:rFonts w:eastAsiaTheme="majorEastAsia"/>
          <w:sz w:val="28"/>
          <w:szCs w:val="28"/>
          <w:lang w:val="uk-UA"/>
        </w:rPr>
        <w:t xml:space="preserve"> (р&lt;0,001) та глюкози натще (р&lt;0,001) ця різниця була достовірна. З іншого боку, значення рівнів ЗХС (р&lt;0,001), ХС ЛПНЩ (р&lt;0,001), СРП (р=0,028), ФНП-α (р&lt;0,001) після лікування статинами в пацієнтів 2 групи були достовірно нижче, ніж у пацієнтів групи 3 з рівнем ТТГ &lt;6,0 мкМО/мл до початку замісної терапії левотироксином.  Крім того, порівняння між цими групами показників оксидативного стресу, ЕД та ВДТ, що досліджувались, виявило різнонаправленість змін. Так на тлі незначно більш низьких рівнів </w:t>
      </w:r>
      <w:r w:rsidRPr="00D43235">
        <w:rPr>
          <w:sz w:val="28"/>
          <w:szCs w:val="28"/>
          <w:lang w:val="uk-UA"/>
        </w:rPr>
        <w:t>8-OH-dG плазми крові (р&gt;0,05), більш високих рівнів ВЕФР (р&gt;0,05), ТКІМ (р&gt;0,05) та</w:t>
      </w:r>
      <w:r w:rsidRPr="00D43235">
        <w:rPr>
          <w:rStyle w:val="tlid-translation"/>
          <w:rFonts w:eastAsiaTheme="majorEastAsia"/>
          <w:sz w:val="28"/>
          <w:szCs w:val="28"/>
          <w:lang w:val="uk-UA"/>
        </w:rPr>
        <w:t xml:space="preserve"> ВДТ букального епітелію </w:t>
      </w:r>
      <w:r w:rsidRPr="00D43235">
        <w:rPr>
          <w:sz w:val="28"/>
          <w:szCs w:val="28"/>
          <w:lang w:val="uk-UA"/>
        </w:rPr>
        <w:t>(р&gt;0,05)</w:t>
      </w:r>
      <w:r w:rsidRPr="00D43235">
        <w:rPr>
          <w:rStyle w:val="tlid-translation"/>
          <w:rFonts w:eastAsiaTheme="majorEastAsia"/>
          <w:sz w:val="28"/>
          <w:szCs w:val="28"/>
          <w:lang w:val="uk-UA"/>
        </w:rPr>
        <w:t xml:space="preserve"> </w:t>
      </w:r>
      <w:r w:rsidRPr="00D43235">
        <w:rPr>
          <w:sz w:val="28"/>
          <w:szCs w:val="28"/>
          <w:lang w:val="uk-UA"/>
        </w:rPr>
        <w:t xml:space="preserve">в  групі 3 при </w:t>
      </w:r>
      <w:r w:rsidRPr="00D43235">
        <w:rPr>
          <w:rStyle w:val="10"/>
          <w:rFonts w:eastAsiaTheme="minorHAnsi"/>
          <w:b w:val="0"/>
          <w:sz w:val="28"/>
          <w:szCs w:val="28"/>
          <w:lang w:val="uk-UA"/>
        </w:rPr>
        <w:t xml:space="preserve">ТТГ у діапазоні 4,1-6,0 </w:t>
      </w:r>
      <w:r w:rsidRPr="00D43235">
        <w:rPr>
          <w:sz w:val="28"/>
          <w:szCs w:val="28"/>
          <w:shd w:val="clear" w:color="auto" w:fill="FFFFFF"/>
          <w:lang w:val="uk-UA"/>
        </w:rPr>
        <w:t>мкОд /мл до призначення левотироксину мали місце більш низьки, але статистично не значимо, рівні</w:t>
      </w:r>
      <w:r w:rsidRPr="00D43235">
        <w:rPr>
          <w:rStyle w:val="10"/>
          <w:rFonts w:eastAsiaTheme="minorHAnsi"/>
          <w:sz w:val="28"/>
          <w:szCs w:val="28"/>
          <w:lang w:val="uk-UA"/>
        </w:rPr>
        <w:t xml:space="preserve"> </w:t>
      </w:r>
      <w:r w:rsidRPr="00D43235">
        <w:rPr>
          <w:rStyle w:val="tlid-translation"/>
          <w:rFonts w:eastAsiaTheme="majorEastAsia"/>
          <w:sz w:val="28"/>
          <w:szCs w:val="28"/>
          <w:lang w:val="en-US"/>
        </w:rPr>
        <w:t>SH</w:t>
      </w:r>
      <w:r w:rsidRPr="00D43235">
        <w:rPr>
          <w:rStyle w:val="tlid-translation"/>
          <w:rFonts w:eastAsiaTheme="majorEastAsia"/>
          <w:sz w:val="28"/>
          <w:szCs w:val="28"/>
          <w:lang w:val="uk-UA"/>
        </w:rPr>
        <w:t xml:space="preserve">-груп </w:t>
      </w:r>
      <w:r w:rsidRPr="00D43235">
        <w:rPr>
          <w:sz w:val="28"/>
          <w:szCs w:val="28"/>
          <w:lang w:val="uk-UA"/>
        </w:rPr>
        <w:t xml:space="preserve">(р&gt;0,05), </w:t>
      </w:r>
      <w:r w:rsidRPr="00D43235">
        <w:rPr>
          <w:rStyle w:val="tlid-translation"/>
          <w:rFonts w:eastAsiaTheme="majorEastAsia"/>
          <w:sz w:val="28"/>
          <w:szCs w:val="28"/>
          <w:lang w:val="uk-UA"/>
        </w:rPr>
        <w:t xml:space="preserve">активності ГПО </w:t>
      </w:r>
      <w:r w:rsidRPr="00D43235">
        <w:rPr>
          <w:sz w:val="28"/>
          <w:szCs w:val="28"/>
          <w:lang w:val="uk-UA"/>
        </w:rPr>
        <w:t>(р&gt;0,05)</w:t>
      </w:r>
      <w:r w:rsidRPr="00D43235">
        <w:rPr>
          <w:rStyle w:val="tlid-translation"/>
          <w:rFonts w:eastAsiaTheme="majorEastAsia"/>
          <w:sz w:val="28"/>
          <w:szCs w:val="28"/>
          <w:lang w:val="uk-UA"/>
        </w:rPr>
        <w:t xml:space="preserve"> </w:t>
      </w:r>
      <w:r w:rsidRPr="00D43235">
        <w:rPr>
          <w:sz w:val="28"/>
          <w:szCs w:val="28"/>
          <w:lang w:val="uk-UA"/>
        </w:rPr>
        <w:t xml:space="preserve">порівняно </w:t>
      </w:r>
      <w:r w:rsidRPr="00D43235">
        <w:rPr>
          <w:rStyle w:val="tlid-translation"/>
          <w:rFonts w:eastAsiaTheme="majorEastAsia"/>
          <w:sz w:val="28"/>
          <w:szCs w:val="28"/>
          <w:lang w:val="uk-UA"/>
        </w:rPr>
        <w:t xml:space="preserve">з групою 2 наприкінці періоду спостереження. Незважаючи відсутність достовірних відмінностей, ці дані свідчать, що підхід до замісної терапії осіб з рівнем </w:t>
      </w:r>
      <w:r w:rsidRPr="00D43235">
        <w:rPr>
          <w:rStyle w:val="10"/>
          <w:rFonts w:eastAsiaTheme="minorHAnsi"/>
          <w:b w:val="0"/>
          <w:sz w:val="28"/>
          <w:szCs w:val="28"/>
          <w:lang w:val="uk-UA"/>
        </w:rPr>
        <w:t xml:space="preserve">ТТГ у діапазоні 4,1-6,0 </w:t>
      </w:r>
      <w:r w:rsidRPr="00D43235">
        <w:rPr>
          <w:sz w:val="28"/>
          <w:szCs w:val="28"/>
          <w:shd w:val="clear" w:color="auto" w:fill="FFFFFF"/>
          <w:lang w:val="uk-UA"/>
        </w:rPr>
        <w:t>мкОд /мл повинен бути індивідуалізованим та враховувати рівень вихідних цих показників, що є факторами КВР або мають на них значний вплив.</w:t>
      </w:r>
    </w:p>
    <w:p w:rsidR="00E3259F" w:rsidRPr="00D43235" w:rsidRDefault="00E3259F" w:rsidP="00D43235">
      <w:pPr>
        <w:spacing w:line="360" w:lineRule="auto"/>
        <w:ind w:firstLine="709"/>
        <w:jc w:val="both"/>
        <w:rPr>
          <w:sz w:val="28"/>
          <w:szCs w:val="28"/>
          <w:shd w:val="clear" w:color="auto" w:fill="FFFFFF"/>
          <w:lang w:val="uk-UA"/>
        </w:rPr>
      </w:pPr>
      <w:r w:rsidRPr="00D43235">
        <w:rPr>
          <w:sz w:val="28"/>
          <w:szCs w:val="28"/>
          <w:shd w:val="clear" w:color="auto" w:fill="FFFFFF"/>
          <w:lang w:val="uk-UA"/>
        </w:rPr>
        <w:t xml:space="preserve">Для визначення впливу терапії левотироксином на різні показники в пацієнтів з ГХ, ЦД 2 типу і СГТ використовувався дисперсійний аналіз, який виявив  достовірно значимий вплив замісної терапії левотироксином на рівні багатьох досліджуваних показників: ліпідного обміну (рівні ЗХС                          (р=0,001), ХС ЛПНЩ (р=0,021)), вуглеводного обміну (глюкози (р=0,020), </w:t>
      </w:r>
      <w:r w:rsidRPr="00D43235">
        <w:rPr>
          <w:sz w:val="28"/>
          <w:szCs w:val="28"/>
          <w:shd w:val="clear" w:color="auto" w:fill="FFFFFF"/>
        </w:rPr>
        <w:t>HbA</w:t>
      </w:r>
      <w:r w:rsidRPr="00D43235">
        <w:rPr>
          <w:sz w:val="28"/>
          <w:szCs w:val="28"/>
          <w:shd w:val="clear" w:color="auto" w:fill="FFFFFF"/>
          <w:lang w:val="uk-UA"/>
        </w:rPr>
        <w:t>1с (р=0,001)), тиреоїдного обміну -ТТГ (р=0,001), функціонального стану ендотелію -ВЕФР (р=0,017),</w:t>
      </w:r>
      <w:r w:rsidRPr="00D43235">
        <w:rPr>
          <w:sz w:val="28"/>
          <w:szCs w:val="28"/>
          <w:shd w:val="clear" w:color="auto" w:fill="FFFFFF"/>
        </w:rPr>
        <w:t> </w:t>
      </w:r>
      <w:r w:rsidRPr="00D43235">
        <w:rPr>
          <w:sz w:val="28"/>
          <w:szCs w:val="28"/>
          <w:shd w:val="clear" w:color="auto" w:fill="FFFFFF"/>
          <w:lang w:val="uk-UA"/>
        </w:rPr>
        <w:t xml:space="preserve"> хронічного запалення - СРП (р=0,012), антиоксидантної системи - </w:t>
      </w:r>
      <w:r w:rsidRPr="00D43235">
        <w:rPr>
          <w:sz w:val="28"/>
          <w:szCs w:val="28"/>
          <w:shd w:val="clear" w:color="auto" w:fill="FFFFFF"/>
        </w:rPr>
        <w:t>SH</w:t>
      </w:r>
      <w:r w:rsidRPr="00D43235">
        <w:rPr>
          <w:sz w:val="28"/>
          <w:szCs w:val="28"/>
          <w:shd w:val="clear" w:color="auto" w:fill="FFFFFF"/>
          <w:lang w:val="uk-UA"/>
        </w:rPr>
        <w:t>-груп (р=0,016), артеріального тиску (САТ (р=0,016), ПАТ (р=0,009)) та на БВ (р=0,045).</w:t>
      </w:r>
    </w:p>
    <w:p w:rsidR="00E3259F" w:rsidRPr="00D43235" w:rsidRDefault="00E3259F" w:rsidP="00D43235">
      <w:pPr>
        <w:spacing w:line="360" w:lineRule="auto"/>
        <w:ind w:firstLine="709"/>
        <w:jc w:val="both"/>
        <w:rPr>
          <w:rStyle w:val="tlid-translation"/>
          <w:sz w:val="28"/>
          <w:szCs w:val="28"/>
          <w:lang w:val="uk-UA"/>
        </w:rPr>
      </w:pPr>
      <w:r w:rsidRPr="00D43235">
        <w:rPr>
          <w:rStyle w:val="tlid-translation"/>
          <w:sz w:val="28"/>
          <w:szCs w:val="28"/>
          <w:lang w:val="uk-UA"/>
        </w:rPr>
        <w:t>Таким чином, застосування левотироксину в комплексному лікуванні хворих з поєднаним перебігом ГХ, ЦД 2 типу та СГТ супроводжується покращенням вуглеводного та ліпідного обміну, зниженням ІМТ, ІР, рівнів АТ, поліпшенням функціонального стану ендотелію, що в сукупності зі зниженням рівнів маркерів хронічного системного запалення й вираженості ОС та збільшенням ВДТ  як крові, так і клітин букального епітелію може розцінюватися як позитивний вплив  на КВР, що покращує прогноз у цієї когорти хворих. Незважаючи на досягнення еутиреозу, пацієнти з вихідним рівнем ТТГ у діапазоні 4,-6,0 мкМО/мл наприкінці спостереження мали більш виражену позитивну динаміку досліджуваних показників, ніж пацієнти  з вихідним рівнем ТТГ більше 6,0 мкМО/мл.</w:t>
      </w:r>
      <w:r w:rsidRPr="00D43235">
        <w:rPr>
          <w:b/>
          <w:sz w:val="28"/>
          <w:szCs w:val="28"/>
          <w:shd w:val="clear" w:color="auto" w:fill="FFFFFF"/>
          <w:lang w:val="uk-UA"/>
        </w:rPr>
        <w:t xml:space="preserve"> </w:t>
      </w:r>
      <w:r w:rsidRPr="00D43235">
        <w:rPr>
          <w:sz w:val="28"/>
          <w:szCs w:val="28"/>
          <w:shd w:val="clear" w:color="auto" w:fill="FFFFFF"/>
          <w:lang w:val="uk-UA"/>
        </w:rPr>
        <w:t>Беручи</w:t>
      </w:r>
      <w:r w:rsidRPr="00D43235">
        <w:rPr>
          <w:rStyle w:val="tlid-translation"/>
          <w:sz w:val="28"/>
          <w:szCs w:val="28"/>
          <w:lang w:val="uk-UA"/>
        </w:rPr>
        <w:t xml:space="preserve"> до уваги потенційні ризики від терапії левотироксином осіб старших віковіх груп, особливо при наявності ССЗ,  при прийнятті рішення про необхідність замісної терапії необхідно враховувати індивідуальний ризик розвитку ССУ, особливо при рівнях ТТГ у межах 4,0-6,0 мкМО/мл.</w:t>
      </w:r>
    </w:p>
    <w:p w:rsidR="00E3259F" w:rsidRPr="00D43235" w:rsidRDefault="00E3259F" w:rsidP="00D43235">
      <w:pPr>
        <w:spacing w:line="360" w:lineRule="auto"/>
        <w:ind w:firstLine="709"/>
        <w:jc w:val="both"/>
        <w:rPr>
          <w:rFonts w:eastAsia="Calibri"/>
          <w:sz w:val="28"/>
          <w:szCs w:val="28"/>
          <w:lang w:val="uk-UA"/>
        </w:rPr>
      </w:pPr>
    </w:p>
    <w:p w:rsidR="00E3259F" w:rsidRPr="00D43235" w:rsidRDefault="00E3259F" w:rsidP="00D43235">
      <w:pPr>
        <w:spacing w:line="360" w:lineRule="auto"/>
        <w:ind w:firstLine="709"/>
        <w:jc w:val="both"/>
        <w:rPr>
          <w:rFonts w:eastAsia="Calibri"/>
          <w:sz w:val="28"/>
          <w:szCs w:val="28"/>
          <w:lang w:eastAsia="en-US"/>
        </w:rPr>
      </w:pPr>
      <w:r w:rsidRPr="00D43235">
        <w:rPr>
          <w:rFonts w:eastAsia="Calibri"/>
          <w:sz w:val="28"/>
          <w:szCs w:val="28"/>
        </w:rPr>
        <w:t xml:space="preserve">Результати власних досліджень розділу </w:t>
      </w:r>
      <w:r w:rsidRPr="00D43235">
        <w:rPr>
          <w:rFonts w:eastAsia="Calibri"/>
          <w:sz w:val="28"/>
          <w:szCs w:val="28"/>
          <w:lang w:val="uk-UA"/>
        </w:rPr>
        <w:t>8</w:t>
      </w:r>
      <w:r w:rsidRPr="00D43235">
        <w:rPr>
          <w:rFonts w:eastAsia="Calibri"/>
          <w:sz w:val="28"/>
          <w:szCs w:val="28"/>
        </w:rPr>
        <w:t xml:space="preserve"> представлено патентом [</w:t>
      </w:r>
      <w:r w:rsidRPr="00D43235">
        <w:rPr>
          <w:rFonts w:eastAsia="Calibri"/>
          <w:sz w:val="28"/>
          <w:szCs w:val="28"/>
          <w:lang w:val="uk-UA"/>
        </w:rPr>
        <w:t>22</w:t>
      </w:r>
      <w:r w:rsidRPr="00D43235">
        <w:rPr>
          <w:rFonts w:eastAsia="Calibri"/>
          <w:sz w:val="28"/>
          <w:szCs w:val="28"/>
        </w:rPr>
        <w:t xml:space="preserve">], </w:t>
      </w:r>
      <w:r w:rsidRPr="00D43235">
        <w:rPr>
          <w:rFonts w:eastAsia="Calibri"/>
          <w:sz w:val="28"/>
          <w:szCs w:val="28"/>
          <w:lang w:val="uk-UA"/>
        </w:rPr>
        <w:t xml:space="preserve">викладені в статтях[71,72,79,81,292], </w:t>
      </w:r>
      <w:r w:rsidRPr="00D43235">
        <w:rPr>
          <w:rFonts w:eastAsia="Calibri"/>
          <w:sz w:val="28"/>
          <w:szCs w:val="28"/>
        </w:rPr>
        <w:t>апробовані на наукових форумах [</w:t>
      </w:r>
      <w:r w:rsidRPr="00D43235">
        <w:rPr>
          <w:rFonts w:eastAsia="Calibri"/>
          <w:sz w:val="28"/>
          <w:szCs w:val="28"/>
          <w:lang w:val="uk-UA"/>
        </w:rPr>
        <w:t>8,9,15,86,294,300</w:t>
      </w:r>
      <w:r w:rsidRPr="00D43235">
        <w:rPr>
          <w:rFonts w:eastAsia="Calibri"/>
          <w:sz w:val="28"/>
          <w:szCs w:val="28"/>
        </w:rPr>
        <w:t>].</w:t>
      </w:r>
    </w:p>
    <w:p w:rsidR="00E3259F" w:rsidRPr="00D43235" w:rsidRDefault="00E3259F" w:rsidP="00D43235">
      <w:pPr>
        <w:spacing w:line="360" w:lineRule="auto"/>
        <w:ind w:firstLine="709"/>
        <w:jc w:val="center"/>
        <w:rPr>
          <w:sz w:val="28"/>
          <w:szCs w:val="28"/>
          <w:lang w:val="uk-UA"/>
        </w:rPr>
      </w:pPr>
    </w:p>
    <w:p w:rsidR="00E3259F" w:rsidRPr="00D43235" w:rsidRDefault="00E3259F" w:rsidP="00D43235">
      <w:pPr>
        <w:spacing w:line="360" w:lineRule="auto"/>
        <w:ind w:firstLine="709"/>
        <w:jc w:val="center"/>
        <w:rPr>
          <w:sz w:val="28"/>
          <w:szCs w:val="28"/>
          <w:lang w:val="uk-UA"/>
        </w:rPr>
      </w:pPr>
    </w:p>
    <w:p w:rsidR="00E3259F" w:rsidRPr="00D43235" w:rsidRDefault="00E3259F" w:rsidP="00D43235">
      <w:pPr>
        <w:spacing w:line="360" w:lineRule="auto"/>
        <w:ind w:firstLine="709"/>
        <w:jc w:val="center"/>
        <w:rPr>
          <w:sz w:val="28"/>
          <w:szCs w:val="28"/>
          <w:lang w:val="uk-UA"/>
        </w:rPr>
      </w:pPr>
    </w:p>
    <w:p w:rsidR="00E3259F" w:rsidRDefault="00E3259F" w:rsidP="00E3259F">
      <w:pPr>
        <w:jc w:val="center"/>
        <w:rPr>
          <w:lang w:val="uk-UA"/>
        </w:rPr>
      </w:pPr>
    </w:p>
    <w:p w:rsidR="00E3259F" w:rsidRDefault="00E3259F" w:rsidP="00E3259F">
      <w:pPr>
        <w:jc w:val="center"/>
        <w:rPr>
          <w:lang w:val="uk-UA"/>
        </w:rPr>
      </w:pPr>
    </w:p>
    <w:p w:rsidR="00E3259F" w:rsidRDefault="00E3259F" w:rsidP="00E3259F">
      <w:pPr>
        <w:jc w:val="center"/>
        <w:rPr>
          <w:lang w:val="uk-UA"/>
        </w:rPr>
      </w:pPr>
    </w:p>
    <w:p w:rsidR="00D43235" w:rsidRDefault="00D43235" w:rsidP="00E3259F">
      <w:pPr>
        <w:jc w:val="center"/>
        <w:rPr>
          <w:lang w:val="uk-UA"/>
        </w:rPr>
      </w:pPr>
    </w:p>
    <w:p w:rsidR="00D43235" w:rsidRDefault="00D43235" w:rsidP="00E3259F">
      <w:pPr>
        <w:jc w:val="center"/>
        <w:rPr>
          <w:lang w:val="uk-UA"/>
        </w:rPr>
      </w:pPr>
    </w:p>
    <w:p w:rsidR="00D43235" w:rsidRDefault="00D43235" w:rsidP="00E3259F">
      <w:pPr>
        <w:jc w:val="center"/>
        <w:rPr>
          <w:lang w:val="uk-UA"/>
        </w:rPr>
      </w:pPr>
    </w:p>
    <w:p w:rsidR="00D43235" w:rsidRDefault="00D43235" w:rsidP="00E3259F">
      <w:pPr>
        <w:jc w:val="center"/>
        <w:rPr>
          <w:lang w:val="uk-UA"/>
        </w:rPr>
      </w:pPr>
    </w:p>
    <w:p w:rsidR="00D43235" w:rsidRDefault="00D43235" w:rsidP="00E3259F">
      <w:pPr>
        <w:jc w:val="center"/>
        <w:rPr>
          <w:lang w:val="uk-UA"/>
        </w:rPr>
      </w:pPr>
    </w:p>
    <w:p w:rsidR="00D43235" w:rsidRDefault="00D43235" w:rsidP="00E3259F">
      <w:pPr>
        <w:jc w:val="center"/>
        <w:rPr>
          <w:lang w:val="uk-UA"/>
        </w:rPr>
      </w:pPr>
    </w:p>
    <w:p w:rsidR="00D43235" w:rsidRDefault="00D43235" w:rsidP="00E3259F">
      <w:pPr>
        <w:jc w:val="center"/>
        <w:rPr>
          <w:lang w:val="uk-UA"/>
        </w:rPr>
      </w:pPr>
    </w:p>
    <w:p w:rsidR="00E3259F" w:rsidRDefault="00E3259F" w:rsidP="00E3259F">
      <w:pPr>
        <w:jc w:val="center"/>
        <w:rPr>
          <w:sz w:val="28"/>
          <w:szCs w:val="28"/>
          <w:lang w:val="uk-UA"/>
        </w:rPr>
      </w:pPr>
      <w:r>
        <w:rPr>
          <w:sz w:val="28"/>
          <w:szCs w:val="28"/>
          <w:lang w:val="uk-UA"/>
        </w:rPr>
        <w:t>РОЗДІЛ 9</w:t>
      </w:r>
    </w:p>
    <w:p w:rsidR="00E3259F" w:rsidRDefault="00E3259F" w:rsidP="00E3259F">
      <w:pPr>
        <w:spacing w:line="360" w:lineRule="auto"/>
        <w:jc w:val="both"/>
        <w:rPr>
          <w:sz w:val="28"/>
          <w:szCs w:val="28"/>
          <w:lang w:val="uk-UA"/>
        </w:rPr>
      </w:pPr>
      <w:r>
        <w:rPr>
          <w:sz w:val="28"/>
          <w:szCs w:val="28"/>
          <w:lang w:val="uk-UA"/>
        </w:rPr>
        <w:t xml:space="preserve">АЛГОРИТМ </w:t>
      </w:r>
      <w:r w:rsidR="00D43235">
        <w:rPr>
          <w:sz w:val="28"/>
          <w:szCs w:val="28"/>
          <w:lang w:val="uk-UA"/>
        </w:rPr>
        <w:t xml:space="preserve"> </w:t>
      </w:r>
      <w:r>
        <w:rPr>
          <w:sz w:val="28"/>
          <w:szCs w:val="28"/>
          <w:lang w:val="uk-UA"/>
        </w:rPr>
        <w:t>РАННЬОЇ ДІАГНОСТИКИ ТА ЛІКУВАЛЬНОЇ ТАКТИКИ ДЛЯ ЗАПОБІГАННЯ СЕРЦЕВО-СУДИННИХ УСКЛАДНЕНЬ У ХВОРИХ НА ПОЄДНАНИЙ ПЕРЕБІГ ГІПЕРТОНІЧНОЇ ХВОРОБИ, ЦУКРОВОГО ДІАБЕТУ 2 ТИПУ  В ЗАЛЕЖНОСТІ ВІД ФУНКЦІОНАЛЬНОГО СТАНУ ЩИТОВИДНОЇ ЗАЛОЗИ</w:t>
      </w:r>
    </w:p>
    <w:p w:rsidR="00E3259F" w:rsidRDefault="00E3259F" w:rsidP="00E3259F">
      <w:pPr>
        <w:spacing w:line="360" w:lineRule="auto"/>
        <w:ind w:firstLine="709"/>
        <w:jc w:val="both"/>
        <w:rPr>
          <w:rFonts w:cstheme="minorBidi"/>
          <w:lang w:val="uk-UA"/>
        </w:rPr>
      </w:pP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Отримані в цьому дослідженні дані стали підставою для створення алгоритму ранньої комплексної діагностики та лікувально-профілактичної тактики при поєднаному перебігу ГХ, ЦД 2 типу </w:t>
      </w:r>
      <w:r w:rsidRPr="00D43235">
        <w:rPr>
          <w:sz w:val="28"/>
          <w:szCs w:val="28"/>
          <w:lang w:val="uk-UA" w:eastAsia="en-US"/>
        </w:rPr>
        <w:t xml:space="preserve">залежно </w:t>
      </w:r>
      <w:r w:rsidRPr="00D43235">
        <w:rPr>
          <w:sz w:val="28"/>
          <w:szCs w:val="28"/>
          <w:lang w:val="uk-UA"/>
        </w:rPr>
        <w:t xml:space="preserve">від функціонального стану ЩЗ. </w:t>
      </w: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Алгоритм ранньої діагностики та лікувально-профілактичної тактики для запобігання розвитку ССУ у хворих на поєднаний перебіг ГХ, ЦД 2 типу </w:t>
      </w:r>
      <w:r w:rsidRPr="00D43235">
        <w:rPr>
          <w:sz w:val="28"/>
          <w:szCs w:val="28"/>
          <w:lang w:val="uk-UA" w:eastAsia="en-US"/>
        </w:rPr>
        <w:t xml:space="preserve">залежно </w:t>
      </w:r>
      <w:r w:rsidRPr="00D43235">
        <w:rPr>
          <w:sz w:val="28"/>
          <w:szCs w:val="28"/>
          <w:lang w:val="uk-UA"/>
        </w:rPr>
        <w:t>від функціонального стану ЩЗ включає такі етапи (рисунок 9.1.):</w:t>
      </w:r>
    </w:p>
    <w:p w:rsidR="00E3259F" w:rsidRPr="00D43235" w:rsidRDefault="00E3259F" w:rsidP="00D43235">
      <w:pPr>
        <w:spacing w:line="360" w:lineRule="auto"/>
        <w:ind w:firstLine="709"/>
        <w:jc w:val="both"/>
        <w:rPr>
          <w:rFonts w:eastAsia="Calibri"/>
          <w:sz w:val="28"/>
          <w:szCs w:val="28"/>
          <w:lang w:val="uk-UA"/>
        </w:rPr>
      </w:pPr>
      <w:r w:rsidRPr="00D43235">
        <w:rPr>
          <w:sz w:val="28"/>
          <w:szCs w:val="28"/>
          <w:lang w:val="uk-UA"/>
        </w:rPr>
        <w:t xml:space="preserve">1. Перший етап включає опитування пацієнтів </w:t>
      </w:r>
      <w:r w:rsidRPr="00D43235">
        <w:rPr>
          <w:rFonts w:eastAsia="Calibri"/>
          <w:sz w:val="28"/>
          <w:szCs w:val="28"/>
          <w:lang w:val="uk-UA"/>
        </w:rPr>
        <w:t xml:space="preserve">за допомогою опитувальника ризику наявності гіпотиреозу - </w:t>
      </w:r>
      <w:r w:rsidRPr="00D43235">
        <w:rPr>
          <w:rFonts w:eastAsia="Calibri"/>
          <w:sz w:val="28"/>
          <w:szCs w:val="28"/>
        </w:rPr>
        <w:t>Hypothyroid</w:t>
      </w:r>
      <w:r w:rsidRPr="00D43235">
        <w:rPr>
          <w:rFonts w:eastAsia="Calibri"/>
          <w:sz w:val="28"/>
          <w:szCs w:val="28"/>
          <w:lang w:val="uk-UA"/>
        </w:rPr>
        <w:t xml:space="preserve"> </w:t>
      </w:r>
      <w:r w:rsidRPr="00D43235">
        <w:rPr>
          <w:rFonts w:eastAsia="Calibri"/>
          <w:sz w:val="28"/>
          <w:szCs w:val="28"/>
        </w:rPr>
        <w:t>Risk</w:t>
      </w:r>
      <w:r w:rsidRPr="00D43235">
        <w:rPr>
          <w:rFonts w:eastAsia="Calibri"/>
          <w:sz w:val="28"/>
          <w:szCs w:val="28"/>
          <w:lang w:val="uk-UA"/>
        </w:rPr>
        <w:t xml:space="preserve"> </w:t>
      </w:r>
      <w:r w:rsidRPr="00D43235">
        <w:rPr>
          <w:rFonts w:eastAsia="Calibri"/>
          <w:sz w:val="28"/>
          <w:szCs w:val="28"/>
        </w:rPr>
        <w:t>Questionnaire</w:t>
      </w:r>
      <w:r w:rsidRPr="00D43235">
        <w:rPr>
          <w:rFonts w:eastAsia="Calibri"/>
          <w:sz w:val="28"/>
          <w:szCs w:val="28"/>
          <w:lang w:val="uk-UA"/>
        </w:rPr>
        <w:t xml:space="preserve"> (</w:t>
      </w:r>
      <w:r w:rsidRPr="00D43235">
        <w:rPr>
          <w:rFonts w:eastAsia="Calibri"/>
          <w:sz w:val="28"/>
          <w:szCs w:val="28"/>
        </w:rPr>
        <w:t>HRQ</w:t>
      </w:r>
      <w:r w:rsidRPr="00D43235">
        <w:rPr>
          <w:rFonts w:eastAsia="Calibri"/>
          <w:sz w:val="28"/>
          <w:szCs w:val="28"/>
          <w:lang w:val="uk-UA"/>
        </w:rPr>
        <w:t>), що дозволяє визначити сумарний ризик розвитку гіпотиреозу за балами: низький ризик (сума балів&lt;10), помірний ризик (сума балів 10-20), високий ризик (сума балів&gt;20). Крім того, на цьому етапі опитування включає отримання інформації щодо комплаєнсу пацієнта до призначеної антигіпертензивної, антидіабетичної терапії, уживання рекомендованих доз статинів.</w:t>
      </w:r>
    </w:p>
    <w:p w:rsidR="00E3259F" w:rsidRPr="00D43235" w:rsidRDefault="00E3259F" w:rsidP="00D43235">
      <w:pPr>
        <w:spacing w:line="360" w:lineRule="auto"/>
        <w:ind w:firstLine="709"/>
        <w:jc w:val="both"/>
        <w:rPr>
          <w:rFonts w:eastAsiaTheme="minorHAnsi"/>
          <w:sz w:val="28"/>
          <w:szCs w:val="28"/>
        </w:rPr>
      </w:pPr>
      <w:r w:rsidRPr="00D43235">
        <w:rPr>
          <w:rFonts w:eastAsia="Calibri"/>
          <w:sz w:val="28"/>
          <w:szCs w:val="28"/>
          <w:lang w:val="uk-UA"/>
        </w:rPr>
        <w:t>2. Хворі, у яких за даними опитування було виявлено низький ризик (сума балів&lt;10) розвитку СГТ, підлягають динамічному спостереженню з повторним опитуванням через 1 рік.</w:t>
      </w:r>
      <w:r w:rsidRPr="00D43235">
        <w:rPr>
          <w:sz w:val="28"/>
          <w:szCs w:val="28"/>
        </w:rPr>
        <w:t xml:space="preserve"> Моніторинг</w:t>
      </w:r>
      <w:r w:rsidRPr="00D43235">
        <w:rPr>
          <w:sz w:val="28"/>
          <w:szCs w:val="28"/>
          <w:lang w:val="uk-UA"/>
        </w:rPr>
        <w:t xml:space="preserve"> включає </w:t>
      </w:r>
      <w:r w:rsidRPr="00D43235">
        <w:rPr>
          <w:sz w:val="28"/>
          <w:szCs w:val="28"/>
        </w:rPr>
        <w:t>рекомендації щодо дотримання здорового способу життя, контролю за масою тіла, заняття фізичними вправами тривалістю 150 хвилин на тиждень</w:t>
      </w:r>
      <w:r w:rsidRPr="00D43235">
        <w:rPr>
          <w:sz w:val="28"/>
          <w:szCs w:val="28"/>
          <w:lang w:val="uk-UA"/>
        </w:rPr>
        <w:t>, регулярний прийом призначеної антигіпертензивної, антидіабетичної терапії та статинотерапії</w:t>
      </w:r>
      <w:r w:rsidRPr="00D43235">
        <w:rPr>
          <w:sz w:val="28"/>
          <w:szCs w:val="28"/>
        </w:rPr>
        <w:t>.</w:t>
      </w:r>
    </w:p>
    <w:p w:rsidR="00E3259F" w:rsidRPr="00D43235" w:rsidRDefault="00E3259F" w:rsidP="00D43235">
      <w:pPr>
        <w:spacing w:line="360" w:lineRule="auto"/>
        <w:ind w:firstLine="709"/>
        <w:jc w:val="both"/>
        <w:rPr>
          <w:sz w:val="28"/>
          <w:szCs w:val="28"/>
          <w:shd w:val="clear" w:color="auto" w:fill="FFFFFF"/>
          <w:lang w:val="uk-UA"/>
        </w:rPr>
      </w:pPr>
      <w:r w:rsidRPr="00D43235">
        <w:rPr>
          <w:rFonts w:eastAsia="Calibri"/>
          <w:sz w:val="28"/>
          <w:szCs w:val="28"/>
          <w:lang w:val="uk-UA"/>
        </w:rPr>
        <w:t xml:space="preserve">3. Хворим з помірним(сума балів 10-20) та високим(сума балів&gt; 20) ризиком розвитку СГТ за результатами опитувальника </w:t>
      </w:r>
      <w:r w:rsidRPr="00D43235">
        <w:rPr>
          <w:rFonts w:eastAsia="Calibri"/>
          <w:sz w:val="28"/>
          <w:szCs w:val="28"/>
        </w:rPr>
        <w:t>HRQ</w:t>
      </w:r>
      <w:r w:rsidRPr="00D43235">
        <w:rPr>
          <w:rFonts w:eastAsia="Calibri"/>
          <w:sz w:val="28"/>
          <w:szCs w:val="28"/>
          <w:lang w:val="uk-UA"/>
        </w:rPr>
        <w:t xml:space="preserve"> визначають рівень ТТГ у крові. </w:t>
      </w:r>
      <w:r w:rsidRPr="00D43235">
        <w:rPr>
          <w:sz w:val="28"/>
          <w:szCs w:val="28"/>
          <w:lang w:val="uk-UA" w:eastAsia="en-US"/>
        </w:rPr>
        <w:t xml:space="preserve">Залежно </w:t>
      </w:r>
      <w:r w:rsidRPr="00D43235">
        <w:rPr>
          <w:rFonts w:eastAsia="Calibri"/>
          <w:sz w:val="28"/>
          <w:szCs w:val="28"/>
          <w:lang w:val="uk-UA"/>
        </w:rPr>
        <w:t>від виявленого рівня ТТГ виділяють такі групи: пацієнти з рівнем ТТГ до 4,0</w:t>
      </w:r>
      <w:r w:rsidRPr="00D43235">
        <w:rPr>
          <w:sz w:val="28"/>
          <w:szCs w:val="28"/>
          <w:shd w:val="clear" w:color="auto" w:fill="FFFFFF"/>
          <w:lang w:val="uk-UA"/>
        </w:rPr>
        <w:t xml:space="preserve"> мкМОд/мл і пацієнти з рівнем ТТГ більше 4,0 мкМОд/мл.</w:t>
      </w:r>
    </w:p>
    <w:p w:rsidR="00E3259F" w:rsidRPr="00D43235" w:rsidRDefault="00E3259F" w:rsidP="00D43235">
      <w:pPr>
        <w:spacing w:line="360" w:lineRule="auto"/>
        <w:ind w:firstLine="709"/>
        <w:jc w:val="both"/>
        <w:rPr>
          <w:sz w:val="28"/>
          <w:szCs w:val="28"/>
          <w:shd w:val="clear" w:color="auto" w:fill="FFFFFF"/>
          <w:lang w:val="uk-UA"/>
        </w:rPr>
      </w:pPr>
      <w:r w:rsidRPr="00D43235">
        <w:rPr>
          <w:sz w:val="28"/>
          <w:szCs w:val="28"/>
          <w:shd w:val="clear" w:color="auto" w:fill="FFFFFF"/>
          <w:lang w:val="uk-UA"/>
        </w:rPr>
        <w:t>4. Пацієнти з рівнями ТТГ нижче 4,0 мкмод/мл, які приймають статини – підлягають динамічному спостереженню. Пацієнтам, які не приймають статини без наявності в них протипоказань, згідно існуючих рекомендацій призначають – аторвастатин 20 мг/добу або розувастатин 10 мг/добу.</w:t>
      </w:r>
    </w:p>
    <w:p w:rsidR="00E3259F" w:rsidRPr="00D43235" w:rsidRDefault="00E3259F" w:rsidP="00D43235">
      <w:pPr>
        <w:spacing w:line="360" w:lineRule="auto"/>
        <w:ind w:firstLine="709"/>
        <w:jc w:val="both"/>
        <w:rPr>
          <w:sz w:val="28"/>
          <w:szCs w:val="28"/>
          <w:shd w:val="clear" w:color="auto" w:fill="FFFFFF"/>
          <w:lang w:val="uk-UA"/>
        </w:rPr>
      </w:pPr>
      <w:r w:rsidRPr="00D43235">
        <w:rPr>
          <w:sz w:val="28"/>
          <w:szCs w:val="28"/>
          <w:shd w:val="clear" w:color="auto" w:fill="FFFFFF"/>
          <w:lang w:val="uk-UA"/>
        </w:rPr>
        <w:t>З метою ранньої діагностики прогнозу та перебігу ГХ у поєднанні з ЦД 2 типу без порушення функції ЩЗ необхідно додатково оцінити ризик розвитку серцево-судинних ускладнень за формулою:</w:t>
      </w:r>
    </w:p>
    <w:p w:rsidR="00E3259F" w:rsidRPr="00D43235" w:rsidRDefault="00E3259F" w:rsidP="00D43235">
      <w:pPr>
        <w:autoSpaceDE w:val="0"/>
        <w:autoSpaceDN w:val="0"/>
        <w:adjustRightInd w:val="0"/>
        <w:spacing w:line="360" w:lineRule="auto"/>
        <w:ind w:firstLine="709"/>
        <w:jc w:val="center"/>
        <w:rPr>
          <w:rFonts w:eastAsia="Calibri"/>
          <w:sz w:val="28"/>
          <w:szCs w:val="28"/>
          <w:lang w:val="uk-UA"/>
        </w:rPr>
      </w:pPr>
      <w:r w:rsidRPr="00D43235">
        <w:rPr>
          <w:kern w:val="2"/>
          <w:position w:val="-4"/>
          <w:sz w:val="28"/>
          <w:szCs w:val="28"/>
          <w:lang w:eastAsia="en-US"/>
        </w:rPr>
        <w:object w:dxaOrig="240" w:dyaOrig="420">
          <v:shape id="_x0000_i1094" type="#_x0000_t75" style="width:12.75pt;height:21.75pt" o:ole="">
            <v:imagedata r:id="rId17" o:title=""/>
          </v:shape>
          <o:OLEObject Type="Embed" ProgID="Equation.3" ShapeID="_x0000_i1094" DrawAspect="Content" ObjectID="_1669446878" r:id="rId117"/>
        </w:object>
      </w:r>
      <w:r w:rsidRPr="00D43235">
        <w:rPr>
          <w:kern w:val="2"/>
          <w:sz w:val="28"/>
          <w:szCs w:val="28"/>
          <w:lang w:val="uk-UA"/>
        </w:rPr>
        <w:t xml:space="preserve">=[1+ </w:t>
      </w:r>
      <w:r w:rsidRPr="00D43235">
        <w:rPr>
          <w:kern w:val="2"/>
          <w:sz w:val="28"/>
          <w:szCs w:val="28"/>
        </w:rPr>
        <w:t>exp</w:t>
      </w:r>
      <w:r w:rsidRPr="00D43235">
        <w:rPr>
          <w:kern w:val="2"/>
          <w:sz w:val="28"/>
          <w:szCs w:val="28"/>
          <w:lang w:val="uk-UA"/>
        </w:rPr>
        <w:t>(-(</w:t>
      </w:r>
      <w:r w:rsidRPr="00D43235">
        <w:rPr>
          <w:sz w:val="28"/>
          <w:szCs w:val="28"/>
          <w:lang w:val="uk-UA"/>
        </w:rPr>
        <w:t>2,156*</w:t>
      </w:r>
      <w:r w:rsidRPr="00D43235">
        <w:rPr>
          <w:kern w:val="2"/>
          <w:sz w:val="28"/>
          <w:szCs w:val="28"/>
          <w:lang w:val="uk-UA"/>
        </w:rPr>
        <w:t xml:space="preserve"> </w:t>
      </w:r>
      <w:r w:rsidRPr="00D43235">
        <w:rPr>
          <w:kern w:val="2"/>
          <w:sz w:val="28"/>
          <w:szCs w:val="28"/>
        </w:rPr>
        <w:t>X</w:t>
      </w:r>
      <w:r w:rsidRPr="00D43235">
        <w:rPr>
          <w:kern w:val="2"/>
          <w:sz w:val="28"/>
          <w:szCs w:val="28"/>
          <w:vertAlign w:val="subscript"/>
          <w:lang w:val="uk-UA"/>
        </w:rPr>
        <w:t xml:space="preserve">1 </w:t>
      </w:r>
      <w:r w:rsidRPr="00D43235">
        <w:rPr>
          <w:sz w:val="28"/>
          <w:szCs w:val="28"/>
          <w:lang w:val="uk-UA"/>
        </w:rPr>
        <w:t>+0,391*</w:t>
      </w:r>
      <w:r w:rsidRPr="00D43235">
        <w:rPr>
          <w:kern w:val="2"/>
          <w:sz w:val="28"/>
          <w:szCs w:val="28"/>
        </w:rPr>
        <w:t>X</w:t>
      </w:r>
      <w:r w:rsidRPr="00D43235">
        <w:rPr>
          <w:kern w:val="2"/>
          <w:sz w:val="28"/>
          <w:szCs w:val="28"/>
          <w:vertAlign w:val="subscript"/>
          <w:lang w:val="uk-UA"/>
        </w:rPr>
        <w:t xml:space="preserve">2  </w:t>
      </w:r>
      <w:r w:rsidRPr="00D43235">
        <w:rPr>
          <w:sz w:val="28"/>
          <w:szCs w:val="28"/>
          <w:lang w:val="uk-UA"/>
        </w:rPr>
        <w:t>– 1,277*</w:t>
      </w:r>
      <w:r w:rsidRPr="00D43235">
        <w:rPr>
          <w:kern w:val="2"/>
          <w:sz w:val="28"/>
          <w:szCs w:val="28"/>
          <w:lang w:val="uk-UA"/>
        </w:rPr>
        <w:t xml:space="preserve"> </w:t>
      </w:r>
      <w:r w:rsidRPr="00D43235">
        <w:rPr>
          <w:kern w:val="2"/>
          <w:sz w:val="28"/>
          <w:szCs w:val="28"/>
        </w:rPr>
        <w:t>X</w:t>
      </w:r>
      <w:r w:rsidRPr="00D43235">
        <w:rPr>
          <w:kern w:val="2"/>
          <w:sz w:val="28"/>
          <w:szCs w:val="28"/>
          <w:vertAlign w:val="subscript"/>
          <w:lang w:val="uk-UA"/>
        </w:rPr>
        <w:t>3</w:t>
      </w:r>
      <w:r w:rsidRPr="00D43235">
        <w:rPr>
          <w:kern w:val="2"/>
          <w:sz w:val="28"/>
          <w:szCs w:val="28"/>
          <w:lang w:val="uk-UA"/>
        </w:rPr>
        <w:t>+0</w:t>
      </w:r>
      <w:r w:rsidRPr="00D43235">
        <w:rPr>
          <w:sz w:val="28"/>
          <w:szCs w:val="28"/>
          <w:lang w:val="uk-UA"/>
        </w:rPr>
        <w:t xml:space="preserve">,405* </w:t>
      </w:r>
      <w:r w:rsidRPr="00D43235">
        <w:rPr>
          <w:kern w:val="2"/>
          <w:sz w:val="28"/>
          <w:szCs w:val="28"/>
        </w:rPr>
        <w:t>X</w:t>
      </w:r>
      <w:r w:rsidRPr="00D43235">
        <w:rPr>
          <w:kern w:val="2"/>
          <w:sz w:val="28"/>
          <w:szCs w:val="28"/>
          <w:vertAlign w:val="subscript"/>
          <w:lang w:val="uk-UA"/>
        </w:rPr>
        <w:t>4 +</w:t>
      </w:r>
      <w:r w:rsidRPr="00D43235">
        <w:rPr>
          <w:kern w:val="2"/>
          <w:sz w:val="28"/>
          <w:szCs w:val="28"/>
          <w:lang w:val="uk-UA"/>
        </w:rPr>
        <w:t>0</w:t>
      </w:r>
      <w:r w:rsidRPr="00D43235">
        <w:rPr>
          <w:sz w:val="28"/>
          <w:szCs w:val="28"/>
          <w:lang w:val="uk-UA"/>
        </w:rPr>
        <w:t xml:space="preserve">,526* </w:t>
      </w:r>
      <w:r w:rsidRPr="00D43235">
        <w:rPr>
          <w:kern w:val="2"/>
          <w:sz w:val="28"/>
          <w:szCs w:val="28"/>
        </w:rPr>
        <w:t>X</w:t>
      </w:r>
      <w:r w:rsidRPr="00D43235">
        <w:rPr>
          <w:kern w:val="2"/>
          <w:sz w:val="28"/>
          <w:szCs w:val="28"/>
          <w:vertAlign w:val="subscript"/>
          <w:lang w:val="uk-UA"/>
        </w:rPr>
        <w:t>5</w:t>
      </w:r>
      <w:r w:rsidRPr="00D43235">
        <w:rPr>
          <w:sz w:val="28"/>
          <w:szCs w:val="28"/>
          <w:lang w:val="uk-UA"/>
        </w:rPr>
        <w:t xml:space="preserve"> –6,240*</w:t>
      </w:r>
      <w:r w:rsidRPr="00D43235">
        <w:rPr>
          <w:kern w:val="2"/>
          <w:sz w:val="28"/>
          <w:szCs w:val="28"/>
        </w:rPr>
        <w:t>X</w:t>
      </w:r>
      <w:r w:rsidRPr="00D43235">
        <w:rPr>
          <w:kern w:val="2"/>
          <w:sz w:val="28"/>
          <w:szCs w:val="28"/>
          <w:vertAlign w:val="subscript"/>
          <w:lang w:val="uk-UA"/>
        </w:rPr>
        <w:t xml:space="preserve">6 </w:t>
      </w:r>
      <w:r w:rsidRPr="00D43235">
        <w:rPr>
          <w:sz w:val="28"/>
          <w:szCs w:val="28"/>
          <w:lang w:val="uk-UA"/>
        </w:rPr>
        <w:t>–</w:t>
      </w:r>
      <w:r w:rsidRPr="00D43235">
        <w:rPr>
          <w:kern w:val="2"/>
          <w:sz w:val="28"/>
          <w:szCs w:val="28"/>
          <w:lang w:val="uk-UA"/>
        </w:rPr>
        <w:t xml:space="preserve"> </w:t>
      </w:r>
      <w:r w:rsidRPr="00D43235">
        <w:rPr>
          <w:sz w:val="28"/>
          <w:szCs w:val="28"/>
          <w:lang w:val="uk-UA"/>
        </w:rPr>
        <w:t>7,994)</w:t>
      </w:r>
      <w:r w:rsidRPr="00D43235">
        <w:rPr>
          <w:kern w:val="2"/>
          <w:sz w:val="28"/>
          <w:szCs w:val="28"/>
          <w:lang w:val="uk-UA"/>
        </w:rPr>
        <w:t>)]</w:t>
      </w:r>
      <w:r w:rsidRPr="00D43235">
        <w:rPr>
          <w:kern w:val="2"/>
          <w:sz w:val="28"/>
          <w:szCs w:val="28"/>
          <w:vertAlign w:val="superscript"/>
          <w:lang w:val="uk-UA"/>
        </w:rPr>
        <w:t>-1</w:t>
      </w:r>
    </w:p>
    <w:p w:rsidR="00E3259F" w:rsidRPr="00D43235" w:rsidRDefault="00E3259F" w:rsidP="00D43235">
      <w:pPr>
        <w:spacing w:line="360" w:lineRule="auto"/>
        <w:ind w:firstLine="709"/>
        <w:jc w:val="both"/>
        <w:rPr>
          <w:sz w:val="28"/>
          <w:szCs w:val="28"/>
          <w:lang w:val="uk-UA"/>
        </w:rPr>
      </w:pPr>
      <w:r w:rsidRPr="00D43235">
        <w:rPr>
          <w:kern w:val="2"/>
          <w:sz w:val="28"/>
          <w:szCs w:val="28"/>
          <w:lang w:val="uk-UA"/>
        </w:rPr>
        <w:t xml:space="preserve">де </w:t>
      </w:r>
      <w:r w:rsidRPr="00D43235">
        <w:rPr>
          <w:kern w:val="2"/>
          <w:sz w:val="28"/>
          <w:szCs w:val="28"/>
        </w:rPr>
        <w:t>X</w:t>
      </w:r>
      <w:r w:rsidRPr="00D43235">
        <w:rPr>
          <w:kern w:val="2"/>
          <w:sz w:val="28"/>
          <w:szCs w:val="28"/>
          <w:vertAlign w:val="subscript"/>
          <w:lang w:val="uk-UA"/>
        </w:rPr>
        <w:t xml:space="preserve">1 </w:t>
      </w:r>
      <w:r w:rsidRPr="00D43235">
        <w:rPr>
          <w:kern w:val="2"/>
          <w:sz w:val="28"/>
          <w:szCs w:val="28"/>
          <w:lang w:val="uk-UA"/>
        </w:rPr>
        <w:t>– рівень ХС ЛПВЩ в ммоль/л</w:t>
      </w:r>
      <w:r w:rsidRPr="00D43235">
        <w:rPr>
          <w:sz w:val="28"/>
          <w:szCs w:val="28"/>
          <w:lang w:val="uk-UA"/>
        </w:rPr>
        <w:t>;</w:t>
      </w:r>
    </w:p>
    <w:p w:rsidR="00E3259F" w:rsidRPr="00D43235" w:rsidRDefault="00E3259F" w:rsidP="00D43235">
      <w:pPr>
        <w:spacing w:line="360" w:lineRule="auto"/>
        <w:ind w:firstLine="709"/>
        <w:jc w:val="both"/>
        <w:rPr>
          <w:sz w:val="28"/>
          <w:szCs w:val="28"/>
          <w:lang w:val="uk-UA"/>
        </w:rPr>
      </w:pPr>
      <w:r w:rsidRPr="00D43235">
        <w:rPr>
          <w:kern w:val="2"/>
          <w:sz w:val="28"/>
          <w:szCs w:val="28"/>
        </w:rPr>
        <w:t>X</w:t>
      </w:r>
      <w:r w:rsidRPr="00D43235">
        <w:rPr>
          <w:kern w:val="2"/>
          <w:sz w:val="28"/>
          <w:szCs w:val="28"/>
          <w:vertAlign w:val="subscript"/>
          <w:lang w:val="uk-UA"/>
        </w:rPr>
        <w:t xml:space="preserve">2  </w:t>
      </w:r>
      <w:r w:rsidRPr="00D43235">
        <w:rPr>
          <w:kern w:val="2"/>
          <w:sz w:val="28"/>
          <w:szCs w:val="28"/>
          <w:lang w:val="uk-UA"/>
        </w:rPr>
        <w:t xml:space="preserve">- </w:t>
      </w:r>
      <w:r w:rsidRPr="00D43235">
        <w:rPr>
          <w:kern w:val="2"/>
          <w:sz w:val="28"/>
          <w:szCs w:val="28"/>
        </w:rPr>
        <w:t>HOMA</w:t>
      </w:r>
      <w:r w:rsidRPr="00D43235">
        <w:rPr>
          <w:kern w:val="2"/>
          <w:sz w:val="28"/>
          <w:szCs w:val="28"/>
          <w:lang w:val="uk-UA"/>
        </w:rPr>
        <w:t>-</w:t>
      </w:r>
      <w:r w:rsidRPr="00D43235">
        <w:rPr>
          <w:kern w:val="2"/>
          <w:sz w:val="28"/>
          <w:szCs w:val="28"/>
        </w:rPr>
        <w:t>IR</w:t>
      </w:r>
      <w:r w:rsidRPr="00D43235">
        <w:rPr>
          <w:sz w:val="28"/>
          <w:szCs w:val="28"/>
          <w:lang w:val="uk-UA"/>
        </w:rPr>
        <w:t>;</w:t>
      </w:r>
    </w:p>
    <w:p w:rsidR="00E3259F" w:rsidRPr="00D43235" w:rsidRDefault="00E3259F" w:rsidP="00D43235">
      <w:pPr>
        <w:spacing w:line="360" w:lineRule="auto"/>
        <w:ind w:firstLine="709"/>
        <w:jc w:val="both"/>
        <w:rPr>
          <w:sz w:val="28"/>
          <w:szCs w:val="28"/>
          <w:lang w:val="uk-UA"/>
        </w:rPr>
      </w:pPr>
      <w:r w:rsidRPr="00D43235">
        <w:rPr>
          <w:kern w:val="2"/>
          <w:sz w:val="28"/>
          <w:szCs w:val="28"/>
        </w:rPr>
        <w:t>X</w:t>
      </w:r>
      <w:r w:rsidRPr="00D43235">
        <w:rPr>
          <w:kern w:val="2"/>
          <w:sz w:val="28"/>
          <w:szCs w:val="28"/>
          <w:vertAlign w:val="subscript"/>
          <w:lang w:val="uk-UA"/>
        </w:rPr>
        <w:t xml:space="preserve">3  </w:t>
      </w:r>
      <w:r w:rsidRPr="00D43235">
        <w:rPr>
          <w:kern w:val="2"/>
          <w:sz w:val="28"/>
          <w:szCs w:val="28"/>
          <w:lang w:val="uk-UA"/>
        </w:rPr>
        <w:t>- рівень г</w:t>
      </w:r>
      <w:r w:rsidRPr="00D43235">
        <w:rPr>
          <w:sz w:val="28"/>
          <w:szCs w:val="28"/>
          <w:lang w:val="uk-UA"/>
        </w:rPr>
        <w:t>люкози в ммоль/л;</w:t>
      </w:r>
    </w:p>
    <w:p w:rsidR="00E3259F" w:rsidRPr="00D43235" w:rsidRDefault="00E3259F" w:rsidP="00D43235">
      <w:pPr>
        <w:spacing w:line="360" w:lineRule="auto"/>
        <w:ind w:firstLine="709"/>
        <w:jc w:val="both"/>
        <w:rPr>
          <w:sz w:val="28"/>
          <w:szCs w:val="28"/>
          <w:lang w:val="uk-UA"/>
        </w:rPr>
      </w:pPr>
      <w:r w:rsidRPr="00D43235">
        <w:rPr>
          <w:kern w:val="2"/>
          <w:sz w:val="28"/>
          <w:szCs w:val="28"/>
        </w:rPr>
        <w:t>X</w:t>
      </w:r>
      <w:r w:rsidRPr="00D43235">
        <w:rPr>
          <w:kern w:val="2"/>
          <w:sz w:val="28"/>
          <w:szCs w:val="28"/>
          <w:vertAlign w:val="subscript"/>
          <w:lang w:val="uk-UA"/>
        </w:rPr>
        <w:t xml:space="preserve">4 </w:t>
      </w:r>
      <w:r w:rsidRPr="00D43235">
        <w:rPr>
          <w:kern w:val="2"/>
          <w:sz w:val="28"/>
          <w:szCs w:val="28"/>
          <w:lang w:val="uk-UA"/>
        </w:rPr>
        <w:t>-  кількість ЦДЕК (</w:t>
      </w:r>
      <w:r w:rsidRPr="00D43235">
        <w:rPr>
          <w:rFonts w:eastAsia="TimesNewRomanPSMT"/>
          <w:sz w:val="28"/>
          <w:szCs w:val="28"/>
          <w:lang w:val="uk-UA"/>
        </w:rPr>
        <w:t>кл./100 мкл)</w:t>
      </w:r>
      <w:r w:rsidRPr="00D43235">
        <w:rPr>
          <w:sz w:val="28"/>
          <w:szCs w:val="28"/>
          <w:lang w:val="uk-UA"/>
        </w:rPr>
        <w:t>;</w:t>
      </w:r>
    </w:p>
    <w:p w:rsidR="00E3259F" w:rsidRPr="00D43235" w:rsidRDefault="00E3259F" w:rsidP="00D43235">
      <w:pPr>
        <w:spacing w:line="360" w:lineRule="auto"/>
        <w:ind w:firstLine="709"/>
        <w:jc w:val="both"/>
        <w:rPr>
          <w:sz w:val="28"/>
          <w:szCs w:val="28"/>
          <w:lang w:val="uk-UA"/>
        </w:rPr>
      </w:pPr>
      <w:r w:rsidRPr="00D43235">
        <w:rPr>
          <w:kern w:val="2"/>
          <w:sz w:val="28"/>
          <w:szCs w:val="28"/>
        </w:rPr>
        <w:t>X</w:t>
      </w:r>
      <w:r w:rsidRPr="00D43235">
        <w:rPr>
          <w:kern w:val="2"/>
          <w:sz w:val="28"/>
          <w:szCs w:val="28"/>
          <w:vertAlign w:val="subscript"/>
          <w:lang w:val="uk-UA"/>
        </w:rPr>
        <w:t xml:space="preserve">5 </w:t>
      </w:r>
      <w:r w:rsidRPr="00D43235">
        <w:rPr>
          <w:kern w:val="2"/>
          <w:sz w:val="28"/>
          <w:szCs w:val="28"/>
          <w:lang w:val="uk-UA"/>
        </w:rPr>
        <w:t xml:space="preserve">– рівень </w:t>
      </w:r>
      <w:r w:rsidRPr="00D43235">
        <w:rPr>
          <w:sz w:val="28"/>
          <w:szCs w:val="28"/>
          <w:lang w:val="uk-UA"/>
        </w:rPr>
        <w:t xml:space="preserve">8-OH-dG; </w:t>
      </w:r>
    </w:p>
    <w:p w:rsidR="00E3259F" w:rsidRPr="00D43235" w:rsidRDefault="00E3259F" w:rsidP="00D43235">
      <w:pPr>
        <w:spacing w:line="360" w:lineRule="auto"/>
        <w:ind w:firstLine="709"/>
        <w:jc w:val="both"/>
        <w:rPr>
          <w:sz w:val="28"/>
          <w:szCs w:val="28"/>
          <w:lang w:val="uk-UA" w:eastAsia="en-US"/>
        </w:rPr>
      </w:pPr>
      <w:r w:rsidRPr="00D43235">
        <w:rPr>
          <w:kern w:val="2"/>
          <w:sz w:val="28"/>
          <w:szCs w:val="28"/>
        </w:rPr>
        <w:t>X</w:t>
      </w:r>
      <w:r w:rsidRPr="00D43235">
        <w:rPr>
          <w:kern w:val="2"/>
          <w:sz w:val="28"/>
          <w:szCs w:val="28"/>
          <w:vertAlign w:val="subscript"/>
          <w:lang w:val="uk-UA"/>
        </w:rPr>
        <w:t xml:space="preserve">6 </w:t>
      </w:r>
      <w:r w:rsidRPr="00D43235">
        <w:rPr>
          <w:kern w:val="2"/>
          <w:sz w:val="28"/>
          <w:szCs w:val="28"/>
          <w:lang w:val="uk-UA"/>
        </w:rPr>
        <w:t xml:space="preserve">– </w:t>
      </w:r>
      <w:r w:rsidRPr="00D43235">
        <w:rPr>
          <w:sz w:val="28"/>
          <w:szCs w:val="28"/>
          <w:lang w:val="uk-UA"/>
        </w:rPr>
        <w:t xml:space="preserve">ВДТ. </w:t>
      </w:r>
    </w:p>
    <w:p w:rsidR="00E3259F" w:rsidRPr="00D43235" w:rsidRDefault="00E3259F" w:rsidP="00D43235">
      <w:pPr>
        <w:spacing w:line="360" w:lineRule="auto"/>
        <w:ind w:firstLine="709"/>
        <w:jc w:val="both"/>
        <w:rPr>
          <w:rFonts w:eastAsiaTheme="minorHAnsi"/>
          <w:sz w:val="28"/>
          <w:szCs w:val="28"/>
          <w:shd w:val="clear" w:color="auto" w:fill="FFFFFF"/>
          <w:lang w:val="uk-UA"/>
        </w:rPr>
      </w:pPr>
      <w:r w:rsidRPr="00D43235">
        <w:rPr>
          <w:sz w:val="28"/>
          <w:szCs w:val="28"/>
        </w:rPr>
        <w:t xml:space="preserve">Значення </w:t>
      </w:r>
      <w:r w:rsidRPr="00D43235">
        <w:rPr>
          <w:kern w:val="2"/>
          <w:position w:val="-4"/>
          <w:sz w:val="28"/>
          <w:szCs w:val="28"/>
          <w:lang w:eastAsia="en-US"/>
        </w:rPr>
        <w:object w:dxaOrig="420" w:dyaOrig="420">
          <v:shape id="_x0000_i1095" type="#_x0000_t75" style="width:21.75pt;height:21.75pt" o:ole="">
            <v:imagedata r:id="rId58" o:title=""/>
          </v:shape>
          <o:OLEObject Type="Embed" ProgID="Equation.3" ShapeID="_x0000_i1095" DrawAspect="Content" ObjectID="_1669446879" r:id="rId118"/>
        </w:object>
      </w:r>
      <w:r w:rsidRPr="00D43235">
        <w:rPr>
          <w:kern w:val="2"/>
          <w:position w:val="-4"/>
          <w:sz w:val="28"/>
          <w:szCs w:val="28"/>
          <w:lang w:val="uk-UA"/>
        </w:rPr>
        <w:t xml:space="preserve">знаходиться </w:t>
      </w:r>
      <w:r w:rsidRPr="00D43235">
        <w:rPr>
          <w:sz w:val="28"/>
          <w:szCs w:val="28"/>
        </w:rPr>
        <w:t xml:space="preserve">в межах від 0 до 1. Чим ближче до 1, тим вище ймовірність розвитку </w:t>
      </w:r>
      <w:r w:rsidRPr="00D43235">
        <w:rPr>
          <w:sz w:val="28"/>
          <w:szCs w:val="28"/>
          <w:lang w:val="uk-UA"/>
        </w:rPr>
        <w:t xml:space="preserve">ССУ. Наразі високої ймовірності розвитку ССУ рекомендована модифікація способу життя (корекція дієти, підвищення фізичної активності за рахунок аеробного навантаження) та за потреби корекція антидіабетичної та гіполіпідемічної терапії. </w:t>
      </w:r>
    </w:p>
    <w:p w:rsidR="00E3259F" w:rsidRPr="00D43235" w:rsidRDefault="00E3259F" w:rsidP="00D43235">
      <w:pPr>
        <w:spacing w:line="360" w:lineRule="auto"/>
        <w:ind w:firstLine="709"/>
        <w:jc w:val="both"/>
        <w:rPr>
          <w:sz w:val="28"/>
          <w:szCs w:val="28"/>
          <w:shd w:val="clear" w:color="auto" w:fill="FFFFFF"/>
          <w:lang w:val="uk-UA"/>
        </w:rPr>
      </w:pPr>
      <w:r w:rsidRPr="00D43235">
        <w:rPr>
          <w:sz w:val="28"/>
          <w:szCs w:val="28"/>
          <w:shd w:val="clear" w:color="auto" w:fill="FFFFFF"/>
          <w:lang w:val="uk-UA"/>
        </w:rPr>
        <w:t>5 . Пацієнтам з рівнями ТТГ більше 4,0 мкМОд/мл при нормальних значеннях Т3віл та Т4віл у не менш, ніж у двох повторних аналізах з інтервалом в 3 місяці, встановлюють діагноз – СГТ. Залежно від прийому статинів такі пацієнти розподіляються на групи: ті, які регулярно приймають статини та ті, які за відсутністю протипоказань за будь-яких обставин, не приймають статини.</w:t>
      </w:r>
    </w:p>
    <w:p w:rsidR="00E3259F" w:rsidRPr="00D43235" w:rsidRDefault="00E3259F" w:rsidP="00D43235">
      <w:pPr>
        <w:spacing w:line="360" w:lineRule="auto"/>
        <w:ind w:firstLine="709"/>
        <w:jc w:val="both"/>
        <w:rPr>
          <w:sz w:val="28"/>
          <w:szCs w:val="28"/>
          <w:shd w:val="clear" w:color="auto" w:fill="FFFFFF"/>
          <w:lang w:val="uk-UA"/>
        </w:rPr>
      </w:pPr>
      <w:r w:rsidRPr="00D43235">
        <w:rPr>
          <w:sz w:val="28"/>
          <w:szCs w:val="28"/>
          <w:shd w:val="clear" w:color="auto" w:fill="FFFFFF"/>
          <w:lang w:val="uk-UA"/>
        </w:rPr>
        <w:t>6.  Пацієнтам з поєднаним перебігом ГХ, ЦД 2 типу та СГТ, які не приймали статини, у разі відсутності протипоказань, рекомендовано призначення статинотерапії (згідно існуючих рекомендацій) – аторвастатин 20 мг/добу або розувастатин 10 мг/добу з подальшим динамічним спостереженням.</w:t>
      </w:r>
    </w:p>
    <w:p w:rsidR="00E3259F" w:rsidRPr="00D43235" w:rsidRDefault="00E3259F" w:rsidP="00D43235">
      <w:pPr>
        <w:spacing w:line="360" w:lineRule="auto"/>
        <w:ind w:firstLine="709"/>
        <w:jc w:val="both"/>
        <w:rPr>
          <w:sz w:val="28"/>
          <w:szCs w:val="28"/>
          <w:shd w:val="clear" w:color="auto" w:fill="FFFFFF"/>
          <w:lang w:val="uk-UA"/>
        </w:rPr>
      </w:pPr>
      <w:r w:rsidRPr="00D43235">
        <w:rPr>
          <w:sz w:val="28"/>
          <w:szCs w:val="28"/>
          <w:shd w:val="clear" w:color="auto" w:fill="FFFFFF"/>
          <w:lang w:val="uk-UA"/>
        </w:rPr>
        <w:t>6. Пацієнти з ГХ, ЦД 2 типу та СГТ, які приймають статини, поділяються на дві групи: пацієнти з рівнем ТТГ від 4,1 до 6,0 мкМОд/мл та пацієнти з рівнем ТТГ більш 6,0 мкМОд/мл.</w:t>
      </w:r>
    </w:p>
    <w:p w:rsidR="00E3259F" w:rsidRPr="00D43235" w:rsidRDefault="00E3259F" w:rsidP="00D43235">
      <w:pPr>
        <w:spacing w:line="360" w:lineRule="auto"/>
        <w:ind w:firstLine="709"/>
        <w:jc w:val="both"/>
        <w:rPr>
          <w:sz w:val="28"/>
          <w:szCs w:val="28"/>
        </w:rPr>
      </w:pPr>
      <w:r w:rsidRPr="00D43235">
        <w:rPr>
          <w:sz w:val="28"/>
          <w:szCs w:val="28"/>
          <w:shd w:val="clear" w:color="auto" w:fill="FFFFFF"/>
          <w:lang w:val="uk-UA"/>
        </w:rPr>
        <w:t>7. Пацієнтам з поєднаним перебігом ГХ, ЦД 2 типу та СГТ з рівнем ТТГ понад 6,0 мкМО/мл рекомендовано призначення левотироксину в індивідуально підібраних дозах до досягнення еутиреозу. Д</w:t>
      </w:r>
      <w:r w:rsidRPr="00D43235">
        <w:rPr>
          <w:sz w:val="28"/>
          <w:szCs w:val="28"/>
        </w:rPr>
        <w:t>ля визначення перебігу захворюва</w:t>
      </w:r>
      <w:r w:rsidRPr="00D43235">
        <w:rPr>
          <w:sz w:val="28"/>
          <w:szCs w:val="28"/>
          <w:lang w:val="uk-UA"/>
        </w:rPr>
        <w:t xml:space="preserve">нь до початку прийому левотироксину та після досягнення еутирезу </w:t>
      </w:r>
      <w:r w:rsidRPr="00D43235">
        <w:rPr>
          <w:sz w:val="28"/>
          <w:szCs w:val="28"/>
        </w:rPr>
        <w:t>рекомендовано проведення лабораторних досліджень</w:t>
      </w:r>
      <w:r w:rsidRPr="00D43235">
        <w:rPr>
          <w:sz w:val="28"/>
          <w:szCs w:val="28"/>
          <w:lang w:val="uk-UA"/>
        </w:rPr>
        <w:t>, які, передусім включають визнані фактори кардіо-васкулярного ризику</w:t>
      </w:r>
      <w:r w:rsidRPr="00D43235">
        <w:rPr>
          <w:sz w:val="28"/>
          <w:szCs w:val="28"/>
        </w:rPr>
        <w:t>:</w:t>
      </w:r>
    </w:p>
    <w:p w:rsidR="00E3259F" w:rsidRPr="00D43235" w:rsidRDefault="00E3259F" w:rsidP="00D43235">
      <w:pPr>
        <w:numPr>
          <w:ilvl w:val="0"/>
          <w:numId w:val="18"/>
        </w:numPr>
        <w:tabs>
          <w:tab w:val="num" w:pos="0"/>
        </w:tabs>
        <w:spacing w:line="360" w:lineRule="auto"/>
        <w:ind w:left="0" w:firstLine="709"/>
        <w:jc w:val="both"/>
        <w:rPr>
          <w:sz w:val="28"/>
          <w:szCs w:val="28"/>
        </w:rPr>
      </w:pPr>
      <w:r w:rsidRPr="00D43235">
        <w:rPr>
          <w:sz w:val="28"/>
          <w:szCs w:val="28"/>
        </w:rPr>
        <w:t xml:space="preserve">Порушення ліпідного обміну: </w:t>
      </w:r>
    </w:p>
    <w:p w:rsidR="00E3259F" w:rsidRPr="00D43235" w:rsidRDefault="00E3259F" w:rsidP="00D43235">
      <w:pPr>
        <w:pStyle w:val="a4"/>
        <w:numPr>
          <w:ilvl w:val="0"/>
          <w:numId w:val="20"/>
        </w:numPr>
        <w:tabs>
          <w:tab w:val="num" w:pos="0"/>
        </w:tabs>
        <w:spacing w:line="360" w:lineRule="auto"/>
        <w:ind w:left="0" w:firstLine="709"/>
        <w:rPr>
          <w:rFonts w:eastAsiaTheme="minorHAnsi"/>
          <w:sz w:val="28"/>
          <w:szCs w:val="28"/>
          <w:lang w:eastAsia="en-US"/>
        </w:rPr>
      </w:pPr>
      <w:r w:rsidRPr="00D43235">
        <w:rPr>
          <w:rFonts w:eastAsiaTheme="minorHAnsi"/>
          <w:sz w:val="28"/>
          <w:szCs w:val="28"/>
          <w:lang w:val="uk-UA" w:eastAsia="en-US"/>
        </w:rPr>
        <w:t>ЗХС</w:t>
      </w:r>
      <w:r w:rsidRPr="00D43235">
        <w:rPr>
          <w:rFonts w:eastAsiaTheme="minorHAnsi"/>
          <w:sz w:val="28"/>
          <w:szCs w:val="28"/>
          <w:lang w:eastAsia="en-US"/>
        </w:rPr>
        <w:t xml:space="preserve"> &gt; </w:t>
      </w:r>
      <w:r w:rsidRPr="00D43235">
        <w:rPr>
          <w:rFonts w:eastAsiaTheme="minorHAnsi"/>
          <w:sz w:val="28"/>
          <w:szCs w:val="28"/>
          <w:lang w:val="uk-UA" w:eastAsia="en-US"/>
        </w:rPr>
        <w:t>4</w:t>
      </w:r>
      <w:r w:rsidRPr="00D43235">
        <w:rPr>
          <w:rFonts w:eastAsiaTheme="minorHAnsi"/>
          <w:sz w:val="28"/>
          <w:szCs w:val="28"/>
          <w:lang w:eastAsia="en-US"/>
        </w:rPr>
        <w:t>,</w:t>
      </w:r>
      <w:r w:rsidRPr="00D43235">
        <w:rPr>
          <w:rFonts w:eastAsiaTheme="minorHAnsi"/>
          <w:sz w:val="28"/>
          <w:szCs w:val="28"/>
          <w:lang w:val="uk-UA" w:eastAsia="en-US"/>
        </w:rPr>
        <w:t>9</w:t>
      </w:r>
      <w:r w:rsidRPr="00D43235">
        <w:rPr>
          <w:rFonts w:eastAsiaTheme="minorHAnsi"/>
          <w:sz w:val="28"/>
          <w:szCs w:val="28"/>
          <w:lang w:eastAsia="en-US"/>
        </w:rPr>
        <w:t xml:space="preserve"> ммоль/л, </w:t>
      </w:r>
      <w:r w:rsidRPr="00D43235">
        <w:rPr>
          <w:rFonts w:eastAsiaTheme="minorHAnsi"/>
          <w:sz w:val="28"/>
          <w:szCs w:val="28"/>
          <w:lang w:val="uk-UA" w:eastAsia="en-US"/>
        </w:rPr>
        <w:t>ТГ</w:t>
      </w:r>
      <w:r w:rsidRPr="00D43235">
        <w:rPr>
          <w:rFonts w:eastAsiaTheme="minorHAnsi"/>
          <w:sz w:val="28"/>
          <w:szCs w:val="28"/>
          <w:lang w:eastAsia="en-US"/>
        </w:rPr>
        <w:t xml:space="preserve"> &gt; 1,</w:t>
      </w:r>
      <w:r w:rsidRPr="00D43235">
        <w:rPr>
          <w:rFonts w:eastAsiaTheme="minorHAnsi"/>
          <w:sz w:val="28"/>
          <w:szCs w:val="28"/>
          <w:lang w:val="uk-UA" w:eastAsia="en-US"/>
        </w:rPr>
        <w:t>7</w:t>
      </w:r>
      <w:r w:rsidRPr="00D43235">
        <w:rPr>
          <w:rFonts w:eastAsiaTheme="minorHAnsi"/>
          <w:sz w:val="28"/>
          <w:szCs w:val="28"/>
          <w:lang w:eastAsia="en-US"/>
        </w:rPr>
        <w:t xml:space="preserve"> ммоль/л, </w:t>
      </w:r>
      <w:r w:rsidRPr="00D43235">
        <w:rPr>
          <w:rFonts w:eastAsiaTheme="minorHAnsi"/>
          <w:sz w:val="28"/>
          <w:szCs w:val="28"/>
          <w:lang w:val="uk-UA" w:eastAsia="en-US"/>
        </w:rPr>
        <w:t xml:space="preserve"> ХС </w:t>
      </w:r>
      <w:r w:rsidRPr="00D43235">
        <w:rPr>
          <w:rFonts w:eastAsiaTheme="minorHAnsi"/>
          <w:sz w:val="28"/>
          <w:szCs w:val="28"/>
          <w:lang w:eastAsia="en-US"/>
        </w:rPr>
        <w:t xml:space="preserve">ЛПДНЩ &gt; 0,96 ммоль/л та </w:t>
      </w:r>
      <w:r w:rsidRPr="00D43235">
        <w:rPr>
          <w:rFonts w:eastAsiaTheme="minorHAnsi"/>
          <w:sz w:val="28"/>
          <w:szCs w:val="28"/>
          <w:lang w:val="uk-UA" w:eastAsia="en-US"/>
        </w:rPr>
        <w:t xml:space="preserve"> ХС </w:t>
      </w:r>
      <w:r w:rsidRPr="00D43235">
        <w:rPr>
          <w:rFonts w:eastAsiaTheme="minorHAnsi"/>
          <w:sz w:val="28"/>
          <w:szCs w:val="28"/>
          <w:lang w:eastAsia="en-US"/>
        </w:rPr>
        <w:t xml:space="preserve">ЛПНЩ &gt; </w:t>
      </w:r>
      <w:r w:rsidRPr="00D43235">
        <w:rPr>
          <w:rFonts w:eastAsiaTheme="minorHAnsi"/>
          <w:sz w:val="28"/>
          <w:szCs w:val="28"/>
          <w:lang w:val="uk-UA" w:eastAsia="en-US"/>
        </w:rPr>
        <w:t>1</w:t>
      </w:r>
      <w:r w:rsidRPr="00D43235">
        <w:rPr>
          <w:rFonts w:eastAsiaTheme="minorHAnsi"/>
          <w:sz w:val="28"/>
          <w:szCs w:val="28"/>
          <w:lang w:eastAsia="en-US"/>
        </w:rPr>
        <w:t>,8 ммоль/л</w:t>
      </w:r>
      <w:r w:rsidRPr="00D43235">
        <w:rPr>
          <w:rFonts w:eastAsiaTheme="minorHAnsi"/>
          <w:sz w:val="28"/>
          <w:szCs w:val="28"/>
          <w:lang w:val="uk-UA" w:eastAsia="en-US"/>
        </w:rPr>
        <w:t xml:space="preserve">,  ХС </w:t>
      </w:r>
      <w:r w:rsidRPr="00D43235">
        <w:rPr>
          <w:rFonts w:eastAsiaTheme="minorHAnsi"/>
          <w:sz w:val="28"/>
          <w:szCs w:val="28"/>
          <w:lang w:eastAsia="en-US"/>
        </w:rPr>
        <w:t xml:space="preserve">ЛПВЩ&lt; </w:t>
      </w:r>
      <w:r w:rsidRPr="00D43235">
        <w:rPr>
          <w:rFonts w:eastAsiaTheme="minorHAnsi"/>
          <w:sz w:val="28"/>
          <w:szCs w:val="28"/>
          <w:lang w:val="uk-UA" w:eastAsia="en-US"/>
        </w:rPr>
        <w:t xml:space="preserve">1,2 ммоль/л </w:t>
      </w:r>
      <w:r w:rsidRPr="00D43235">
        <w:rPr>
          <w:rFonts w:eastAsiaTheme="minorHAnsi"/>
          <w:sz w:val="28"/>
          <w:szCs w:val="28"/>
          <w:lang w:eastAsia="en-US"/>
        </w:rPr>
        <w:t>у</w:t>
      </w:r>
      <w:r w:rsidRPr="00D43235">
        <w:rPr>
          <w:rStyle w:val="apple-converted-space"/>
          <w:rFonts w:eastAsiaTheme="minorHAnsi"/>
          <w:sz w:val="28"/>
          <w:szCs w:val="28"/>
          <w:lang w:eastAsia="en-US"/>
        </w:rPr>
        <w:t> </w:t>
      </w:r>
      <w:r w:rsidRPr="00D43235">
        <w:rPr>
          <w:rStyle w:val="afa"/>
          <w:rFonts w:eastAsiaTheme="minorHAnsi"/>
          <w:b w:val="0"/>
          <w:sz w:val="28"/>
          <w:szCs w:val="28"/>
          <w:bdr w:val="none" w:sz="0" w:space="0" w:color="auto" w:frame="1"/>
          <w:lang w:eastAsia="en-US"/>
        </w:rPr>
        <w:t>жінок та</w:t>
      </w:r>
      <w:r w:rsidRPr="00D43235">
        <w:rPr>
          <w:rStyle w:val="afa"/>
          <w:rFonts w:eastAsiaTheme="minorHAnsi"/>
          <w:sz w:val="28"/>
          <w:szCs w:val="28"/>
          <w:bdr w:val="none" w:sz="0" w:space="0" w:color="auto" w:frame="1"/>
          <w:lang w:eastAsia="en-US"/>
        </w:rPr>
        <w:t xml:space="preserve"> </w:t>
      </w:r>
      <w:r w:rsidRPr="00D43235">
        <w:rPr>
          <w:rStyle w:val="afa"/>
          <w:rFonts w:ascii="Tahoma" w:eastAsiaTheme="minorHAnsi" w:hAnsi="Tahoma" w:cs="Tahoma"/>
          <w:sz w:val="28"/>
          <w:szCs w:val="28"/>
          <w:bdr w:val="none" w:sz="0" w:space="0" w:color="auto" w:frame="1"/>
          <w:lang w:val="uk-UA" w:eastAsia="en-US"/>
        </w:rPr>
        <w:t xml:space="preserve">      </w:t>
      </w:r>
      <w:r w:rsidRPr="00D43235">
        <w:rPr>
          <w:rFonts w:eastAsiaTheme="minorHAnsi"/>
          <w:sz w:val="28"/>
          <w:szCs w:val="28"/>
          <w:lang w:eastAsia="en-US"/>
        </w:rPr>
        <w:t>&lt;</w:t>
      </w:r>
      <w:r w:rsidRPr="00D43235">
        <w:rPr>
          <w:rFonts w:eastAsiaTheme="minorHAnsi"/>
          <w:sz w:val="28"/>
          <w:szCs w:val="28"/>
          <w:lang w:val="uk-UA" w:eastAsia="en-US"/>
        </w:rPr>
        <w:t>1,0</w:t>
      </w:r>
      <w:r w:rsidRPr="00D43235">
        <w:rPr>
          <w:rFonts w:eastAsiaTheme="minorHAnsi"/>
          <w:sz w:val="28"/>
          <w:szCs w:val="28"/>
          <w:lang w:eastAsia="en-US"/>
        </w:rPr>
        <w:t xml:space="preserve"> ммоль/л для чоловіків. </w:t>
      </w:r>
    </w:p>
    <w:p w:rsidR="00E3259F" w:rsidRPr="00D43235" w:rsidRDefault="00E3259F" w:rsidP="00D43235">
      <w:pPr>
        <w:numPr>
          <w:ilvl w:val="0"/>
          <w:numId w:val="22"/>
        </w:numPr>
        <w:spacing w:line="360" w:lineRule="auto"/>
        <w:ind w:left="0" w:firstLine="709"/>
        <w:jc w:val="both"/>
        <w:rPr>
          <w:sz w:val="28"/>
          <w:szCs w:val="28"/>
        </w:rPr>
      </w:pPr>
      <w:r w:rsidRPr="00D43235">
        <w:rPr>
          <w:sz w:val="28"/>
          <w:szCs w:val="28"/>
          <w:lang w:val="uk-UA"/>
        </w:rPr>
        <w:t>П</w:t>
      </w:r>
      <w:r w:rsidRPr="00D43235">
        <w:rPr>
          <w:sz w:val="28"/>
          <w:szCs w:val="28"/>
        </w:rPr>
        <w:t>орушен</w:t>
      </w:r>
      <w:r w:rsidRPr="00D43235">
        <w:rPr>
          <w:sz w:val="28"/>
          <w:szCs w:val="28"/>
          <w:lang w:val="uk-UA"/>
        </w:rPr>
        <w:t>ня</w:t>
      </w:r>
      <w:r w:rsidRPr="00D43235">
        <w:rPr>
          <w:sz w:val="28"/>
          <w:szCs w:val="28"/>
        </w:rPr>
        <w:t xml:space="preserve"> вуглеводного обміну:</w:t>
      </w:r>
    </w:p>
    <w:p w:rsidR="00E3259F" w:rsidRPr="00D43235" w:rsidRDefault="00E3259F" w:rsidP="00D43235">
      <w:pPr>
        <w:pStyle w:val="a4"/>
        <w:numPr>
          <w:ilvl w:val="0"/>
          <w:numId w:val="20"/>
        </w:numPr>
        <w:spacing w:line="360" w:lineRule="auto"/>
        <w:ind w:left="0" w:firstLine="709"/>
        <w:jc w:val="both"/>
        <w:rPr>
          <w:rFonts w:eastAsia="Calibri"/>
          <w:sz w:val="28"/>
          <w:szCs w:val="28"/>
          <w:lang w:eastAsia="en-US"/>
        </w:rPr>
      </w:pPr>
      <w:r w:rsidRPr="00D43235">
        <w:rPr>
          <w:rFonts w:eastAsiaTheme="minorHAnsi"/>
          <w:sz w:val="28"/>
          <w:szCs w:val="28"/>
          <w:lang w:eastAsia="en-US"/>
        </w:rPr>
        <w:t xml:space="preserve"> гіперглікемія натще &gt; </w:t>
      </w:r>
      <w:r w:rsidRPr="00D43235">
        <w:rPr>
          <w:rFonts w:eastAsiaTheme="minorHAnsi"/>
          <w:sz w:val="28"/>
          <w:szCs w:val="28"/>
          <w:lang w:val="uk-UA" w:eastAsia="en-US"/>
        </w:rPr>
        <w:t>7</w:t>
      </w:r>
      <w:r w:rsidRPr="00D43235">
        <w:rPr>
          <w:rFonts w:eastAsiaTheme="minorHAnsi"/>
          <w:sz w:val="28"/>
          <w:szCs w:val="28"/>
          <w:lang w:eastAsia="en-US"/>
        </w:rPr>
        <w:t>,</w:t>
      </w:r>
      <w:r w:rsidRPr="00D43235">
        <w:rPr>
          <w:rFonts w:eastAsiaTheme="minorHAnsi"/>
          <w:sz w:val="28"/>
          <w:szCs w:val="28"/>
          <w:lang w:val="uk-UA" w:eastAsia="en-US"/>
        </w:rPr>
        <w:t>0</w:t>
      </w:r>
      <w:r w:rsidRPr="00D43235">
        <w:rPr>
          <w:rFonts w:eastAsiaTheme="minorHAnsi"/>
          <w:sz w:val="28"/>
          <w:szCs w:val="28"/>
          <w:lang w:eastAsia="en-US"/>
        </w:rPr>
        <w:t xml:space="preserve"> ммоль/л</w:t>
      </w:r>
      <w:r w:rsidRPr="00D43235">
        <w:rPr>
          <w:rFonts w:ascii="Tahoma" w:hAnsi="Tahoma" w:cs="Tahoma"/>
          <w:sz w:val="28"/>
          <w:szCs w:val="28"/>
        </w:rPr>
        <w:t xml:space="preserve"> </w:t>
      </w:r>
      <w:r w:rsidRPr="00D43235">
        <w:rPr>
          <w:sz w:val="28"/>
          <w:szCs w:val="28"/>
        </w:rPr>
        <w:t>HbA1</w:t>
      </w:r>
      <w:r w:rsidRPr="00D43235">
        <w:rPr>
          <w:sz w:val="28"/>
          <w:szCs w:val="28"/>
          <w:lang w:val="uk-UA"/>
        </w:rPr>
        <w:t>с</w:t>
      </w:r>
      <w:r w:rsidRPr="00D43235">
        <w:rPr>
          <w:rFonts w:eastAsiaTheme="minorHAnsi"/>
          <w:sz w:val="28"/>
          <w:szCs w:val="28"/>
          <w:lang w:val="uk-UA" w:eastAsia="en-US"/>
        </w:rPr>
        <w:t xml:space="preserve"> &gt;7,0%, </w:t>
      </w:r>
      <w:r w:rsidRPr="00D43235">
        <w:rPr>
          <w:rFonts w:eastAsiaTheme="minorHAnsi"/>
          <w:sz w:val="28"/>
          <w:szCs w:val="28"/>
          <w:lang w:eastAsia="en-US"/>
        </w:rPr>
        <w:t>визначення стану ІР –</w:t>
      </w:r>
      <w:r w:rsidRPr="00D43235">
        <w:rPr>
          <w:rFonts w:eastAsiaTheme="minorHAnsi"/>
          <w:sz w:val="28"/>
          <w:szCs w:val="28"/>
          <w:lang w:val="uk-UA" w:eastAsia="en-US"/>
        </w:rPr>
        <w:t>індекс</w:t>
      </w:r>
      <w:r w:rsidRPr="00D43235">
        <w:rPr>
          <w:rFonts w:eastAsiaTheme="minorHAnsi"/>
          <w:sz w:val="28"/>
          <w:szCs w:val="28"/>
          <w:lang w:eastAsia="en-US"/>
        </w:rPr>
        <w:t xml:space="preserve"> НОМА – І</w:t>
      </w:r>
      <w:r w:rsidRPr="00D43235">
        <w:rPr>
          <w:rFonts w:eastAsiaTheme="minorHAnsi"/>
          <w:sz w:val="28"/>
          <w:szCs w:val="28"/>
          <w:lang w:val="en-US" w:eastAsia="en-US"/>
        </w:rPr>
        <w:t>R</w:t>
      </w:r>
      <w:r w:rsidRPr="00D43235">
        <w:rPr>
          <w:rFonts w:eastAsiaTheme="minorHAnsi"/>
          <w:sz w:val="28"/>
          <w:szCs w:val="28"/>
          <w:lang w:eastAsia="en-US"/>
        </w:rPr>
        <w:t>- більше 2,</w:t>
      </w:r>
      <w:r w:rsidRPr="00D43235">
        <w:rPr>
          <w:rFonts w:eastAsiaTheme="minorHAnsi"/>
          <w:sz w:val="28"/>
          <w:szCs w:val="28"/>
          <w:lang w:val="uk-UA" w:eastAsia="en-US"/>
        </w:rPr>
        <w:t>7</w:t>
      </w:r>
      <w:r w:rsidRPr="00D43235">
        <w:rPr>
          <w:rFonts w:eastAsiaTheme="minorHAnsi"/>
          <w:sz w:val="28"/>
          <w:szCs w:val="28"/>
          <w:lang w:eastAsia="en-US"/>
        </w:rPr>
        <w:t xml:space="preserve">. </w:t>
      </w:r>
    </w:p>
    <w:p w:rsidR="00E3259F" w:rsidRPr="00D43235" w:rsidRDefault="00E3259F" w:rsidP="00D43235">
      <w:pPr>
        <w:pStyle w:val="a4"/>
        <w:numPr>
          <w:ilvl w:val="0"/>
          <w:numId w:val="24"/>
        </w:numPr>
        <w:spacing w:line="360" w:lineRule="auto"/>
        <w:ind w:left="0" w:firstLine="709"/>
        <w:jc w:val="both"/>
        <w:rPr>
          <w:rFonts w:eastAsia="Calibri"/>
          <w:sz w:val="28"/>
          <w:szCs w:val="28"/>
          <w:lang w:eastAsia="en-US"/>
        </w:rPr>
      </w:pPr>
      <w:r w:rsidRPr="00D43235">
        <w:rPr>
          <w:rFonts w:eastAsia="Calibri"/>
          <w:sz w:val="28"/>
          <w:szCs w:val="28"/>
          <w:lang w:val="uk-UA" w:eastAsia="en-US"/>
        </w:rPr>
        <w:t>Підвищення ТКІМ ЗСА ( більше 0,9 мм та виявлення наявності атеросклеротичних бляшок)</w:t>
      </w:r>
    </w:p>
    <w:p w:rsidR="00E3259F" w:rsidRPr="00D43235" w:rsidRDefault="00E3259F" w:rsidP="00D43235">
      <w:pPr>
        <w:pStyle w:val="a4"/>
        <w:numPr>
          <w:ilvl w:val="0"/>
          <w:numId w:val="24"/>
        </w:numPr>
        <w:spacing w:line="360" w:lineRule="auto"/>
        <w:ind w:left="0" w:firstLine="709"/>
        <w:jc w:val="both"/>
        <w:rPr>
          <w:rFonts w:eastAsia="Calibri"/>
          <w:sz w:val="28"/>
          <w:szCs w:val="28"/>
          <w:lang w:val="uk-UA" w:eastAsia="en-US"/>
        </w:rPr>
      </w:pPr>
      <w:r w:rsidRPr="00D43235">
        <w:rPr>
          <w:rFonts w:eastAsia="Calibri"/>
          <w:sz w:val="28"/>
          <w:szCs w:val="28"/>
          <w:lang w:val="uk-UA" w:eastAsia="en-US"/>
        </w:rPr>
        <w:t>Підвищений артеріальний тиск (САТ&gt;130 мм.рт.ст, ДАТ&gt;80 мм.рт.ст.)</w:t>
      </w:r>
    </w:p>
    <w:p w:rsidR="00E3259F" w:rsidRPr="00D43235" w:rsidRDefault="00E3259F" w:rsidP="00D43235">
      <w:pPr>
        <w:autoSpaceDE w:val="0"/>
        <w:autoSpaceDN w:val="0"/>
        <w:adjustRightInd w:val="0"/>
        <w:spacing w:line="360" w:lineRule="auto"/>
        <w:ind w:firstLine="709"/>
        <w:jc w:val="both"/>
        <w:rPr>
          <w:sz w:val="28"/>
          <w:szCs w:val="28"/>
          <w:shd w:val="clear" w:color="auto" w:fill="FFFFFF"/>
          <w:lang w:val="uk-UA"/>
        </w:rPr>
      </w:pPr>
      <w:r w:rsidRPr="00D43235">
        <w:rPr>
          <w:sz w:val="28"/>
          <w:szCs w:val="28"/>
          <w:shd w:val="clear" w:color="auto" w:fill="FFFFFF"/>
          <w:lang w:val="uk-UA"/>
        </w:rPr>
        <w:t>5. Хворим з поєднаним перебігом ГХ, ЦД 2 типу та СГТ з рівнем ТТГ нижче 6,0 мкМО/мл для ранньої діагностики прогнозу та перебігу цих захворювань рекомендовано оцінити ризик розвитку серцево-судинних ускладнень за формулою:</w:t>
      </w:r>
    </w:p>
    <w:p w:rsidR="00E3259F" w:rsidRPr="00D43235" w:rsidRDefault="00E3259F" w:rsidP="00D43235">
      <w:pPr>
        <w:autoSpaceDE w:val="0"/>
        <w:autoSpaceDN w:val="0"/>
        <w:adjustRightInd w:val="0"/>
        <w:spacing w:line="360" w:lineRule="auto"/>
        <w:ind w:firstLine="709"/>
        <w:jc w:val="both"/>
        <w:rPr>
          <w:rFonts w:eastAsia="Calibri"/>
          <w:sz w:val="28"/>
          <w:szCs w:val="28"/>
          <w:lang w:val="uk-UA"/>
        </w:rPr>
      </w:pPr>
      <w:r w:rsidRPr="00D43235">
        <w:rPr>
          <w:kern w:val="2"/>
          <w:position w:val="-4"/>
          <w:sz w:val="28"/>
          <w:szCs w:val="28"/>
          <w:lang w:val="uk-UA"/>
        </w:rPr>
        <w:t xml:space="preserve"> </w:t>
      </w:r>
      <w:r w:rsidRPr="00D43235">
        <w:rPr>
          <w:kern w:val="2"/>
          <w:position w:val="-4"/>
          <w:sz w:val="28"/>
          <w:szCs w:val="28"/>
          <w:lang w:eastAsia="en-US"/>
        </w:rPr>
        <w:object w:dxaOrig="240" w:dyaOrig="420">
          <v:shape id="_x0000_i1096" type="#_x0000_t75" style="width:12.75pt;height:21.75pt" o:ole="">
            <v:imagedata r:id="rId17" o:title=""/>
          </v:shape>
          <o:OLEObject Type="Embed" ProgID="Equation.3" ShapeID="_x0000_i1096" DrawAspect="Content" ObjectID="_1669446880" r:id="rId119"/>
        </w:object>
      </w:r>
      <w:r w:rsidRPr="00D43235">
        <w:rPr>
          <w:kern w:val="2"/>
          <w:sz w:val="28"/>
          <w:szCs w:val="28"/>
          <w:lang w:val="uk-UA"/>
        </w:rPr>
        <w:t xml:space="preserve">=[1+ </w:t>
      </w:r>
      <w:r w:rsidRPr="00D43235">
        <w:rPr>
          <w:kern w:val="2"/>
          <w:sz w:val="28"/>
          <w:szCs w:val="28"/>
          <w:lang w:val="en-US"/>
        </w:rPr>
        <w:t>exp</w:t>
      </w:r>
      <w:r w:rsidRPr="00D43235">
        <w:rPr>
          <w:kern w:val="2"/>
          <w:sz w:val="28"/>
          <w:szCs w:val="28"/>
          <w:lang w:val="uk-UA"/>
        </w:rPr>
        <w:t>(-(</w:t>
      </w:r>
      <w:r w:rsidRPr="00D43235">
        <w:rPr>
          <w:sz w:val="28"/>
          <w:szCs w:val="28"/>
          <w:lang w:val="uk-UA"/>
        </w:rPr>
        <w:t>-10,826 *</w:t>
      </w:r>
      <w:r w:rsidRPr="00D43235">
        <w:rPr>
          <w:kern w:val="2"/>
          <w:sz w:val="28"/>
          <w:szCs w:val="28"/>
          <w:lang w:val="uk-UA"/>
        </w:rPr>
        <w:t xml:space="preserve"> </w:t>
      </w:r>
      <w:r w:rsidRPr="00D43235">
        <w:rPr>
          <w:kern w:val="2"/>
          <w:sz w:val="28"/>
          <w:szCs w:val="28"/>
          <w:lang w:val="en-US"/>
        </w:rPr>
        <w:t>X</w:t>
      </w:r>
      <w:r w:rsidRPr="00D43235">
        <w:rPr>
          <w:kern w:val="2"/>
          <w:sz w:val="28"/>
          <w:szCs w:val="28"/>
          <w:vertAlign w:val="subscript"/>
          <w:lang w:val="uk-UA"/>
        </w:rPr>
        <w:t xml:space="preserve">1 </w:t>
      </w:r>
      <w:r w:rsidRPr="00D43235">
        <w:rPr>
          <w:sz w:val="28"/>
          <w:szCs w:val="28"/>
          <w:lang w:val="uk-UA"/>
        </w:rPr>
        <w:t>–</w:t>
      </w:r>
      <w:r w:rsidRPr="00D43235">
        <w:rPr>
          <w:kern w:val="2"/>
          <w:sz w:val="28"/>
          <w:szCs w:val="28"/>
          <w:lang w:val="uk-UA"/>
        </w:rPr>
        <w:t xml:space="preserve"> </w:t>
      </w:r>
      <w:r w:rsidRPr="00D43235">
        <w:rPr>
          <w:sz w:val="28"/>
          <w:szCs w:val="28"/>
          <w:lang w:val="uk-UA"/>
        </w:rPr>
        <w:t>25,252*</w:t>
      </w:r>
      <w:r w:rsidRPr="00D43235">
        <w:rPr>
          <w:kern w:val="2"/>
          <w:sz w:val="28"/>
          <w:szCs w:val="28"/>
          <w:lang w:val="en-US"/>
        </w:rPr>
        <w:t>X</w:t>
      </w:r>
      <w:r w:rsidRPr="00D43235">
        <w:rPr>
          <w:kern w:val="2"/>
          <w:sz w:val="28"/>
          <w:szCs w:val="28"/>
          <w:vertAlign w:val="subscript"/>
          <w:lang w:val="uk-UA"/>
        </w:rPr>
        <w:t xml:space="preserve">2 </w:t>
      </w:r>
      <w:r w:rsidRPr="00D43235">
        <w:rPr>
          <w:sz w:val="28"/>
          <w:szCs w:val="28"/>
          <w:lang w:val="uk-UA"/>
        </w:rPr>
        <w:t>–0,382 *</w:t>
      </w:r>
      <w:r w:rsidRPr="00D43235">
        <w:rPr>
          <w:kern w:val="2"/>
          <w:sz w:val="28"/>
          <w:szCs w:val="28"/>
          <w:lang w:val="uk-UA"/>
        </w:rPr>
        <w:t xml:space="preserve"> </w:t>
      </w:r>
      <w:r w:rsidRPr="00D43235">
        <w:rPr>
          <w:kern w:val="2"/>
          <w:sz w:val="28"/>
          <w:szCs w:val="28"/>
          <w:lang w:val="en-US"/>
        </w:rPr>
        <w:t>X</w:t>
      </w:r>
      <w:r w:rsidRPr="00D43235">
        <w:rPr>
          <w:kern w:val="2"/>
          <w:sz w:val="28"/>
          <w:szCs w:val="28"/>
          <w:vertAlign w:val="subscript"/>
          <w:lang w:val="uk-UA"/>
        </w:rPr>
        <w:t>3</w:t>
      </w:r>
      <w:r w:rsidRPr="00D43235">
        <w:rPr>
          <w:kern w:val="2"/>
          <w:sz w:val="28"/>
          <w:szCs w:val="28"/>
          <w:lang w:val="uk-UA"/>
        </w:rPr>
        <w:t>+0</w:t>
      </w:r>
      <w:r w:rsidRPr="00D43235">
        <w:rPr>
          <w:sz w:val="28"/>
          <w:szCs w:val="28"/>
          <w:lang w:val="uk-UA"/>
        </w:rPr>
        <w:t xml:space="preserve">,523* </w:t>
      </w:r>
      <w:r w:rsidRPr="00D43235">
        <w:rPr>
          <w:kern w:val="2"/>
          <w:sz w:val="28"/>
          <w:szCs w:val="28"/>
          <w:lang w:val="en-US"/>
        </w:rPr>
        <w:t>X</w:t>
      </w:r>
      <w:r w:rsidRPr="00D43235">
        <w:rPr>
          <w:kern w:val="2"/>
          <w:sz w:val="28"/>
          <w:szCs w:val="28"/>
          <w:vertAlign w:val="subscript"/>
          <w:lang w:val="uk-UA"/>
        </w:rPr>
        <w:t xml:space="preserve">4 </w:t>
      </w:r>
      <w:r w:rsidRPr="00D43235">
        <w:rPr>
          <w:sz w:val="28"/>
          <w:szCs w:val="28"/>
          <w:lang w:val="uk-UA"/>
        </w:rPr>
        <w:t xml:space="preserve">– 1,438 * </w:t>
      </w:r>
      <w:r w:rsidRPr="00D43235">
        <w:rPr>
          <w:kern w:val="2"/>
          <w:sz w:val="28"/>
          <w:szCs w:val="28"/>
          <w:lang w:val="en-US"/>
        </w:rPr>
        <w:t>X</w:t>
      </w:r>
      <w:r w:rsidRPr="00D43235">
        <w:rPr>
          <w:kern w:val="2"/>
          <w:sz w:val="28"/>
          <w:szCs w:val="28"/>
          <w:vertAlign w:val="subscript"/>
          <w:lang w:val="uk-UA"/>
        </w:rPr>
        <w:t>5</w:t>
      </w:r>
      <w:r w:rsidRPr="00D43235">
        <w:rPr>
          <w:sz w:val="28"/>
          <w:szCs w:val="28"/>
          <w:lang w:val="uk-UA"/>
        </w:rPr>
        <w:t xml:space="preserve"> +2,935 *</w:t>
      </w:r>
      <w:r w:rsidRPr="00D43235">
        <w:rPr>
          <w:kern w:val="2"/>
          <w:sz w:val="28"/>
          <w:szCs w:val="28"/>
          <w:lang w:val="en-US"/>
        </w:rPr>
        <w:t>X</w:t>
      </w:r>
      <w:r w:rsidRPr="00D43235">
        <w:rPr>
          <w:kern w:val="2"/>
          <w:sz w:val="28"/>
          <w:szCs w:val="28"/>
          <w:vertAlign w:val="subscript"/>
          <w:lang w:val="uk-UA"/>
        </w:rPr>
        <w:t xml:space="preserve">6 </w:t>
      </w:r>
      <w:r w:rsidRPr="00D43235">
        <w:rPr>
          <w:sz w:val="28"/>
          <w:szCs w:val="28"/>
          <w:lang w:val="uk-UA"/>
        </w:rPr>
        <w:t>+0,016 *</w:t>
      </w:r>
      <w:r w:rsidRPr="00D43235">
        <w:rPr>
          <w:kern w:val="2"/>
          <w:sz w:val="28"/>
          <w:szCs w:val="28"/>
          <w:lang w:val="uk-UA"/>
        </w:rPr>
        <w:t xml:space="preserve"> </w:t>
      </w:r>
      <w:r w:rsidRPr="00D43235">
        <w:rPr>
          <w:kern w:val="2"/>
          <w:sz w:val="28"/>
          <w:szCs w:val="28"/>
          <w:lang w:val="en-US"/>
        </w:rPr>
        <w:t>X</w:t>
      </w:r>
      <w:r w:rsidRPr="00D43235">
        <w:rPr>
          <w:kern w:val="2"/>
          <w:sz w:val="28"/>
          <w:szCs w:val="28"/>
          <w:vertAlign w:val="subscript"/>
          <w:lang w:val="uk-UA"/>
        </w:rPr>
        <w:t xml:space="preserve">7 </w:t>
      </w:r>
      <w:r w:rsidRPr="00D43235">
        <w:rPr>
          <w:kern w:val="2"/>
          <w:sz w:val="28"/>
          <w:szCs w:val="28"/>
          <w:lang w:val="uk-UA"/>
        </w:rPr>
        <w:t xml:space="preserve">+ </w:t>
      </w:r>
      <w:r w:rsidRPr="00D43235">
        <w:rPr>
          <w:sz w:val="28"/>
          <w:szCs w:val="28"/>
          <w:lang w:val="uk-UA"/>
        </w:rPr>
        <w:t>41,554)</w:t>
      </w:r>
      <w:r w:rsidRPr="00D43235">
        <w:rPr>
          <w:kern w:val="2"/>
          <w:sz w:val="28"/>
          <w:szCs w:val="28"/>
          <w:lang w:val="uk-UA"/>
        </w:rPr>
        <w:t>)]</w:t>
      </w:r>
      <w:r w:rsidRPr="00D43235">
        <w:rPr>
          <w:kern w:val="2"/>
          <w:sz w:val="28"/>
          <w:szCs w:val="28"/>
          <w:vertAlign w:val="superscript"/>
          <w:lang w:val="uk-UA"/>
        </w:rPr>
        <w:t>-1</w:t>
      </w:r>
    </w:p>
    <w:p w:rsidR="00E3259F" w:rsidRPr="00D43235" w:rsidRDefault="00E3259F" w:rsidP="00D43235">
      <w:pPr>
        <w:spacing w:line="360" w:lineRule="auto"/>
        <w:ind w:firstLine="709"/>
        <w:jc w:val="both"/>
        <w:rPr>
          <w:kern w:val="2"/>
          <w:sz w:val="28"/>
          <w:szCs w:val="28"/>
          <w:lang w:val="uk-UA"/>
        </w:rPr>
      </w:pPr>
      <w:r w:rsidRPr="00D43235">
        <w:rPr>
          <w:kern w:val="2"/>
          <w:sz w:val="28"/>
          <w:szCs w:val="28"/>
          <w:lang w:val="uk-UA"/>
        </w:rPr>
        <w:t xml:space="preserve">де </w:t>
      </w:r>
      <w:r w:rsidRPr="00D43235">
        <w:rPr>
          <w:kern w:val="2"/>
          <w:sz w:val="28"/>
          <w:szCs w:val="28"/>
        </w:rPr>
        <w:t>X</w:t>
      </w:r>
      <w:r w:rsidRPr="00D43235">
        <w:rPr>
          <w:kern w:val="2"/>
          <w:sz w:val="28"/>
          <w:szCs w:val="28"/>
          <w:vertAlign w:val="subscript"/>
          <w:lang w:val="uk-UA"/>
        </w:rPr>
        <w:t xml:space="preserve">1 </w:t>
      </w:r>
      <w:r w:rsidRPr="00D43235">
        <w:rPr>
          <w:kern w:val="2"/>
          <w:sz w:val="28"/>
          <w:szCs w:val="28"/>
          <w:lang w:val="uk-UA"/>
        </w:rPr>
        <w:t xml:space="preserve">– ВДТ крові, </w:t>
      </w:r>
    </w:p>
    <w:p w:rsidR="00E3259F" w:rsidRPr="00D43235" w:rsidRDefault="00E3259F" w:rsidP="00D43235">
      <w:pPr>
        <w:spacing w:line="360" w:lineRule="auto"/>
        <w:ind w:firstLine="709"/>
        <w:jc w:val="both"/>
        <w:rPr>
          <w:kern w:val="2"/>
          <w:sz w:val="28"/>
          <w:szCs w:val="28"/>
          <w:lang w:val="uk-UA"/>
        </w:rPr>
      </w:pPr>
      <w:r w:rsidRPr="00D43235">
        <w:rPr>
          <w:kern w:val="2"/>
          <w:sz w:val="28"/>
          <w:szCs w:val="28"/>
        </w:rPr>
        <w:t>X</w:t>
      </w:r>
      <w:r w:rsidRPr="00D43235">
        <w:rPr>
          <w:kern w:val="2"/>
          <w:sz w:val="28"/>
          <w:szCs w:val="28"/>
          <w:vertAlign w:val="subscript"/>
          <w:lang w:val="uk-UA"/>
        </w:rPr>
        <w:t xml:space="preserve">2  </w:t>
      </w:r>
      <w:r w:rsidRPr="00D43235">
        <w:rPr>
          <w:kern w:val="2"/>
          <w:sz w:val="28"/>
          <w:szCs w:val="28"/>
          <w:lang w:val="uk-UA"/>
        </w:rPr>
        <w:t xml:space="preserve">-  ВДТ букального епітелію, </w:t>
      </w:r>
    </w:p>
    <w:p w:rsidR="00E3259F" w:rsidRPr="00D43235" w:rsidRDefault="00E3259F" w:rsidP="00D43235">
      <w:pPr>
        <w:spacing w:line="360" w:lineRule="auto"/>
        <w:ind w:firstLine="709"/>
        <w:jc w:val="both"/>
        <w:rPr>
          <w:kern w:val="2"/>
          <w:sz w:val="28"/>
          <w:szCs w:val="28"/>
          <w:lang w:val="uk-UA"/>
        </w:rPr>
      </w:pPr>
      <w:r w:rsidRPr="00D43235">
        <w:rPr>
          <w:kern w:val="2"/>
          <w:sz w:val="28"/>
          <w:szCs w:val="28"/>
        </w:rPr>
        <w:t>X</w:t>
      </w:r>
      <w:r w:rsidRPr="00D43235">
        <w:rPr>
          <w:kern w:val="2"/>
          <w:sz w:val="28"/>
          <w:szCs w:val="28"/>
          <w:vertAlign w:val="subscript"/>
          <w:lang w:val="uk-UA"/>
        </w:rPr>
        <w:t xml:space="preserve">3  </w:t>
      </w:r>
      <w:r w:rsidRPr="00D43235">
        <w:rPr>
          <w:kern w:val="2"/>
          <w:sz w:val="28"/>
          <w:szCs w:val="28"/>
          <w:lang w:val="uk-UA"/>
        </w:rPr>
        <w:t>- рівень САТ ( в мм.рт.ст.),</w:t>
      </w:r>
    </w:p>
    <w:p w:rsidR="00E3259F" w:rsidRPr="00D43235" w:rsidRDefault="00E3259F" w:rsidP="00D43235">
      <w:pPr>
        <w:spacing w:line="360" w:lineRule="auto"/>
        <w:ind w:firstLine="709"/>
        <w:jc w:val="both"/>
        <w:rPr>
          <w:kern w:val="2"/>
          <w:sz w:val="28"/>
          <w:szCs w:val="28"/>
          <w:lang w:val="uk-UA"/>
        </w:rPr>
      </w:pPr>
      <w:r w:rsidRPr="00D43235">
        <w:rPr>
          <w:kern w:val="2"/>
          <w:sz w:val="28"/>
          <w:szCs w:val="28"/>
        </w:rPr>
        <w:t>X</w:t>
      </w:r>
      <w:r w:rsidRPr="00D43235">
        <w:rPr>
          <w:kern w:val="2"/>
          <w:sz w:val="28"/>
          <w:szCs w:val="28"/>
          <w:vertAlign w:val="subscript"/>
          <w:lang w:val="uk-UA"/>
        </w:rPr>
        <w:t xml:space="preserve">4 </w:t>
      </w:r>
      <w:r w:rsidRPr="00D43235">
        <w:rPr>
          <w:kern w:val="2"/>
          <w:sz w:val="28"/>
          <w:szCs w:val="28"/>
          <w:lang w:val="uk-UA"/>
        </w:rPr>
        <w:t>– рівень ПАТ( в мм.рт.ст.),</w:t>
      </w:r>
    </w:p>
    <w:p w:rsidR="00E3259F" w:rsidRPr="00D43235" w:rsidRDefault="00E3259F" w:rsidP="00D43235">
      <w:pPr>
        <w:spacing w:line="360" w:lineRule="auto"/>
        <w:ind w:firstLine="709"/>
        <w:jc w:val="both"/>
        <w:rPr>
          <w:sz w:val="28"/>
          <w:szCs w:val="28"/>
          <w:lang w:val="uk-UA"/>
        </w:rPr>
      </w:pPr>
      <w:r w:rsidRPr="00D43235">
        <w:rPr>
          <w:kern w:val="2"/>
          <w:sz w:val="28"/>
          <w:szCs w:val="28"/>
        </w:rPr>
        <w:t>X</w:t>
      </w:r>
      <w:r w:rsidRPr="00D43235">
        <w:rPr>
          <w:kern w:val="2"/>
          <w:sz w:val="28"/>
          <w:szCs w:val="28"/>
          <w:vertAlign w:val="subscript"/>
          <w:lang w:val="uk-UA"/>
        </w:rPr>
        <w:t xml:space="preserve">5 </w:t>
      </w:r>
      <w:r w:rsidRPr="00D43235">
        <w:rPr>
          <w:kern w:val="2"/>
          <w:sz w:val="28"/>
          <w:szCs w:val="28"/>
          <w:lang w:val="uk-UA"/>
        </w:rPr>
        <w:t>– рівень</w:t>
      </w:r>
      <w:r w:rsidRPr="00D43235">
        <w:rPr>
          <w:sz w:val="28"/>
          <w:szCs w:val="28"/>
          <w:lang w:val="uk-UA"/>
        </w:rPr>
        <w:t xml:space="preserve"> 8-OH-dG, </w:t>
      </w:r>
    </w:p>
    <w:p w:rsidR="00E3259F" w:rsidRPr="00D43235" w:rsidRDefault="00E3259F" w:rsidP="00D43235">
      <w:pPr>
        <w:spacing w:line="360" w:lineRule="auto"/>
        <w:ind w:firstLine="709"/>
        <w:jc w:val="both"/>
        <w:rPr>
          <w:kern w:val="2"/>
          <w:sz w:val="28"/>
          <w:szCs w:val="28"/>
          <w:lang w:val="uk-UA"/>
        </w:rPr>
      </w:pPr>
      <w:r w:rsidRPr="00D43235">
        <w:rPr>
          <w:kern w:val="2"/>
          <w:sz w:val="28"/>
          <w:szCs w:val="28"/>
        </w:rPr>
        <w:t>X</w:t>
      </w:r>
      <w:r w:rsidRPr="00D43235">
        <w:rPr>
          <w:kern w:val="2"/>
          <w:sz w:val="28"/>
          <w:szCs w:val="28"/>
          <w:vertAlign w:val="subscript"/>
          <w:lang w:val="uk-UA"/>
        </w:rPr>
        <w:t xml:space="preserve">6 </w:t>
      </w:r>
      <w:r w:rsidRPr="00D43235">
        <w:rPr>
          <w:kern w:val="2"/>
          <w:sz w:val="28"/>
          <w:szCs w:val="28"/>
          <w:lang w:val="uk-UA"/>
        </w:rPr>
        <w:t>– рівень ТТГ (</w:t>
      </w:r>
      <w:r w:rsidRPr="00D43235">
        <w:rPr>
          <w:sz w:val="28"/>
          <w:szCs w:val="28"/>
          <w:shd w:val="clear" w:color="auto" w:fill="FFFFFF"/>
          <w:lang w:val="uk-UA"/>
        </w:rPr>
        <w:t>мкМОд/мл)</w:t>
      </w:r>
      <w:r w:rsidRPr="00D43235">
        <w:rPr>
          <w:kern w:val="2"/>
          <w:sz w:val="28"/>
          <w:szCs w:val="28"/>
          <w:lang w:val="uk-UA"/>
        </w:rPr>
        <w:t xml:space="preserve">, </w:t>
      </w:r>
    </w:p>
    <w:p w:rsidR="00E3259F" w:rsidRPr="00D43235" w:rsidRDefault="00E3259F" w:rsidP="00D43235">
      <w:pPr>
        <w:spacing w:line="360" w:lineRule="auto"/>
        <w:ind w:firstLine="709"/>
        <w:jc w:val="both"/>
        <w:rPr>
          <w:sz w:val="28"/>
          <w:szCs w:val="28"/>
          <w:lang w:val="uk-UA"/>
        </w:rPr>
      </w:pPr>
      <w:r w:rsidRPr="00D43235">
        <w:rPr>
          <w:kern w:val="2"/>
          <w:sz w:val="28"/>
          <w:szCs w:val="28"/>
        </w:rPr>
        <w:t>X</w:t>
      </w:r>
      <w:r w:rsidRPr="00D43235">
        <w:rPr>
          <w:kern w:val="2"/>
          <w:sz w:val="28"/>
          <w:szCs w:val="28"/>
          <w:vertAlign w:val="subscript"/>
          <w:lang w:val="uk-UA"/>
        </w:rPr>
        <w:t>7</w:t>
      </w:r>
      <w:r w:rsidRPr="00D43235">
        <w:rPr>
          <w:sz w:val="28"/>
          <w:szCs w:val="28"/>
          <w:lang w:val="uk-UA"/>
        </w:rPr>
        <w:t xml:space="preserve"> </w:t>
      </w:r>
      <w:r w:rsidRPr="00D43235">
        <w:rPr>
          <w:kern w:val="2"/>
          <w:sz w:val="28"/>
          <w:szCs w:val="28"/>
          <w:lang w:val="uk-UA"/>
        </w:rPr>
        <w:t>– рівень ВЕФР</w:t>
      </w:r>
      <w:r w:rsidRPr="00D43235">
        <w:rPr>
          <w:sz w:val="28"/>
          <w:szCs w:val="28"/>
          <w:lang w:val="uk-UA"/>
        </w:rPr>
        <w:t>.</w:t>
      </w:r>
    </w:p>
    <w:p w:rsidR="00E3259F" w:rsidRPr="00D43235" w:rsidRDefault="00E3259F" w:rsidP="00D43235">
      <w:pPr>
        <w:spacing w:line="360" w:lineRule="auto"/>
        <w:ind w:firstLine="709"/>
        <w:jc w:val="both"/>
        <w:rPr>
          <w:rFonts w:eastAsiaTheme="minorHAnsi"/>
          <w:sz w:val="28"/>
          <w:szCs w:val="28"/>
          <w:shd w:val="clear" w:color="auto" w:fill="FFFFFF"/>
          <w:lang w:val="uk-UA"/>
        </w:rPr>
      </w:pPr>
      <w:r w:rsidRPr="00D43235">
        <w:rPr>
          <w:sz w:val="28"/>
          <w:szCs w:val="28"/>
        </w:rPr>
        <w:t xml:space="preserve">Значення </w:t>
      </w:r>
      <w:r w:rsidRPr="00D43235">
        <w:rPr>
          <w:kern w:val="2"/>
          <w:position w:val="-4"/>
          <w:sz w:val="28"/>
          <w:szCs w:val="28"/>
          <w:lang w:eastAsia="en-US"/>
        </w:rPr>
        <w:object w:dxaOrig="420" w:dyaOrig="420">
          <v:shape id="_x0000_i1097" type="#_x0000_t75" style="width:21.75pt;height:21.75pt" o:ole="">
            <v:imagedata r:id="rId58" o:title=""/>
          </v:shape>
          <o:OLEObject Type="Embed" ProgID="Equation.3" ShapeID="_x0000_i1097" DrawAspect="Content" ObjectID="_1669446881" r:id="rId120"/>
        </w:object>
      </w:r>
      <w:r w:rsidRPr="00D43235">
        <w:rPr>
          <w:kern w:val="2"/>
          <w:position w:val="-4"/>
          <w:sz w:val="28"/>
          <w:szCs w:val="28"/>
          <w:lang w:val="uk-UA"/>
        </w:rPr>
        <w:t xml:space="preserve">знаходиться </w:t>
      </w:r>
      <w:r w:rsidRPr="00D43235">
        <w:rPr>
          <w:sz w:val="28"/>
          <w:szCs w:val="28"/>
        </w:rPr>
        <w:t xml:space="preserve">в межах від 0 до 1. Чим ближче до 1, тим вище ймовірність розвитку </w:t>
      </w:r>
      <w:r w:rsidRPr="00D43235">
        <w:rPr>
          <w:sz w:val="28"/>
          <w:szCs w:val="28"/>
          <w:lang w:val="uk-UA"/>
        </w:rPr>
        <w:t xml:space="preserve">ССУ. В разі високої ймовірності розвитку ССУ рекомендована модифікація способу життя (корекція дієти, підвищення фізичної активності за рахунок аеробного навантаження) та призначення левотироксину у індивідуально дібраних дозах до досягнення еутиреозу. У разі низької ймовірності розвитку ССУ рекомендовано динамічне спостереження за пацієнтом. </w:t>
      </w: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Дотримання запропонованого алгоритму комплексної діагностики та призначення лікувально-профілактичних заходів в пацієнтів з поєднаним перебігом ГХ та ЦД 2 типу </w:t>
      </w:r>
      <w:r w:rsidRPr="00D43235">
        <w:rPr>
          <w:sz w:val="28"/>
          <w:szCs w:val="28"/>
          <w:lang w:val="uk-UA" w:eastAsia="en-US"/>
        </w:rPr>
        <w:t xml:space="preserve">залежно </w:t>
      </w:r>
      <w:r w:rsidRPr="00D43235">
        <w:rPr>
          <w:sz w:val="28"/>
          <w:szCs w:val="28"/>
          <w:lang w:val="uk-UA"/>
        </w:rPr>
        <w:t xml:space="preserve">від функціонального стану щитоподібної залози, дозволить на підставі персоніфікованого підходу до оцінки ризику розвитку серцево-судинних ускладнень та індивідуалізованого терапевтичного втручання покращити прогноз та перебіг захворювань в хворих при цій коморбідній патології.  </w:t>
      </w:r>
    </w:p>
    <w:p w:rsidR="00E3259F" w:rsidRDefault="00E3259F" w:rsidP="00E3259F">
      <w:pPr>
        <w:ind w:firstLine="709"/>
        <w:jc w:val="both"/>
        <w:rPr>
          <w:b/>
          <w:sz w:val="28"/>
          <w:szCs w:val="28"/>
          <w:lang w:val="uk-UA"/>
        </w:rPr>
      </w:pPr>
      <w:r>
        <w:rPr>
          <w:rFonts w:eastAsia="Calibri"/>
          <w:color w:val="0070C0"/>
          <w:sz w:val="28"/>
          <w:szCs w:val="28"/>
          <w:lang w:val="uk-UA"/>
        </w:rPr>
        <w:br w:type="page"/>
      </w:r>
      <w:r>
        <w:rPr>
          <w:noProof/>
        </w:rPr>
        <mc:AlternateContent>
          <mc:Choice Requires="wps">
            <w:drawing>
              <wp:anchor distT="0" distB="0" distL="114300" distR="114300" simplePos="0" relativeHeight="251660288" behindDoc="0" locked="0" layoutInCell="1" allowOverlap="1">
                <wp:simplePos x="0" y="0"/>
                <wp:positionH relativeFrom="column">
                  <wp:posOffset>1263015</wp:posOffset>
                </wp:positionH>
                <wp:positionV relativeFrom="paragraph">
                  <wp:posOffset>1856105</wp:posOffset>
                </wp:positionV>
                <wp:extent cx="0" cy="270510"/>
                <wp:effectExtent l="76200" t="0" r="57150" b="53340"/>
                <wp:wrapNone/>
                <wp:docPr id="300" name="Прямая со стрелкой 300"/>
                <wp:cNvGraphicFramePr/>
                <a:graphic xmlns:a="http://schemas.openxmlformats.org/drawingml/2006/main">
                  <a:graphicData uri="http://schemas.microsoft.com/office/word/2010/wordprocessingShape">
                    <wps:wsp>
                      <wps:cNvCnPr/>
                      <wps:spPr>
                        <a:xfrm>
                          <a:off x="0" y="0"/>
                          <a:ext cx="0" cy="2705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6EE650C" id="Прямая со стрелкой 300" o:spid="_x0000_s1026" type="#_x0000_t32" style="position:absolute;margin-left:99.45pt;margin-top:146.15pt;width:0;height:21.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" strokecolor="black [3213]">
                <v:stroke endarrow="block"/>
              </v:shape>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1181100</wp:posOffset>
                </wp:positionH>
                <wp:positionV relativeFrom="paragraph">
                  <wp:posOffset>280670</wp:posOffset>
                </wp:positionV>
                <wp:extent cx="0" cy="189865"/>
                <wp:effectExtent l="76200" t="0" r="57150" b="57785"/>
                <wp:wrapNone/>
                <wp:docPr id="299" name="Прямая со стрелкой 299"/>
                <wp:cNvGraphicFramePr/>
                <a:graphic xmlns:a="http://schemas.openxmlformats.org/drawingml/2006/main">
                  <a:graphicData uri="http://schemas.microsoft.com/office/word/2010/wordprocessingShape">
                    <wps:wsp>
                      <wps:cNvCnPr/>
                      <wps:spPr>
                        <a:xfrm>
                          <a:off x="0" y="0"/>
                          <a:ext cx="0" cy="1898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49051E0" id="Прямая со стрелкой 299" o:spid="_x0000_s1026" type="#_x0000_t32" style="position:absolute;margin-left:93pt;margin-top:22.1pt;width:0;height:1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" strokecolor="black [3213]">
                <v:stroke endarrow="block"/>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1160145</wp:posOffset>
                </wp:positionH>
                <wp:positionV relativeFrom="paragraph">
                  <wp:posOffset>1028065</wp:posOffset>
                </wp:positionV>
                <wp:extent cx="0" cy="189865"/>
                <wp:effectExtent l="76200" t="0" r="57150" b="57785"/>
                <wp:wrapNone/>
                <wp:docPr id="298" name="Прямая со стрелкой 298"/>
                <wp:cNvGraphicFramePr/>
                <a:graphic xmlns:a="http://schemas.openxmlformats.org/drawingml/2006/main">
                  <a:graphicData uri="http://schemas.microsoft.com/office/word/2010/wordprocessingShape">
                    <wps:wsp>
                      <wps:cNvCnPr/>
                      <wps:spPr>
                        <a:xfrm>
                          <a:off x="0" y="0"/>
                          <a:ext cx="0" cy="1898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0EE9F9A" id="Прямая со стрелкой 298" o:spid="_x0000_s1026" type="#_x0000_t32" style="position:absolute;margin-left:91.35pt;margin-top:80.95pt;width:0;height:14.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" strokecolor="black [3213]">
                <v:stroke endarrow="block"/>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2894965</wp:posOffset>
                </wp:positionH>
                <wp:positionV relativeFrom="paragraph">
                  <wp:posOffset>4143375</wp:posOffset>
                </wp:positionV>
                <wp:extent cx="1571625" cy="1866900"/>
                <wp:effectExtent l="0" t="0" r="28575" b="19050"/>
                <wp:wrapNone/>
                <wp:docPr id="297" name="Прямоугольник 297"/>
                <wp:cNvGraphicFramePr/>
                <a:graphic xmlns:a="http://schemas.openxmlformats.org/drawingml/2006/main">
                  <a:graphicData uri="http://schemas.microsoft.com/office/word/2010/wordprocessingShape">
                    <wps:wsp>
                      <wps:cNvSpPr/>
                      <wps:spPr>
                        <a:xfrm>
                          <a:off x="0" y="0"/>
                          <a:ext cx="1571625" cy="186690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16" w:lineRule="auto"/>
                              <w:jc w:val="center"/>
                            </w:pPr>
                            <w:r>
                              <w:rPr>
                                <w:rFonts w:eastAsia="Calibri"/>
                                <w:lang w:val="uk-UA"/>
                              </w:rPr>
                              <w:t>динамічне спостереження:</w:t>
                            </w:r>
                            <w:r>
                              <w:rPr>
                                <w:lang w:val="uk-UA"/>
                              </w:rPr>
                              <w:t xml:space="preserve"> м</w:t>
                            </w:r>
                            <w:r>
                              <w:t>оніторинг</w:t>
                            </w:r>
                            <w:r>
                              <w:rPr>
                                <w:lang w:val="uk-UA"/>
                              </w:rPr>
                              <w:t xml:space="preserve"> дієти, фізичного аеробного навантаження,  антигіпертензивної, антидіабетичної терапії та</w:t>
                            </w:r>
                          </w:p>
                          <w:p w:rsidR="008E5154" w:rsidRDefault="008E5154" w:rsidP="00E3259F">
                            <w:pPr>
                              <w:spacing w:line="216" w:lineRule="auto"/>
                              <w:jc w:val="center"/>
                              <w:rPr>
                                <w:rFonts w:asciiTheme="minorHAnsi" w:hAnsiTheme="minorHAnsi" w:cstheme="minorBidi"/>
                              </w:rPr>
                            </w:pPr>
                            <w:r>
                              <w:rPr>
                                <w:lang w:val="uk-UA"/>
                              </w:rPr>
                              <w:t>статинотерапії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7" o:spid="_x0000_s1055" style="position:absolute;left:0;text-align:left;margin-left:227.95pt;margin-top:326.25pt;width:123.75pt;height:14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" fillcolor="white [3201]" strokecolor="black [3200]" strokeweight="2pt">
                <v:textbox>
                  <w:txbxContent>
                    <w:p w:rsidR="008E5154" w:rsidRDefault="008E5154" w:rsidP="00E3259F">
                      <w:pPr>
                        <w:spacing w:line="216" w:lineRule="auto"/>
                        <w:jc w:val="center"/>
                      </w:pPr>
                      <w:r>
                        <w:rPr>
                          <w:rFonts w:eastAsia="Calibri"/>
                          <w:lang w:val="uk-UA"/>
                        </w:rPr>
                        <w:t>динамічне спостереження:</w:t>
                      </w:r>
                      <w:r>
                        <w:rPr>
                          <w:lang w:val="uk-UA"/>
                        </w:rPr>
                        <w:t xml:space="preserve"> м</w:t>
                      </w:r>
                      <w:r>
                        <w:t>оніторинг</w:t>
                      </w:r>
                      <w:r>
                        <w:rPr>
                          <w:lang w:val="uk-UA"/>
                        </w:rPr>
                        <w:t xml:space="preserve"> дієти, фізичного аеробного навантаження,  антигіпертензивної, антидіабетичної терапії та</w:t>
                      </w:r>
                    </w:p>
                    <w:p w:rsidR="008E5154" w:rsidRDefault="008E5154" w:rsidP="00E3259F">
                      <w:pPr>
                        <w:spacing w:line="216" w:lineRule="auto"/>
                        <w:jc w:val="center"/>
                        <w:rPr>
                          <w:rFonts w:asciiTheme="minorHAnsi" w:hAnsiTheme="minorHAnsi" w:cstheme="minorBidi"/>
                        </w:rPr>
                      </w:pPr>
                      <w:r>
                        <w:rPr>
                          <w:lang w:val="uk-UA"/>
                        </w:rPr>
                        <w:t>статинотерапії</w:t>
                      </w:r>
                    </w:p>
                  </w:txbxContent>
                </v:textbox>
              </v:rect>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4533265</wp:posOffset>
                </wp:positionH>
                <wp:positionV relativeFrom="paragraph">
                  <wp:posOffset>4147185</wp:posOffset>
                </wp:positionV>
                <wp:extent cx="1386840" cy="1069340"/>
                <wp:effectExtent l="0" t="0" r="22860" b="16510"/>
                <wp:wrapNone/>
                <wp:docPr id="296" name="Скругленный прямоугольник 296"/>
                <wp:cNvGraphicFramePr/>
                <a:graphic xmlns:a="http://schemas.openxmlformats.org/drawingml/2006/main">
                  <a:graphicData uri="http://schemas.microsoft.com/office/word/2010/wordprocessingShape">
                    <wps:wsp>
                      <wps:cNvSpPr/>
                      <wps:spPr>
                        <a:xfrm>
                          <a:off x="0" y="0"/>
                          <a:ext cx="1386840" cy="1069340"/>
                        </a:xfrm>
                        <a:prstGeom prst="round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92" w:lineRule="auto"/>
                              <w:jc w:val="center"/>
                            </w:pPr>
                            <w:r>
                              <w:rPr>
                                <w:color w:val="000000"/>
                                <w:shd w:val="clear" w:color="auto" w:fill="FFFFFF"/>
                                <w:lang w:val="uk-UA"/>
                              </w:rPr>
                              <w:t>призначити статини – аторвастатин (20 мг/добу) або розувастатин (10 мг/добу)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96" o:spid="_x0000_s1056" style="position:absolute;left:0;text-align:left;margin-left:356.95pt;margin-top:326.55pt;width:109.2pt;height:8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" fillcolor="white [3201]" strokecolor="black [3200]" strokeweight="2pt">
                <v:textbox>
                  <w:txbxContent>
                    <w:p w:rsidR="008E5154" w:rsidRDefault="008E5154" w:rsidP="00E3259F">
                      <w:pPr>
                        <w:spacing w:line="192" w:lineRule="auto"/>
                        <w:jc w:val="center"/>
                      </w:pPr>
                      <w:r>
                        <w:rPr>
                          <w:color w:val="000000"/>
                          <w:shd w:val="clear" w:color="auto" w:fill="FFFFFF"/>
                          <w:lang w:val="uk-UA"/>
                        </w:rPr>
                        <w:t>призначити статини – аторвастатин (20 мг/добу) або розувастатин (10 мг/добу)</w:t>
                      </w:r>
                    </w:p>
                  </w:txbxContent>
                </v:textbox>
              </v:roundrect>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1388745</wp:posOffset>
                </wp:positionH>
                <wp:positionV relativeFrom="paragraph">
                  <wp:posOffset>7357745</wp:posOffset>
                </wp:positionV>
                <wp:extent cx="1478280" cy="406400"/>
                <wp:effectExtent l="0" t="0" r="26670" b="12700"/>
                <wp:wrapNone/>
                <wp:docPr id="295" name="Прямоугольник 295"/>
                <wp:cNvGraphicFramePr/>
                <a:graphic xmlns:a="http://schemas.openxmlformats.org/drawingml/2006/main">
                  <a:graphicData uri="http://schemas.microsoft.com/office/word/2010/wordprocessingShape">
                    <wps:wsp>
                      <wps:cNvSpPr/>
                      <wps:spPr>
                        <a:xfrm>
                          <a:off x="0" y="0"/>
                          <a:ext cx="1478280" cy="40640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92" w:lineRule="auto"/>
                              <w:jc w:val="center"/>
                              <w:rPr>
                                <w:lang w:val="uk-UA"/>
                              </w:rPr>
                            </w:pPr>
                            <w:r>
                              <w:rPr>
                                <w:lang w:val="uk-UA"/>
                              </w:rPr>
                              <w:t>низький або помірний ризик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5" o:spid="_x0000_s1057" style="position:absolute;left:0;text-align:left;margin-left:109.35pt;margin-top:579.35pt;width:116.4pt;height:3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" fillcolor="white [3201]" strokecolor="black [3200]" strokeweight="2pt">
                <v:textbox>
                  <w:txbxContent>
                    <w:p w:rsidR="008E5154" w:rsidRDefault="008E5154" w:rsidP="00E3259F">
                      <w:pPr>
                        <w:spacing w:line="192" w:lineRule="auto"/>
                        <w:jc w:val="center"/>
                        <w:rPr>
                          <w:lang w:val="uk-UA"/>
                        </w:rPr>
                      </w:pPr>
                      <w:r>
                        <w:rPr>
                          <w:lang w:val="uk-UA"/>
                        </w:rPr>
                        <w:t>низький або помірний ризик</w:t>
                      </w:r>
                    </w:p>
                  </w:txbxContent>
                </v:textbox>
              </v:rect>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1525905</wp:posOffset>
                </wp:positionH>
                <wp:positionV relativeFrom="paragraph">
                  <wp:posOffset>3512185</wp:posOffset>
                </wp:positionV>
                <wp:extent cx="1318895" cy="497840"/>
                <wp:effectExtent l="0" t="0" r="14605" b="16510"/>
                <wp:wrapNone/>
                <wp:docPr id="294" name="Прямоугольник 294"/>
                <wp:cNvGraphicFramePr/>
                <a:graphic xmlns:a="http://schemas.openxmlformats.org/drawingml/2006/main">
                  <a:graphicData uri="http://schemas.microsoft.com/office/word/2010/wordprocessingShape">
                    <wps:wsp>
                      <wps:cNvSpPr/>
                      <wps:spPr>
                        <a:xfrm>
                          <a:off x="0" y="0"/>
                          <a:ext cx="1318895" cy="49784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не приймають статини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4" o:spid="_x0000_s1058" style="position:absolute;left:0;text-align:left;margin-left:120.15pt;margin-top:276.55pt;width:103.85pt;height:39.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" fillcolor="white [3201]" strokecolor="black [3200]" strokeweight="2pt">
                <v:textbox>
                  <w:txbxContent>
                    <w:p w:rsidR="008E5154" w:rsidRDefault="008E5154" w:rsidP="00E3259F">
                      <w:pPr>
                        <w:jc w:val="center"/>
                        <w:rPr>
                          <w:lang w:val="uk-UA"/>
                        </w:rPr>
                      </w:pPr>
                      <w:r>
                        <w:rPr>
                          <w:lang w:val="uk-UA"/>
                        </w:rPr>
                        <w:t>не приймають статини</w:t>
                      </w:r>
                    </w:p>
                  </w:txbxContent>
                </v:textbox>
              </v:rect>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-59690</wp:posOffset>
                </wp:positionH>
                <wp:positionV relativeFrom="paragraph">
                  <wp:posOffset>8620760</wp:posOffset>
                </wp:positionV>
                <wp:extent cx="5973445" cy="290195"/>
                <wp:effectExtent l="19050" t="19050" r="27305" b="14605"/>
                <wp:wrapNone/>
                <wp:docPr id="293" name="Прямоугольник 293"/>
                <wp:cNvGraphicFramePr/>
                <a:graphic xmlns:a="http://schemas.openxmlformats.org/drawingml/2006/main">
                  <a:graphicData uri="http://schemas.microsoft.com/office/word/2010/wordprocessingShape">
                    <wps:wsp>
                      <wps:cNvSpPr/>
                      <wps:spPr>
                        <a:xfrm>
                          <a:off x="0" y="0"/>
                          <a:ext cx="5973445" cy="290195"/>
                        </a:xfrm>
                        <a:prstGeom prst="rect">
                          <a:avLst/>
                        </a:prstGeom>
                        <a:solidFill>
                          <a:schemeClr val="bg1"/>
                        </a:solidFill>
                        <a:ln w="28575"/>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моніторінг показників ліпідного, вуглеводного обміну, рівня АТ, ТКІМ, ТТГ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3" o:spid="_x0000_s1059" style="position:absolute;left:0;text-align:left;margin-left:-4.7pt;margin-top:678.8pt;width:470.35pt;height:22.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" fillcolor="white [3212]" strokecolor="black [3200]" strokeweight="2.25pt">
                <v:textbox>
                  <w:txbxContent>
                    <w:p w:rsidR="008E5154" w:rsidRDefault="008E5154" w:rsidP="00E3259F">
                      <w:pPr>
                        <w:jc w:val="center"/>
                        <w:rPr>
                          <w:lang w:val="uk-UA"/>
                        </w:rPr>
                      </w:pPr>
                      <w:r>
                        <w:rPr>
                          <w:lang w:val="uk-UA"/>
                        </w:rPr>
                        <w:t>моніторінг показників ліпідного, вуглеводного обміну, рівня АТ, ТКІМ, ТТГ</w:t>
                      </w:r>
                    </w:p>
                  </w:txbxContent>
                </v:textbox>
              </v:rect>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2508250</wp:posOffset>
                </wp:positionH>
                <wp:positionV relativeFrom="paragraph">
                  <wp:posOffset>7911465</wp:posOffset>
                </wp:positionV>
                <wp:extent cx="1943735" cy="528320"/>
                <wp:effectExtent l="0" t="0" r="18415" b="24130"/>
                <wp:wrapNone/>
                <wp:docPr id="292" name="Прямоугольник 292"/>
                <wp:cNvGraphicFramePr/>
                <a:graphic xmlns:a="http://schemas.openxmlformats.org/drawingml/2006/main">
                  <a:graphicData uri="http://schemas.microsoft.com/office/word/2010/wordprocessingShape">
                    <wps:wsp>
                      <wps:cNvSpPr/>
                      <wps:spPr>
                        <a:xfrm>
                          <a:off x="0" y="0"/>
                          <a:ext cx="1943735" cy="52832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16" w:lineRule="auto"/>
                              <w:jc w:val="center"/>
                              <w:rPr>
                                <w:lang w:val="uk-UA"/>
                              </w:rPr>
                            </w:pPr>
                            <w:r>
                              <w:rPr>
                                <w:lang w:val="uk-UA"/>
                              </w:rPr>
                              <w:t>дінамічне спостереження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292" o:spid="_x0000_s1060" style="position:absolute;left:0;text-align:left;margin-left:197.5pt;margin-top:622.95pt;width:153.05pt;height:41.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" fillcolor="white [3201]" strokecolor="black [3200]" strokeweight="2pt">
                <v:textbox>
                  <w:txbxContent>
                    <w:p w:rsidR="008E5154" w:rsidRDefault="008E5154" w:rsidP="00E3259F">
                      <w:pPr>
                        <w:spacing w:line="216" w:lineRule="auto"/>
                        <w:jc w:val="center"/>
                        <w:rPr>
                          <w:lang w:val="uk-UA"/>
                        </w:rPr>
                      </w:pPr>
                      <w:r>
                        <w:rPr>
                          <w:lang w:val="uk-UA"/>
                        </w:rPr>
                        <w:t>дінамічне спостереження</w:t>
                      </w:r>
                    </w:p>
                  </w:txbxContent>
                </v:textbox>
              </v:rect>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-18415</wp:posOffset>
                </wp:positionH>
                <wp:positionV relativeFrom="paragraph">
                  <wp:posOffset>7367905</wp:posOffset>
                </wp:positionV>
                <wp:extent cx="1305560" cy="390525"/>
                <wp:effectExtent l="0" t="0" r="27940" b="28575"/>
                <wp:wrapNone/>
                <wp:docPr id="291" name="Прямоугольник 291"/>
                <wp:cNvGraphicFramePr/>
                <a:graphic xmlns:a="http://schemas.openxmlformats.org/drawingml/2006/main">
                  <a:graphicData uri="http://schemas.microsoft.com/office/word/2010/wordprocessingShape">
                    <wps:wsp>
                      <wps:cNvSpPr/>
                      <wps:spPr>
                        <a:xfrm>
                          <a:off x="0" y="0"/>
                          <a:ext cx="1305560" cy="390525"/>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високий ризик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291" o:spid="_x0000_s1061" style="position:absolute;left:0;text-align:left;margin-left:-1.45pt;margin-top:580.15pt;width:102.8pt;height:30.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" fillcolor="white [3201]" strokecolor="black [3200]" strokeweight="2pt">
                <v:textbox>
                  <w:txbxContent>
                    <w:p w:rsidR="008E5154" w:rsidRDefault="008E5154" w:rsidP="00E3259F">
                      <w:pPr>
                        <w:jc w:val="center"/>
                        <w:rPr>
                          <w:lang w:val="uk-UA"/>
                        </w:rPr>
                      </w:pPr>
                      <w:r>
                        <w:rPr>
                          <w:lang w:val="uk-UA"/>
                        </w:rPr>
                        <w:t>високий ризик</w:t>
                      </w:r>
                    </w:p>
                  </w:txbxContent>
                </v:textbox>
              </v:rect>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1365885</wp:posOffset>
                </wp:positionH>
                <wp:positionV relativeFrom="paragraph">
                  <wp:posOffset>6285230</wp:posOffset>
                </wp:positionV>
                <wp:extent cx="1517650" cy="956945"/>
                <wp:effectExtent l="0" t="0" r="25400" b="14605"/>
                <wp:wrapNone/>
                <wp:docPr id="290" name="Прямоугольник 290"/>
                <wp:cNvGraphicFramePr/>
                <a:graphic xmlns:a="http://schemas.openxmlformats.org/drawingml/2006/main">
                  <a:graphicData uri="http://schemas.microsoft.com/office/word/2010/wordprocessingShape">
                    <wps:wsp>
                      <wps:cNvSpPr/>
                      <wps:spPr>
                        <a:xfrm>
                          <a:off x="0" y="0"/>
                          <a:ext cx="1517650" cy="956945"/>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68" w:lineRule="auto"/>
                              <w:jc w:val="center"/>
                            </w:pPr>
                            <w:r>
                              <w:rPr>
                                <w:color w:val="000000"/>
                                <w:shd w:val="clear" w:color="auto" w:fill="FFFFFF"/>
                                <w:lang w:val="uk-UA"/>
                              </w:rPr>
                              <w:t>призначення левотироксину в індивідуально дібраному дозуванні до досягнення еутиреозу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0" o:spid="_x0000_s1062" style="position:absolute;left:0;text-align:left;margin-left:107.55pt;margin-top:494.9pt;width:119.5pt;height:75.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" fillcolor="white [3201]" strokecolor="black [3200]" strokeweight="2pt">
                <v:textbox>
                  <w:txbxContent>
                    <w:p w:rsidR="008E5154" w:rsidRDefault="008E5154" w:rsidP="00E3259F">
                      <w:pPr>
                        <w:spacing w:line="168" w:lineRule="auto"/>
                        <w:jc w:val="center"/>
                      </w:pPr>
                      <w:r>
                        <w:rPr>
                          <w:color w:val="000000"/>
                          <w:shd w:val="clear" w:color="auto" w:fill="FFFFFF"/>
                          <w:lang w:val="uk-UA"/>
                        </w:rPr>
                        <w:t>призначення левотироксину в індивідуально дібраному дозуванні до досягнення еутиреозу</w:t>
                      </w:r>
                    </w:p>
                  </w:txbxContent>
                </v:textbox>
              </v:rect>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3014345</wp:posOffset>
                </wp:positionH>
                <wp:positionV relativeFrom="paragraph">
                  <wp:posOffset>3517265</wp:posOffset>
                </wp:positionV>
                <wp:extent cx="1428750" cy="492760"/>
                <wp:effectExtent l="0" t="0" r="19050" b="21590"/>
                <wp:wrapNone/>
                <wp:docPr id="289" name="Прямоугольник 289"/>
                <wp:cNvGraphicFramePr/>
                <a:graphic xmlns:a="http://schemas.openxmlformats.org/drawingml/2006/main">
                  <a:graphicData uri="http://schemas.microsoft.com/office/word/2010/wordprocessingShape">
                    <wps:wsp>
                      <wps:cNvSpPr/>
                      <wps:spPr>
                        <a:xfrm>
                          <a:off x="0" y="0"/>
                          <a:ext cx="1428750" cy="49276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приймають статини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89" o:spid="_x0000_s1063" style="position:absolute;left:0;text-align:left;margin-left:237.35pt;margin-top:276.95pt;width:112.5pt;height:38.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" fillcolor="white [3201]" strokecolor="black [3200]" strokeweight="2pt">
                <v:textbox>
                  <w:txbxContent>
                    <w:p w:rsidR="008E5154" w:rsidRDefault="008E5154" w:rsidP="00E3259F">
                      <w:pPr>
                        <w:jc w:val="center"/>
                        <w:rPr>
                          <w:lang w:val="uk-UA"/>
                        </w:rPr>
                      </w:pPr>
                      <w:r>
                        <w:rPr>
                          <w:lang w:val="uk-UA"/>
                        </w:rPr>
                        <w:t>приймають статини</w:t>
                      </w:r>
                    </w:p>
                  </w:txbxContent>
                </v:textbox>
              </v:rect>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1393190</wp:posOffset>
                </wp:positionH>
                <wp:positionV relativeFrom="paragraph">
                  <wp:posOffset>4166235</wp:posOffset>
                </wp:positionV>
                <wp:extent cx="1379855" cy="1028700"/>
                <wp:effectExtent l="0" t="0" r="10795" b="19050"/>
                <wp:wrapNone/>
                <wp:docPr id="288" name="Скругленный прямоугольник 288"/>
                <wp:cNvGraphicFramePr/>
                <a:graphic xmlns:a="http://schemas.openxmlformats.org/drawingml/2006/main">
                  <a:graphicData uri="http://schemas.microsoft.com/office/word/2010/wordprocessingShape">
                    <wps:wsp>
                      <wps:cNvSpPr/>
                      <wps:spPr>
                        <a:xfrm>
                          <a:off x="0" y="0"/>
                          <a:ext cx="1379855" cy="1028700"/>
                        </a:xfrm>
                        <a:prstGeom prst="round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80" w:lineRule="auto"/>
                              <w:jc w:val="center"/>
                            </w:pPr>
                            <w:r>
                              <w:rPr>
                                <w:color w:val="000000"/>
                                <w:shd w:val="clear" w:color="auto" w:fill="FFFFFF"/>
                                <w:lang w:val="uk-UA"/>
                              </w:rPr>
                              <w:t>призначити статини – аторвастатин (20 мг/добу) або розувастатин (10 мг/добу)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88" o:spid="_x0000_s1064" style="position:absolute;left:0;text-align:left;margin-left:109.7pt;margin-top:328.05pt;width:108.65pt;height:8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" fillcolor="white [3201]" strokecolor="black [3200]" strokeweight="2pt">
                <v:textbox>
                  <w:txbxContent>
                    <w:p w:rsidR="008E5154" w:rsidRDefault="008E5154" w:rsidP="00E3259F">
                      <w:pPr>
                        <w:spacing w:line="180" w:lineRule="auto"/>
                        <w:jc w:val="center"/>
                      </w:pPr>
                      <w:r>
                        <w:rPr>
                          <w:color w:val="000000"/>
                          <w:shd w:val="clear" w:color="auto" w:fill="FFFFFF"/>
                          <w:lang w:val="uk-UA"/>
                        </w:rPr>
                        <w:t>призначити статини – аторвастатин (20 мг/добу) або розувастатин (10 мг/добу)</w:t>
                      </w:r>
                    </w:p>
                  </w:txbxContent>
                </v:textbox>
              </v:roundrect>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1905</wp:posOffset>
                </wp:positionH>
                <wp:positionV relativeFrom="paragraph">
                  <wp:posOffset>5493385</wp:posOffset>
                </wp:positionV>
                <wp:extent cx="1264920" cy="584835"/>
                <wp:effectExtent l="0" t="0" r="11430" b="24765"/>
                <wp:wrapNone/>
                <wp:docPr id="287" name="Прямоугольник 287"/>
                <wp:cNvGraphicFramePr/>
                <a:graphic xmlns:a="http://schemas.openxmlformats.org/drawingml/2006/main">
                  <a:graphicData uri="http://schemas.microsoft.com/office/word/2010/wordprocessingShape">
                    <wps:wsp>
                      <wps:cNvSpPr/>
                      <wps:spPr>
                        <a:xfrm>
                          <a:off x="0" y="0"/>
                          <a:ext cx="1264920" cy="584835"/>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 xml:space="preserve">ТТГ 4,0-6,0 </w:t>
                            </w:r>
                            <w:r>
                              <w:rPr>
                                <w:color w:val="000000"/>
                                <w:shd w:val="clear" w:color="auto" w:fill="FFFFFF"/>
                                <w:lang w:val="uk-UA"/>
                              </w:rPr>
                              <w:t>мкМОд/мл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87" o:spid="_x0000_s1065" style="position:absolute;left:0;text-align:left;margin-left:.15pt;margin-top:432.55pt;width:99.6pt;height:46.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" fillcolor="white [3201]" strokecolor="black [3200]" strokeweight="2pt">
                <v:textbox>
                  <w:txbxContent>
                    <w:p w:rsidR="008E5154" w:rsidRDefault="008E5154" w:rsidP="00E3259F">
                      <w:pPr>
                        <w:jc w:val="center"/>
                        <w:rPr>
                          <w:lang w:val="uk-UA"/>
                        </w:rPr>
                      </w:pPr>
                      <w:r>
                        <w:rPr>
                          <w:lang w:val="uk-UA"/>
                        </w:rPr>
                        <w:t xml:space="preserve">ТТГ 4,0-6,0 </w:t>
                      </w:r>
                      <w:r>
                        <w:rPr>
                          <w:color w:val="000000"/>
                          <w:shd w:val="clear" w:color="auto" w:fill="FFFFFF"/>
                          <w:lang w:val="uk-UA"/>
                        </w:rPr>
                        <w:t>мкМОд/мл</w:t>
                      </w:r>
                    </w:p>
                  </w:txbxContent>
                </v:textbox>
              </v:rect>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1393825</wp:posOffset>
                </wp:positionH>
                <wp:positionV relativeFrom="paragraph">
                  <wp:posOffset>5473065</wp:posOffset>
                </wp:positionV>
                <wp:extent cx="1371600" cy="594360"/>
                <wp:effectExtent l="0" t="0" r="19050" b="15240"/>
                <wp:wrapNone/>
                <wp:docPr id="286" name="Прямоугольник 286"/>
                <wp:cNvGraphicFramePr/>
                <a:graphic xmlns:a="http://schemas.openxmlformats.org/drawingml/2006/main">
                  <a:graphicData uri="http://schemas.microsoft.com/office/word/2010/wordprocessingShape">
                    <wps:wsp>
                      <wps:cNvSpPr/>
                      <wps:spPr>
                        <a:xfrm>
                          <a:off x="0" y="0"/>
                          <a:ext cx="1371600" cy="59436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 xml:space="preserve">ТТГ 6,0-10,0 </w:t>
                            </w:r>
                            <w:r>
                              <w:rPr>
                                <w:color w:val="000000"/>
                                <w:shd w:val="clear" w:color="auto" w:fill="FFFFFF"/>
                                <w:lang w:val="uk-UA"/>
                              </w:rPr>
                              <w:t>мкМОд/мл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86" o:spid="_x0000_s1066" style="position:absolute;left:0;text-align:left;margin-left:109.75pt;margin-top:430.95pt;width:108pt;height:46.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" fillcolor="white [3201]" strokecolor="black [3200]" strokeweight="2pt">
                <v:textbox>
                  <w:txbxContent>
                    <w:p w:rsidR="008E5154" w:rsidRDefault="008E5154" w:rsidP="00E3259F">
                      <w:pPr>
                        <w:jc w:val="center"/>
                        <w:rPr>
                          <w:lang w:val="uk-UA"/>
                        </w:rPr>
                      </w:pPr>
                      <w:r>
                        <w:rPr>
                          <w:lang w:val="uk-UA"/>
                        </w:rPr>
                        <w:t xml:space="preserve">ТТГ 6,0-10,0 </w:t>
                      </w:r>
                      <w:r>
                        <w:rPr>
                          <w:color w:val="000000"/>
                          <w:shd w:val="clear" w:color="auto" w:fill="FFFFFF"/>
                          <w:lang w:val="uk-UA"/>
                        </w:rPr>
                        <w:t>мкМОд/мл</w:t>
                      </w:r>
                    </w:p>
                  </w:txbxContent>
                </v:textbox>
              </v:rect>
            </w:pict>
          </mc:Fallback>
        </mc:AlternateContent>
      </w:r>
      <w:r>
        <w:rPr>
          <w:noProof/>
        </w:rPr>
        <mc:AlternateContent>
          <mc:Choice Requires="wps">
            <w:drawing>
              <wp:anchor distT="0" distB="0" distL="114300" distR="114300" simplePos="0" relativeHeight="251675648" behindDoc="0" locked="0" layoutInCell="1" allowOverlap="1">
                <wp:simplePos x="0" y="0"/>
                <wp:positionH relativeFrom="column">
                  <wp:posOffset>741680</wp:posOffset>
                </wp:positionH>
                <wp:positionV relativeFrom="paragraph">
                  <wp:posOffset>3996055</wp:posOffset>
                </wp:positionV>
                <wp:extent cx="5080" cy="1264920"/>
                <wp:effectExtent l="0" t="0" r="33020" b="11430"/>
                <wp:wrapNone/>
                <wp:docPr id="285" name="Прямая соединительная линия 285"/>
                <wp:cNvGraphicFramePr/>
                <a:graphic xmlns:a="http://schemas.openxmlformats.org/drawingml/2006/main">
                  <a:graphicData uri="http://schemas.microsoft.com/office/word/2010/wordprocessingShape">
                    <wps:wsp>
                      <wps:cNvCnPr/>
                      <wps:spPr>
                        <a:xfrm>
                          <a:off x="0" y="0"/>
                          <a:ext cx="5080" cy="126492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6E81AFC2" id="Прямая соединительная линия 285"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8.4pt,314.65pt" to="58.8pt,4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" strokecolor="black [3213]"/>
            </w:pict>
          </mc:Fallback>
        </mc:AlternateContent>
      </w:r>
      <w:r>
        <w:rPr>
          <w:noProof/>
        </w:rPr>
        <mc:AlternateContent>
          <mc:Choice Requires="wps">
            <w:drawing>
              <wp:anchor distT="0" distB="0" distL="114300" distR="114300" simplePos="0" relativeHeight="251676672" behindDoc="0" locked="0" layoutInCell="1" allowOverlap="1">
                <wp:simplePos x="0" y="0"/>
                <wp:positionH relativeFrom="column">
                  <wp:posOffset>615950</wp:posOffset>
                </wp:positionH>
                <wp:positionV relativeFrom="paragraph">
                  <wp:posOffset>5273040</wp:posOffset>
                </wp:positionV>
                <wp:extent cx="1092200" cy="4445"/>
                <wp:effectExtent l="0" t="0" r="12700" b="33655"/>
                <wp:wrapNone/>
                <wp:docPr id="284" name="Прямая соединительная линия 284"/>
                <wp:cNvGraphicFramePr/>
                <a:graphic xmlns:a="http://schemas.openxmlformats.org/drawingml/2006/main">
                  <a:graphicData uri="http://schemas.microsoft.com/office/word/2010/wordprocessingShape">
                    <wps:wsp>
                      <wps:cNvCnPr/>
                      <wps:spPr>
                        <a:xfrm flipV="1">
                          <a:off x="0" y="0"/>
                          <a:ext cx="1092200" cy="444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295058F" id="Прямая соединительная линия 284"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5pt,415.2pt" to="134.5pt,4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" strokecolor="black [3213]"/>
            </w:pict>
          </mc:Fallback>
        </mc:AlternateContent>
      </w:r>
      <w:r>
        <w:rPr>
          <w:noProof/>
        </w:rPr>
        <mc:AlternateContent>
          <mc:Choice Requires="wps">
            <w:drawing>
              <wp:anchor distT="0" distB="0" distL="114300" distR="114300" simplePos="0" relativeHeight="251677696" behindDoc="0" locked="0" layoutInCell="1" allowOverlap="1">
                <wp:simplePos x="0" y="0"/>
                <wp:positionH relativeFrom="column">
                  <wp:posOffset>-3810</wp:posOffset>
                </wp:positionH>
                <wp:positionV relativeFrom="paragraph">
                  <wp:posOffset>-121285</wp:posOffset>
                </wp:positionV>
                <wp:extent cx="5923280" cy="428625"/>
                <wp:effectExtent l="0" t="0" r="20320" b="28575"/>
                <wp:wrapNone/>
                <wp:docPr id="283" name="Прямоугольник 283"/>
                <wp:cNvGraphicFramePr/>
                <a:graphic xmlns:a="http://schemas.openxmlformats.org/drawingml/2006/main">
                  <a:graphicData uri="http://schemas.microsoft.com/office/word/2010/wordprocessingShape">
                    <wps:wsp>
                      <wps:cNvSpPr/>
                      <wps:spPr>
                        <a:xfrm>
                          <a:off x="0" y="0"/>
                          <a:ext cx="5923280" cy="428625"/>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92" w:lineRule="auto"/>
                              <w:jc w:val="center"/>
                              <w:rPr>
                                <w:sz w:val="28"/>
                                <w:szCs w:val="28"/>
                                <w:lang w:val="uk-UA"/>
                              </w:rPr>
                            </w:pPr>
                            <w:r>
                              <w:rPr>
                                <w:sz w:val="28"/>
                                <w:szCs w:val="28"/>
                                <w:lang w:val="uk-UA"/>
                              </w:rPr>
                              <w:t>Хворі на поєднаний перебіг гіпертонічної хвороби та цукрового діабету 2 типу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83" o:spid="_x0000_s1067" style="position:absolute;left:0;text-align:left;margin-left:-.3pt;margin-top:-9.55pt;width:466.4pt;height:33.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" fillcolor="white [3201]" strokecolor="black [3200]" strokeweight="2pt">
                <v:textbox>
                  <w:txbxContent>
                    <w:p w:rsidR="008E5154" w:rsidRDefault="008E5154" w:rsidP="00E3259F">
                      <w:pPr>
                        <w:spacing w:line="192" w:lineRule="auto"/>
                        <w:jc w:val="center"/>
                        <w:rPr>
                          <w:sz w:val="28"/>
                          <w:szCs w:val="28"/>
                          <w:lang w:val="uk-UA"/>
                        </w:rPr>
                      </w:pPr>
                      <w:r>
                        <w:rPr>
                          <w:sz w:val="28"/>
                          <w:szCs w:val="28"/>
                          <w:lang w:val="uk-UA"/>
                        </w:rPr>
                        <w:t>Хворі на поєднаний перебіг гіпертонічної хвороби та цукрового діабету 2 типу</w:t>
                      </w:r>
                    </w:p>
                  </w:txbxContent>
                </v:textbox>
              </v:rect>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-10160</wp:posOffset>
                </wp:positionH>
                <wp:positionV relativeFrom="paragraph">
                  <wp:posOffset>8971915</wp:posOffset>
                </wp:positionV>
                <wp:extent cx="5701665" cy="354965"/>
                <wp:effectExtent l="0" t="0" r="0" b="6985"/>
                <wp:wrapNone/>
                <wp:docPr id="282" name="Прямоугольник 282"/>
                <wp:cNvGraphicFramePr/>
                <a:graphic xmlns:a="http://schemas.openxmlformats.org/drawingml/2006/main">
                  <a:graphicData uri="http://schemas.microsoft.com/office/word/2010/wordprocessingShape">
                    <wps:wsp>
                      <wps:cNvSpPr/>
                      <wps:spPr>
                        <a:xfrm>
                          <a:off x="0" y="0"/>
                          <a:ext cx="5701665" cy="354965"/>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rsidR="008E5154" w:rsidRDefault="008E5154" w:rsidP="00E3259F">
                            <w:pPr>
                              <w:rPr>
                                <w:sz w:val="28"/>
                                <w:szCs w:val="28"/>
                              </w:rPr>
                            </w:pPr>
                            <w:r>
                              <w:rPr>
                                <w:sz w:val="28"/>
                                <w:szCs w:val="28"/>
                              </w:rPr>
                              <w:t>Рис</w:t>
                            </w:r>
                            <w:r>
                              <w:rPr>
                                <w:sz w:val="28"/>
                                <w:szCs w:val="28"/>
                                <w:lang w:val="uk-UA"/>
                              </w:rPr>
                              <w:t>унок 9</w:t>
                            </w:r>
                            <w:r>
                              <w:rPr>
                                <w:sz w:val="28"/>
                                <w:szCs w:val="28"/>
                              </w:rPr>
                              <w:t>.</w:t>
                            </w:r>
                            <w:r>
                              <w:rPr>
                                <w:sz w:val="28"/>
                                <w:szCs w:val="28"/>
                                <w:lang w:val="uk-UA"/>
                              </w:rPr>
                              <w:t>1</w:t>
                            </w:r>
                            <w:r>
                              <w:rPr>
                                <w:sz w:val="28"/>
                                <w:szCs w:val="28"/>
                              </w:rPr>
                              <w:t>. Алгоритм ранньої діагностики та лікувальної тактики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82" o:spid="_x0000_s1068" style="position:absolute;left:0;text-align:left;margin-left:-.8pt;margin-top:706.45pt;width:448.95pt;height:27.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" fillcolor="white [3201]" stroked="f" strokeweight="2pt">
                <v:textbox>
                  <w:txbxContent>
                    <w:p w:rsidR="008E5154" w:rsidRDefault="008E5154" w:rsidP="00E3259F">
                      <w:pPr>
                        <w:rPr>
                          <w:sz w:val="28"/>
                          <w:szCs w:val="28"/>
                        </w:rPr>
                      </w:pPr>
                      <w:r>
                        <w:rPr>
                          <w:sz w:val="28"/>
                          <w:szCs w:val="28"/>
                        </w:rPr>
                        <w:t>Рис</w:t>
                      </w:r>
                      <w:r>
                        <w:rPr>
                          <w:sz w:val="28"/>
                          <w:szCs w:val="28"/>
                          <w:lang w:val="uk-UA"/>
                        </w:rPr>
                        <w:t>унок 9</w:t>
                      </w:r>
                      <w:r>
                        <w:rPr>
                          <w:sz w:val="28"/>
                          <w:szCs w:val="28"/>
                        </w:rPr>
                        <w:t>.</w:t>
                      </w:r>
                      <w:r>
                        <w:rPr>
                          <w:sz w:val="28"/>
                          <w:szCs w:val="28"/>
                          <w:lang w:val="uk-UA"/>
                        </w:rPr>
                        <w:t>1</w:t>
                      </w:r>
                      <w:r>
                        <w:rPr>
                          <w:sz w:val="28"/>
                          <w:szCs w:val="28"/>
                        </w:rPr>
                        <w:t>. Алгоритм ранньої діагностики та лікувальної тактики</w:t>
                      </w:r>
                    </w:p>
                  </w:txbxContent>
                </v:textbox>
              </v:rect>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3669665</wp:posOffset>
                </wp:positionH>
                <wp:positionV relativeFrom="paragraph">
                  <wp:posOffset>3222625</wp:posOffset>
                </wp:positionV>
                <wp:extent cx="887730" cy="274320"/>
                <wp:effectExtent l="38100" t="0" r="26670" b="68580"/>
                <wp:wrapNone/>
                <wp:docPr id="281" name="Прямая со стрелкой 281"/>
                <wp:cNvGraphicFramePr/>
                <a:graphic xmlns:a="http://schemas.openxmlformats.org/drawingml/2006/main">
                  <a:graphicData uri="http://schemas.microsoft.com/office/word/2010/wordprocessingShape">
                    <wps:wsp>
                      <wps:cNvCnPr/>
                      <wps:spPr>
                        <a:xfrm flipH="1">
                          <a:off x="0" y="0"/>
                          <a:ext cx="887730" cy="2743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97671E5" id="Прямая со стрелкой 281" o:spid="_x0000_s1026" type="#_x0000_t32" style="position:absolute;margin-left:288.95pt;margin-top:253.75pt;width:69.9pt;height:21.6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" strokecolor="black [3213]">
                <v:stroke endarrow="block"/>
              </v:shape>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4589145</wp:posOffset>
                </wp:positionH>
                <wp:positionV relativeFrom="paragraph">
                  <wp:posOffset>3212465</wp:posOffset>
                </wp:positionV>
                <wp:extent cx="701040" cy="294640"/>
                <wp:effectExtent l="0" t="0" r="99060" b="67310"/>
                <wp:wrapNone/>
                <wp:docPr id="280" name="Прямая со стрелкой 280"/>
                <wp:cNvGraphicFramePr/>
                <a:graphic xmlns:a="http://schemas.openxmlformats.org/drawingml/2006/main">
                  <a:graphicData uri="http://schemas.microsoft.com/office/word/2010/wordprocessingShape">
                    <wps:wsp>
                      <wps:cNvCnPr/>
                      <wps:spPr>
                        <a:xfrm>
                          <a:off x="0" y="0"/>
                          <a:ext cx="701040" cy="2946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62E28F" id="Прямая со стрелкой 280" o:spid="_x0000_s1026" type="#_x0000_t32" style="position:absolute;margin-left:361.35pt;margin-top:252.95pt;width:55.2pt;height:23.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" strokecolor="black [3213]">
                <v:stroke endarrow="block"/>
              </v:shape>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636905</wp:posOffset>
                </wp:positionH>
                <wp:positionV relativeFrom="paragraph">
                  <wp:posOffset>7169785</wp:posOffset>
                </wp:positionV>
                <wp:extent cx="1082040" cy="163195"/>
                <wp:effectExtent l="0" t="0" r="80010" b="84455"/>
                <wp:wrapNone/>
                <wp:docPr id="279" name="Прямая со стрелкой 279"/>
                <wp:cNvGraphicFramePr/>
                <a:graphic xmlns:a="http://schemas.openxmlformats.org/drawingml/2006/main">
                  <a:graphicData uri="http://schemas.microsoft.com/office/word/2010/wordprocessingShape">
                    <wps:wsp>
                      <wps:cNvCnPr/>
                      <wps:spPr>
                        <a:xfrm>
                          <a:off x="0" y="0"/>
                          <a:ext cx="1082040" cy="16319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CBD0C7" id="Прямая со стрелкой 279" o:spid="_x0000_s1026" type="#_x0000_t32" style="position:absolute;margin-left:50.15pt;margin-top:564.55pt;width:85.2pt;height:12.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" strokecolor="black [3213]">
                <v:stroke endarrow="block"/>
              </v:shape>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3766185</wp:posOffset>
                </wp:positionH>
                <wp:positionV relativeFrom="paragraph">
                  <wp:posOffset>6031865</wp:posOffset>
                </wp:positionV>
                <wp:extent cx="1478915" cy="208280"/>
                <wp:effectExtent l="38100" t="0" r="26035" b="77470"/>
                <wp:wrapNone/>
                <wp:docPr id="278" name="Прямая со стрелкой 278"/>
                <wp:cNvGraphicFramePr/>
                <a:graphic xmlns:a="http://schemas.openxmlformats.org/drawingml/2006/main">
                  <a:graphicData uri="http://schemas.microsoft.com/office/word/2010/wordprocessingShape">
                    <wps:wsp>
                      <wps:cNvCnPr/>
                      <wps:spPr>
                        <a:xfrm flipH="1">
                          <a:off x="0" y="0"/>
                          <a:ext cx="1478915" cy="2082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3E28BC" id="Прямая со стрелкой 278" o:spid="_x0000_s1026" type="#_x0000_t32" style="position:absolute;margin-left:296.55pt;margin-top:474.95pt;width:116.45pt;height:16.4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" strokecolor="black [3213]">
                <v:stroke endarrow="block"/>
              </v:shape>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5219065</wp:posOffset>
                </wp:positionH>
                <wp:positionV relativeFrom="paragraph">
                  <wp:posOffset>6034405</wp:posOffset>
                </wp:positionV>
                <wp:extent cx="5715" cy="219710"/>
                <wp:effectExtent l="76200" t="0" r="70485" b="46990"/>
                <wp:wrapNone/>
                <wp:docPr id="277" name="Прямая со стрелкой 277"/>
                <wp:cNvGraphicFramePr/>
                <a:graphic xmlns:a="http://schemas.openxmlformats.org/drawingml/2006/main">
                  <a:graphicData uri="http://schemas.microsoft.com/office/word/2010/wordprocessingShape">
                    <wps:wsp>
                      <wps:cNvCnPr/>
                      <wps:spPr>
                        <a:xfrm>
                          <a:off x="0" y="0"/>
                          <a:ext cx="5715" cy="2197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96D52EC" id="Прямая со стрелкой 277" o:spid="_x0000_s1026" type="#_x0000_t32" style="position:absolute;margin-left:410.95pt;margin-top:475.15pt;width:.45pt;height:17.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" strokecolor="black [3213]">
                <v:stroke endarrow="block"/>
              </v:shape>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column">
                  <wp:posOffset>613410</wp:posOffset>
                </wp:positionH>
                <wp:positionV relativeFrom="paragraph">
                  <wp:posOffset>6074410</wp:posOffset>
                </wp:positionV>
                <wp:extent cx="5715" cy="193040"/>
                <wp:effectExtent l="76200" t="0" r="70485" b="54610"/>
                <wp:wrapNone/>
                <wp:docPr id="276" name="Прямая со стрелкой 276"/>
                <wp:cNvGraphicFramePr/>
                <a:graphic xmlns:a="http://schemas.openxmlformats.org/drawingml/2006/main">
                  <a:graphicData uri="http://schemas.microsoft.com/office/word/2010/wordprocessingShape">
                    <wps:wsp>
                      <wps:cNvCnPr/>
                      <wps:spPr>
                        <a:xfrm flipH="1">
                          <a:off x="0" y="0"/>
                          <a:ext cx="5715" cy="1930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37D4DE3" id="Прямая со стрелкой 276" o:spid="_x0000_s1026" type="#_x0000_t32" style="position:absolute;margin-left:48.3pt;margin-top:478.3pt;width:.45pt;height:15.2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" strokecolor="black [3213]">
                <v:stroke endarrow="block"/>
              </v:shape>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628015</wp:posOffset>
                </wp:positionH>
                <wp:positionV relativeFrom="paragraph">
                  <wp:posOffset>5280025</wp:posOffset>
                </wp:positionV>
                <wp:extent cx="0" cy="201930"/>
                <wp:effectExtent l="76200" t="0" r="57150" b="64770"/>
                <wp:wrapNone/>
                <wp:docPr id="275" name="Прямая со стрелкой 275"/>
                <wp:cNvGraphicFramePr/>
                <a:graphic xmlns:a="http://schemas.openxmlformats.org/drawingml/2006/main">
                  <a:graphicData uri="http://schemas.microsoft.com/office/word/2010/wordprocessingShape">
                    <wps:wsp>
                      <wps:cNvCnPr/>
                      <wps:spPr>
                        <a:xfrm>
                          <a:off x="0" y="0"/>
                          <a:ext cx="0" cy="2019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9DA80B5" id="Прямая со стрелкой 275" o:spid="_x0000_s1026" type="#_x0000_t32" style="position:absolute;margin-left:49.45pt;margin-top:415.75pt;width:0;height:15.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" strokecolor="black [3213]">
                <v:stroke endarrow="block"/>
              </v:shape>
            </w:pict>
          </mc:Fallback>
        </mc:AlternateContent>
      </w:r>
      <w:r>
        <w:rPr>
          <w:noProof/>
        </w:rPr>
        <mc:AlternateContent>
          <mc:Choice Requires="wps">
            <w:drawing>
              <wp:anchor distT="0" distB="0" distL="114300" distR="114300" simplePos="0" relativeHeight="251686912" behindDoc="0" locked="0" layoutInCell="1" allowOverlap="1">
                <wp:simplePos x="0" y="0"/>
                <wp:positionH relativeFrom="column">
                  <wp:posOffset>-3175</wp:posOffset>
                </wp:positionH>
                <wp:positionV relativeFrom="paragraph">
                  <wp:posOffset>6280785</wp:posOffset>
                </wp:positionV>
                <wp:extent cx="1280160" cy="883920"/>
                <wp:effectExtent l="0" t="0" r="15240" b="11430"/>
                <wp:wrapNone/>
                <wp:docPr id="274" name="Прямоугольник 274"/>
                <wp:cNvGraphicFramePr/>
                <a:graphic xmlns:a="http://schemas.openxmlformats.org/drawingml/2006/main">
                  <a:graphicData uri="http://schemas.microsoft.com/office/word/2010/wordprocessingShape">
                    <wps:wsp>
                      <wps:cNvSpPr/>
                      <wps:spPr>
                        <a:xfrm>
                          <a:off x="0" y="0"/>
                          <a:ext cx="1280160" cy="88392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92" w:lineRule="auto"/>
                              <w:jc w:val="center"/>
                              <w:rPr>
                                <w:spacing w:val="-10"/>
                              </w:rPr>
                            </w:pPr>
                            <w:r>
                              <w:rPr>
                                <w:color w:val="000000"/>
                                <w:spacing w:val="-10"/>
                                <w:shd w:val="clear" w:color="auto" w:fill="FFFFFF"/>
                                <w:lang w:val="uk-UA"/>
                              </w:rPr>
                              <w:t>оцінити додатковий ризик розвитку ССУ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4" o:spid="_x0000_s1069" style="position:absolute;left:0;text-align:left;margin-left:-.25pt;margin-top:494.55pt;width:100.8pt;height:69.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" fillcolor="white [3201]" strokecolor="black [3200]" strokeweight="2pt">
                <v:textbox>
                  <w:txbxContent>
                    <w:p w:rsidR="008E5154" w:rsidRDefault="008E5154" w:rsidP="00E3259F">
                      <w:pPr>
                        <w:spacing w:line="192" w:lineRule="auto"/>
                        <w:jc w:val="center"/>
                        <w:rPr>
                          <w:spacing w:val="-10"/>
                        </w:rPr>
                      </w:pPr>
                      <w:r>
                        <w:rPr>
                          <w:color w:val="000000"/>
                          <w:spacing w:val="-10"/>
                          <w:shd w:val="clear" w:color="auto" w:fill="FFFFFF"/>
                          <w:lang w:val="uk-UA"/>
                        </w:rPr>
                        <w:t>оцінити додатковий ризик розвитку ССУ</w:t>
                      </w:r>
                    </w:p>
                  </w:txbxContent>
                </v:textbox>
              </v:rect>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-53975</wp:posOffset>
                </wp:positionH>
                <wp:positionV relativeFrom="paragraph">
                  <wp:posOffset>7906385</wp:posOffset>
                </wp:positionV>
                <wp:extent cx="2407920" cy="533400"/>
                <wp:effectExtent l="0" t="0" r="11430" b="19050"/>
                <wp:wrapNone/>
                <wp:docPr id="273" name="Прямоугольник 273"/>
                <wp:cNvGraphicFramePr/>
                <a:graphic xmlns:a="http://schemas.openxmlformats.org/drawingml/2006/main">
                  <a:graphicData uri="http://schemas.microsoft.com/office/word/2010/wordprocessingShape">
                    <wps:wsp>
                      <wps:cNvSpPr/>
                      <wps:spPr>
                        <a:xfrm>
                          <a:off x="0" y="0"/>
                          <a:ext cx="2407920" cy="53340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68" w:lineRule="auto"/>
                              <w:rPr>
                                <w:lang w:val="uk-UA"/>
                              </w:rPr>
                            </w:pPr>
                            <w:r>
                              <w:rPr>
                                <w:lang w:val="uk-UA"/>
                              </w:rPr>
                              <w:t xml:space="preserve">призначення левотироксину в </w:t>
                            </w:r>
                          </w:p>
                          <w:p w:rsidR="008E5154" w:rsidRDefault="008E5154" w:rsidP="00E3259F">
                            <w:pPr>
                              <w:spacing w:line="168" w:lineRule="auto"/>
                              <w:rPr>
                                <w:lang w:val="uk-UA"/>
                              </w:rPr>
                            </w:pPr>
                            <w:r>
                              <w:rPr>
                                <w:lang w:val="uk-UA"/>
                              </w:rPr>
                              <w:t>індивідуально дібраному дозу-ванні до досягнення еутиреозу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Прямоугольник 273" o:spid="_x0000_s1070" style="position:absolute;left:0;text-align:left;margin-left:-4.25pt;margin-top:622.55pt;width:189.6pt;height:4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" fillcolor="white [3201]" strokecolor="black [3200]" strokeweight="2pt">
                <v:textbox>
                  <w:txbxContent>
                    <w:p w:rsidR="008E5154" w:rsidRDefault="008E5154" w:rsidP="00E3259F">
                      <w:pPr>
                        <w:spacing w:line="168" w:lineRule="auto"/>
                        <w:rPr>
                          <w:lang w:val="uk-UA"/>
                        </w:rPr>
                      </w:pPr>
                      <w:r>
                        <w:rPr>
                          <w:lang w:val="uk-UA"/>
                        </w:rPr>
                        <w:t xml:space="preserve">призначення левотироксину в </w:t>
                      </w:r>
                    </w:p>
                    <w:p w:rsidR="008E5154" w:rsidRDefault="008E5154" w:rsidP="00E3259F">
                      <w:pPr>
                        <w:spacing w:line="168" w:lineRule="auto"/>
                        <w:rPr>
                          <w:lang w:val="uk-UA"/>
                        </w:rPr>
                      </w:pPr>
                      <w:r>
                        <w:rPr>
                          <w:lang w:val="uk-UA"/>
                        </w:rPr>
                        <w:t>індивідуально дібраному дозу-ванні до досягнення еутиреозу</w:t>
                      </w:r>
                    </w:p>
                  </w:txbxContent>
                </v:textbox>
              </v:rect>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4533265</wp:posOffset>
                </wp:positionH>
                <wp:positionV relativeFrom="paragraph">
                  <wp:posOffset>5422265</wp:posOffset>
                </wp:positionV>
                <wp:extent cx="1387475" cy="604520"/>
                <wp:effectExtent l="0" t="0" r="22225" b="24130"/>
                <wp:wrapNone/>
                <wp:docPr id="272" name="Прямоугольник 272"/>
                <wp:cNvGraphicFramePr/>
                <a:graphic xmlns:a="http://schemas.openxmlformats.org/drawingml/2006/main">
                  <a:graphicData uri="http://schemas.microsoft.com/office/word/2010/wordprocessingShape">
                    <wps:wsp>
                      <wps:cNvSpPr/>
                      <wps:spPr>
                        <a:xfrm>
                          <a:off x="0" y="0"/>
                          <a:ext cx="1387475" cy="60452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16" w:lineRule="auto"/>
                              <w:jc w:val="center"/>
                            </w:pPr>
                            <w:r>
                              <w:rPr>
                                <w:color w:val="000000"/>
                                <w:shd w:val="clear" w:color="auto" w:fill="FFFFFF"/>
                                <w:lang w:val="uk-UA"/>
                              </w:rPr>
                              <w:t>оцінити додатковий ризик розвитку ССУ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2" o:spid="_x0000_s1071" style="position:absolute;left:0;text-align:left;margin-left:356.95pt;margin-top:426.95pt;width:109.25pt;height:47.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" fillcolor="white [3201]" strokecolor="black [3200]" strokeweight="2pt">
                <v:textbox>
                  <w:txbxContent>
                    <w:p w:rsidR="008E5154" w:rsidRDefault="008E5154" w:rsidP="00E3259F">
                      <w:pPr>
                        <w:spacing w:line="216" w:lineRule="auto"/>
                        <w:jc w:val="center"/>
                      </w:pPr>
                      <w:r>
                        <w:rPr>
                          <w:color w:val="000000"/>
                          <w:shd w:val="clear" w:color="auto" w:fill="FFFFFF"/>
                          <w:lang w:val="uk-UA"/>
                        </w:rPr>
                        <w:t>оцінити додатковий ризик розвитку ССУ</w:t>
                      </w:r>
                    </w:p>
                  </w:txbxContent>
                </v:textbox>
              </v:rect>
            </w:pict>
          </mc:Fallback>
        </mc:AlternateContent>
      </w:r>
      <w:r>
        <w:rPr>
          <w:noProof/>
        </w:rPr>
        <mc:AlternateContent>
          <mc:Choice Requires="wps">
            <w:drawing>
              <wp:anchor distT="0" distB="0" distL="114300" distR="114300" simplePos="0" relativeHeight="251689984" behindDoc="0" locked="0" layoutInCell="1" allowOverlap="1">
                <wp:simplePos x="0" y="0"/>
                <wp:positionH relativeFrom="column">
                  <wp:posOffset>4548505</wp:posOffset>
                </wp:positionH>
                <wp:positionV relativeFrom="paragraph">
                  <wp:posOffset>6250305</wp:posOffset>
                </wp:positionV>
                <wp:extent cx="1372235" cy="548640"/>
                <wp:effectExtent l="0" t="0" r="18415" b="22860"/>
                <wp:wrapNone/>
                <wp:docPr id="271" name="Прямоугольник 271"/>
                <wp:cNvGraphicFramePr/>
                <a:graphic xmlns:a="http://schemas.openxmlformats.org/drawingml/2006/main">
                  <a:graphicData uri="http://schemas.microsoft.com/office/word/2010/wordprocessingShape">
                    <wps:wsp>
                      <wps:cNvSpPr/>
                      <wps:spPr>
                        <a:xfrm>
                          <a:off x="0" y="0"/>
                          <a:ext cx="1372235" cy="54864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високий ризик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271" o:spid="_x0000_s1072" style="position:absolute;left:0;text-align:left;margin-left:358.15pt;margin-top:492.15pt;width:108.05pt;height:43.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" fillcolor="white [3201]" strokecolor="black [3200]" strokeweight="2pt">
                <v:textbox>
                  <w:txbxContent>
                    <w:p w:rsidR="008E5154" w:rsidRDefault="008E5154" w:rsidP="00E3259F">
                      <w:pPr>
                        <w:jc w:val="center"/>
                        <w:rPr>
                          <w:lang w:val="uk-UA"/>
                        </w:rPr>
                      </w:pPr>
                      <w:r>
                        <w:rPr>
                          <w:lang w:val="uk-UA"/>
                        </w:rPr>
                        <w:t>високий ризик</w:t>
                      </w:r>
                    </w:p>
                  </w:txbxContent>
                </v:textbox>
              </v:rect>
            </w:pict>
          </mc:Fallback>
        </mc:AlternateContent>
      </w:r>
      <w:r>
        <w:rPr>
          <w:noProof/>
        </w:rPr>
        <mc:AlternateContent>
          <mc:Choice Requires="wps">
            <w:drawing>
              <wp:anchor distT="0" distB="0" distL="114300" distR="114300" simplePos="0" relativeHeight="251691008" behindDoc="0" locked="0" layoutInCell="1" allowOverlap="1">
                <wp:simplePos x="0" y="0"/>
                <wp:positionH relativeFrom="column">
                  <wp:posOffset>3024505</wp:posOffset>
                </wp:positionH>
                <wp:positionV relativeFrom="paragraph">
                  <wp:posOffset>6265545</wp:posOffset>
                </wp:positionV>
                <wp:extent cx="1408430" cy="543560"/>
                <wp:effectExtent l="0" t="0" r="20320" b="27940"/>
                <wp:wrapNone/>
                <wp:docPr id="270" name="Прямоугольник 270"/>
                <wp:cNvGraphicFramePr/>
                <a:graphic xmlns:a="http://schemas.openxmlformats.org/drawingml/2006/main">
                  <a:graphicData uri="http://schemas.microsoft.com/office/word/2010/wordprocessingShape">
                    <wps:wsp>
                      <wps:cNvSpPr/>
                      <wps:spPr>
                        <a:xfrm>
                          <a:off x="0" y="0"/>
                          <a:ext cx="1408430" cy="54356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низький або помірний ризик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0" o:spid="_x0000_s1073" style="position:absolute;left:0;text-align:left;margin-left:238.15pt;margin-top:493.35pt;width:110.9pt;height:42.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" fillcolor="white [3201]" strokecolor="black [3200]" strokeweight="2pt">
                <v:textbox>
                  <w:txbxContent>
                    <w:p w:rsidR="008E5154" w:rsidRDefault="008E5154" w:rsidP="00E3259F">
                      <w:pPr>
                        <w:jc w:val="center"/>
                        <w:rPr>
                          <w:lang w:val="uk-UA"/>
                        </w:rPr>
                      </w:pPr>
                      <w:r>
                        <w:rPr>
                          <w:lang w:val="uk-UA"/>
                        </w:rPr>
                        <w:t>низький або помірний ризик</w:t>
                      </w:r>
                    </w:p>
                  </w:txbxContent>
                </v:textbox>
              </v:rect>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1905</wp:posOffset>
                </wp:positionH>
                <wp:positionV relativeFrom="paragraph">
                  <wp:posOffset>484505</wp:posOffset>
                </wp:positionV>
                <wp:extent cx="2522220" cy="579120"/>
                <wp:effectExtent l="0" t="0" r="11430" b="11430"/>
                <wp:wrapNone/>
                <wp:docPr id="269" name="Прямоугольник 269"/>
                <wp:cNvGraphicFramePr/>
                <a:graphic xmlns:a="http://schemas.openxmlformats.org/drawingml/2006/main">
                  <a:graphicData uri="http://schemas.microsoft.com/office/word/2010/wordprocessingShape">
                    <wps:wsp>
                      <wps:cNvSpPr/>
                      <wps:spPr>
                        <a:xfrm>
                          <a:off x="0" y="0"/>
                          <a:ext cx="2522220" cy="57912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16" w:lineRule="auto"/>
                              <w:jc w:val="center"/>
                            </w:pPr>
                            <w:r>
                              <w:rPr>
                                <w:rFonts w:eastAsia="Calibri"/>
                                <w:lang w:val="uk-UA"/>
                              </w:rPr>
                              <w:t xml:space="preserve">низький сумарний ризик розвитку гіпотиреозу (сума балів &lt;10) за опитувальником </w:t>
                            </w:r>
                            <w:r>
                              <w:rPr>
                                <w:rFonts w:eastAsia="Calibri"/>
                              </w:rPr>
                              <w:t>HRQ</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9" o:spid="_x0000_s1074" style="position:absolute;left:0;text-align:left;margin-left:.15pt;margin-top:38.15pt;width:198.6pt;height:45.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" fillcolor="white [3201]" strokecolor="black [3200]" strokeweight="2pt">
                <v:textbox>
                  <w:txbxContent>
                    <w:p w:rsidR="008E5154" w:rsidRDefault="008E5154" w:rsidP="00E3259F">
                      <w:pPr>
                        <w:spacing w:line="216" w:lineRule="auto"/>
                        <w:jc w:val="center"/>
                      </w:pPr>
                      <w:r>
                        <w:rPr>
                          <w:rFonts w:eastAsia="Calibri"/>
                          <w:lang w:val="uk-UA"/>
                        </w:rPr>
                        <w:t xml:space="preserve">низький сумарний ризик розвитку гіпотиреозу (сума балів &lt;10) за опитувальником </w:t>
                      </w:r>
                      <w:r>
                        <w:rPr>
                          <w:rFonts w:eastAsia="Calibri"/>
                        </w:rPr>
                        <w:t>HRQ</w:t>
                      </w:r>
                    </w:p>
                  </w:txbxContent>
                </v:textbox>
              </v:rect>
            </w:pict>
          </mc:Fallback>
        </mc:AlternateContent>
      </w:r>
      <w:r>
        <w:rPr>
          <w:noProof/>
        </w:rPr>
        <mc:AlternateContent>
          <mc:Choice Requires="wps">
            <w:drawing>
              <wp:anchor distT="0" distB="0" distL="114300" distR="114300" simplePos="0" relativeHeight="251693056" behindDoc="0" locked="0" layoutInCell="1" allowOverlap="1">
                <wp:simplePos x="0" y="0"/>
                <wp:positionH relativeFrom="column">
                  <wp:posOffset>2684145</wp:posOffset>
                </wp:positionH>
                <wp:positionV relativeFrom="paragraph">
                  <wp:posOffset>464185</wp:posOffset>
                </wp:positionV>
                <wp:extent cx="3236595" cy="589280"/>
                <wp:effectExtent l="0" t="0" r="20955" b="20320"/>
                <wp:wrapNone/>
                <wp:docPr id="268" name="Прямоугольник 268"/>
                <wp:cNvGraphicFramePr/>
                <a:graphic xmlns:a="http://schemas.openxmlformats.org/drawingml/2006/main">
                  <a:graphicData uri="http://schemas.microsoft.com/office/word/2010/wordprocessingShape">
                    <wps:wsp>
                      <wps:cNvSpPr/>
                      <wps:spPr>
                        <a:xfrm>
                          <a:off x="0" y="0"/>
                          <a:ext cx="3236595" cy="58928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204" w:lineRule="auto"/>
                              <w:jc w:val="center"/>
                              <w:rPr>
                                <w:rFonts w:eastAsia="Calibri"/>
                                <w:lang w:val="uk-UA"/>
                              </w:rPr>
                            </w:pPr>
                            <w:r>
                              <w:rPr>
                                <w:rFonts w:eastAsia="Calibri"/>
                                <w:lang w:val="uk-UA"/>
                              </w:rPr>
                              <w:t>помірний (сума балів 10-20) або високий  (сума балів&gt; 20) сумарний ризик розвитку гіпотиреозу за опитувальником HRQ</w:t>
                            </w:r>
                          </w:p>
                          <w:p w:rsidR="008E5154" w:rsidRDefault="008E5154" w:rsidP="00E3259F">
                            <w:pPr>
                              <w:spacing w:line="216"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8" o:spid="_x0000_s1075" style="position:absolute;left:0;text-align:left;margin-left:211.35pt;margin-top:36.55pt;width:254.85pt;height:46.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" fillcolor="white [3201]" strokecolor="black [3200]" strokeweight="2pt">
                <v:textbox>
                  <w:txbxContent>
                    <w:p w:rsidR="008E5154" w:rsidRDefault="008E5154" w:rsidP="00E3259F">
                      <w:pPr>
                        <w:spacing w:line="204" w:lineRule="auto"/>
                        <w:jc w:val="center"/>
                        <w:rPr>
                          <w:rFonts w:eastAsia="Calibri"/>
                          <w:lang w:val="uk-UA"/>
                        </w:rPr>
                      </w:pPr>
                      <w:r>
                        <w:rPr>
                          <w:rFonts w:eastAsia="Calibri"/>
                          <w:lang w:val="uk-UA"/>
                        </w:rPr>
                        <w:t>помірний (сума балів 10-20) або високий  (сума балів&gt; 20) сумарний ризик розвитку гіпотиреозу за опитувальником HRQ</w:t>
                      </w:r>
                    </w:p>
                    <w:p w:rsidR="008E5154" w:rsidRDefault="008E5154" w:rsidP="00E3259F">
                      <w:pPr>
                        <w:spacing w:line="216" w:lineRule="auto"/>
                        <w:jc w:val="center"/>
                      </w:pPr>
                    </w:p>
                  </w:txbxContent>
                </v:textbox>
              </v:rect>
            </w:pict>
          </mc:Fallback>
        </mc:AlternateContent>
      </w:r>
      <w:r>
        <w:rPr>
          <w:noProof/>
        </w:rPr>
        <mc:AlternateContent>
          <mc:Choice Requires="wps">
            <w:drawing>
              <wp:anchor distT="0" distB="0" distL="114300" distR="114300" simplePos="0" relativeHeight="251694080" behindDoc="0" locked="0" layoutInCell="1" allowOverlap="1">
                <wp:simplePos x="0" y="0"/>
                <wp:positionH relativeFrom="column">
                  <wp:posOffset>2426970</wp:posOffset>
                </wp:positionH>
                <wp:positionV relativeFrom="paragraph">
                  <wp:posOffset>7763510</wp:posOffset>
                </wp:positionV>
                <wp:extent cx="0" cy="857885"/>
                <wp:effectExtent l="76200" t="0" r="57150" b="56515"/>
                <wp:wrapNone/>
                <wp:docPr id="267" name="Прямая со стрелкой 267"/>
                <wp:cNvGraphicFramePr/>
                <a:graphic xmlns:a="http://schemas.openxmlformats.org/drawingml/2006/main">
                  <a:graphicData uri="http://schemas.microsoft.com/office/word/2010/wordprocessingShape">
                    <wps:wsp>
                      <wps:cNvCnPr/>
                      <wps:spPr>
                        <a:xfrm>
                          <a:off x="0" y="0"/>
                          <a:ext cx="0" cy="8578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EF36A6F" id="Прямая со стрелкой 267" o:spid="_x0000_s1026" type="#_x0000_t32" style="position:absolute;margin-left:191.1pt;margin-top:611.3pt;width:0;height:67.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" strokecolor="black [3213]">
                <v:stroke endarrow="block"/>
              </v:shape>
            </w:pict>
          </mc:Fallback>
        </mc:AlternateContent>
      </w:r>
      <w:r>
        <w:rPr>
          <w:noProof/>
        </w:rPr>
        <mc:AlternateContent>
          <mc:Choice Requires="wps">
            <w:drawing>
              <wp:anchor distT="0" distB="0" distL="114300" distR="114300" simplePos="0" relativeHeight="251695104" behindDoc="0" locked="0" layoutInCell="1" allowOverlap="1">
                <wp:simplePos x="0" y="0"/>
                <wp:positionH relativeFrom="column">
                  <wp:posOffset>-3175</wp:posOffset>
                </wp:positionH>
                <wp:positionV relativeFrom="paragraph">
                  <wp:posOffset>1226185</wp:posOffset>
                </wp:positionV>
                <wp:extent cx="3281680" cy="695960"/>
                <wp:effectExtent l="0" t="0" r="13970" b="27940"/>
                <wp:wrapNone/>
                <wp:docPr id="266" name="Прямоугольник 266"/>
                <wp:cNvGraphicFramePr/>
                <a:graphic xmlns:a="http://schemas.openxmlformats.org/drawingml/2006/main">
                  <a:graphicData uri="http://schemas.microsoft.com/office/word/2010/wordprocessingShape">
                    <wps:wsp>
                      <wps:cNvSpPr/>
                      <wps:spPr>
                        <a:xfrm>
                          <a:off x="0" y="0"/>
                          <a:ext cx="3281680" cy="69596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92" w:lineRule="auto"/>
                              <w:jc w:val="center"/>
                            </w:pPr>
                            <w:r>
                              <w:rPr>
                                <w:rFonts w:eastAsia="Calibri"/>
                                <w:lang w:val="uk-UA"/>
                              </w:rPr>
                              <w:t>динамічне спостереження :</w:t>
                            </w:r>
                            <w:r>
                              <w:rPr>
                                <w:lang w:val="uk-UA"/>
                              </w:rPr>
                              <w:t xml:space="preserve"> м</w:t>
                            </w:r>
                            <w:r>
                              <w:t>оніторинг</w:t>
                            </w:r>
                            <w:r>
                              <w:rPr>
                                <w:lang w:val="uk-UA"/>
                              </w:rPr>
                              <w:t xml:space="preserve"> дієти, фізичного анаеробного навантаження,  антигіпертензивної, антидіабетичної терапії та</w:t>
                            </w:r>
                          </w:p>
                          <w:p w:rsidR="008E5154" w:rsidRDefault="008E5154" w:rsidP="00E3259F">
                            <w:pPr>
                              <w:spacing w:line="192" w:lineRule="auto"/>
                              <w:jc w:val="center"/>
                              <w:rPr>
                                <w:lang w:val="uk-UA"/>
                              </w:rPr>
                            </w:pPr>
                            <w:r>
                              <w:rPr>
                                <w:lang w:val="uk-UA"/>
                              </w:rPr>
                              <w:t>статинотерапії</w:t>
                            </w:r>
                          </w:p>
                          <w:p w:rsidR="008E5154" w:rsidRDefault="008E5154" w:rsidP="00E3259F">
                            <w:pPr>
                              <w:spacing w:line="192" w:lineRule="auto"/>
                              <w:rPr>
                                <w:rFonts w:asciiTheme="minorHAnsi" w:hAnsiTheme="minorHAnsi" w:cstheme="minorBid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6" o:spid="_x0000_s1076" style="position:absolute;left:0;text-align:left;margin-left:-.25pt;margin-top:96.55pt;width:258.4pt;height:54.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" fillcolor="white [3201]" strokecolor="black [3200]" strokeweight="2pt">
                <v:textbox>
                  <w:txbxContent>
                    <w:p w:rsidR="008E5154" w:rsidRDefault="008E5154" w:rsidP="00E3259F">
                      <w:pPr>
                        <w:spacing w:line="192" w:lineRule="auto"/>
                        <w:jc w:val="center"/>
                      </w:pPr>
                      <w:r>
                        <w:rPr>
                          <w:rFonts w:eastAsia="Calibri"/>
                          <w:lang w:val="uk-UA"/>
                        </w:rPr>
                        <w:t>динамічне спостереження :</w:t>
                      </w:r>
                      <w:r>
                        <w:rPr>
                          <w:lang w:val="uk-UA"/>
                        </w:rPr>
                        <w:t xml:space="preserve"> м</w:t>
                      </w:r>
                      <w:r>
                        <w:t>оніторинг</w:t>
                      </w:r>
                      <w:r>
                        <w:rPr>
                          <w:lang w:val="uk-UA"/>
                        </w:rPr>
                        <w:t xml:space="preserve"> дієти, фізичного анаеробного навантаження,  антигіпертензивної, антидіабетичної терапії та</w:t>
                      </w:r>
                    </w:p>
                    <w:p w:rsidR="008E5154" w:rsidRDefault="008E5154" w:rsidP="00E3259F">
                      <w:pPr>
                        <w:spacing w:line="192" w:lineRule="auto"/>
                        <w:jc w:val="center"/>
                        <w:rPr>
                          <w:lang w:val="uk-UA"/>
                        </w:rPr>
                      </w:pPr>
                      <w:r>
                        <w:rPr>
                          <w:lang w:val="uk-UA"/>
                        </w:rPr>
                        <w:t>статинотерапії</w:t>
                      </w:r>
                    </w:p>
                    <w:p w:rsidR="008E5154" w:rsidRDefault="008E5154" w:rsidP="00E3259F">
                      <w:pPr>
                        <w:spacing w:line="192" w:lineRule="auto"/>
                        <w:rPr>
                          <w:rFonts w:asciiTheme="minorHAnsi" w:hAnsiTheme="minorHAnsi" w:cstheme="minorBidi"/>
                        </w:rPr>
                      </w:pPr>
                    </w:p>
                  </w:txbxContent>
                </v:textbox>
              </v:rect>
            </w:pict>
          </mc:Fallback>
        </mc:AlternateContent>
      </w:r>
      <w:r>
        <w:rPr>
          <w:noProof/>
        </w:rPr>
        <mc:AlternateContent>
          <mc:Choice Requires="wps">
            <w:drawing>
              <wp:anchor distT="0" distB="0" distL="114300" distR="114300" simplePos="0" relativeHeight="251696128" behindDoc="0" locked="0" layoutInCell="1" allowOverlap="1">
                <wp:simplePos x="0" y="0"/>
                <wp:positionH relativeFrom="column">
                  <wp:posOffset>3390265</wp:posOffset>
                </wp:positionH>
                <wp:positionV relativeFrom="paragraph">
                  <wp:posOffset>1210945</wp:posOffset>
                </wp:positionV>
                <wp:extent cx="2530475" cy="701040"/>
                <wp:effectExtent l="0" t="0" r="22225" b="22860"/>
                <wp:wrapNone/>
                <wp:docPr id="265" name="Прямоугольник 265"/>
                <wp:cNvGraphicFramePr/>
                <a:graphic xmlns:a="http://schemas.openxmlformats.org/drawingml/2006/main">
                  <a:graphicData uri="http://schemas.microsoft.com/office/word/2010/wordprocessingShape">
                    <wps:wsp>
                      <wps:cNvSpPr/>
                      <wps:spPr>
                        <a:xfrm>
                          <a:off x="0" y="0"/>
                          <a:ext cx="2530475" cy="70104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визначення рівня ТТГ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265" o:spid="_x0000_s1077" style="position:absolute;left:0;text-align:left;margin-left:266.95pt;margin-top:95.35pt;width:199.25pt;height:55.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" fillcolor="white [3201]" strokecolor="black [3200]" strokeweight="2pt">
                <v:textbox>
                  <w:txbxContent>
                    <w:p w:rsidR="008E5154" w:rsidRDefault="008E5154" w:rsidP="00E3259F">
                      <w:pPr>
                        <w:jc w:val="center"/>
                        <w:rPr>
                          <w:lang w:val="uk-UA"/>
                        </w:rPr>
                      </w:pPr>
                      <w:r>
                        <w:rPr>
                          <w:lang w:val="uk-UA"/>
                        </w:rPr>
                        <w:t>визначення рівня ТТГ</w:t>
                      </w:r>
                    </w:p>
                  </w:txbxContent>
                </v:textbox>
              </v:rect>
            </w:pict>
          </mc:Fallback>
        </mc:AlternateContent>
      </w:r>
      <w:r>
        <w:rPr>
          <w:noProof/>
        </w:rPr>
        <mc:AlternateContent>
          <mc:Choice Requires="wps">
            <w:drawing>
              <wp:anchor distT="0" distB="0" distL="114300" distR="114300" simplePos="0" relativeHeight="251697152" behindDoc="0" locked="0" layoutInCell="1" allowOverlap="1">
                <wp:simplePos x="0" y="0"/>
                <wp:positionH relativeFrom="column">
                  <wp:posOffset>1905</wp:posOffset>
                </wp:positionH>
                <wp:positionV relativeFrom="paragraph">
                  <wp:posOffset>2110105</wp:posOffset>
                </wp:positionV>
                <wp:extent cx="2533015" cy="518160"/>
                <wp:effectExtent l="0" t="0" r="19685" b="15240"/>
                <wp:wrapNone/>
                <wp:docPr id="264" name="Прямоугольник 264"/>
                <wp:cNvGraphicFramePr/>
                <a:graphic xmlns:a="http://schemas.openxmlformats.org/drawingml/2006/main">
                  <a:graphicData uri="http://schemas.microsoft.com/office/word/2010/wordprocessingShape">
                    <wps:wsp>
                      <wps:cNvSpPr/>
                      <wps:spPr>
                        <a:xfrm>
                          <a:off x="0" y="0"/>
                          <a:ext cx="2533015" cy="51816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повторне опитування через 1 рік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угольник 264" o:spid="_x0000_s1078" style="position:absolute;left:0;text-align:left;margin-left:.15pt;margin-top:166.15pt;width:199.45pt;height:40.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" fillcolor="white [3201]" strokecolor="black [3200]" strokeweight="2pt">
                <v:textbox>
                  <w:txbxContent>
                    <w:p w:rsidR="008E5154" w:rsidRDefault="008E5154" w:rsidP="00E3259F">
                      <w:pPr>
                        <w:jc w:val="center"/>
                        <w:rPr>
                          <w:lang w:val="uk-UA"/>
                        </w:rPr>
                      </w:pPr>
                      <w:r>
                        <w:rPr>
                          <w:lang w:val="uk-UA"/>
                        </w:rPr>
                        <w:t>повторне опитування через 1 рік</w:t>
                      </w:r>
                    </w:p>
                  </w:txbxContent>
                </v:textbox>
              </v:rect>
            </w:pict>
          </mc:Fallback>
        </mc:AlternateContent>
      </w:r>
      <w:r>
        <w:rPr>
          <w:noProof/>
        </w:rPr>
        <mc:AlternateContent>
          <mc:Choice Requires="wps">
            <w:drawing>
              <wp:anchor distT="0" distB="0" distL="114300" distR="114300" simplePos="0" relativeHeight="251698176" behindDoc="0" locked="0" layoutInCell="1" allowOverlap="1">
                <wp:simplePos x="0" y="0"/>
                <wp:positionH relativeFrom="column">
                  <wp:posOffset>3415665</wp:posOffset>
                </wp:positionH>
                <wp:positionV relativeFrom="paragraph">
                  <wp:posOffset>2770505</wp:posOffset>
                </wp:positionV>
                <wp:extent cx="2484120" cy="438150"/>
                <wp:effectExtent l="0" t="0" r="11430" b="19050"/>
                <wp:wrapNone/>
                <wp:docPr id="263" name="Прямоугольник 263"/>
                <wp:cNvGraphicFramePr/>
                <a:graphic xmlns:a="http://schemas.openxmlformats.org/drawingml/2006/main">
                  <a:graphicData uri="http://schemas.microsoft.com/office/word/2010/wordprocessingShape">
                    <wps:wsp>
                      <wps:cNvSpPr/>
                      <wps:spPr>
                        <a:xfrm>
                          <a:off x="0" y="0"/>
                          <a:ext cx="2484120" cy="43815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 xml:space="preserve">ТТГ &lt;4,0 </w:t>
                            </w:r>
                            <w:r>
                              <w:rPr>
                                <w:color w:val="000000"/>
                                <w:shd w:val="clear" w:color="auto" w:fill="FFFFFF"/>
                                <w:lang w:val="uk-UA"/>
                              </w:rPr>
                              <w:t>мкМОд/мл</w:t>
                            </w:r>
                            <w:r>
                              <w:rPr>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63" o:spid="_x0000_s1079" style="position:absolute;left:0;text-align:left;margin-left:268.95pt;margin-top:218.15pt;width:195.6pt;height:3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" fillcolor="white [3201]" strokecolor="black [3200]" strokeweight="2pt">
                <v:textbox>
                  <w:txbxContent>
                    <w:p w:rsidR="008E5154" w:rsidRDefault="008E5154" w:rsidP="00E3259F">
                      <w:pPr>
                        <w:jc w:val="center"/>
                        <w:rPr>
                          <w:lang w:val="uk-UA"/>
                        </w:rPr>
                      </w:pPr>
                      <w:r>
                        <w:rPr>
                          <w:lang w:val="uk-UA"/>
                        </w:rPr>
                        <w:t xml:space="preserve">ТТГ &lt;4,0 </w:t>
                      </w:r>
                      <w:r>
                        <w:rPr>
                          <w:color w:val="000000"/>
                          <w:shd w:val="clear" w:color="auto" w:fill="FFFFFF"/>
                          <w:lang w:val="uk-UA"/>
                        </w:rPr>
                        <w:t>мкМОд/мл</w:t>
                      </w:r>
                      <w:r>
                        <w:rPr>
                          <w:lang w:val="uk-UA"/>
                        </w:rPr>
                        <w:t xml:space="preserve"> </w:t>
                      </w:r>
                    </w:p>
                  </w:txbxContent>
                </v:textbox>
              </v:rect>
            </w:pict>
          </mc:Fallback>
        </mc:AlternateContent>
      </w:r>
      <w:r>
        <w:rPr>
          <w:noProof/>
        </w:rPr>
        <mc:AlternateContent>
          <mc:Choice Requires="wps">
            <w:drawing>
              <wp:anchor distT="0" distB="0" distL="114300" distR="114300" simplePos="0" relativeHeight="251699200" behindDoc="0" locked="0" layoutInCell="1" allowOverlap="1">
                <wp:simplePos x="0" y="0"/>
                <wp:positionH relativeFrom="column">
                  <wp:posOffset>1905</wp:posOffset>
                </wp:positionH>
                <wp:positionV relativeFrom="paragraph">
                  <wp:posOffset>2811145</wp:posOffset>
                </wp:positionV>
                <wp:extent cx="2540000" cy="495300"/>
                <wp:effectExtent l="0" t="0" r="12700" b="19050"/>
                <wp:wrapNone/>
                <wp:docPr id="262" name="Прямоугольник 262"/>
                <wp:cNvGraphicFramePr/>
                <a:graphic xmlns:a="http://schemas.openxmlformats.org/drawingml/2006/main">
                  <a:graphicData uri="http://schemas.microsoft.com/office/word/2010/wordprocessingShape">
                    <wps:wsp>
                      <wps:cNvSpPr/>
                      <wps:spPr>
                        <a:xfrm>
                          <a:off x="0" y="0"/>
                          <a:ext cx="2540000" cy="49530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 xml:space="preserve">ТТГ&gt;4,0 </w:t>
                            </w:r>
                            <w:r>
                              <w:rPr>
                                <w:color w:val="000000"/>
                                <w:shd w:val="clear" w:color="auto" w:fill="FFFFFF"/>
                                <w:lang w:val="uk-UA"/>
                              </w:rPr>
                              <w:t>мкМОд/мл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62" o:spid="_x0000_s1080" style="position:absolute;left:0;text-align:left;margin-left:.15pt;margin-top:221.35pt;width:200pt;height:3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" fillcolor="white [3201]" strokecolor="black [3200]" strokeweight="2pt">
                <v:textbox>
                  <w:txbxContent>
                    <w:p w:rsidR="008E5154" w:rsidRDefault="008E5154" w:rsidP="00E3259F">
                      <w:pPr>
                        <w:jc w:val="center"/>
                        <w:rPr>
                          <w:lang w:val="uk-UA"/>
                        </w:rPr>
                      </w:pPr>
                      <w:r>
                        <w:rPr>
                          <w:lang w:val="uk-UA"/>
                        </w:rPr>
                        <w:t xml:space="preserve">ТТГ&gt;4,0 </w:t>
                      </w:r>
                      <w:r>
                        <w:rPr>
                          <w:color w:val="000000"/>
                          <w:shd w:val="clear" w:color="auto" w:fill="FFFFFF"/>
                          <w:lang w:val="uk-UA"/>
                        </w:rPr>
                        <w:t>мкМОд/мл</w:t>
                      </w:r>
                    </w:p>
                  </w:txbxContent>
                </v:textbox>
              </v:rect>
            </w:pict>
          </mc:Fallback>
        </mc:AlternateContent>
      </w:r>
      <w:r>
        <w:rPr>
          <w:noProof/>
        </w:rPr>
        <mc:AlternateContent>
          <mc:Choice Requires="wps">
            <w:drawing>
              <wp:anchor distT="0" distB="0" distL="114300" distR="114300" simplePos="0" relativeHeight="251700224" behindDoc="0" locked="0" layoutInCell="1" allowOverlap="1">
                <wp:simplePos x="0" y="0"/>
                <wp:positionH relativeFrom="column">
                  <wp:posOffset>1905</wp:posOffset>
                </wp:positionH>
                <wp:positionV relativeFrom="paragraph">
                  <wp:posOffset>3507105</wp:posOffset>
                </wp:positionV>
                <wp:extent cx="1336040" cy="502920"/>
                <wp:effectExtent l="0" t="0" r="16510" b="11430"/>
                <wp:wrapNone/>
                <wp:docPr id="261" name="Прямоугольник 261"/>
                <wp:cNvGraphicFramePr/>
                <a:graphic xmlns:a="http://schemas.openxmlformats.org/drawingml/2006/main">
                  <a:graphicData uri="http://schemas.microsoft.com/office/word/2010/wordprocessingShape">
                    <wps:wsp>
                      <wps:cNvSpPr/>
                      <wps:spPr>
                        <a:xfrm>
                          <a:off x="0" y="0"/>
                          <a:ext cx="1336040" cy="50292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приймають статини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61" o:spid="_x0000_s1081" style="position:absolute;left:0;text-align:left;margin-left:.15pt;margin-top:276.15pt;width:105.2pt;height:39.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" fillcolor="white [3201]" strokecolor="black [3200]" strokeweight="2pt">
                <v:textbox>
                  <w:txbxContent>
                    <w:p w:rsidR="008E5154" w:rsidRDefault="008E5154" w:rsidP="00E3259F">
                      <w:pPr>
                        <w:jc w:val="center"/>
                        <w:rPr>
                          <w:lang w:val="uk-UA"/>
                        </w:rPr>
                      </w:pPr>
                      <w:r>
                        <w:rPr>
                          <w:lang w:val="uk-UA"/>
                        </w:rPr>
                        <w:t>приймають статини</w:t>
                      </w:r>
                    </w:p>
                  </w:txbxContent>
                </v:textbox>
              </v:rect>
            </w:pict>
          </mc:Fallback>
        </mc:AlternateContent>
      </w:r>
      <w:r>
        <w:rPr>
          <w:noProof/>
        </w:rPr>
        <mc:AlternateContent>
          <mc:Choice Requires="wps">
            <w:drawing>
              <wp:anchor distT="0" distB="0" distL="114300" distR="114300" simplePos="0" relativeHeight="251701248" behindDoc="0" locked="0" layoutInCell="1" allowOverlap="1">
                <wp:simplePos x="0" y="0"/>
                <wp:positionH relativeFrom="column">
                  <wp:posOffset>4558665</wp:posOffset>
                </wp:positionH>
                <wp:positionV relativeFrom="paragraph">
                  <wp:posOffset>3522345</wp:posOffset>
                </wp:positionV>
                <wp:extent cx="1346200" cy="476250"/>
                <wp:effectExtent l="0" t="0" r="25400" b="19050"/>
                <wp:wrapNone/>
                <wp:docPr id="260" name="Прямоугольник 260"/>
                <wp:cNvGraphicFramePr/>
                <a:graphic xmlns:a="http://schemas.openxmlformats.org/drawingml/2006/main">
                  <a:graphicData uri="http://schemas.microsoft.com/office/word/2010/wordprocessingShape">
                    <wps:wsp>
                      <wps:cNvSpPr/>
                      <wps:spPr>
                        <a:xfrm>
                          <a:off x="0" y="0"/>
                          <a:ext cx="1346200" cy="47625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jc w:val="center"/>
                              <w:rPr>
                                <w:lang w:val="uk-UA"/>
                              </w:rPr>
                            </w:pPr>
                            <w:r>
                              <w:rPr>
                                <w:lang w:val="uk-UA"/>
                              </w:rPr>
                              <w:t>не приймають статини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260" o:spid="_x0000_s1082" style="position:absolute;left:0;text-align:left;margin-left:358.95pt;margin-top:277.35pt;width:106pt;height: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" fillcolor="white [3201]" strokecolor="black [3200]" strokeweight="2pt">
                <v:textbox>
                  <w:txbxContent>
                    <w:p w:rsidR="008E5154" w:rsidRDefault="008E5154" w:rsidP="00E3259F">
                      <w:pPr>
                        <w:jc w:val="center"/>
                        <w:rPr>
                          <w:lang w:val="uk-UA"/>
                        </w:rPr>
                      </w:pPr>
                      <w:r>
                        <w:rPr>
                          <w:lang w:val="uk-UA"/>
                        </w:rPr>
                        <w:t>не приймають статини</w:t>
                      </w:r>
                    </w:p>
                  </w:txbxContent>
                </v:textbox>
              </v:rect>
            </w:pict>
          </mc:Fallback>
        </mc:AlternateContent>
      </w:r>
      <w:r>
        <w:rPr>
          <w:noProof/>
        </w:rPr>
        <mc:AlternateContent>
          <mc:Choice Requires="wps">
            <w:drawing>
              <wp:anchor distT="0" distB="0" distL="114300" distR="114300" simplePos="0" relativeHeight="251702272" behindDoc="0" locked="0" layoutInCell="1" allowOverlap="1">
                <wp:simplePos x="0" y="0"/>
                <wp:positionH relativeFrom="column">
                  <wp:posOffset>4481830</wp:posOffset>
                </wp:positionH>
                <wp:positionV relativeFrom="paragraph">
                  <wp:posOffset>322580</wp:posOffset>
                </wp:positionV>
                <wp:extent cx="0" cy="163830"/>
                <wp:effectExtent l="76200" t="0" r="57150" b="64770"/>
                <wp:wrapNone/>
                <wp:docPr id="259" name="Прямая со стрелкой 259"/>
                <wp:cNvGraphicFramePr/>
                <a:graphic xmlns:a="http://schemas.openxmlformats.org/drawingml/2006/main">
                  <a:graphicData uri="http://schemas.microsoft.com/office/word/2010/wordprocessingShape">
                    <wps:wsp>
                      <wps:cNvCnPr/>
                      <wps:spPr>
                        <a:xfrm>
                          <a:off x="0" y="0"/>
                          <a:ext cx="0" cy="1638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3944801" id="Прямая со стрелкой 259" o:spid="_x0000_s1026" type="#_x0000_t32" style="position:absolute;margin-left:352.9pt;margin-top:25.4pt;width:0;height:12.9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" strokecolor="black [3213]">
                <v:stroke endarrow="block"/>
              </v:shape>
            </w:pict>
          </mc:Fallback>
        </mc:AlternateContent>
      </w:r>
      <w:r>
        <w:rPr>
          <w:noProof/>
        </w:rPr>
        <mc:AlternateContent>
          <mc:Choice Requires="wps">
            <w:drawing>
              <wp:anchor distT="0" distB="0" distL="114300" distR="114300" simplePos="0" relativeHeight="251703296" behindDoc="0" locked="0" layoutInCell="1" allowOverlap="1">
                <wp:simplePos x="0" y="0"/>
                <wp:positionH relativeFrom="column">
                  <wp:posOffset>1317625</wp:posOffset>
                </wp:positionH>
                <wp:positionV relativeFrom="paragraph">
                  <wp:posOffset>2684145</wp:posOffset>
                </wp:positionV>
                <wp:extent cx="3530600" cy="10160"/>
                <wp:effectExtent l="0" t="0" r="12700" b="27940"/>
                <wp:wrapNone/>
                <wp:docPr id="258" name="Прямая соединительная линия 258"/>
                <wp:cNvGraphicFramePr/>
                <a:graphic xmlns:a="http://schemas.openxmlformats.org/drawingml/2006/main">
                  <a:graphicData uri="http://schemas.microsoft.com/office/word/2010/wordprocessingShape">
                    <wps:wsp>
                      <wps:cNvCnPr/>
                      <wps:spPr>
                        <a:xfrm flipV="1">
                          <a:off x="0" y="0"/>
                          <a:ext cx="3530600" cy="101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3337B87" id="Прямая соединительная линия 258"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75pt,211.35pt" to="381.75pt,2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" strokecolor="black [3213]"/>
            </w:pict>
          </mc:Fallback>
        </mc:AlternateContent>
      </w:r>
      <w:r>
        <w:rPr>
          <w:noProof/>
        </w:rPr>
        <mc:AlternateContent>
          <mc:Choice Requires="wps">
            <w:drawing>
              <wp:anchor distT="0" distB="0" distL="114300" distR="114300" simplePos="0" relativeHeight="251704320" behindDoc="0" locked="0" layoutInCell="1" allowOverlap="1">
                <wp:simplePos x="0" y="0"/>
                <wp:positionH relativeFrom="column">
                  <wp:posOffset>4848225</wp:posOffset>
                </wp:positionH>
                <wp:positionV relativeFrom="paragraph">
                  <wp:posOffset>2684145</wp:posOffset>
                </wp:positionV>
                <wp:extent cx="5080" cy="96520"/>
                <wp:effectExtent l="76200" t="0" r="71120" b="55880"/>
                <wp:wrapNone/>
                <wp:docPr id="257" name="Прямая со стрелкой 257"/>
                <wp:cNvGraphicFramePr/>
                <a:graphic xmlns:a="http://schemas.openxmlformats.org/drawingml/2006/main">
                  <a:graphicData uri="http://schemas.microsoft.com/office/word/2010/wordprocessingShape">
                    <wps:wsp>
                      <wps:cNvCnPr/>
                      <wps:spPr>
                        <a:xfrm>
                          <a:off x="0" y="0"/>
                          <a:ext cx="5080" cy="965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0D34166" id="Прямая со стрелкой 257" o:spid="_x0000_s1026" type="#_x0000_t32" style="position:absolute;margin-left:381.75pt;margin-top:211.35pt;width:.4pt;height:7.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" strokecolor="black [3213]">
                <v:stroke endarrow="block"/>
              </v:shape>
            </w:pict>
          </mc:Fallback>
        </mc:AlternateContent>
      </w:r>
      <w:r>
        <w:rPr>
          <w:noProof/>
        </w:rPr>
        <mc:AlternateContent>
          <mc:Choice Requires="wps">
            <w:drawing>
              <wp:anchor distT="0" distB="0" distL="114300" distR="114300" simplePos="0" relativeHeight="251705344" behindDoc="0" locked="0" layoutInCell="1" allowOverlap="1">
                <wp:simplePos x="0" y="0"/>
                <wp:positionH relativeFrom="column">
                  <wp:posOffset>570865</wp:posOffset>
                </wp:positionH>
                <wp:positionV relativeFrom="paragraph">
                  <wp:posOffset>3306445</wp:posOffset>
                </wp:positionV>
                <wp:extent cx="660400" cy="185420"/>
                <wp:effectExtent l="38100" t="0" r="25400" b="81280"/>
                <wp:wrapNone/>
                <wp:docPr id="256" name="Прямая со стрелкой 256"/>
                <wp:cNvGraphicFramePr/>
                <a:graphic xmlns:a="http://schemas.openxmlformats.org/drawingml/2006/main">
                  <a:graphicData uri="http://schemas.microsoft.com/office/word/2010/wordprocessingShape">
                    <wps:wsp>
                      <wps:cNvCnPr/>
                      <wps:spPr>
                        <a:xfrm flipH="1">
                          <a:off x="0" y="0"/>
                          <a:ext cx="660400" cy="1854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1F46109" id="Прямая со стрелкой 256" o:spid="_x0000_s1026" type="#_x0000_t32" style="position:absolute;margin-left:44.95pt;margin-top:260.35pt;width:52pt;height:14.6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" strokecolor="black [3213]">
                <v:stroke endarrow="block"/>
              </v:shape>
            </w:pict>
          </mc:Fallback>
        </mc:AlternateContent>
      </w:r>
      <w:r>
        <w:rPr>
          <w:noProof/>
        </w:rPr>
        <mc:AlternateContent>
          <mc:Choice Requires="wps">
            <w:drawing>
              <wp:anchor distT="0" distB="0" distL="114300" distR="114300" simplePos="0" relativeHeight="251706368" behindDoc="0" locked="0" layoutInCell="1" allowOverlap="1">
                <wp:simplePos x="0" y="0"/>
                <wp:positionH relativeFrom="column">
                  <wp:posOffset>1241425</wp:posOffset>
                </wp:positionH>
                <wp:positionV relativeFrom="paragraph">
                  <wp:posOffset>3303905</wp:posOffset>
                </wp:positionV>
                <wp:extent cx="858520" cy="193040"/>
                <wp:effectExtent l="0" t="0" r="74930" b="73660"/>
                <wp:wrapNone/>
                <wp:docPr id="255" name="Прямая со стрелкой 255"/>
                <wp:cNvGraphicFramePr/>
                <a:graphic xmlns:a="http://schemas.openxmlformats.org/drawingml/2006/main">
                  <a:graphicData uri="http://schemas.microsoft.com/office/word/2010/wordprocessingShape">
                    <wps:wsp>
                      <wps:cNvCnPr/>
                      <wps:spPr>
                        <a:xfrm>
                          <a:off x="0" y="0"/>
                          <a:ext cx="858520" cy="1930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D30DDE8" id="Прямая со стрелкой 255" o:spid="_x0000_s1026" type="#_x0000_t32" style="position:absolute;margin-left:97.75pt;margin-top:260.15pt;width:67.6pt;height:15.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" strokecolor="black [3213]">
                <v:stroke endarrow="block"/>
              </v:shape>
            </w:pict>
          </mc:Fallback>
        </mc:AlternateContent>
      </w:r>
      <w:r>
        <w:rPr>
          <w:noProof/>
        </w:rPr>
        <mc:AlternateContent>
          <mc:Choice Requires="wps">
            <w:drawing>
              <wp:anchor distT="0" distB="0" distL="114300" distR="114300" simplePos="0" relativeHeight="251707392" behindDoc="0" locked="0" layoutInCell="1" allowOverlap="1">
                <wp:simplePos x="0" y="0"/>
                <wp:positionH relativeFrom="column">
                  <wp:posOffset>4467225</wp:posOffset>
                </wp:positionH>
                <wp:positionV relativeFrom="paragraph">
                  <wp:posOffset>1911985</wp:posOffset>
                </wp:positionV>
                <wp:extent cx="15240" cy="777240"/>
                <wp:effectExtent l="0" t="0" r="22860" b="22860"/>
                <wp:wrapNone/>
                <wp:docPr id="254" name="Прямая соединительная линия 254"/>
                <wp:cNvGraphicFramePr/>
                <a:graphic xmlns:a="http://schemas.openxmlformats.org/drawingml/2006/main">
                  <a:graphicData uri="http://schemas.microsoft.com/office/word/2010/wordprocessingShape">
                    <wps:wsp>
                      <wps:cNvCnPr/>
                      <wps:spPr>
                        <a:xfrm>
                          <a:off x="0" y="0"/>
                          <a:ext cx="15240" cy="7772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59D6698" id="Прямая соединительная линия 254" o:spid="_x0000_s1026"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1.75pt,150.55pt" to="352.95pt,2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" strokecolor="black [3213]"/>
            </w:pict>
          </mc:Fallback>
        </mc:AlternateContent>
      </w:r>
      <w:r>
        <w:rPr>
          <w:noProof/>
        </w:rPr>
        <mc:AlternateContent>
          <mc:Choice Requires="wps">
            <w:drawing>
              <wp:anchor distT="0" distB="0" distL="114300" distR="114300" simplePos="0" relativeHeight="251708416" behindDoc="0" locked="0" layoutInCell="1" allowOverlap="1">
                <wp:simplePos x="0" y="0"/>
                <wp:positionH relativeFrom="column">
                  <wp:posOffset>1327785</wp:posOffset>
                </wp:positionH>
                <wp:positionV relativeFrom="paragraph">
                  <wp:posOffset>2694305</wp:posOffset>
                </wp:positionV>
                <wp:extent cx="5080" cy="137160"/>
                <wp:effectExtent l="76200" t="0" r="71120" b="53340"/>
                <wp:wrapNone/>
                <wp:docPr id="253" name="Прямая со стрелкой 253"/>
                <wp:cNvGraphicFramePr/>
                <a:graphic xmlns:a="http://schemas.openxmlformats.org/drawingml/2006/main">
                  <a:graphicData uri="http://schemas.microsoft.com/office/word/2010/wordprocessingShape">
                    <wps:wsp>
                      <wps:cNvCnPr/>
                      <wps:spPr>
                        <a:xfrm>
                          <a:off x="0" y="0"/>
                          <a:ext cx="5080" cy="1371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B38B9B4" id="Прямая со стрелкой 253" o:spid="_x0000_s1026" type="#_x0000_t32" style="position:absolute;margin-left:104.55pt;margin-top:212.15pt;width:.4pt;height:10.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" strokecolor="black [3213]">
                <v:stroke endarrow="block"/>
              </v:shape>
            </w:pict>
          </mc:Fallback>
        </mc:AlternateContent>
      </w:r>
      <w:r>
        <w:rPr>
          <w:noProof/>
        </w:rPr>
        <mc:AlternateContent>
          <mc:Choice Requires="wps">
            <w:drawing>
              <wp:anchor distT="0" distB="0" distL="114300" distR="114300" simplePos="0" relativeHeight="251709440" behindDoc="0" locked="0" layoutInCell="1" allowOverlap="1">
                <wp:simplePos x="0" y="0"/>
                <wp:positionH relativeFrom="column">
                  <wp:posOffset>2109470</wp:posOffset>
                </wp:positionH>
                <wp:positionV relativeFrom="paragraph">
                  <wp:posOffset>3999865</wp:posOffset>
                </wp:positionV>
                <wp:extent cx="0" cy="161290"/>
                <wp:effectExtent l="76200" t="0" r="76200" b="48260"/>
                <wp:wrapNone/>
                <wp:docPr id="252" name="Прямая со стрелкой 252"/>
                <wp:cNvGraphicFramePr/>
                <a:graphic xmlns:a="http://schemas.openxmlformats.org/drawingml/2006/main">
                  <a:graphicData uri="http://schemas.microsoft.com/office/word/2010/wordprocessingShape">
                    <wps:wsp>
                      <wps:cNvCnPr/>
                      <wps:spPr>
                        <a:xfrm>
                          <a:off x="0" y="0"/>
                          <a:ext cx="0" cy="16129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4235451" id="Прямая со стрелкой 252" o:spid="_x0000_s1026" type="#_x0000_t32" style="position:absolute;margin-left:166.1pt;margin-top:314.95pt;width:0;height:12.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" strokecolor="black [3213]">
                <v:stroke endarrow="block"/>
              </v:shape>
            </w:pict>
          </mc:Fallback>
        </mc:AlternateContent>
      </w:r>
      <w:r>
        <w:rPr>
          <w:noProof/>
        </w:rPr>
        <mc:AlternateContent>
          <mc:Choice Requires="wps">
            <w:drawing>
              <wp:anchor distT="0" distB="0" distL="114300" distR="114300" simplePos="0" relativeHeight="251710464" behindDoc="0" locked="0" layoutInCell="1" allowOverlap="1">
                <wp:simplePos x="0" y="0"/>
                <wp:positionH relativeFrom="column">
                  <wp:posOffset>2038985</wp:posOffset>
                </wp:positionH>
                <wp:positionV relativeFrom="paragraph">
                  <wp:posOffset>6076315</wp:posOffset>
                </wp:positionV>
                <wp:extent cx="0" cy="177165"/>
                <wp:effectExtent l="76200" t="0" r="57150" b="51435"/>
                <wp:wrapNone/>
                <wp:docPr id="251" name="Прямая со стрелкой 251"/>
                <wp:cNvGraphicFramePr/>
                <a:graphic xmlns:a="http://schemas.openxmlformats.org/drawingml/2006/main">
                  <a:graphicData uri="http://schemas.microsoft.com/office/word/2010/wordprocessingShape">
                    <wps:wsp>
                      <wps:cNvCnPr/>
                      <wps:spPr>
                        <a:xfrm>
                          <a:off x="0" y="0"/>
                          <a:ext cx="0" cy="1771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26B7646" id="Прямая со стрелкой 251" o:spid="_x0000_s1026" type="#_x0000_t32" style="position:absolute;margin-left:160.55pt;margin-top:478.45pt;width:0;height:13.9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" strokecolor="black [3213]">
                <v:stroke endarrow="block"/>
              </v:shape>
            </w:pict>
          </mc:Fallback>
        </mc:AlternateContent>
      </w:r>
      <w:r>
        <w:rPr>
          <w:noProof/>
        </w:rPr>
        <mc:AlternateContent>
          <mc:Choice Requires="wps">
            <w:drawing>
              <wp:anchor distT="0" distB="0" distL="114300" distR="114300" simplePos="0" relativeHeight="251711488" behindDoc="0" locked="0" layoutInCell="1" allowOverlap="1">
                <wp:simplePos x="0" y="0"/>
                <wp:positionH relativeFrom="column">
                  <wp:posOffset>629920</wp:posOffset>
                </wp:positionH>
                <wp:positionV relativeFrom="paragraph">
                  <wp:posOffset>7169150</wp:posOffset>
                </wp:positionV>
                <wp:extent cx="5715" cy="193040"/>
                <wp:effectExtent l="76200" t="0" r="70485" b="54610"/>
                <wp:wrapNone/>
                <wp:docPr id="250" name="Прямая со стрелкой 250"/>
                <wp:cNvGraphicFramePr/>
                <a:graphic xmlns:a="http://schemas.openxmlformats.org/drawingml/2006/main">
                  <a:graphicData uri="http://schemas.microsoft.com/office/word/2010/wordprocessingShape">
                    <wps:wsp>
                      <wps:cNvCnPr/>
                      <wps:spPr>
                        <a:xfrm flipH="1">
                          <a:off x="0" y="0"/>
                          <a:ext cx="5715" cy="1930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AA56C34" id="Прямая со стрелкой 250" o:spid="_x0000_s1026" type="#_x0000_t32" style="position:absolute;margin-left:49.6pt;margin-top:564.5pt;width:.45pt;height:15.2pt;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" strokecolor="black [3213]">
                <v:stroke endarrow="block"/>
              </v:shape>
            </w:pict>
          </mc:Fallback>
        </mc:AlternateContent>
      </w:r>
      <w:r>
        <w:rPr>
          <w:noProof/>
        </w:rPr>
        <mc:AlternateContent>
          <mc:Choice Requires="wps">
            <w:drawing>
              <wp:anchor distT="0" distB="0" distL="114300" distR="114300" simplePos="0" relativeHeight="251712512" behindDoc="0" locked="0" layoutInCell="1" allowOverlap="1">
                <wp:simplePos x="0" y="0"/>
                <wp:positionH relativeFrom="column">
                  <wp:posOffset>3696970</wp:posOffset>
                </wp:positionH>
                <wp:positionV relativeFrom="paragraph">
                  <wp:posOffset>3999230</wp:posOffset>
                </wp:positionV>
                <wp:extent cx="6985" cy="145415"/>
                <wp:effectExtent l="76200" t="0" r="69215" b="64135"/>
                <wp:wrapNone/>
                <wp:docPr id="249" name="Прямая со стрелкой 249"/>
                <wp:cNvGraphicFramePr/>
                <a:graphic xmlns:a="http://schemas.openxmlformats.org/drawingml/2006/main">
                  <a:graphicData uri="http://schemas.microsoft.com/office/word/2010/wordprocessingShape">
                    <wps:wsp>
                      <wps:cNvCnPr/>
                      <wps:spPr>
                        <a:xfrm>
                          <a:off x="0" y="0"/>
                          <a:ext cx="6985" cy="14541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E39996E" id="Прямая со стрелкой 249" o:spid="_x0000_s1026" type="#_x0000_t32" style="position:absolute;margin-left:291.1pt;margin-top:314.9pt;width:.55pt;height:11.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" strokecolor="black [3213]">
                <v:stroke endarrow="block"/>
              </v:shape>
            </w:pict>
          </mc:Fallback>
        </mc:AlternateContent>
      </w:r>
      <w:r>
        <w:rPr>
          <w:noProof/>
        </w:rPr>
        <mc:AlternateContent>
          <mc:Choice Requires="wps">
            <w:drawing>
              <wp:anchor distT="0" distB="0" distL="114300" distR="114300" simplePos="0" relativeHeight="251713536" behindDoc="0" locked="0" layoutInCell="1" allowOverlap="1">
                <wp:simplePos x="0" y="0"/>
                <wp:positionH relativeFrom="column">
                  <wp:posOffset>5259705</wp:posOffset>
                </wp:positionH>
                <wp:positionV relativeFrom="paragraph">
                  <wp:posOffset>3998595</wp:posOffset>
                </wp:positionV>
                <wp:extent cx="0" cy="163830"/>
                <wp:effectExtent l="76200" t="0" r="57150" b="64770"/>
                <wp:wrapNone/>
                <wp:docPr id="248" name="Прямая со стрелкой 248"/>
                <wp:cNvGraphicFramePr/>
                <a:graphic xmlns:a="http://schemas.openxmlformats.org/drawingml/2006/main">
                  <a:graphicData uri="http://schemas.microsoft.com/office/word/2010/wordprocessingShape">
                    <wps:wsp>
                      <wps:cNvCnPr/>
                      <wps:spPr>
                        <a:xfrm>
                          <a:off x="0" y="0"/>
                          <a:ext cx="0" cy="1638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94429FD" id="Прямая со стрелкой 248" o:spid="_x0000_s1026" type="#_x0000_t32" style="position:absolute;margin-left:414.15pt;margin-top:314.85pt;width:0;height:12.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" strokecolor="black [3213]">
                <v:stroke endarrow="block"/>
              </v:shape>
            </w:pict>
          </mc:Fallback>
        </mc:AlternateContent>
      </w:r>
      <w:r>
        <w:rPr>
          <w:noProof/>
        </w:rPr>
        <mc:AlternateContent>
          <mc:Choice Requires="wps">
            <w:drawing>
              <wp:anchor distT="0" distB="0" distL="114300" distR="114300" simplePos="0" relativeHeight="251714560" behindDoc="0" locked="0" layoutInCell="1" allowOverlap="1">
                <wp:simplePos x="0" y="0"/>
                <wp:positionH relativeFrom="column">
                  <wp:posOffset>5234305</wp:posOffset>
                </wp:positionH>
                <wp:positionV relativeFrom="paragraph">
                  <wp:posOffset>5208905</wp:posOffset>
                </wp:positionV>
                <wp:extent cx="0" cy="233680"/>
                <wp:effectExtent l="76200" t="0" r="57150" b="52070"/>
                <wp:wrapNone/>
                <wp:docPr id="247" name="Прямая со стрелкой 247"/>
                <wp:cNvGraphicFramePr/>
                <a:graphic xmlns:a="http://schemas.openxmlformats.org/drawingml/2006/main">
                  <a:graphicData uri="http://schemas.microsoft.com/office/word/2010/wordprocessingShape">
                    <wps:wsp>
                      <wps:cNvCnPr/>
                      <wps:spPr>
                        <a:xfrm>
                          <a:off x="0" y="0"/>
                          <a:ext cx="0" cy="2336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25CD1E7" id="Прямая со стрелкой 247" o:spid="_x0000_s1026" type="#_x0000_t32" style="position:absolute;margin-left:412.15pt;margin-top:410.15pt;width:0;height:18.4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" strokecolor="black [3213]">
                <v:stroke endarrow="block"/>
              </v:shape>
            </w:pict>
          </mc:Fallback>
        </mc:AlternateContent>
      </w:r>
      <w:r>
        <w:rPr>
          <w:noProof/>
        </w:rPr>
        <mc:AlternateContent>
          <mc:Choice Requires="wps">
            <w:drawing>
              <wp:anchor distT="0" distB="0" distL="114300" distR="114300" simplePos="0" relativeHeight="251715584" behindDoc="0" locked="0" layoutInCell="1" allowOverlap="1">
                <wp:simplePos x="0" y="0"/>
                <wp:positionH relativeFrom="column">
                  <wp:posOffset>1200785</wp:posOffset>
                </wp:positionH>
                <wp:positionV relativeFrom="paragraph">
                  <wp:posOffset>8434705</wp:posOffset>
                </wp:positionV>
                <wp:extent cx="0" cy="203200"/>
                <wp:effectExtent l="76200" t="0" r="57150" b="63500"/>
                <wp:wrapNone/>
                <wp:docPr id="246" name="Прямая со стрелкой 246"/>
                <wp:cNvGraphicFramePr/>
                <a:graphic xmlns:a="http://schemas.openxmlformats.org/drawingml/2006/main">
                  <a:graphicData uri="http://schemas.microsoft.com/office/word/2010/wordprocessingShape">
                    <wps:wsp>
                      <wps:cNvCnPr/>
                      <wps:spPr>
                        <a:xfrm>
                          <a:off x="0" y="0"/>
                          <a:ext cx="0" cy="2032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31F35CC" id="Прямая со стрелкой 246" o:spid="_x0000_s1026" type="#_x0000_t32" style="position:absolute;margin-left:94.55pt;margin-top:664.15pt;width:0;height:1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" strokecolor="black [3213]">
                <v:stroke endarrow="block"/>
              </v:shape>
            </w:pict>
          </mc:Fallback>
        </mc:AlternateContent>
      </w:r>
      <w:r>
        <w:rPr>
          <w:noProof/>
        </w:rPr>
        <mc:AlternateContent>
          <mc:Choice Requires="wps">
            <w:drawing>
              <wp:anchor distT="0" distB="0" distL="114300" distR="114300" simplePos="0" relativeHeight="251716608" behindDoc="0" locked="0" layoutInCell="1" allowOverlap="1">
                <wp:simplePos x="0" y="0"/>
                <wp:positionH relativeFrom="column">
                  <wp:posOffset>3410585</wp:posOffset>
                </wp:positionH>
                <wp:positionV relativeFrom="paragraph">
                  <wp:posOffset>8449945</wp:posOffset>
                </wp:positionV>
                <wp:extent cx="0" cy="172720"/>
                <wp:effectExtent l="76200" t="0" r="57150" b="55880"/>
                <wp:wrapNone/>
                <wp:docPr id="245" name="Прямая со стрелкой 245"/>
                <wp:cNvGraphicFramePr/>
                <a:graphic xmlns:a="http://schemas.openxmlformats.org/drawingml/2006/main">
                  <a:graphicData uri="http://schemas.microsoft.com/office/word/2010/wordprocessingShape">
                    <wps:wsp>
                      <wps:cNvCnPr/>
                      <wps:spPr>
                        <a:xfrm>
                          <a:off x="0" y="0"/>
                          <a:ext cx="0" cy="1727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09E359C" id="Прямая со стрелкой 245" o:spid="_x0000_s1026" type="#_x0000_t32" style="position:absolute;margin-left:268.55pt;margin-top:665.35pt;width:0;height:13.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" strokecolor="black [3213]">
                <v:stroke endarrow="block"/>
              </v:shape>
            </w:pict>
          </mc:Fallback>
        </mc:AlternateContent>
      </w:r>
      <w:r>
        <w:rPr>
          <w:noProof/>
        </w:rPr>
        <mc:AlternateContent>
          <mc:Choice Requires="wps">
            <w:drawing>
              <wp:anchor distT="0" distB="0" distL="114300" distR="114300" simplePos="0" relativeHeight="251717632" behindDoc="0" locked="0" layoutInCell="1" allowOverlap="1">
                <wp:simplePos x="0" y="0"/>
                <wp:positionH relativeFrom="column">
                  <wp:posOffset>5254625</wp:posOffset>
                </wp:positionH>
                <wp:positionV relativeFrom="paragraph">
                  <wp:posOffset>8378825</wp:posOffset>
                </wp:positionV>
                <wp:extent cx="5080" cy="259080"/>
                <wp:effectExtent l="76200" t="0" r="71120" b="64770"/>
                <wp:wrapNone/>
                <wp:docPr id="244" name="Прямая со стрелкой 244"/>
                <wp:cNvGraphicFramePr/>
                <a:graphic xmlns:a="http://schemas.openxmlformats.org/drawingml/2006/main">
                  <a:graphicData uri="http://schemas.microsoft.com/office/word/2010/wordprocessingShape">
                    <wps:wsp>
                      <wps:cNvCnPr/>
                      <wps:spPr>
                        <a:xfrm>
                          <a:off x="0" y="0"/>
                          <a:ext cx="5080" cy="2590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6849268" id="Прямая со стрелкой 244" o:spid="_x0000_s1026" type="#_x0000_t32" style="position:absolute;margin-left:413.75pt;margin-top:659.75pt;width:.4pt;height:20.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" strokecolor="black [3213]">
                <v:stroke endarrow="block"/>
              </v:shape>
            </w:pict>
          </mc:Fallback>
        </mc:AlternateContent>
      </w:r>
      <w:r>
        <w:rPr>
          <w:noProof/>
        </w:rPr>
        <mc:AlternateContent>
          <mc:Choice Requires="wps">
            <w:drawing>
              <wp:anchor distT="0" distB="0" distL="114300" distR="114300" simplePos="0" relativeHeight="251718656" behindDoc="0" locked="0" layoutInCell="1" allowOverlap="1">
                <wp:simplePos x="0" y="0"/>
                <wp:positionH relativeFrom="column">
                  <wp:posOffset>5224780</wp:posOffset>
                </wp:positionH>
                <wp:positionV relativeFrom="paragraph">
                  <wp:posOffset>6804025</wp:posOffset>
                </wp:positionV>
                <wp:extent cx="0" cy="132080"/>
                <wp:effectExtent l="76200" t="0" r="57150" b="58420"/>
                <wp:wrapNone/>
                <wp:docPr id="243" name="Прямая со стрелкой 243"/>
                <wp:cNvGraphicFramePr/>
                <a:graphic xmlns:a="http://schemas.openxmlformats.org/drawingml/2006/main">
                  <a:graphicData uri="http://schemas.microsoft.com/office/word/2010/wordprocessingShape">
                    <wps:wsp>
                      <wps:cNvCnPr/>
                      <wps:spPr>
                        <a:xfrm>
                          <a:off x="0" y="0"/>
                          <a:ext cx="0" cy="1320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977D786" id="Прямая со стрелкой 243" o:spid="_x0000_s1026" type="#_x0000_t32" style="position:absolute;margin-left:411.4pt;margin-top:535.75pt;width:0;height:10.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" strokecolor="black [3213]">
                <v:stroke endarrow="block"/>
              </v:shape>
            </w:pict>
          </mc:Fallback>
        </mc:AlternateContent>
      </w:r>
      <w:r>
        <w:rPr>
          <w:noProof/>
        </w:rPr>
        <mc:AlternateContent>
          <mc:Choice Requires="wps">
            <w:drawing>
              <wp:anchor distT="0" distB="0" distL="114300" distR="114300" simplePos="0" relativeHeight="251719680" behindDoc="0" locked="0" layoutInCell="1" allowOverlap="1">
                <wp:simplePos x="0" y="0"/>
                <wp:positionH relativeFrom="column">
                  <wp:posOffset>4486275</wp:posOffset>
                </wp:positionH>
                <wp:positionV relativeFrom="paragraph">
                  <wp:posOffset>1054100</wp:posOffset>
                </wp:positionV>
                <wp:extent cx="0" cy="147320"/>
                <wp:effectExtent l="76200" t="0" r="57150" b="62230"/>
                <wp:wrapNone/>
                <wp:docPr id="242" name="Прямая со стрелкой 242"/>
                <wp:cNvGraphicFramePr/>
                <a:graphic xmlns:a="http://schemas.openxmlformats.org/drawingml/2006/main">
                  <a:graphicData uri="http://schemas.microsoft.com/office/word/2010/wordprocessingShape">
                    <wps:wsp>
                      <wps:cNvCnPr/>
                      <wps:spPr>
                        <a:xfrm>
                          <a:off x="0" y="0"/>
                          <a:ext cx="0" cy="1473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670A3B2" id="Прямая со стрелкой 242" o:spid="_x0000_s1026" type="#_x0000_t32" style="position:absolute;margin-left:353.25pt;margin-top:83pt;width:0;height:11.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" strokecolor="black [3213]">
                <v:stroke endarrow="block"/>
              </v:shape>
            </w:pict>
          </mc:Fallback>
        </mc:AlternateContent>
      </w:r>
      <w:r>
        <w:rPr>
          <w:noProof/>
        </w:rPr>
        <mc:AlternateContent>
          <mc:Choice Requires="wps">
            <w:drawing>
              <wp:anchor distT="0" distB="0" distL="114300" distR="114300" simplePos="0" relativeHeight="251720704" behindDoc="0" locked="0" layoutInCell="1" allowOverlap="1">
                <wp:simplePos x="0" y="0"/>
                <wp:positionH relativeFrom="column">
                  <wp:posOffset>2672080</wp:posOffset>
                </wp:positionH>
                <wp:positionV relativeFrom="paragraph">
                  <wp:posOffset>7766050</wp:posOffset>
                </wp:positionV>
                <wp:extent cx="8255" cy="151765"/>
                <wp:effectExtent l="76200" t="0" r="67945" b="57785"/>
                <wp:wrapNone/>
                <wp:docPr id="241" name="Прямая со стрелкой 241"/>
                <wp:cNvGraphicFramePr/>
                <a:graphic xmlns:a="http://schemas.openxmlformats.org/drawingml/2006/main">
                  <a:graphicData uri="http://schemas.microsoft.com/office/word/2010/wordprocessingShape">
                    <wps:wsp>
                      <wps:cNvCnPr/>
                      <wps:spPr>
                        <a:xfrm>
                          <a:off x="0" y="0"/>
                          <a:ext cx="8255" cy="1517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C863A05" id="Прямая со стрелкой 241" o:spid="_x0000_s1026" type="#_x0000_t32" style="position:absolute;margin-left:210.4pt;margin-top:611.5pt;width:.65pt;height:11.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" strokecolor="black [3213]">
                <v:stroke endarrow="block"/>
              </v:shape>
            </w:pict>
          </mc:Fallback>
        </mc:AlternateContent>
      </w:r>
      <w:r>
        <w:rPr>
          <w:noProof/>
        </w:rPr>
        <mc:AlternateContent>
          <mc:Choice Requires="wps">
            <w:drawing>
              <wp:anchor distT="0" distB="0" distL="114300" distR="114300" simplePos="0" relativeHeight="251721728" behindDoc="0" locked="0" layoutInCell="1" allowOverlap="1">
                <wp:simplePos x="0" y="0"/>
                <wp:positionH relativeFrom="column">
                  <wp:posOffset>3711575</wp:posOffset>
                </wp:positionH>
                <wp:positionV relativeFrom="paragraph">
                  <wp:posOffset>6811645</wp:posOffset>
                </wp:positionV>
                <wp:extent cx="0" cy="1114425"/>
                <wp:effectExtent l="76200" t="0" r="76200" b="47625"/>
                <wp:wrapNone/>
                <wp:docPr id="240" name="Прямая со стрелкой 240"/>
                <wp:cNvGraphicFramePr/>
                <a:graphic xmlns:a="http://schemas.openxmlformats.org/drawingml/2006/main">
                  <a:graphicData uri="http://schemas.microsoft.com/office/word/2010/wordprocessingShape">
                    <wps:wsp>
                      <wps:cNvCnPr/>
                      <wps:spPr>
                        <a:xfrm>
                          <a:off x="0" y="0"/>
                          <a:ext cx="0" cy="11144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F0281DB" id="Прямая со стрелкой 240" o:spid="_x0000_s1026" type="#_x0000_t32" style="position:absolute;margin-left:292.25pt;margin-top:536.35pt;width:0;height:87.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" strokecolor="black [3213]">
                <v:stroke endarrow="block"/>
              </v:shape>
            </w:pict>
          </mc:Fallback>
        </mc:AlternateContent>
      </w:r>
      <w:r>
        <w:rPr>
          <w:noProof/>
        </w:rPr>
        <mc:AlternateContent>
          <mc:Choice Requires="wps">
            <w:drawing>
              <wp:anchor distT="0" distB="0" distL="114300" distR="114300" simplePos="0" relativeHeight="251722752" behindDoc="0" locked="0" layoutInCell="1" allowOverlap="1">
                <wp:simplePos x="0" y="0"/>
                <wp:positionH relativeFrom="column">
                  <wp:posOffset>631190</wp:posOffset>
                </wp:positionH>
                <wp:positionV relativeFrom="paragraph">
                  <wp:posOffset>7750810</wp:posOffset>
                </wp:positionV>
                <wp:extent cx="5080" cy="176530"/>
                <wp:effectExtent l="76200" t="0" r="71120" b="52070"/>
                <wp:wrapNone/>
                <wp:docPr id="239" name="Прямая со стрелкой 239"/>
                <wp:cNvGraphicFramePr/>
                <a:graphic xmlns:a="http://schemas.openxmlformats.org/drawingml/2006/main">
                  <a:graphicData uri="http://schemas.microsoft.com/office/word/2010/wordprocessingShape">
                    <wps:wsp>
                      <wps:cNvCnPr/>
                      <wps:spPr>
                        <a:xfrm>
                          <a:off x="0" y="0"/>
                          <a:ext cx="5080" cy="1765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2E945A8" id="Прямая со стрелкой 239" o:spid="_x0000_s1026" type="#_x0000_t32" style="position:absolute;margin-left:49.7pt;margin-top:610.3pt;width:.4pt;height:13.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" strokecolor="black [3213]">
                <v:stroke endarrow="block"/>
              </v:shape>
            </w:pict>
          </mc:Fallback>
        </mc:AlternateContent>
      </w:r>
      <w:r>
        <w:rPr>
          <w:noProof/>
        </w:rPr>
        <mc:AlternateContent>
          <mc:Choice Requires="wps">
            <w:drawing>
              <wp:anchor distT="0" distB="0" distL="114300" distR="114300" simplePos="0" relativeHeight="251723776" behindDoc="0" locked="0" layoutInCell="1" allowOverlap="1">
                <wp:simplePos x="0" y="0"/>
                <wp:positionH relativeFrom="column">
                  <wp:posOffset>4533900</wp:posOffset>
                </wp:positionH>
                <wp:positionV relativeFrom="paragraph">
                  <wp:posOffset>6920230</wp:posOffset>
                </wp:positionV>
                <wp:extent cx="1388110" cy="1507490"/>
                <wp:effectExtent l="0" t="0" r="21590" b="16510"/>
                <wp:wrapNone/>
                <wp:docPr id="238" name="Прямоугольник 238"/>
                <wp:cNvGraphicFramePr/>
                <a:graphic xmlns:a="http://schemas.openxmlformats.org/drawingml/2006/main">
                  <a:graphicData uri="http://schemas.microsoft.com/office/word/2010/wordprocessingShape">
                    <wps:wsp>
                      <wps:cNvSpPr/>
                      <wps:spPr>
                        <a:xfrm>
                          <a:off x="0" y="0"/>
                          <a:ext cx="1388110" cy="1507490"/>
                        </a:xfrm>
                        <a:prstGeom prst="rect">
                          <a:avLst/>
                        </a:prstGeom>
                      </wps:spPr>
                      <wps:style>
                        <a:lnRef idx="2">
                          <a:schemeClr val="dk1"/>
                        </a:lnRef>
                        <a:fillRef idx="1">
                          <a:schemeClr val="lt1"/>
                        </a:fillRef>
                        <a:effectRef idx="0">
                          <a:schemeClr val="dk1"/>
                        </a:effectRef>
                        <a:fontRef idx="minor">
                          <a:schemeClr val="dk1"/>
                        </a:fontRef>
                      </wps:style>
                      <wps:txbx>
                        <w:txbxContent>
                          <w:p w:rsidR="008E5154" w:rsidRDefault="008E5154" w:rsidP="00E3259F">
                            <w:pPr>
                              <w:spacing w:line="168" w:lineRule="auto"/>
                              <w:jc w:val="center"/>
                              <w:rPr>
                                <w:spacing w:val="-8"/>
                              </w:rPr>
                            </w:pPr>
                            <w:r>
                              <w:rPr>
                                <w:spacing w:val="-8"/>
                                <w:lang w:val="uk-UA"/>
                              </w:rPr>
                              <w:t>корекція дієти, підвищення фізичної активності,за потреби корекція антидіабетичної, антигіпертензивної та гіполіпідемичної терапії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8" o:spid="_x0000_s1083" style="position:absolute;left:0;text-align:left;margin-left:357pt;margin-top:544.9pt;width:109.3pt;height:118.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" fillcolor="white [3201]" strokecolor="black [3200]" strokeweight="2pt">
                <v:textbox>
                  <w:txbxContent>
                    <w:p w:rsidR="008E5154" w:rsidRDefault="008E5154" w:rsidP="00E3259F">
                      <w:pPr>
                        <w:spacing w:line="168" w:lineRule="auto"/>
                        <w:jc w:val="center"/>
                        <w:rPr>
                          <w:spacing w:val="-8"/>
                        </w:rPr>
                      </w:pPr>
                      <w:r>
                        <w:rPr>
                          <w:spacing w:val="-8"/>
                          <w:lang w:val="uk-UA"/>
                        </w:rPr>
                        <w:t>корекція дієти, підвищення фізичної активності,за потреби корекція антидіабетичної, антигіпертензивної та гіполіпідемичної терапії</w:t>
                      </w:r>
                    </w:p>
                  </w:txbxContent>
                </v:textbox>
              </v:rect>
            </w:pict>
          </mc:Fallback>
        </mc:AlternateContent>
      </w:r>
      <w:r>
        <w:rPr>
          <w:noProof/>
        </w:rPr>
        <mc:AlternateContent>
          <mc:Choice Requires="wps">
            <w:drawing>
              <wp:anchor distT="0" distB="0" distL="114300" distR="114300" simplePos="0" relativeHeight="251724800" behindDoc="0" locked="0" layoutInCell="1" allowOverlap="1">
                <wp:simplePos x="0" y="0"/>
                <wp:positionH relativeFrom="column">
                  <wp:posOffset>1699260</wp:posOffset>
                </wp:positionH>
                <wp:positionV relativeFrom="paragraph">
                  <wp:posOffset>5276850</wp:posOffset>
                </wp:positionV>
                <wp:extent cx="9525" cy="207010"/>
                <wp:effectExtent l="76200" t="0" r="66675" b="59690"/>
                <wp:wrapNone/>
                <wp:docPr id="237" name="Прямая со стрелкой 237"/>
                <wp:cNvGraphicFramePr/>
                <a:graphic xmlns:a="http://schemas.openxmlformats.org/drawingml/2006/main">
                  <a:graphicData uri="http://schemas.microsoft.com/office/word/2010/wordprocessingShape">
                    <wps:wsp>
                      <wps:cNvCnPr/>
                      <wps:spPr>
                        <a:xfrm>
                          <a:off x="0" y="0"/>
                          <a:ext cx="9525" cy="20701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20F85C1" id="Прямая со стрелкой 237" o:spid="_x0000_s1026" type="#_x0000_t32" style="position:absolute;margin-left:133.8pt;margin-top:415.5pt;width:.75pt;height:16.3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" strokecolor="black [3213]">
                <v:stroke endarrow="block"/>
              </v:shape>
            </w:pict>
          </mc:Fallback>
        </mc:AlternateContent>
      </w:r>
      <w:r>
        <w:rPr>
          <w:noProof/>
        </w:rPr>
        <mc:AlternateContent>
          <mc:Choice Requires="wps">
            <w:drawing>
              <wp:anchor distT="0" distB="0" distL="114300" distR="114300" simplePos="0" relativeHeight="251725824" behindDoc="0" locked="0" layoutInCell="1" allowOverlap="1">
                <wp:simplePos x="0" y="0"/>
                <wp:positionH relativeFrom="column">
                  <wp:posOffset>2768600</wp:posOffset>
                </wp:positionH>
                <wp:positionV relativeFrom="paragraph">
                  <wp:posOffset>4694555</wp:posOffset>
                </wp:positionV>
                <wp:extent cx="114300" cy="0"/>
                <wp:effectExtent l="0" t="76200" r="19050" b="95250"/>
                <wp:wrapNone/>
                <wp:docPr id="236" name="Прямая со стрелкой 236"/>
                <wp:cNvGraphicFramePr/>
                <a:graphic xmlns:a="http://schemas.openxmlformats.org/drawingml/2006/main">
                  <a:graphicData uri="http://schemas.microsoft.com/office/word/2010/wordprocessingShape">
                    <wps:wsp>
                      <wps:cNvCnPr/>
                      <wps:spPr>
                        <a:xfrm>
                          <a:off x="0" y="0"/>
                          <a:ext cx="1143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BEEBE4" id="Прямая со стрелкой 236" o:spid="_x0000_s1026" type="#_x0000_t32" style="position:absolute;margin-left:218pt;margin-top:369.65pt;width:9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" strokecolor="black [3213]">
                <v:stroke endarrow="block"/>
              </v:shape>
            </w:pict>
          </mc:Fallback>
        </mc:AlternateContent>
      </w:r>
      <w:r>
        <w:rPr>
          <w:noProof/>
        </w:rPr>
        <mc:AlternateContent>
          <mc:Choice Requires="wps">
            <w:drawing>
              <wp:anchor distT="0" distB="0" distL="114300" distR="114300" simplePos="0" relativeHeight="251726848" behindDoc="0" locked="0" layoutInCell="1" allowOverlap="1">
                <wp:simplePos x="0" y="0"/>
                <wp:positionH relativeFrom="column">
                  <wp:posOffset>2428875</wp:posOffset>
                </wp:positionH>
                <wp:positionV relativeFrom="paragraph">
                  <wp:posOffset>7288530</wp:posOffset>
                </wp:positionV>
                <wp:extent cx="0" cy="42545"/>
                <wp:effectExtent l="0" t="0" r="19050" b="14605"/>
                <wp:wrapNone/>
                <wp:docPr id="235" name="Прямая соединительная линия 235"/>
                <wp:cNvGraphicFramePr/>
                <a:graphic xmlns:a="http://schemas.openxmlformats.org/drawingml/2006/main">
                  <a:graphicData uri="http://schemas.microsoft.com/office/word/2010/wordprocessingShape">
                    <wps:wsp>
                      <wps:cNvCnPr/>
                      <wps:spPr>
                        <a:xfrm>
                          <a:off x="0" y="0"/>
                          <a:ext cx="0" cy="4254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6560256" id="Прямая соединительная линия 235"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25pt,573.9pt" to="191.25pt,57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" strokecolor="#4579b8 [3044]"/>
            </w:pict>
          </mc:Fallback>
        </mc:AlternateContent>
      </w:r>
      <w:r>
        <w:rPr>
          <w:rFonts w:eastAsia="Calibri"/>
          <w:sz w:val="28"/>
          <w:szCs w:val="28"/>
          <w:lang w:val="uk-UA"/>
        </w:rPr>
        <w:br w:type="page"/>
      </w:r>
    </w:p>
    <w:p w:rsidR="00E3259F" w:rsidRDefault="00E3259F" w:rsidP="00E3259F">
      <w:pPr>
        <w:rPr>
          <w:lang w:val="uk-UA"/>
        </w:rPr>
      </w:pPr>
    </w:p>
    <w:p w:rsidR="00E3259F" w:rsidRDefault="00E3259F" w:rsidP="00E3259F">
      <w:pPr>
        <w:pStyle w:val="1"/>
        <w:spacing w:before="0" w:beforeAutospacing="0" w:after="0" w:afterAutospacing="0" w:line="360" w:lineRule="auto"/>
        <w:ind w:firstLine="709"/>
        <w:jc w:val="both"/>
        <w:textAlignment w:val="top"/>
        <w:rPr>
          <w:rFonts w:eastAsia="Calibri"/>
          <w:b w:val="0"/>
          <w:sz w:val="28"/>
          <w:szCs w:val="28"/>
          <w:lang w:val="uk-UA" w:eastAsia="en-US"/>
        </w:rPr>
      </w:pPr>
      <w:r>
        <w:rPr>
          <w:rFonts w:eastAsia="Calibri"/>
          <w:b w:val="0"/>
          <w:sz w:val="28"/>
          <w:szCs w:val="28"/>
          <w:lang w:val="uk-UA" w:eastAsia="en-US"/>
        </w:rPr>
        <w:t>АНАЛІЗ ТА УЗАГАЛЬНЕННЯ РЕЗУЛЬТАТІВ ДОСЛІДЖЕННЯ</w:t>
      </w:r>
    </w:p>
    <w:p w:rsidR="00E3259F" w:rsidRDefault="00E3259F" w:rsidP="00E3259F">
      <w:pPr>
        <w:pStyle w:val="1"/>
        <w:spacing w:before="0" w:beforeAutospacing="0" w:after="0" w:afterAutospacing="0" w:line="360" w:lineRule="auto"/>
        <w:ind w:firstLine="709"/>
        <w:jc w:val="both"/>
        <w:textAlignment w:val="top"/>
        <w:rPr>
          <w:rFonts w:eastAsia="Calibri"/>
          <w:b w:val="0"/>
          <w:sz w:val="28"/>
          <w:szCs w:val="28"/>
          <w:lang w:val="uk-UA" w:eastAsia="en-US"/>
        </w:rPr>
      </w:pPr>
    </w:p>
    <w:p w:rsidR="00E3259F" w:rsidRPr="00D43235" w:rsidRDefault="00E3259F" w:rsidP="00D43235">
      <w:pPr>
        <w:pStyle w:val="1"/>
        <w:spacing w:before="0" w:beforeAutospacing="0" w:after="0" w:afterAutospacing="0" w:line="360" w:lineRule="auto"/>
        <w:ind w:firstLine="709"/>
        <w:jc w:val="both"/>
        <w:textAlignment w:val="top"/>
        <w:rPr>
          <w:b w:val="0"/>
          <w:sz w:val="28"/>
          <w:szCs w:val="28"/>
          <w:lang w:val="uk-UA"/>
        </w:rPr>
      </w:pPr>
      <w:r w:rsidRPr="00D43235">
        <w:rPr>
          <w:rFonts w:eastAsia="Calibri"/>
          <w:b w:val="0"/>
          <w:sz w:val="28"/>
          <w:szCs w:val="28"/>
          <w:lang w:val="uk-UA" w:eastAsia="en-US"/>
        </w:rPr>
        <w:t xml:space="preserve">Поширеність, </w:t>
      </w:r>
      <w:r w:rsidRPr="00D43235">
        <w:rPr>
          <w:b w:val="0"/>
          <w:sz w:val="28"/>
          <w:szCs w:val="28"/>
          <w:shd w:val="clear" w:color="auto" w:fill="FFFFFF"/>
          <w:lang w:val="uk-UA"/>
        </w:rPr>
        <w:t>показники захворюваності, смертності та інвалідності,</w:t>
      </w:r>
      <w:r w:rsidRPr="00D43235">
        <w:rPr>
          <w:rFonts w:eastAsia="Calibri"/>
          <w:b w:val="0"/>
          <w:sz w:val="28"/>
          <w:szCs w:val="28"/>
          <w:lang w:val="uk-UA" w:eastAsia="en-US"/>
        </w:rPr>
        <w:t xml:space="preserve"> </w:t>
      </w:r>
      <w:r w:rsidRPr="00D43235">
        <w:rPr>
          <w:b w:val="0"/>
          <w:sz w:val="28"/>
          <w:szCs w:val="28"/>
          <w:shd w:val="clear" w:color="auto" w:fill="FFFFFF"/>
          <w:lang w:val="uk-UA"/>
        </w:rPr>
        <w:t xml:space="preserve">які пов'язані з </w:t>
      </w:r>
      <w:r w:rsidRPr="00D43235">
        <w:rPr>
          <w:rFonts w:eastAsia="Calibri"/>
          <w:b w:val="0"/>
          <w:sz w:val="28"/>
          <w:szCs w:val="28"/>
          <w:lang w:val="uk-UA" w:eastAsia="en-US"/>
        </w:rPr>
        <w:t xml:space="preserve">ГХ, незважаючи на наукові досягнення протягом останніх десятиліть, </w:t>
      </w:r>
      <w:r w:rsidRPr="00D43235">
        <w:rPr>
          <w:b w:val="0"/>
          <w:sz w:val="28"/>
          <w:szCs w:val="28"/>
          <w:shd w:val="clear" w:color="auto" w:fill="FFFFFF"/>
          <w:lang w:val="uk-UA"/>
        </w:rPr>
        <w:t>продовжують залишатися високими як в Україні, так і в інших країнах. Гіпертонічна хвороба вражає 26,4% дорослого населення світу, залишаючись провідним фактором ризику передчасної смерті та втрати працездатності [208]. Проте</w:t>
      </w:r>
      <w:r w:rsidRPr="00D43235">
        <w:rPr>
          <w:b w:val="0"/>
          <w:sz w:val="28"/>
          <w:szCs w:val="28"/>
          <w:lang w:val="uk-UA"/>
        </w:rPr>
        <w:t>, на цей час ізольована ГХ, особливо з віком, зустрічається не дуже часто, частіше доводиться стикатися з клінічною ситуацією, яка пов'язана з коморбідністю захворювань, причому має місце</w:t>
      </w:r>
      <w:r w:rsidRPr="00D43235">
        <w:rPr>
          <w:rStyle w:val="tlid-translation"/>
          <w:rFonts w:eastAsiaTheme="majorEastAsia"/>
          <w:b w:val="0"/>
          <w:sz w:val="28"/>
          <w:szCs w:val="28"/>
          <w:lang w:val="uk-UA"/>
        </w:rPr>
        <w:t xml:space="preserve"> спільність патогенетичних процесів, узаємозв`язок змін, які впливають на прогноз хворих, тактику ведення та ефективність терапії. Серед таких сполучень найбільше значення має поєднаний перебіг ГХ та ЦД 2 типу.</w:t>
      </w:r>
      <w:r w:rsidRPr="00D43235">
        <w:rPr>
          <w:rStyle w:val="10"/>
          <w:rFonts w:eastAsiaTheme="minorHAnsi"/>
          <w:sz w:val="28"/>
          <w:szCs w:val="28"/>
          <w:lang w:val="uk-UA"/>
        </w:rPr>
        <w:t xml:space="preserve"> Відомо,</w:t>
      </w:r>
      <w:r w:rsidRPr="00D43235">
        <w:rPr>
          <w:rStyle w:val="tlid-translation"/>
          <w:rFonts w:eastAsiaTheme="majorEastAsia"/>
          <w:b w:val="0"/>
          <w:sz w:val="28"/>
          <w:szCs w:val="28"/>
          <w:lang w:val="uk-UA"/>
        </w:rPr>
        <w:t xml:space="preserve"> що підвищення АТ є одним з найважливіших факторів ризику розвитку і прогресування діабетичних мікро- та макроангіопатій, а зниження АТ, навпаки, призводить до значного зниження ризику формування зазначених ускладнень ЦД. У дослідженні UKPDS було встановлено, що зниження САТ на 10 мм рт.ст. призводить до зниження ризику розвитку ускладнень ЦД 2 типу на 12%, смертності, безпосередньо обумовленої діабетом, - на 15%, інфаркту міокарда - на 11%, мікросудинних ускладнень - на 13%[46].</w:t>
      </w:r>
      <w:r w:rsidRPr="00D43235">
        <w:rPr>
          <w:b w:val="0"/>
          <w:sz w:val="28"/>
          <w:szCs w:val="28"/>
          <w:lang w:val="uk-UA"/>
        </w:rPr>
        <w:t xml:space="preserve"> У цей час спостерігається зростання захворюваності на ГХ з віком, </w:t>
      </w:r>
      <w:r w:rsidRPr="00D43235">
        <w:rPr>
          <w:rStyle w:val="tlid-translation"/>
          <w:rFonts w:eastAsiaTheme="majorEastAsia"/>
          <w:b w:val="0"/>
          <w:sz w:val="28"/>
          <w:szCs w:val="28"/>
          <w:lang w:val="uk-UA"/>
        </w:rPr>
        <w:t>перевищуючи 60% у осіб старше 60 років та 75% - в осіб</w:t>
      </w:r>
      <w:r w:rsidRPr="00D43235">
        <w:rPr>
          <w:b w:val="0"/>
          <w:sz w:val="28"/>
          <w:szCs w:val="28"/>
          <w:lang w:val="uk-UA"/>
        </w:rPr>
        <w:br/>
      </w:r>
      <w:r w:rsidRPr="00D43235">
        <w:rPr>
          <w:rStyle w:val="tlid-translation"/>
          <w:rFonts w:eastAsiaTheme="majorEastAsia"/>
          <w:b w:val="0"/>
          <w:sz w:val="28"/>
          <w:szCs w:val="28"/>
          <w:lang w:val="uk-UA"/>
        </w:rPr>
        <w:t xml:space="preserve">старше 75 років, </w:t>
      </w:r>
      <w:r w:rsidRPr="00D43235">
        <w:rPr>
          <w:b w:val="0"/>
          <w:sz w:val="28"/>
          <w:szCs w:val="28"/>
          <w:lang w:val="uk-UA"/>
        </w:rPr>
        <w:t>що вважається пов’язано з природнім старінням організму [89].</w:t>
      </w:r>
      <w:r w:rsidRPr="00D43235">
        <w:rPr>
          <w:rStyle w:val="tlid-translation"/>
          <w:rFonts w:eastAsiaTheme="majorEastAsia"/>
          <w:b w:val="0"/>
          <w:sz w:val="28"/>
          <w:szCs w:val="28"/>
          <w:lang w:val="uk-UA"/>
        </w:rPr>
        <w:t xml:space="preserve"> В той же час, з віком спостерігається зростання частоти вперше виявлених  випадків захворювання на ЦД 2 типу, зокрема, якщо в людей у віці 20-30 років частота ЦД в популяції досягає 2-3%, то в осіб старше 65 років - 20%</w:t>
      </w:r>
      <w:r w:rsidRPr="00D43235">
        <w:rPr>
          <w:b w:val="0"/>
          <w:sz w:val="28"/>
          <w:szCs w:val="28"/>
          <w:lang w:val="uk-UA"/>
        </w:rPr>
        <w:t xml:space="preserve"> </w:t>
      </w:r>
      <w:r w:rsidRPr="00D43235">
        <w:rPr>
          <w:b w:val="0"/>
          <w:sz w:val="28"/>
          <w:szCs w:val="28"/>
        </w:rPr>
        <w:t>[</w:t>
      </w:r>
      <w:r w:rsidRPr="00D43235">
        <w:rPr>
          <w:b w:val="0"/>
          <w:sz w:val="28"/>
          <w:szCs w:val="28"/>
          <w:lang w:val="uk-UA"/>
        </w:rPr>
        <w:t>64</w:t>
      </w:r>
      <w:r w:rsidRPr="00D43235">
        <w:rPr>
          <w:b w:val="0"/>
          <w:sz w:val="28"/>
          <w:szCs w:val="28"/>
        </w:rPr>
        <w:t>,</w:t>
      </w:r>
      <w:r w:rsidRPr="00D43235">
        <w:rPr>
          <w:b w:val="0"/>
          <w:sz w:val="28"/>
          <w:szCs w:val="28"/>
          <w:lang w:val="uk-UA"/>
        </w:rPr>
        <w:t>102</w:t>
      </w:r>
      <w:r w:rsidRPr="00D43235">
        <w:rPr>
          <w:b w:val="0"/>
          <w:sz w:val="28"/>
          <w:szCs w:val="28"/>
        </w:rPr>
        <w:t xml:space="preserve">]. </w:t>
      </w:r>
      <w:r w:rsidRPr="00D43235">
        <w:rPr>
          <w:b w:val="0"/>
          <w:sz w:val="28"/>
          <w:szCs w:val="28"/>
          <w:lang w:val="uk-UA"/>
        </w:rPr>
        <w:t>У</w:t>
      </w:r>
      <w:r w:rsidRPr="00D43235">
        <w:rPr>
          <w:rStyle w:val="tlid-translation"/>
          <w:rFonts w:eastAsiaTheme="majorEastAsia"/>
          <w:b w:val="0"/>
          <w:sz w:val="28"/>
          <w:szCs w:val="28"/>
          <w:lang w:val="uk-UA" w:eastAsia="uk-UA"/>
        </w:rPr>
        <w:t>заємовплив ГХ та ЦД 2 типу, інволютивні процеси природного старіння значно впливають на симптоматику та перебіг захворювань, характер і тяжкість ускладнень, погіршують якість життя хворих середнього та похилого віку, обмежують або ускладнюють лікувально-діагностичний процес, тому вкрай важливо враховувати ці особливості на всіх етапах надання медичної допомоги.</w:t>
      </w: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Захворювання ЩЗ на сьогодні міцно закріпилися на одному з провідних місць серед ендокринної патології за загальною захворюваністю й поширеністю у світі, посідаючи друге місце після ЦД за даними ВООЗ [369], але, якщо патологічний вплив </w:t>
      </w:r>
      <w:r w:rsidRPr="00D43235">
        <w:rPr>
          <w:sz w:val="28"/>
          <w:szCs w:val="28"/>
          <w:shd w:val="clear" w:color="auto" w:fill="FFFFFF"/>
          <w:lang w:val="uk-UA"/>
        </w:rPr>
        <w:t xml:space="preserve">на серцево-судинну систему, ліпідний обмін та необхідність лікування </w:t>
      </w:r>
      <w:r w:rsidRPr="00D43235">
        <w:rPr>
          <w:sz w:val="28"/>
          <w:szCs w:val="28"/>
          <w:lang w:val="uk-UA"/>
        </w:rPr>
        <w:t>я</w:t>
      </w:r>
      <w:r w:rsidRPr="00D43235">
        <w:rPr>
          <w:sz w:val="28"/>
          <w:szCs w:val="28"/>
          <w:shd w:val="clear" w:color="auto" w:fill="FFFFFF"/>
          <w:lang w:val="uk-UA"/>
        </w:rPr>
        <w:t>вних порушень функції ЩЗ не викликає сумнівів, то клінічна значущість прихованих порушень функції ЩЗ до цього часу залишається предметом дискусій [29,111,119]. Незважаючи на суперечливі дані відносно впливу СГТ у формувані серцево-судинної-патології [171,191,196,287,364], більшість дослідників вважають наявність підвищеного ризику розвитку ІХС та серцевої недостатності при рівнях ТТГ більше 10 мк МО/мл, тоді як при рівнях ТТГ від 4,0 до 10,0 мкМО/мл однозначної думки щодо підвищеного ризику КВР немає [328</w:t>
      </w:r>
      <w:r w:rsidRPr="00D43235">
        <w:rPr>
          <w:sz w:val="28"/>
          <w:szCs w:val="28"/>
          <w:lang w:val="uk-UA"/>
        </w:rPr>
        <w:t>]. Крім того, вважається, що від 31% до 46,5% хворих на ЦД 2 типу мають дисфункцію ЩЗ</w:t>
      </w:r>
      <w:r w:rsidRPr="00D43235">
        <w:rPr>
          <w:i/>
          <w:sz w:val="28"/>
          <w:szCs w:val="28"/>
          <w:lang w:val="uk-UA"/>
        </w:rPr>
        <w:t xml:space="preserve"> </w:t>
      </w:r>
      <w:r w:rsidRPr="00D43235">
        <w:rPr>
          <w:sz w:val="28"/>
          <w:szCs w:val="28"/>
          <w:lang w:val="uk-UA"/>
        </w:rPr>
        <w:t>[36</w:t>
      </w:r>
      <w:r w:rsidRPr="00D43235">
        <w:rPr>
          <w:sz w:val="28"/>
          <w:szCs w:val="28"/>
          <w:bdr w:val="none" w:sz="0" w:space="0" w:color="auto" w:frame="1"/>
          <w:lang w:val="uk-UA"/>
        </w:rPr>
        <w:t>].</w:t>
      </w:r>
      <w:r w:rsidRPr="00D43235">
        <w:rPr>
          <w:sz w:val="28"/>
          <w:szCs w:val="28"/>
          <w:lang w:val="uk-UA"/>
        </w:rPr>
        <w:t xml:space="preserve"> Узаємозв’язок ЦД 2 типу і функціональних розладив ЩЗ залишається й досі не до кінця зрозумілим, але асоціюється із серцево-судинними ускладненнями та високою смертністю й інвалідністю [352].</w:t>
      </w:r>
      <w:r w:rsidRPr="00D43235">
        <w:rPr>
          <w:rStyle w:val="10"/>
          <w:rFonts w:eastAsiaTheme="minorHAnsi"/>
          <w:sz w:val="28"/>
          <w:szCs w:val="28"/>
          <w:lang w:val="uk-UA"/>
        </w:rPr>
        <w:t xml:space="preserve"> </w:t>
      </w:r>
    </w:p>
    <w:p w:rsidR="00E3259F" w:rsidRPr="00D43235" w:rsidRDefault="00E3259F" w:rsidP="00D43235">
      <w:pPr>
        <w:spacing w:line="360" w:lineRule="auto"/>
        <w:ind w:firstLine="709"/>
        <w:jc w:val="both"/>
        <w:rPr>
          <w:sz w:val="28"/>
          <w:szCs w:val="28"/>
          <w:lang w:val="uk-UA"/>
        </w:rPr>
      </w:pPr>
      <w:r w:rsidRPr="00D43235">
        <w:rPr>
          <w:rStyle w:val="tlid-translation"/>
          <w:rFonts w:eastAsia="Calibri"/>
          <w:sz w:val="28"/>
          <w:szCs w:val="28"/>
          <w:lang w:val="uk-UA"/>
        </w:rPr>
        <w:t>У сучасних рекомендаціях немає чітких вказівок щодо частоти моніторингу функції ЩЗ у пацієнтів зі ЦД 2 типу, але необхідно визначити ті групи хворих, у яких виявлення дисфункції  ЩЗ, зокрема СГТ,  найбільш імовірне і пов'язане з певними ризиками.</w:t>
      </w:r>
      <w:r w:rsidRPr="00D43235">
        <w:rPr>
          <w:sz w:val="28"/>
          <w:szCs w:val="28"/>
          <w:lang w:val="uk-UA"/>
        </w:rPr>
        <w:t xml:space="preserve"> На сьогоднішній день накопичені певні дані, які свідчать про те, що СГТ може виступати в якості фактора, який впливає на перебіг ГХ у поєднанні зі ЦД 2 типу, але існує низка питань, які потребують більш детального вивчення з метою покращення прогнозування перебігу, ранньої діагностики КВР та  методів профілактичного та  терапевтичного впливу на ці фактори. Не визначений рівень ТТГ у діапазоні 4,0-10,0 мкМО/мл, який можна розцінювати як значимий для серцево-судинного ризику при поєднаному перебігу ГХ, ЦД 2 типу та СГТ. </w:t>
      </w:r>
    </w:p>
    <w:p w:rsidR="00E3259F" w:rsidRPr="00D43235" w:rsidRDefault="00E3259F" w:rsidP="00D43235">
      <w:pPr>
        <w:pStyle w:val="a4"/>
        <w:spacing w:line="360" w:lineRule="auto"/>
        <w:ind w:left="0" w:firstLine="709"/>
        <w:jc w:val="both"/>
        <w:rPr>
          <w:sz w:val="28"/>
          <w:szCs w:val="28"/>
          <w:lang w:val="uk-UA"/>
        </w:rPr>
      </w:pPr>
      <w:r w:rsidRPr="00D43235">
        <w:rPr>
          <w:rFonts w:eastAsia="Calibri"/>
          <w:sz w:val="28"/>
          <w:szCs w:val="28"/>
          <w:lang w:val="uk-UA" w:eastAsia="en-US"/>
        </w:rPr>
        <w:t>У зв'язку із цим метою дослідження стала</w:t>
      </w:r>
      <w:r w:rsidRPr="00D43235">
        <w:rPr>
          <w:sz w:val="28"/>
          <w:szCs w:val="28"/>
          <w:lang w:val="uk-UA"/>
        </w:rPr>
        <w:t xml:space="preserve"> оптимізація ранньої діагностики, прогнозування перебігу, ризику розвитку ускладнень та лікувальної тактики в пацієнтів з ГХ поєднано зі ЦД 2 типу та СГТ на підставі комплексного визначення клініко-патогенетичних механізмів, ендотеліальної дисфункції, оксидативного стресу, системного запалення та процесів судинного старіння. </w:t>
      </w:r>
    </w:p>
    <w:p w:rsidR="00E3259F" w:rsidRPr="00D43235" w:rsidRDefault="00E3259F" w:rsidP="00D43235">
      <w:pPr>
        <w:shd w:val="clear" w:color="auto" w:fill="FFFFFF"/>
        <w:spacing w:line="360" w:lineRule="auto"/>
        <w:ind w:firstLine="709"/>
        <w:jc w:val="both"/>
        <w:outlineLvl w:val="2"/>
        <w:rPr>
          <w:sz w:val="28"/>
          <w:szCs w:val="28"/>
          <w:lang w:val="uk-UA"/>
        </w:rPr>
      </w:pPr>
      <w:r w:rsidRPr="00D43235">
        <w:rPr>
          <w:rFonts w:eastAsia="Calibri"/>
          <w:sz w:val="28"/>
          <w:szCs w:val="28"/>
          <w:lang w:val="uk-UA"/>
        </w:rPr>
        <w:t>Під час виконання роботи були поставлені такі завдання:</w:t>
      </w:r>
      <w:r w:rsidRPr="00D43235">
        <w:rPr>
          <w:bCs/>
          <w:sz w:val="28"/>
          <w:szCs w:val="28"/>
          <w:lang w:val="uk-UA"/>
        </w:rPr>
        <w:t xml:space="preserve"> оцінити показники вуглеводного та ліпідного обмінів у хворих </w:t>
      </w:r>
      <w:r w:rsidRPr="00D43235">
        <w:rPr>
          <w:sz w:val="28"/>
          <w:szCs w:val="28"/>
          <w:lang w:val="uk-UA"/>
        </w:rPr>
        <w:t>на</w:t>
      </w:r>
      <w:r w:rsidRPr="00D43235">
        <w:rPr>
          <w:bCs/>
          <w:sz w:val="28"/>
          <w:szCs w:val="28"/>
          <w:lang w:val="uk-UA"/>
        </w:rPr>
        <w:t> гіпертонічну хворобу</w:t>
      </w:r>
      <w:r w:rsidRPr="00D43235">
        <w:rPr>
          <w:sz w:val="28"/>
          <w:szCs w:val="28"/>
          <w:lang w:val="uk-UA"/>
        </w:rPr>
        <w:t xml:space="preserve"> у поєднанні з ЦД 2 типу </w:t>
      </w:r>
      <w:r w:rsidRPr="00D43235">
        <w:rPr>
          <w:sz w:val="28"/>
          <w:szCs w:val="28"/>
          <w:lang w:val="uk-UA" w:eastAsia="en-US"/>
        </w:rPr>
        <w:t xml:space="preserve">залежно </w:t>
      </w:r>
      <w:r w:rsidRPr="00D43235">
        <w:rPr>
          <w:sz w:val="28"/>
          <w:szCs w:val="28"/>
          <w:lang w:val="uk-UA"/>
        </w:rPr>
        <w:t>від наявності СГТ; вивчити особливості темпів старіння та біологічного віку в пацієнтів на ГХ в поєднанні із ЦД 2 типу залежно від наявності СГТ; вивчити особливості оксидантно-антиоксидантного балансу, процесів хронічного системного запалення, функціонального стану ендотелію, ВДТ  в пацієнтів з поєднаним перебігом ГХ, ЦД 2 типу та</w:t>
      </w:r>
      <w:r w:rsidRPr="00D43235">
        <w:rPr>
          <w:bCs/>
          <w:sz w:val="28"/>
          <w:szCs w:val="28"/>
          <w:lang w:val="uk-UA"/>
        </w:rPr>
        <w:t xml:space="preserve"> СГТ; в</w:t>
      </w:r>
      <w:r w:rsidRPr="00D43235">
        <w:rPr>
          <w:sz w:val="28"/>
          <w:szCs w:val="28"/>
          <w:lang w:val="uk-UA"/>
        </w:rPr>
        <w:t xml:space="preserve">становити вплив віку на </w:t>
      </w:r>
      <w:r w:rsidRPr="00D43235">
        <w:rPr>
          <w:sz w:val="28"/>
          <w:szCs w:val="28"/>
          <w:shd w:val="clear" w:color="auto" w:fill="FFFFFF"/>
          <w:lang w:val="uk-UA"/>
        </w:rPr>
        <w:t>гормонально-метаболічні процеси та процеси судинного старіння</w:t>
      </w:r>
      <w:r w:rsidRPr="00D43235">
        <w:rPr>
          <w:sz w:val="28"/>
          <w:szCs w:val="28"/>
          <w:lang w:val="uk-UA"/>
        </w:rPr>
        <w:t xml:space="preserve"> у пацієнтів з поєднаним перебігом ГХ та ЦД 2 типу</w:t>
      </w:r>
      <w:r w:rsidRPr="00D43235">
        <w:rPr>
          <w:bCs/>
          <w:sz w:val="28"/>
          <w:szCs w:val="28"/>
          <w:lang w:val="uk-UA"/>
        </w:rPr>
        <w:t xml:space="preserve"> при різній функціональній активності ЩЗ; в</w:t>
      </w:r>
      <w:r w:rsidRPr="00D43235">
        <w:rPr>
          <w:spacing w:val="-6"/>
          <w:sz w:val="28"/>
          <w:szCs w:val="28"/>
          <w:lang w:val="uk-UA"/>
        </w:rPr>
        <w:t xml:space="preserve">становити відсоток хворих з наявністю вкорочених теломер та співставити довжину теломер з антропометричними та метаболічними показниками, </w:t>
      </w:r>
      <w:r w:rsidRPr="00D43235">
        <w:rPr>
          <w:sz w:val="28"/>
          <w:szCs w:val="28"/>
          <w:lang w:val="uk-UA"/>
        </w:rPr>
        <w:t>показниками ендотеліальної дисфункції, хронічного системного запалення та оксидативного стресу в пацієнтів на ГХ в поєднанні з ЦД 2 типу без порушення функції ЩЗ та при СГТ; оцінити вплив статинотерапії на функціональний стан ендотелію, оксидативний стрес, довжину теломер у хворих на ГХ в поєднанні з ЦД 2 типу; здійснити оцінку ефективності додаткового призначення левотироксину до комплексу лікувально-профілактичних заходів  у пацієнтів з поєднаним перебігом ГХ, ЦД 2 типу</w:t>
      </w:r>
      <w:r w:rsidRPr="00D43235">
        <w:rPr>
          <w:b/>
          <w:bCs/>
          <w:sz w:val="28"/>
          <w:szCs w:val="28"/>
          <w:lang w:val="uk-UA"/>
        </w:rPr>
        <w:t> </w:t>
      </w:r>
      <w:r w:rsidRPr="00D43235">
        <w:rPr>
          <w:sz w:val="28"/>
          <w:szCs w:val="28"/>
          <w:lang w:val="uk-UA"/>
        </w:rPr>
        <w:t> та СГТ; на основі отриманих результатів дослідження побудувати багатофакторну модель прогнозування кардіоваскулярних ускладнень та розробити систему стратифікації ризику у хворих на ГХ в поєднанні із ЦД 2 типу без порушення функції ЩЗ та при СГТ.</w:t>
      </w: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За дизайном дослідження було проведено в три етапи. На першому етапі, у чоловіків та жінок віком 44-75 років, з обов'язковим зазначенням в анамнезі ГХ, було проаналізовано медичну документацію з метою виявлення ЦД 2 типу, СГТ, критеріїв виключення, оцінки факторів ризику за шкалою </w:t>
      </w:r>
      <w:r w:rsidRPr="00D43235">
        <w:rPr>
          <w:sz w:val="28"/>
          <w:szCs w:val="28"/>
          <w:lang w:val="en-US"/>
        </w:rPr>
        <w:t>SCORE</w:t>
      </w:r>
      <w:r w:rsidRPr="00D43235">
        <w:rPr>
          <w:sz w:val="28"/>
          <w:szCs w:val="28"/>
          <w:lang w:val="uk-UA"/>
        </w:rPr>
        <w:t xml:space="preserve">. На цьому етапі пацієнтам, які мали ГХ та ЦД 2 типу, було проведено опитування за допомогою опитувальника ризику наявності гіпотиреозу - </w:t>
      </w:r>
      <w:r w:rsidRPr="00D43235">
        <w:rPr>
          <w:sz w:val="28"/>
          <w:szCs w:val="28"/>
        </w:rPr>
        <w:t>Hypothyroid</w:t>
      </w:r>
      <w:r w:rsidRPr="00D43235">
        <w:rPr>
          <w:sz w:val="28"/>
          <w:szCs w:val="28"/>
          <w:lang w:val="uk-UA"/>
        </w:rPr>
        <w:t xml:space="preserve"> </w:t>
      </w:r>
      <w:r w:rsidRPr="00D43235">
        <w:rPr>
          <w:sz w:val="28"/>
          <w:szCs w:val="28"/>
        </w:rPr>
        <w:t>Risk</w:t>
      </w:r>
      <w:r w:rsidRPr="00D43235">
        <w:rPr>
          <w:sz w:val="28"/>
          <w:szCs w:val="28"/>
          <w:lang w:val="uk-UA"/>
        </w:rPr>
        <w:t xml:space="preserve"> </w:t>
      </w:r>
      <w:r w:rsidRPr="00D43235">
        <w:rPr>
          <w:sz w:val="28"/>
          <w:szCs w:val="28"/>
        </w:rPr>
        <w:t>Questionnaire</w:t>
      </w:r>
      <w:r w:rsidRPr="00D43235">
        <w:rPr>
          <w:sz w:val="28"/>
          <w:szCs w:val="28"/>
          <w:lang w:val="uk-UA"/>
        </w:rPr>
        <w:t xml:space="preserve"> (</w:t>
      </w:r>
      <w:r w:rsidRPr="00D43235">
        <w:rPr>
          <w:sz w:val="28"/>
          <w:szCs w:val="28"/>
        </w:rPr>
        <w:t>HRQ</w:t>
      </w:r>
      <w:r w:rsidRPr="00D43235">
        <w:rPr>
          <w:sz w:val="28"/>
          <w:szCs w:val="28"/>
          <w:lang w:val="uk-UA"/>
        </w:rPr>
        <w:t xml:space="preserve">), що дозволив виявити осіб з різним ризиком розвитку гіпотиреозу, та дослідження тиреоїдного обміну. </w:t>
      </w: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Крім того, згідно інформації щодо регулярного прийому статинів, пацієнти з коморбідною патологією були розподілені на  пацієнтів, які приймають статини та пацієнтів, які з будь – яких причин не приймають статини. Серед пацієнтів з коморбідною патологією до дослідження були залучені пацієнти з поєднаним перебігом ГХ та ЦД 2 типу, які не приймали статини, та пацієнти з поєднаним перебігом ГХ, ЦД 2 типу та СГТ, які регулярно приймали статини. На другому етапі, з метою виявлення СГТ, всім пацієнтам з ГХ та ЦД 2 типу було проведено дослідження тиреоїдного обміну. </w:t>
      </w:r>
    </w:p>
    <w:p w:rsidR="00E3259F" w:rsidRPr="00D43235" w:rsidRDefault="00E3259F" w:rsidP="00D43235">
      <w:pPr>
        <w:spacing w:line="360" w:lineRule="auto"/>
        <w:ind w:firstLine="709"/>
        <w:jc w:val="both"/>
        <w:rPr>
          <w:sz w:val="28"/>
          <w:szCs w:val="28"/>
          <w:lang w:val="uk-UA"/>
        </w:rPr>
      </w:pPr>
      <w:r w:rsidRPr="00D43235">
        <w:rPr>
          <w:sz w:val="28"/>
          <w:szCs w:val="28"/>
          <w:lang w:val="uk-UA"/>
        </w:rPr>
        <w:t>За нозологією обстежений контингент пацієнтів був розподілений на такі групи: група порівняння – 109 пацієнтів з ізольованою ГХ, що склали групу 1 в дослідженні, основна група – 249 пацієнтів, з них пацієнти з поєднаним перебігом ГХ та ЦД 2 тиу - група 2 в дослідженні (</w:t>
      </w:r>
      <w:r w:rsidRPr="00D43235">
        <w:rPr>
          <w:sz w:val="28"/>
          <w:szCs w:val="28"/>
        </w:rPr>
        <w:t>n</w:t>
      </w:r>
      <w:r w:rsidRPr="00D43235">
        <w:rPr>
          <w:sz w:val="28"/>
          <w:szCs w:val="28"/>
          <w:lang w:val="uk-UA"/>
        </w:rPr>
        <w:t>=156) та  пацієнти з поєднаним перебігом ГХ, ЦД 2 типу та СГТ –  група 3 в дослідженні (</w:t>
      </w:r>
      <w:r w:rsidRPr="00D43235">
        <w:rPr>
          <w:sz w:val="28"/>
          <w:szCs w:val="28"/>
        </w:rPr>
        <w:t>n</w:t>
      </w:r>
      <w:r w:rsidRPr="00D43235">
        <w:rPr>
          <w:sz w:val="28"/>
          <w:szCs w:val="28"/>
          <w:lang w:val="uk-UA"/>
        </w:rPr>
        <w:t xml:space="preserve">=93). Поряд із цим усі пацієнти були розподілені на дві вікові підгрупи, згідно з класифікацією вікових груп ВООЗ: підгрупа І – пацієнти віком 44-60 років, підгрупа ІІ –  віком 61-75 років. Усім пацієнтам було проведено комплексне клініко-лабораторне дослідження з обов'язковим вивченням маркерів оксидативного стресу, ендотеліальної дисфункції, хронічного системного запалення, і судинного старіння – ВДТ. Для </w:t>
      </w:r>
      <w:r w:rsidRPr="00D43235">
        <w:rPr>
          <w:rFonts w:eastAsia="Calibri"/>
          <w:sz w:val="28"/>
          <w:szCs w:val="28"/>
          <w:lang w:val="uk-UA"/>
        </w:rPr>
        <w:t xml:space="preserve">більш детального вивчення </w:t>
      </w:r>
      <w:r w:rsidRPr="00D43235">
        <w:rPr>
          <w:sz w:val="28"/>
          <w:szCs w:val="28"/>
          <w:lang w:val="uk-UA"/>
        </w:rPr>
        <w:t>впливу рівнів ТТГ на субклінічному рівні на КВР усі показники у пацієнтів з ГХ, ЦД 2 типу та СГТ були проаналізовані в тому числі залежно від вихідних рівнів ТТГ: підгрупа а – рівень ТТГ від 4,1 до 6,0 мкМО/мл; підгрупа б – рівень ТТГ від 6,1 до 10 мкМО/мл. Середній вік хворих групи 1 становив 60,29±0,79 років, із них чоловіків було 34 (32,08 %), жінок – 72 (67,92 %). Середній вік пацієнтів  групи 2 становив 62,11±0,64 роки, чоловіків було 82 (52,56%), жінок – 74 (47,44 %).  У  групі 3 середній вік пацієнтів був 61,71±0,87 рік, чоловіків було 12 (12,9 %), жінок – 81 (87,1%). До контрольної групи ввійшло 30 осіб, середній вік 58,40±1,80 років,  без наявності в анамнезі та клінічних ознак ССЗ, ендокринопатій та важких хронічних соматичних захворювань. Групи були порівнянні за віком і статтю.</w:t>
      </w:r>
    </w:p>
    <w:p w:rsidR="00E3259F" w:rsidRPr="00D43235" w:rsidRDefault="00E3259F" w:rsidP="00D43235">
      <w:pPr>
        <w:spacing w:line="360" w:lineRule="auto"/>
        <w:ind w:firstLine="709"/>
        <w:jc w:val="both"/>
        <w:rPr>
          <w:sz w:val="28"/>
          <w:szCs w:val="28"/>
          <w:lang w:val="uk-UA" w:eastAsia="en-US"/>
        </w:rPr>
      </w:pPr>
      <w:r w:rsidRPr="00D43235">
        <w:rPr>
          <w:sz w:val="28"/>
          <w:szCs w:val="28"/>
          <w:lang w:val="uk-UA"/>
        </w:rPr>
        <w:t xml:space="preserve">Запропоноване опитування за допомогою опитувальника </w:t>
      </w:r>
      <w:r w:rsidRPr="00D43235">
        <w:rPr>
          <w:sz w:val="28"/>
          <w:szCs w:val="28"/>
        </w:rPr>
        <w:t>HRQ</w:t>
      </w:r>
      <w:r w:rsidRPr="00D43235">
        <w:rPr>
          <w:sz w:val="28"/>
          <w:szCs w:val="28"/>
          <w:lang w:val="uk-UA"/>
        </w:rPr>
        <w:t>, що дозволяє визначити сумарний ризик розвитку гіпотиреозу (</w:t>
      </w:r>
      <w:r w:rsidRPr="00D43235">
        <w:rPr>
          <w:rFonts w:eastAsia="Calibri"/>
          <w:sz w:val="28"/>
          <w:szCs w:val="28"/>
          <w:lang w:val="uk-UA"/>
        </w:rPr>
        <w:t xml:space="preserve">низький ризик (сума балів &lt;10), помірний ризик (сума балів 10-20), високий ризик (сума балів&gt;20), </w:t>
      </w:r>
      <w:r w:rsidRPr="00D43235">
        <w:rPr>
          <w:sz w:val="28"/>
          <w:szCs w:val="28"/>
          <w:lang w:val="uk-UA"/>
        </w:rPr>
        <w:t xml:space="preserve">виявило значну його чутливість до СГТ: серед осіб з верифікованим СГТ у 83,87±3,81% був виявлений високий ризик гіпотиреозу та осіб з низьким ризиком виявлено не було. Серед пацієнтів групи 2 низький та помірний ризик гіпотиреозу мали 48,08±4,00%, високий ризик – 51,92±4,00% пацієнтів. Це свідчить, що анкетування за допомогою опитувальника </w:t>
      </w:r>
      <w:r w:rsidRPr="00D43235">
        <w:rPr>
          <w:sz w:val="28"/>
          <w:szCs w:val="28"/>
        </w:rPr>
        <w:t>HRQ</w:t>
      </w:r>
      <w:r w:rsidRPr="00D43235">
        <w:rPr>
          <w:sz w:val="28"/>
          <w:szCs w:val="28"/>
          <w:lang w:val="uk-UA"/>
        </w:rPr>
        <w:t xml:space="preserve"> може бути корисним при скринінговому обстеженні пацієнтів з коморбідною патологією для виявлення осіб з високим ризиком СГТ.</w:t>
      </w:r>
    </w:p>
    <w:p w:rsidR="00E3259F" w:rsidRPr="00D43235" w:rsidRDefault="00E3259F" w:rsidP="00D43235">
      <w:pPr>
        <w:autoSpaceDE w:val="0"/>
        <w:autoSpaceDN w:val="0"/>
        <w:adjustRightInd w:val="0"/>
        <w:spacing w:line="360" w:lineRule="auto"/>
        <w:ind w:firstLine="709"/>
        <w:jc w:val="both"/>
        <w:rPr>
          <w:rFonts w:eastAsia="Calibri"/>
          <w:sz w:val="28"/>
          <w:szCs w:val="28"/>
          <w:lang w:val="uk-UA"/>
        </w:rPr>
      </w:pPr>
      <w:r w:rsidRPr="00D43235">
        <w:rPr>
          <w:rFonts w:eastAsia="Calibri"/>
          <w:sz w:val="28"/>
          <w:szCs w:val="28"/>
          <w:lang w:val="uk-UA"/>
        </w:rPr>
        <w:t>Дослідження оцінки стану ліпідного, вуглеводного, тиреоїдного обміну,  показників ІР та маркерів системного запалення (СРП та ФНП-α) п</w:t>
      </w:r>
      <w:r w:rsidRPr="00D43235">
        <w:rPr>
          <w:rFonts w:eastAsia="Calibri"/>
          <w:sz w:val="28"/>
          <w:szCs w:val="28"/>
        </w:rPr>
        <w:t>ров</w:t>
      </w:r>
      <w:r w:rsidRPr="00D43235">
        <w:rPr>
          <w:rFonts w:eastAsia="Calibri"/>
          <w:sz w:val="28"/>
          <w:szCs w:val="28"/>
          <w:lang w:val="uk-UA"/>
        </w:rPr>
        <w:t>одилися</w:t>
      </w:r>
      <w:r w:rsidRPr="00D43235">
        <w:rPr>
          <w:rFonts w:eastAsia="Calibri"/>
          <w:sz w:val="28"/>
          <w:szCs w:val="28"/>
        </w:rPr>
        <w:t xml:space="preserve"> за загальноприйнятим</w:t>
      </w:r>
      <w:r w:rsidRPr="00D43235">
        <w:rPr>
          <w:rFonts w:eastAsia="Calibri"/>
          <w:sz w:val="28"/>
          <w:szCs w:val="28"/>
          <w:lang w:val="uk-UA"/>
        </w:rPr>
        <w:t>и</w:t>
      </w:r>
      <w:r w:rsidRPr="00D43235">
        <w:rPr>
          <w:rFonts w:eastAsia="Calibri"/>
          <w:sz w:val="28"/>
          <w:szCs w:val="28"/>
        </w:rPr>
        <w:t xml:space="preserve"> методикам</w:t>
      </w:r>
      <w:r w:rsidRPr="00D43235">
        <w:rPr>
          <w:rFonts w:eastAsia="Calibri"/>
          <w:sz w:val="28"/>
          <w:szCs w:val="28"/>
          <w:lang w:val="uk-UA"/>
        </w:rPr>
        <w:t>и</w:t>
      </w:r>
      <w:r w:rsidRPr="00D43235">
        <w:rPr>
          <w:rFonts w:eastAsia="Calibri"/>
          <w:sz w:val="28"/>
          <w:szCs w:val="28"/>
        </w:rPr>
        <w:t xml:space="preserve">. </w:t>
      </w:r>
      <w:r w:rsidRPr="00D43235">
        <w:rPr>
          <w:sz w:val="28"/>
          <w:szCs w:val="28"/>
          <w:lang w:val="uk-UA"/>
        </w:rPr>
        <w:t xml:space="preserve">У якості маркера ОС оцінювали рівні МДА, маркерів АОЗ - активність ГПО в еритроцитах та вміст </w:t>
      </w:r>
      <w:r w:rsidRPr="00D43235">
        <w:rPr>
          <w:sz w:val="28"/>
          <w:szCs w:val="28"/>
          <w:lang w:val="en-AU"/>
        </w:rPr>
        <w:t>SH</w:t>
      </w:r>
      <w:r w:rsidRPr="00D43235">
        <w:rPr>
          <w:sz w:val="28"/>
          <w:szCs w:val="28"/>
          <w:lang w:val="uk-UA"/>
        </w:rPr>
        <w:t xml:space="preserve">-груп у сироватці крові фотометричним методом. У якості маркера окислювального ушкодження ДНК оцінювали вміст 8-гідрокси-2'-деоксигуанозину у сироватці крові методом імуноферментного аналізу. </w:t>
      </w:r>
      <w:r w:rsidRPr="00D43235">
        <w:rPr>
          <w:rFonts w:eastAsia="Calibri"/>
          <w:bCs/>
          <w:sz w:val="28"/>
          <w:szCs w:val="28"/>
          <w:lang w:val="uk-UA"/>
        </w:rPr>
        <w:t xml:space="preserve"> </w:t>
      </w:r>
      <w:r w:rsidRPr="00D43235">
        <w:rPr>
          <w:rFonts w:eastAsia="Calibri"/>
          <w:sz w:val="28"/>
          <w:szCs w:val="28"/>
          <w:lang w:val="uk-UA"/>
        </w:rPr>
        <w:t xml:space="preserve">Визначення показників ЕД проводили на підставі оцінки морфологічного стану судинного ендотелію за допомогою підрахунку ЦДЕК у крові за методом </w:t>
      </w:r>
      <w:r w:rsidRPr="00D43235">
        <w:rPr>
          <w:rFonts w:eastAsia="Calibri"/>
          <w:sz w:val="28"/>
          <w:szCs w:val="28"/>
        </w:rPr>
        <w:t>Hladovec</w:t>
      </w:r>
      <w:r w:rsidRPr="00D43235">
        <w:rPr>
          <w:rFonts w:eastAsia="Calibri"/>
          <w:sz w:val="28"/>
          <w:szCs w:val="28"/>
          <w:lang w:val="uk-UA"/>
        </w:rPr>
        <w:t xml:space="preserve"> </w:t>
      </w:r>
      <w:r w:rsidRPr="00D43235">
        <w:rPr>
          <w:rFonts w:eastAsia="Calibri"/>
          <w:sz w:val="28"/>
          <w:szCs w:val="28"/>
        </w:rPr>
        <w:t>J</w:t>
      </w:r>
      <w:r w:rsidRPr="00D43235">
        <w:rPr>
          <w:rFonts w:eastAsia="Calibri"/>
          <w:sz w:val="28"/>
          <w:szCs w:val="28"/>
          <w:lang w:val="uk-UA"/>
        </w:rPr>
        <w:t xml:space="preserve">. в модифікації </w:t>
      </w:r>
      <w:r w:rsidRPr="00D43235">
        <w:rPr>
          <w:rFonts w:eastAsia="Calibri"/>
          <w:sz w:val="28"/>
          <w:szCs w:val="28"/>
        </w:rPr>
        <w:t>Rajec</w:t>
      </w:r>
      <w:r w:rsidRPr="00D43235">
        <w:rPr>
          <w:rFonts w:eastAsia="Calibri"/>
          <w:sz w:val="28"/>
          <w:szCs w:val="28"/>
          <w:lang w:val="uk-UA"/>
        </w:rPr>
        <w:t xml:space="preserve"> </w:t>
      </w:r>
      <w:r w:rsidRPr="00D43235">
        <w:rPr>
          <w:rFonts w:eastAsia="Calibri"/>
          <w:sz w:val="28"/>
          <w:szCs w:val="28"/>
        </w:rPr>
        <w:t>J</w:t>
      </w:r>
      <w:r w:rsidRPr="00D43235">
        <w:rPr>
          <w:rFonts w:eastAsia="Calibri"/>
          <w:sz w:val="28"/>
          <w:szCs w:val="28"/>
          <w:lang w:val="uk-UA"/>
        </w:rPr>
        <w:t xml:space="preserve">. та співав.[323] з використанням фазово-контрастної мікроскопії та в якості біохімічного маркеру ЕД досліджували рівень васкулоендотеліального фактору росту методом імуноферментного аналізу. За допомогою ультразвукового сканування проводилась оцінка проявів раннього атеросклерозу за допомогою дослідження екстракраніального відділу брахіоцефальних артерій з вимірюванням ТКІМ. </w:t>
      </w:r>
      <w:r w:rsidRPr="00D43235">
        <w:rPr>
          <w:rFonts w:eastAsia="Calibri"/>
          <w:sz w:val="28"/>
          <w:szCs w:val="28"/>
        </w:rPr>
        <w:t xml:space="preserve">Визначення судинного старіння здійснювалося за допомогою молекулярно-генетичного дослідження з оцінкою </w:t>
      </w:r>
      <w:r w:rsidRPr="00D43235">
        <w:rPr>
          <w:rFonts w:eastAsia="Calibri"/>
          <w:sz w:val="28"/>
          <w:szCs w:val="28"/>
          <w:lang w:val="uk-UA"/>
        </w:rPr>
        <w:t>ВДТ у</w:t>
      </w:r>
      <w:r w:rsidRPr="00D43235">
        <w:rPr>
          <w:rFonts w:eastAsia="Calibri"/>
          <w:sz w:val="28"/>
          <w:szCs w:val="28"/>
        </w:rPr>
        <w:t xml:space="preserve"> клітинах букального епітелію та лейкоцитах периферичної крові</w:t>
      </w:r>
      <w:r w:rsidRPr="00D43235">
        <w:rPr>
          <w:rFonts w:eastAsia="Calibri"/>
          <w:sz w:val="28"/>
          <w:szCs w:val="28"/>
          <w:lang w:val="uk-UA"/>
        </w:rPr>
        <w:t xml:space="preserve"> </w:t>
      </w:r>
      <w:r w:rsidRPr="00D43235">
        <w:rPr>
          <w:rFonts w:eastAsia="Calibri"/>
          <w:sz w:val="28"/>
          <w:szCs w:val="28"/>
        </w:rPr>
        <w:t>згідно з протоколом</w:t>
      </w:r>
      <w:r w:rsidRPr="00D43235">
        <w:rPr>
          <w:rFonts w:eastAsia="Calibri"/>
          <w:sz w:val="28"/>
          <w:szCs w:val="28"/>
          <w:lang w:val="uk-UA"/>
        </w:rPr>
        <w:t>, що</w:t>
      </w:r>
      <w:r w:rsidRPr="00D43235">
        <w:rPr>
          <w:rFonts w:eastAsia="Calibri"/>
          <w:sz w:val="28"/>
          <w:szCs w:val="28"/>
        </w:rPr>
        <w:t xml:space="preserve"> описан</w:t>
      </w:r>
      <w:r w:rsidRPr="00D43235">
        <w:rPr>
          <w:rFonts w:eastAsia="Calibri"/>
          <w:sz w:val="28"/>
          <w:szCs w:val="28"/>
          <w:lang w:val="uk-UA"/>
        </w:rPr>
        <w:t>о</w:t>
      </w:r>
      <w:r w:rsidRPr="00D43235">
        <w:rPr>
          <w:rFonts w:eastAsia="Calibri"/>
          <w:sz w:val="28"/>
          <w:szCs w:val="28"/>
          <w:shd w:val="clear" w:color="auto" w:fill="FFFFFF"/>
        </w:rPr>
        <w:t xml:space="preserve"> Cawthon R.M.[</w:t>
      </w:r>
      <w:r w:rsidRPr="00D43235">
        <w:rPr>
          <w:rFonts w:eastAsia="Calibri"/>
          <w:sz w:val="28"/>
          <w:szCs w:val="28"/>
          <w:shd w:val="clear" w:color="auto" w:fill="FFFFFF"/>
          <w:lang w:val="uk-UA"/>
        </w:rPr>
        <w:t>178</w:t>
      </w:r>
      <w:r w:rsidRPr="00D43235">
        <w:rPr>
          <w:rFonts w:eastAsia="Calibri"/>
          <w:sz w:val="28"/>
          <w:szCs w:val="28"/>
          <w:shd w:val="clear" w:color="auto" w:fill="FFFFFF"/>
        </w:rPr>
        <w:t>]</w:t>
      </w:r>
      <w:r w:rsidRPr="00D43235">
        <w:rPr>
          <w:rFonts w:eastAsia="Calibri"/>
          <w:sz w:val="28"/>
          <w:szCs w:val="28"/>
          <w:shd w:val="clear" w:color="auto" w:fill="FFFFFF"/>
          <w:lang w:val="uk-UA"/>
        </w:rPr>
        <w:t>.</w:t>
      </w:r>
      <w:r w:rsidRPr="00D43235">
        <w:rPr>
          <w:rFonts w:eastAsia="Calibri"/>
          <w:sz w:val="28"/>
          <w:szCs w:val="28"/>
          <w:lang w:val="uk-UA"/>
        </w:rPr>
        <w:t xml:space="preserve"> </w:t>
      </w:r>
    </w:p>
    <w:p w:rsidR="00E3259F" w:rsidRPr="00D43235" w:rsidRDefault="00E3259F" w:rsidP="00D43235">
      <w:pPr>
        <w:pStyle w:val="1"/>
        <w:spacing w:before="0" w:beforeAutospacing="0" w:after="0" w:afterAutospacing="0" w:line="360" w:lineRule="auto"/>
        <w:ind w:firstLine="709"/>
        <w:jc w:val="both"/>
        <w:rPr>
          <w:b w:val="0"/>
          <w:sz w:val="28"/>
          <w:szCs w:val="28"/>
          <w:lang w:val="uk-UA"/>
        </w:rPr>
      </w:pPr>
      <w:r w:rsidRPr="00D43235">
        <w:rPr>
          <w:rStyle w:val="longtext10"/>
          <w:rFonts w:eastAsiaTheme="majorEastAsia"/>
          <w:b w:val="0"/>
          <w:sz w:val="28"/>
          <w:szCs w:val="28"/>
          <w:lang w:val="uk-UA"/>
        </w:rPr>
        <w:t xml:space="preserve">На третьому етапі </w:t>
      </w:r>
      <w:r w:rsidRPr="00D43235">
        <w:rPr>
          <w:rFonts w:eastAsia="Calibri"/>
          <w:b w:val="0"/>
          <w:sz w:val="28"/>
          <w:szCs w:val="28"/>
          <w:lang w:val="uk-UA"/>
        </w:rPr>
        <w:t>пацієнтам з коморбідним  перебігом ГХ та ЦД 2 типу згідно існуючих рекомендацій було призначено аторвастатин 20 мг або розувастатин 10 мг. Пацієнти з ГХ, ЦД 2 типу та СГТ</w:t>
      </w:r>
      <w:r w:rsidRPr="00D43235">
        <w:rPr>
          <w:rStyle w:val="longtext10"/>
          <w:rFonts w:eastAsiaTheme="majorEastAsia"/>
          <w:b w:val="0"/>
          <w:sz w:val="28"/>
          <w:szCs w:val="28"/>
          <w:lang w:val="uk-UA"/>
        </w:rPr>
        <w:t xml:space="preserve"> додатково отримували левотироксин в індивідуально </w:t>
      </w:r>
      <w:r w:rsidRPr="00D43235">
        <w:rPr>
          <w:rStyle w:val="tlid-translation"/>
          <w:rFonts w:eastAsiaTheme="majorEastAsia"/>
          <w:b w:val="0"/>
          <w:sz w:val="28"/>
          <w:szCs w:val="28"/>
          <w:lang w:val="uk-UA"/>
        </w:rPr>
        <w:t xml:space="preserve">підібраних дозах від 25 до 75 мкг/добу з поступовим титруванням дози до </w:t>
      </w:r>
      <w:r w:rsidRPr="00D43235">
        <w:rPr>
          <w:rFonts w:eastAsia="Arial Unicode MS"/>
          <w:b w:val="0"/>
          <w:kern w:val="2"/>
          <w:sz w:val="28"/>
          <w:szCs w:val="28"/>
          <w:lang w:val="uk-UA"/>
        </w:rPr>
        <w:t>досягнення цільового терапевтичного діапазону значень ТТГ (</w:t>
      </w:r>
      <w:r w:rsidRPr="00D43235">
        <w:rPr>
          <w:rFonts w:eastAsia="Calibri"/>
          <w:b w:val="0"/>
          <w:bCs w:val="0"/>
          <w:sz w:val="28"/>
          <w:szCs w:val="28"/>
          <w:lang w:val="uk-UA"/>
        </w:rPr>
        <w:t>0,4-4,0 мкМОд/мл</w:t>
      </w:r>
      <w:r w:rsidRPr="00D43235">
        <w:rPr>
          <w:rFonts w:eastAsia="Calibri"/>
          <w:bCs w:val="0"/>
          <w:sz w:val="28"/>
          <w:szCs w:val="28"/>
          <w:lang w:val="uk-UA"/>
        </w:rPr>
        <w:t>).</w:t>
      </w:r>
      <w:r w:rsidRPr="00D43235">
        <w:rPr>
          <w:sz w:val="28"/>
          <w:szCs w:val="28"/>
          <w:lang w:val="uk-UA"/>
        </w:rPr>
        <w:t xml:space="preserve"> </w:t>
      </w:r>
      <w:r w:rsidRPr="00D43235">
        <w:rPr>
          <w:rFonts w:eastAsia="Arial Unicode MS"/>
          <w:b w:val="0"/>
          <w:kern w:val="2"/>
          <w:sz w:val="28"/>
          <w:szCs w:val="28"/>
          <w:lang w:val="uk-UA"/>
        </w:rPr>
        <w:t xml:space="preserve">Тривалість спостереження склала 12 місяців, наприкінці, </w:t>
      </w:r>
      <w:r w:rsidRPr="00D43235">
        <w:rPr>
          <w:rFonts w:eastAsia="Calibri"/>
          <w:b w:val="0"/>
          <w:sz w:val="28"/>
          <w:szCs w:val="28"/>
          <w:lang w:val="uk-UA"/>
        </w:rPr>
        <w:t xml:space="preserve">для вивчення </w:t>
      </w:r>
      <w:r w:rsidRPr="00D43235">
        <w:rPr>
          <w:rFonts w:eastAsia="Arial Unicode MS"/>
          <w:b w:val="0"/>
          <w:kern w:val="2"/>
          <w:sz w:val="28"/>
          <w:szCs w:val="28"/>
          <w:lang w:val="uk-UA"/>
        </w:rPr>
        <w:t xml:space="preserve">ефективності запропонованої комплексної терапії, було здійснене повторне обстеження пацієнтів. </w:t>
      </w:r>
    </w:p>
    <w:p w:rsidR="00E3259F" w:rsidRPr="00D43235" w:rsidRDefault="00E3259F" w:rsidP="00D43235">
      <w:pPr>
        <w:spacing w:line="360" w:lineRule="auto"/>
        <w:ind w:firstLine="709"/>
        <w:jc w:val="both"/>
        <w:rPr>
          <w:sz w:val="28"/>
          <w:szCs w:val="28"/>
          <w:shd w:val="clear" w:color="auto" w:fill="FFFFFF"/>
          <w:lang w:val="uk-UA"/>
        </w:rPr>
      </w:pPr>
      <w:r w:rsidRPr="00D43235">
        <w:rPr>
          <w:rFonts w:eastAsia="Calibri"/>
          <w:sz w:val="28"/>
          <w:szCs w:val="28"/>
          <w:lang w:val="uk-UA"/>
        </w:rPr>
        <w:t xml:space="preserve">Статистичний аналіз отриманих даних здійснювали за допомогою пакету прикладних програм SPSS 19 для Windows. Аналіз досліджуваних параметрів щодо нормальності розподілу здійснювали за тестом Шапіро-Уїлка. Кількісні змінні </w:t>
      </w:r>
      <w:r w:rsidRPr="00D43235">
        <w:rPr>
          <w:sz w:val="28"/>
          <w:szCs w:val="28"/>
        </w:rPr>
        <w:t>подано у вигляді (М±m)</w:t>
      </w:r>
      <w:r w:rsidRPr="00D43235">
        <w:rPr>
          <w:sz w:val="28"/>
          <w:szCs w:val="28"/>
          <w:lang w:val="uk-UA"/>
        </w:rPr>
        <w:t xml:space="preserve">, де </w:t>
      </w:r>
      <w:r w:rsidRPr="00D43235">
        <w:rPr>
          <w:rFonts w:eastAsia="Calibri"/>
          <w:sz w:val="28"/>
          <w:szCs w:val="28"/>
          <w:lang w:val="uk-UA"/>
        </w:rPr>
        <w:t>М – середнє значення, m – його стандартна помилка, якісні ознаки описували у вигляді частоти подій (% від нормального числа спостережень). Для визначення відмінностей використовували t-критерій Стьюдента для залежних і незалежних вибірок. Частоту ознак в групах порівнювали за допомогою критерію χ</w:t>
      </w:r>
      <w:r w:rsidRPr="00D43235">
        <w:rPr>
          <w:rFonts w:eastAsia="Calibri"/>
          <w:sz w:val="28"/>
          <w:szCs w:val="28"/>
          <w:vertAlign w:val="superscript"/>
          <w:lang w:val="uk-UA"/>
        </w:rPr>
        <w:t>2</w:t>
      </w:r>
      <w:r w:rsidRPr="00D43235">
        <w:rPr>
          <w:rFonts w:eastAsia="Calibri"/>
          <w:sz w:val="28"/>
          <w:szCs w:val="28"/>
          <w:lang w:val="uk-UA"/>
        </w:rPr>
        <w:t xml:space="preserve">. Для визначення наявності, характеру та сили зв’язків між різними показниками та  факторами різних процесів, що вивчались, проводили кореляційний аналіз з використанням критерію Пірсона (r) та шкали  Чеддока. Для визначення ролі окремих факторів або показників, а також для аналізу впливу окремих факторів на мінливість будь-якої змінної використовували дисперсійний аналіз. </w:t>
      </w:r>
      <w:r w:rsidRPr="00D43235">
        <w:rPr>
          <w:sz w:val="28"/>
          <w:szCs w:val="28"/>
          <w:shd w:val="clear" w:color="auto" w:fill="FFFFFF"/>
          <w:lang w:val="uk-UA"/>
        </w:rPr>
        <w:t>Бінарна логістична регресія з наступним ROC аналізом, який включав розрахунки чутливості, специфічності, побудови ROC-кривої із визначенням площі під нею (AUC),  була використана для визначення ймовірності розвитку серцево-судинної події. </w:t>
      </w:r>
      <w:r w:rsidRPr="00D43235">
        <w:rPr>
          <w:sz w:val="28"/>
          <w:szCs w:val="28"/>
        </w:rPr>
        <w:t xml:space="preserve">Оцінку узгодженості моделі з використаними даними проводили за тестом Хосмера-Лемешова. </w:t>
      </w:r>
      <w:r w:rsidRPr="00D43235">
        <w:rPr>
          <w:sz w:val="28"/>
          <w:szCs w:val="28"/>
          <w:shd w:val="clear" w:color="auto" w:fill="FFFFFF"/>
        </w:rPr>
        <w:t>Рівень значущості для статистичних критеріїв, які  застосовувались, покладався рівним 0,05.</w:t>
      </w:r>
    </w:p>
    <w:p w:rsidR="00E3259F" w:rsidRPr="00D43235" w:rsidRDefault="00E3259F" w:rsidP="00D43235">
      <w:pPr>
        <w:spacing w:line="360" w:lineRule="auto"/>
        <w:ind w:firstLine="709"/>
        <w:jc w:val="both"/>
        <w:rPr>
          <w:sz w:val="28"/>
          <w:szCs w:val="28"/>
        </w:rPr>
      </w:pPr>
      <w:r w:rsidRPr="00D43235">
        <w:rPr>
          <w:sz w:val="28"/>
          <w:szCs w:val="28"/>
          <w:lang w:val="uk-UA"/>
        </w:rPr>
        <w:t xml:space="preserve">Хворі з ГХ, ЦД 2 типу та СГТ порівняно з хворими на поєднаний перебіг ГХ та ЦД 2 типу значно частіше скаржилися на задишку (88,17±3,35% проти 78,21±3,31%, р=0,049, відповідно), проблеми зі сном (91,40±2,91% проти 48,72±4,00%, р&lt;0,001, відповідно), відчуття поколювання в тілі (63,44±4,99% проти 50%±4,00%, р=0,040, відповідно). Достовірних відмінностей щодо частоти скарг при віковому розподілі на підгрупи, виявлено не було. </w:t>
      </w:r>
    </w:p>
    <w:p w:rsidR="00E3259F" w:rsidRPr="00D43235" w:rsidRDefault="00E3259F" w:rsidP="00D43235">
      <w:pPr>
        <w:spacing w:line="360" w:lineRule="auto"/>
        <w:ind w:firstLine="709"/>
        <w:jc w:val="both"/>
        <w:rPr>
          <w:sz w:val="28"/>
          <w:szCs w:val="28"/>
          <w:lang w:val="uk-UA"/>
        </w:rPr>
      </w:pPr>
      <w:r w:rsidRPr="00D43235">
        <w:rPr>
          <w:rStyle w:val="tlid-translation"/>
          <w:rFonts w:eastAsia="Calibri"/>
          <w:sz w:val="28"/>
          <w:szCs w:val="28"/>
          <w:lang w:val="uk-UA"/>
        </w:rPr>
        <w:t>Проведення оцінки типу старіння дозволило виявити фізіологічне старіння в 13,21</w:t>
      </w:r>
      <w:r w:rsidRPr="00D43235">
        <w:rPr>
          <w:sz w:val="28"/>
          <w:szCs w:val="28"/>
          <w:lang w:val="uk-UA"/>
        </w:rPr>
        <w:t>±3,29</w:t>
      </w:r>
      <w:r w:rsidRPr="00D43235">
        <w:rPr>
          <w:rStyle w:val="tlid-translation"/>
          <w:rFonts w:eastAsia="Calibri"/>
          <w:sz w:val="28"/>
          <w:szCs w:val="28"/>
          <w:lang w:val="uk-UA"/>
        </w:rPr>
        <w:t>% пацієнтів із ізольованою ГХ, у 9,62</w:t>
      </w:r>
      <w:r w:rsidRPr="00D43235">
        <w:rPr>
          <w:sz w:val="28"/>
          <w:szCs w:val="28"/>
          <w:lang w:val="uk-UA"/>
        </w:rPr>
        <w:t>±2,36</w:t>
      </w:r>
      <w:r w:rsidRPr="00D43235">
        <w:rPr>
          <w:rStyle w:val="tlid-translation"/>
          <w:rFonts w:eastAsia="Calibri"/>
          <w:sz w:val="28"/>
          <w:szCs w:val="28"/>
          <w:lang w:val="uk-UA"/>
        </w:rPr>
        <w:t>% осіб із поєднаним перебігом ГХ та ЦД 2 типу та в 4,30</w:t>
      </w:r>
      <w:r w:rsidRPr="00D43235">
        <w:rPr>
          <w:sz w:val="28"/>
          <w:szCs w:val="28"/>
          <w:lang w:val="uk-UA"/>
        </w:rPr>
        <w:t>±2,10</w:t>
      </w:r>
      <w:r w:rsidRPr="00D43235">
        <w:rPr>
          <w:rStyle w:val="tlid-translation"/>
          <w:rFonts w:eastAsia="Calibri"/>
          <w:sz w:val="28"/>
          <w:szCs w:val="28"/>
          <w:lang w:val="uk-UA"/>
        </w:rPr>
        <w:t>% пацієнтів із ГХ, ЦД 2 типу та СГТ.</w:t>
      </w:r>
      <w:r w:rsidRPr="00D43235">
        <w:rPr>
          <w:rFonts w:eastAsia="Calibri"/>
          <w:sz w:val="28"/>
          <w:szCs w:val="28"/>
          <w:lang w:val="uk-UA"/>
        </w:rPr>
        <w:t xml:space="preserve"> </w:t>
      </w:r>
      <w:r w:rsidRPr="00D43235">
        <w:rPr>
          <w:rFonts w:eastAsia="Calibri"/>
          <w:sz w:val="28"/>
          <w:szCs w:val="28"/>
        </w:rPr>
        <w:t xml:space="preserve">Статистично значущі відмінності спостерігалися </w:t>
      </w:r>
      <w:r w:rsidRPr="00D43235">
        <w:rPr>
          <w:rFonts w:eastAsia="Calibri"/>
          <w:sz w:val="28"/>
          <w:szCs w:val="28"/>
          <w:lang w:val="uk-UA"/>
        </w:rPr>
        <w:t>при порівнянні групи 1 та групи 3 (р=0,029). УТС</w:t>
      </w:r>
      <w:r w:rsidRPr="00D43235">
        <w:rPr>
          <w:rStyle w:val="tlid-translation"/>
          <w:rFonts w:eastAsia="Calibri"/>
          <w:sz w:val="28"/>
          <w:szCs w:val="28"/>
          <w:lang w:val="uk-UA"/>
        </w:rPr>
        <w:t xml:space="preserve"> було виявлено в 55,56</w:t>
      </w:r>
      <w:r w:rsidRPr="00D43235">
        <w:rPr>
          <w:sz w:val="28"/>
          <w:szCs w:val="28"/>
          <w:lang w:val="uk-UA"/>
        </w:rPr>
        <w:t>±4,83</w:t>
      </w:r>
      <w:r w:rsidRPr="00D43235">
        <w:rPr>
          <w:rStyle w:val="tlid-translation"/>
          <w:rFonts w:eastAsia="Calibri"/>
          <w:sz w:val="28"/>
          <w:szCs w:val="28"/>
          <w:lang w:val="uk-UA"/>
        </w:rPr>
        <w:t>% пацієнтів групи 1, що було достовірно більше, ніж  у групі 2 -36,54</w:t>
      </w:r>
      <w:r w:rsidRPr="00D43235">
        <w:rPr>
          <w:sz w:val="28"/>
          <w:szCs w:val="28"/>
          <w:lang w:val="uk-UA"/>
        </w:rPr>
        <w:t>±3,86</w:t>
      </w:r>
      <w:r w:rsidRPr="00D43235">
        <w:rPr>
          <w:rStyle w:val="tlid-translation"/>
          <w:rFonts w:eastAsia="Calibri"/>
          <w:sz w:val="28"/>
          <w:szCs w:val="28"/>
          <w:lang w:val="uk-UA"/>
        </w:rPr>
        <w:t>% пацієнтів (р=0,030) та  групі 3 - 40,86</w:t>
      </w:r>
      <w:r w:rsidRPr="00D43235">
        <w:rPr>
          <w:sz w:val="28"/>
          <w:szCs w:val="28"/>
          <w:lang w:val="uk-UA"/>
        </w:rPr>
        <w:t>±5,09</w:t>
      </w:r>
      <w:r w:rsidRPr="00D43235">
        <w:rPr>
          <w:rStyle w:val="tlid-translation"/>
          <w:rFonts w:eastAsia="Calibri"/>
          <w:sz w:val="28"/>
          <w:szCs w:val="28"/>
          <w:lang w:val="uk-UA"/>
        </w:rPr>
        <w:t>% пацієнтів (р=0,038). ПТС у групі 1 (31,13</w:t>
      </w:r>
      <w:r w:rsidRPr="00D43235">
        <w:rPr>
          <w:sz w:val="28"/>
          <w:szCs w:val="28"/>
          <w:lang w:val="uk-UA"/>
        </w:rPr>
        <w:t>±4,50</w:t>
      </w:r>
      <w:r w:rsidRPr="00D43235">
        <w:rPr>
          <w:rStyle w:val="tlid-translation"/>
          <w:rFonts w:eastAsia="Calibri"/>
          <w:sz w:val="28"/>
          <w:szCs w:val="28"/>
          <w:lang w:val="uk-UA"/>
        </w:rPr>
        <w:t>%</w:t>
      </w:r>
      <w:r w:rsidRPr="00D43235">
        <w:rPr>
          <w:sz w:val="28"/>
          <w:szCs w:val="28"/>
          <w:lang w:val="uk-UA"/>
        </w:rPr>
        <w:t xml:space="preserve"> </w:t>
      </w:r>
      <w:r w:rsidRPr="00D43235">
        <w:rPr>
          <w:rStyle w:val="tlid-translation"/>
          <w:rFonts w:eastAsia="Calibri"/>
          <w:sz w:val="28"/>
          <w:szCs w:val="28"/>
          <w:lang w:val="uk-UA"/>
        </w:rPr>
        <w:t>пацієнтів) спостерігався достовірно рідше, ніж у групі 2 (53,85</w:t>
      </w:r>
      <w:r w:rsidRPr="00D43235">
        <w:rPr>
          <w:sz w:val="28"/>
          <w:szCs w:val="28"/>
          <w:lang w:val="uk-UA"/>
        </w:rPr>
        <w:t>±3,99</w:t>
      </w:r>
      <w:r w:rsidRPr="00D43235">
        <w:rPr>
          <w:rStyle w:val="tlid-translation"/>
          <w:rFonts w:eastAsia="Calibri"/>
          <w:sz w:val="28"/>
          <w:szCs w:val="28"/>
          <w:lang w:val="uk-UA"/>
        </w:rPr>
        <w:t>%</w:t>
      </w:r>
      <w:r w:rsidRPr="00D43235">
        <w:rPr>
          <w:sz w:val="28"/>
          <w:szCs w:val="28"/>
          <w:lang w:val="uk-UA"/>
        </w:rPr>
        <w:t xml:space="preserve"> </w:t>
      </w:r>
      <w:r w:rsidRPr="00D43235">
        <w:rPr>
          <w:rStyle w:val="tlid-translation"/>
          <w:rFonts w:eastAsia="Calibri"/>
          <w:sz w:val="28"/>
          <w:szCs w:val="28"/>
          <w:lang w:val="uk-UA"/>
        </w:rPr>
        <w:t>пацієнтів, р&lt;0,001) та групі 3 (54,84</w:t>
      </w:r>
      <w:r w:rsidRPr="00D43235">
        <w:rPr>
          <w:sz w:val="28"/>
          <w:szCs w:val="28"/>
          <w:lang w:val="uk-UA"/>
        </w:rPr>
        <w:t xml:space="preserve">±5,16 </w:t>
      </w:r>
      <w:r w:rsidRPr="00D43235">
        <w:rPr>
          <w:rStyle w:val="tlid-translation"/>
          <w:rFonts w:eastAsia="Calibri"/>
          <w:sz w:val="28"/>
          <w:szCs w:val="28"/>
          <w:lang w:val="uk-UA"/>
        </w:rPr>
        <w:t xml:space="preserve">% пацієнтів, р&lt;0,001). Між групами 2 та 3 достовірних відмінностей у кількості хворих з  УТС та ПТС виявлено не було (р&gt;0,05). У групах пацієнтів з коморбідною патологією ПТС спостерігався частіше, ніж УТС, достовірно при поєднаному перебігу ГХ та ЦД 2 типу (р=0,003), у групі ГХ, ЦД 2 типу та СГТ достовірних відмінностей не було (р&gt;0,05).  </w:t>
      </w:r>
      <w:r w:rsidRPr="00D43235">
        <w:rPr>
          <w:sz w:val="28"/>
          <w:szCs w:val="28"/>
          <w:lang w:val="uk-UA"/>
        </w:rPr>
        <w:t>У групах з коморбідною патологією УТС спостерігався частіше в жінок, ніж чоловіків, проте достовірні відмінності спостерігались лише у групі 2 (44,59±5,78%  проти  28,05±4,96%, відповідно, р=0,032. Не було виявлено достовірних відмінностей частоти ПТС між жінками та чоловіками при ГХ, ЦД 2 типу та СГТ (</w:t>
      </w:r>
      <w:r w:rsidR="00D43235">
        <w:rPr>
          <w:sz w:val="28"/>
          <w:szCs w:val="28"/>
          <w:lang w:val="uk-UA"/>
        </w:rPr>
        <w:t>54,32±5,53%</w:t>
      </w:r>
      <w:r w:rsidRPr="00D43235">
        <w:rPr>
          <w:sz w:val="28"/>
          <w:szCs w:val="28"/>
          <w:lang w:val="uk-UA"/>
        </w:rPr>
        <w:t xml:space="preserve"> проти</w:t>
      </w:r>
      <w:r w:rsidR="00D43235">
        <w:rPr>
          <w:sz w:val="28"/>
          <w:szCs w:val="28"/>
          <w:lang w:val="uk-UA"/>
        </w:rPr>
        <w:t xml:space="preserve"> 58,33±14,23%</w:t>
      </w:r>
      <w:r w:rsidRPr="00D43235">
        <w:rPr>
          <w:sz w:val="28"/>
          <w:szCs w:val="28"/>
          <w:lang w:val="uk-UA"/>
        </w:rPr>
        <w:t xml:space="preserve"> відповідно, р&gt;0,05), але у групі ГХ та </w:t>
      </w:r>
      <w:r>
        <w:rPr>
          <w:sz w:val="28"/>
          <w:szCs w:val="28"/>
          <w:lang w:val="uk-UA"/>
        </w:rPr>
        <w:t xml:space="preserve">ЦД 2 типу ПТС у чоловіків зустрічався достовірно частіше, ніж у жінок </w:t>
      </w:r>
      <w:r w:rsidRPr="000B764C">
        <w:rPr>
          <w:sz w:val="28"/>
          <w:szCs w:val="28"/>
          <w:lang w:val="uk-UA"/>
        </w:rPr>
        <w:t>(</w:t>
      </w:r>
      <w:r w:rsidR="000B764C">
        <w:rPr>
          <w:sz w:val="28"/>
          <w:szCs w:val="28"/>
          <w:lang w:val="uk-UA"/>
        </w:rPr>
        <w:t>62,20±</w:t>
      </w:r>
      <w:r w:rsidR="00A61245">
        <w:rPr>
          <w:sz w:val="28"/>
          <w:szCs w:val="28"/>
          <w:lang w:val="uk-UA"/>
        </w:rPr>
        <w:t>5,35%</w:t>
      </w:r>
      <w:r w:rsidRPr="000B764C">
        <w:rPr>
          <w:sz w:val="28"/>
          <w:szCs w:val="28"/>
          <w:lang w:val="uk-UA"/>
        </w:rPr>
        <w:t xml:space="preserve"> проти </w:t>
      </w:r>
      <w:r w:rsidR="00A61245">
        <w:rPr>
          <w:sz w:val="28"/>
          <w:szCs w:val="28"/>
          <w:lang w:val="uk-UA"/>
        </w:rPr>
        <w:t>43,24±5,76%</w:t>
      </w:r>
      <w:r w:rsidRPr="000B764C">
        <w:rPr>
          <w:sz w:val="28"/>
          <w:szCs w:val="28"/>
          <w:lang w:val="uk-UA"/>
        </w:rPr>
        <w:t>,</w:t>
      </w:r>
      <w:r w:rsidRPr="00D43235">
        <w:rPr>
          <w:sz w:val="28"/>
          <w:szCs w:val="28"/>
          <w:lang w:val="uk-UA"/>
        </w:rPr>
        <w:t xml:space="preserve"> відповідно, р=0,018) . </w:t>
      </w:r>
      <w:r w:rsidRPr="00D43235">
        <w:rPr>
          <w:rStyle w:val="tlid-translation"/>
          <w:rFonts w:eastAsia="Calibri"/>
          <w:sz w:val="28"/>
          <w:szCs w:val="28"/>
          <w:lang w:val="uk-UA"/>
        </w:rPr>
        <w:t>Біологічний вік у групах 2 та 3</w:t>
      </w:r>
      <w:r w:rsidRPr="00D43235">
        <w:rPr>
          <w:sz w:val="28"/>
          <w:szCs w:val="28"/>
          <w:lang w:val="uk-UA"/>
        </w:rPr>
        <w:t xml:space="preserve"> був вище, ніж у групі 1,  проте отримані відмінності були достовірні тільки при порівнянні БВ у групах 1 та 2 (р&lt;0,001), наявність СГТ у  групі 3 характеризувалось більш низьким БВ порівняно з  групою 2 (р=0,047). В</w:t>
      </w:r>
      <w:r w:rsidRPr="00D43235">
        <w:rPr>
          <w:rStyle w:val="tlid-translation"/>
          <w:rFonts w:eastAsia="Calibri"/>
          <w:sz w:val="28"/>
          <w:szCs w:val="28"/>
          <w:lang w:val="uk-UA"/>
        </w:rPr>
        <w:t xml:space="preserve">иявлено, що в пацієнтів групи 2 та групи 3 БВ перевищував популяційний стандарт - належний біологічний вік (НБВ) у групі 2 на </w:t>
      </w:r>
      <w:r w:rsidRPr="00D43235">
        <w:rPr>
          <w:sz w:val="28"/>
          <w:szCs w:val="28"/>
          <w:lang w:val="uk-UA"/>
        </w:rPr>
        <w:t>0,54±0,82 року, у  групі 3 на 1,48±1,08 рік</w:t>
      </w:r>
      <w:r w:rsidRPr="00D43235">
        <w:rPr>
          <w:rStyle w:val="tlid-translation"/>
          <w:rFonts w:eastAsia="Calibri"/>
          <w:sz w:val="28"/>
          <w:szCs w:val="28"/>
          <w:lang w:val="uk-UA"/>
        </w:rPr>
        <w:t>, тобто в осіб цих груп у більшості БВ є вище, ніж у однолітків цієї популяції. К</w:t>
      </w:r>
      <w:r w:rsidRPr="00D43235">
        <w:rPr>
          <w:sz w:val="28"/>
          <w:szCs w:val="28"/>
          <w:lang w:val="uk-UA"/>
        </w:rPr>
        <w:t>рім того,  в усіх досліджуваних групах пацієнти віком від 61 до 75 років мали БВ нижче НБВ, а у віковому діапазоні 44-60 років мали БВ вище, ніж НБВ, що може бути результатом виробленої з віком адаптації до негативних екзогенних та ендогенних факторів. Наявність ГХ та ЦД 2 типу сприяла ПТС більшою мірою, ніж ізольована ГХ, особливо в осіб віком від 44 до 60 років (індекс швидкості старіння 1,19±0,02 проти 1,03±0,11, р=0,016, коефіцієнт швидкості старіння 9,53±0,82 проти 5,33±1,87, р=0,031), наявність СГТ у пацієнтів групи 3 не мала суттєвого негативного впливу на показники швидкості старіння при порівнянні з відповідними віковими підгрупами пацієнтів з ГХ та ЦД 2 типу.</w:t>
      </w:r>
    </w:p>
    <w:p w:rsidR="00E3259F" w:rsidRPr="00D43235" w:rsidRDefault="00E3259F" w:rsidP="00D43235">
      <w:pPr>
        <w:spacing w:line="360" w:lineRule="auto"/>
        <w:ind w:firstLine="709"/>
        <w:jc w:val="both"/>
        <w:rPr>
          <w:rFonts w:eastAsia="Calibri"/>
          <w:sz w:val="28"/>
          <w:szCs w:val="28"/>
          <w:lang w:val="uk-UA"/>
        </w:rPr>
      </w:pPr>
      <w:r w:rsidRPr="00D43235">
        <w:rPr>
          <w:rFonts w:eastAsia="Calibri"/>
          <w:sz w:val="28"/>
          <w:szCs w:val="28"/>
          <w:lang w:val="uk-UA"/>
        </w:rPr>
        <w:t>Переважна більшість пацієнтів незалежно від групи мала надмірну МТ або ожиріння І ступеня, найбільша кількість осіб з нормальною МТ спостерігалась в групі 3 (11,83</w:t>
      </w:r>
      <w:r w:rsidRPr="00D43235">
        <w:rPr>
          <w:sz w:val="28"/>
          <w:szCs w:val="28"/>
          <w:lang w:val="uk-UA"/>
        </w:rPr>
        <w:t>±3,35</w:t>
      </w:r>
      <w:r w:rsidRPr="00D43235">
        <w:rPr>
          <w:rFonts w:eastAsia="Calibri"/>
          <w:sz w:val="28"/>
          <w:szCs w:val="28"/>
          <w:lang w:val="uk-UA"/>
        </w:rPr>
        <w:t>% пацієнтів проти  2,56</w:t>
      </w:r>
      <w:r w:rsidRPr="00D43235">
        <w:rPr>
          <w:sz w:val="28"/>
          <w:szCs w:val="28"/>
          <w:lang w:val="uk-UA"/>
        </w:rPr>
        <w:t>±1,26</w:t>
      </w:r>
      <w:r w:rsidRPr="00D43235">
        <w:rPr>
          <w:rFonts w:eastAsia="Calibri"/>
          <w:sz w:val="28"/>
          <w:szCs w:val="28"/>
          <w:lang w:val="uk-UA"/>
        </w:rPr>
        <w:t>% пацієнтів  в групі 2 та проти 5,66</w:t>
      </w:r>
      <w:r w:rsidRPr="00D43235">
        <w:rPr>
          <w:sz w:val="28"/>
          <w:szCs w:val="28"/>
          <w:lang w:val="uk-UA"/>
        </w:rPr>
        <w:t>±2,24</w:t>
      </w:r>
      <w:r w:rsidRPr="00D43235">
        <w:rPr>
          <w:rFonts w:eastAsia="Calibri"/>
          <w:sz w:val="28"/>
          <w:szCs w:val="28"/>
          <w:lang w:val="uk-UA"/>
        </w:rPr>
        <w:t>% пацієнтів в групі 1). Проте достовірний вплив віку на МТ було виявлено лише в групі 2 (р=0,024).</w:t>
      </w:r>
    </w:p>
    <w:p w:rsidR="00E3259F" w:rsidRPr="00D43235" w:rsidRDefault="00E3259F" w:rsidP="00D43235">
      <w:pPr>
        <w:spacing w:line="360" w:lineRule="auto"/>
        <w:ind w:firstLine="709"/>
        <w:jc w:val="both"/>
        <w:rPr>
          <w:rFonts w:eastAsiaTheme="minorHAnsi"/>
          <w:sz w:val="28"/>
          <w:szCs w:val="28"/>
          <w:shd w:val="clear" w:color="auto" w:fill="FFFFFF"/>
          <w:lang w:val="uk-UA"/>
        </w:rPr>
      </w:pPr>
      <w:r w:rsidRPr="00D43235">
        <w:rPr>
          <w:sz w:val="28"/>
          <w:szCs w:val="28"/>
          <w:lang w:val="uk-UA"/>
        </w:rPr>
        <w:t xml:space="preserve">Наявність ознак атерогенної дисліпідемії спостерігалось у 62,26±4,71% пацієнтів з ізольованою ГХ,  у 51,28±4,00% пацієнтів з поєднаним перебігом ГХ та ЦД 2 типу та у 74,19±4,54% пацієнтів з ГХ, ЦД 2 типу та СГТ. </w:t>
      </w:r>
      <w:r w:rsidRPr="00D43235">
        <w:rPr>
          <w:rStyle w:val="tlid-translation"/>
          <w:rFonts w:eastAsia="Calibri"/>
          <w:sz w:val="28"/>
          <w:szCs w:val="28"/>
          <w:lang w:val="uk-UA"/>
        </w:rPr>
        <w:t xml:space="preserve">Наявність більш вираженої атерогенної дисліпідемії, незважаючи на прийом статинів, у хворих з ГХ, ЦД 2 типу та СГТ, ніж у пацієнтів  з ГХ та ЦД 2 типу, </w:t>
      </w:r>
      <w:r w:rsidRPr="00D43235">
        <w:rPr>
          <w:sz w:val="28"/>
          <w:szCs w:val="28"/>
          <w:lang w:val="uk-UA"/>
        </w:rPr>
        <w:t xml:space="preserve">що проявляється достовірно більш високими рівнями ЗХС (р=0,002), ХС ЛПНЩ (р=0,048) та відсутністю достовірних відмінностей між рівнями ХС ЛПВЩ (р&gt;0,05), </w:t>
      </w:r>
      <w:r w:rsidRPr="00D43235">
        <w:rPr>
          <w:rStyle w:val="tlid-translation"/>
          <w:rFonts w:eastAsia="Calibri"/>
          <w:sz w:val="28"/>
          <w:szCs w:val="28"/>
          <w:lang w:val="uk-UA"/>
        </w:rPr>
        <w:t xml:space="preserve">свідчить про суттєвий негативний вплив гіпофункціїї ЩЖ, навіть на субклінічному рівні, на процеси атерогенезу і, як наслідок, на прогноз. </w:t>
      </w:r>
      <w:r w:rsidRPr="00D43235">
        <w:rPr>
          <w:sz w:val="28"/>
          <w:szCs w:val="28"/>
        </w:rPr>
        <w:t xml:space="preserve">Проведення однофакторного дисперсійного аналізу в групі </w:t>
      </w:r>
      <w:r w:rsidRPr="00D43235">
        <w:rPr>
          <w:sz w:val="28"/>
          <w:szCs w:val="28"/>
          <w:lang w:val="uk-UA"/>
        </w:rPr>
        <w:t xml:space="preserve">3 </w:t>
      </w:r>
      <w:r w:rsidRPr="00D43235">
        <w:rPr>
          <w:sz w:val="28"/>
          <w:szCs w:val="28"/>
        </w:rPr>
        <w:t>виявило значущий вплив ТТГ на рівні</w:t>
      </w:r>
      <w:r w:rsidRPr="00D43235">
        <w:rPr>
          <w:sz w:val="28"/>
          <w:szCs w:val="28"/>
          <w:lang w:val="uk-UA"/>
        </w:rPr>
        <w:t xml:space="preserve"> З</w:t>
      </w:r>
      <w:r w:rsidRPr="00D43235">
        <w:rPr>
          <w:sz w:val="28"/>
          <w:szCs w:val="28"/>
        </w:rPr>
        <w:t>ХС</w:t>
      </w:r>
      <w:r w:rsidRPr="00D43235">
        <w:rPr>
          <w:sz w:val="28"/>
          <w:szCs w:val="28"/>
          <w:lang w:val="uk-UA"/>
        </w:rPr>
        <w:t xml:space="preserve"> </w:t>
      </w:r>
      <w:r w:rsidRPr="00D43235">
        <w:rPr>
          <w:sz w:val="28"/>
          <w:szCs w:val="28"/>
        </w:rPr>
        <w:t>(р=</w:t>
      </w:r>
      <w:r w:rsidRPr="00D43235">
        <w:rPr>
          <w:sz w:val="28"/>
          <w:szCs w:val="28"/>
          <w:lang w:val="uk-UA"/>
        </w:rPr>
        <w:t>0,</w:t>
      </w:r>
      <w:r w:rsidRPr="00D43235">
        <w:rPr>
          <w:sz w:val="28"/>
          <w:szCs w:val="28"/>
        </w:rPr>
        <w:t>005), Х</w:t>
      </w:r>
      <w:r w:rsidRPr="00D43235">
        <w:rPr>
          <w:sz w:val="28"/>
          <w:szCs w:val="28"/>
          <w:lang w:val="uk-UA"/>
        </w:rPr>
        <w:t xml:space="preserve">С </w:t>
      </w:r>
      <w:r w:rsidRPr="00D43235">
        <w:rPr>
          <w:sz w:val="28"/>
          <w:szCs w:val="28"/>
        </w:rPr>
        <w:t>ЛПН</w:t>
      </w:r>
      <w:r w:rsidRPr="00D43235">
        <w:rPr>
          <w:sz w:val="28"/>
          <w:szCs w:val="28"/>
          <w:lang w:val="uk-UA"/>
        </w:rPr>
        <w:t xml:space="preserve">Щ </w:t>
      </w:r>
      <w:r w:rsidRPr="00D43235">
        <w:rPr>
          <w:sz w:val="28"/>
          <w:szCs w:val="28"/>
        </w:rPr>
        <w:t>(р=</w:t>
      </w:r>
      <w:r w:rsidRPr="00D43235">
        <w:rPr>
          <w:sz w:val="28"/>
          <w:szCs w:val="28"/>
          <w:lang w:val="uk-UA"/>
        </w:rPr>
        <w:t>0,</w:t>
      </w:r>
      <w:r w:rsidRPr="00D43235">
        <w:rPr>
          <w:sz w:val="28"/>
          <w:szCs w:val="28"/>
        </w:rPr>
        <w:t>005), Х</w:t>
      </w:r>
      <w:r w:rsidRPr="00D43235">
        <w:rPr>
          <w:sz w:val="28"/>
          <w:szCs w:val="28"/>
          <w:lang w:val="uk-UA"/>
        </w:rPr>
        <w:t xml:space="preserve">С </w:t>
      </w:r>
      <w:r w:rsidRPr="00D43235">
        <w:rPr>
          <w:sz w:val="28"/>
          <w:szCs w:val="28"/>
        </w:rPr>
        <w:t>ЛПВ</w:t>
      </w:r>
      <w:r w:rsidRPr="00D43235">
        <w:rPr>
          <w:sz w:val="28"/>
          <w:szCs w:val="28"/>
          <w:lang w:val="uk-UA"/>
        </w:rPr>
        <w:t xml:space="preserve">Щ </w:t>
      </w:r>
      <w:r w:rsidRPr="00D43235">
        <w:rPr>
          <w:sz w:val="28"/>
          <w:szCs w:val="28"/>
        </w:rPr>
        <w:t>(р=</w:t>
      </w:r>
      <w:r w:rsidRPr="00D43235">
        <w:rPr>
          <w:sz w:val="28"/>
          <w:szCs w:val="28"/>
          <w:lang w:val="uk-UA"/>
        </w:rPr>
        <w:t>0</w:t>
      </w:r>
      <w:r w:rsidRPr="00D43235">
        <w:rPr>
          <w:sz w:val="28"/>
          <w:szCs w:val="28"/>
        </w:rPr>
        <w:t>,018).</w:t>
      </w:r>
      <w:r w:rsidRPr="00D43235">
        <w:rPr>
          <w:sz w:val="28"/>
          <w:szCs w:val="28"/>
          <w:shd w:val="clear" w:color="auto" w:fill="FFFFFF"/>
          <w:lang w:val="uk-UA"/>
        </w:rPr>
        <w:t xml:space="preserve"> </w:t>
      </w:r>
    </w:p>
    <w:p w:rsidR="00E3259F" w:rsidRPr="00D43235" w:rsidRDefault="00E3259F" w:rsidP="00D43235">
      <w:pPr>
        <w:spacing w:line="360" w:lineRule="auto"/>
        <w:ind w:firstLine="709"/>
        <w:jc w:val="both"/>
        <w:rPr>
          <w:sz w:val="28"/>
          <w:szCs w:val="28"/>
          <w:lang w:val="uk-UA"/>
        </w:rPr>
      </w:pPr>
      <w:r w:rsidRPr="00D43235">
        <w:rPr>
          <w:rStyle w:val="tlid-translation"/>
          <w:rFonts w:eastAsiaTheme="majorEastAsia"/>
          <w:sz w:val="28"/>
          <w:szCs w:val="28"/>
          <w:lang w:val="uk-UA"/>
        </w:rPr>
        <w:t>При порівняльному аналізі вуглеводного обміну в</w:t>
      </w:r>
      <w:r w:rsidRPr="00D43235">
        <w:rPr>
          <w:sz w:val="28"/>
          <w:szCs w:val="28"/>
          <w:lang w:val="uk-UA"/>
        </w:rPr>
        <w:t xml:space="preserve"> групі ізольованої ГХ, незважаючи на рівні показників в рамках референсних значень, спостерігались достовірні відмінності порівняно з групою контролю за всіма показниками, що є підтвердженням щодо інсулінорезистентності як важливого механізму формування ГХ. </w:t>
      </w:r>
      <w:r w:rsidRPr="00D43235">
        <w:rPr>
          <w:rStyle w:val="tlid-translation"/>
          <w:rFonts w:eastAsiaTheme="majorEastAsia"/>
          <w:sz w:val="28"/>
          <w:szCs w:val="28"/>
          <w:lang w:val="uk-UA"/>
        </w:rPr>
        <w:t>При коморбідній патології у хворих групи 3 спостерігались достовірно нижчі рівні глюкози натще (</w:t>
      </w:r>
      <w:r w:rsidRPr="00D43235">
        <w:rPr>
          <w:sz w:val="28"/>
          <w:szCs w:val="28"/>
          <w:lang w:val="uk-UA"/>
        </w:rPr>
        <w:t>р=0,001)</w:t>
      </w:r>
      <w:r w:rsidRPr="00D43235">
        <w:rPr>
          <w:rStyle w:val="tlid-translation"/>
          <w:rFonts w:eastAsiaTheme="majorEastAsia"/>
          <w:sz w:val="28"/>
          <w:szCs w:val="28"/>
          <w:lang w:val="uk-UA"/>
        </w:rPr>
        <w:t xml:space="preserve">, </w:t>
      </w:r>
      <w:r w:rsidRPr="00D43235">
        <w:rPr>
          <w:rStyle w:val="tlid-translation"/>
          <w:rFonts w:eastAsiaTheme="majorEastAsia"/>
          <w:sz w:val="28"/>
          <w:szCs w:val="28"/>
        </w:rPr>
        <w:t>HbA</w:t>
      </w:r>
      <w:r w:rsidRPr="00D43235">
        <w:rPr>
          <w:rStyle w:val="tlid-translation"/>
          <w:rFonts w:eastAsiaTheme="majorEastAsia"/>
          <w:sz w:val="28"/>
          <w:szCs w:val="28"/>
          <w:lang w:val="uk-UA"/>
        </w:rPr>
        <w:t>1</w:t>
      </w:r>
      <w:r w:rsidRPr="00D43235">
        <w:rPr>
          <w:rStyle w:val="tlid-translation"/>
          <w:rFonts w:eastAsiaTheme="majorEastAsia"/>
          <w:sz w:val="28"/>
          <w:szCs w:val="28"/>
        </w:rPr>
        <w:t>c</w:t>
      </w:r>
      <w:r w:rsidRPr="00D43235">
        <w:rPr>
          <w:rStyle w:val="tlid-translation"/>
          <w:rFonts w:eastAsiaTheme="majorEastAsia"/>
          <w:sz w:val="28"/>
          <w:szCs w:val="28"/>
          <w:lang w:val="uk-UA"/>
        </w:rPr>
        <w:t xml:space="preserve"> (</w:t>
      </w:r>
      <w:r w:rsidRPr="00D43235">
        <w:rPr>
          <w:sz w:val="28"/>
          <w:szCs w:val="28"/>
          <w:lang w:val="uk-UA"/>
        </w:rPr>
        <w:t xml:space="preserve">р=0,011), індексу </w:t>
      </w:r>
      <w:r w:rsidRPr="00D43235">
        <w:rPr>
          <w:sz w:val="28"/>
          <w:szCs w:val="28"/>
        </w:rPr>
        <w:t>HOMA</w:t>
      </w:r>
      <w:r w:rsidRPr="00D43235">
        <w:rPr>
          <w:sz w:val="28"/>
          <w:szCs w:val="28"/>
          <w:lang w:val="uk-UA"/>
        </w:rPr>
        <w:t>-</w:t>
      </w:r>
      <w:r w:rsidRPr="00D43235">
        <w:rPr>
          <w:sz w:val="28"/>
          <w:szCs w:val="28"/>
        </w:rPr>
        <w:t>IR</w:t>
      </w:r>
      <w:r w:rsidRPr="00D43235">
        <w:rPr>
          <w:sz w:val="28"/>
          <w:szCs w:val="28"/>
          <w:lang w:val="uk-UA"/>
        </w:rPr>
        <w:t xml:space="preserve"> (р=0,001) порівняно з хворими групи 2, що є наслідком не тільки різноспрямованої дії тиреоїдних гормонів, але й позитивного впливу метформіну на </w:t>
      </w:r>
      <w:r w:rsidRPr="00D43235">
        <w:rPr>
          <w:rStyle w:val="tlid-translation"/>
          <w:rFonts w:eastAsiaTheme="majorEastAsia"/>
          <w:sz w:val="28"/>
          <w:szCs w:val="28"/>
          <w:lang w:val="uk-UA"/>
        </w:rPr>
        <w:t>вуглеводно-тиреоїдний обмін. Підтвердженням цієї дії є достовірно нижчі показники НОМА-IR</w:t>
      </w:r>
      <w:r w:rsidRPr="00D43235">
        <w:rPr>
          <w:rStyle w:val="10"/>
          <w:rFonts w:eastAsiaTheme="majorEastAsia"/>
          <w:sz w:val="28"/>
          <w:szCs w:val="28"/>
          <w:lang w:val="uk-UA"/>
        </w:rPr>
        <w:t xml:space="preserve"> </w:t>
      </w:r>
      <w:r w:rsidRPr="00D43235">
        <w:rPr>
          <w:rStyle w:val="tlid-translation"/>
          <w:rFonts w:eastAsiaTheme="majorEastAsia"/>
          <w:sz w:val="28"/>
          <w:szCs w:val="28"/>
          <w:lang w:val="uk-UA"/>
        </w:rPr>
        <w:t>при компенсації ЦД 2 типу</w:t>
      </w:r>
      <w:r w:rsidRPr="00D43235">
        <w:rPr>
          <w:rStyle w:val="tlid-translation"/>
          <w:rFonts w:eastAsia="Calibri"/>
          <w:sz w:val="28"/>
          <w:szCs w:val="28"/>
          <w:lang w:val="uk-UA"/>
        </w:rPr>
        <w:t xml:space="preserve"> </w:t>
      </w:r>
      <w:r w:rsidRPr="00D43235">
        <w:rPr>
          <w:rStyle w:val="tlid-translation"/>
          <w:rFonts w:eastAsiaTheme="majorEastAsia"/>
          <w:sz w:val="28"/>
          <w:szCs w:val="28"/>
          <w:lang w:val="uk-UA"/>
        </w:rPr>
        <w:t>(рівень HbA1с ≤ 7,0%) на тлі лікування метформіном (4,75±0,89 та 8,63±1,02, р=0,001, відповідно), та, незважаючи на відсутність достовірних відмінностей, зниження рівнів ТТГ (5,48±0,96</w:t>
      </w:r>
      <w:r w:rsidRPr="00D43235">
        <w:rPr>
          <w:sz w:val="28"/>
          <w:szCs w:val="28"/>
          <w:lang w:val="uk-UA"/>
        </w:rPr>
        <w:t xml:space="preserve"> </w:t>
      </w:r>
      <w:r w:rsidRPr="00D43235">
        <w:rPr>
          <w:sz w:val="28"/>
          <w:szCs w:val="28"/>
          <w:shd w:val="clear" w:color="auto" w:fill="FFFFFF"/>
          <w:lang w:val="uk-UA"/>
        </w:rPr>
        <w:t>мкМОд/мл</w:t>
      </w:r>
      <w:r w:rsidRPr="00D43235">
        <w:rPr>
          <w:rStyle w:val="tlid-translation"/>
          <w:rFonts w:eastAsiaTheme="majorEastAsia"/>
          <w:sz w:val="28"/>
          <w:szCs w:val="28"/>
          <w:lang w:val="uk-UA"/>
        </w:rPr>
        <w:t xml:space="preserve"> та 6,23±1,17</w:t>
      </w:r>
      <w:r w:rsidRPr="00D43235">
        <w:rPr>
          <w:sz w:val="28"/>
          <w:szCs w:val="28"/>
          <w:lang w:val="uk-UA"/>
        </w:rPr>
        <w:t xml:space="preserve"> </w:t>
      </w:r>
      <w:r w:rsidRPr="00D43235">
        <w:rPr>
          <w:sz w:val="28"/>
          <w:szCs w:val="28"/>
          <w:shd w:val="clear" w:color="auto" w:fill="FFFFFF"/>
          <w:lang w:val="uk-UA"/>
        </w:rPr>
        <w:t>мкМОд / мл</w:t>
      </w:r>
      <w:r w:rsidRPr="00D43235">
        <w:rPr>
          <w:rStyle w:val="tlid-translation"/>
          <w:rFonts w:eastAsiaTheme="majorEastAsia"/>
          <w:sz w:val="28"/>
          <w:szCs w:val="28"/>
          <w:lang w:val="uk-UA"/>
        </w:rPr>
        <w:t>, р&gt;0,05, відповідно)</w:t>
      </w:r>
      <w:r w:rsidRPr="00D43235">
        <w:rPr>
          <w:sz w:val="28"/>
          <w:szCs w:val="28"/>
          <w:lang w:val="uk-UA"/>
        </w:rPr>
        <w:t>. Однофакторний дисперсійний аналіз в групі пацієнтів з ГХ, ЦД 2 типу та СГТ виявив вплив ТТГ на рівні ЗХС (р=0,005), ХС ЛПНЩ (р=0,005), ХС ЛПВЩ (р=0,018), глюкози натще (р=0,001).</w:t>
      </w:r>
    </w:p>
    <w:p w:rsidR="00E3259F" w:rsidRPr="00D43235" w:rsidRDefault="00E3259F" w:rsidP="00D43235">
      <w:pPr>
        <w:spacing w:line="360" w:lineRule="auto"/>
        <w:ind w:firstLine="709"/>
        <w:jc w:val="both"/>
        <w:rPr>
          <w:sz w:val="28"/>
          <w:szCs w:val="28"/>
          <w:lang w:val="uk-UA" w:eastAsia="uk-UA"/>
        </w:rPr>
      </w:pPr>
      <w:r w:rsidRPr="00D43235">
        <w:rPr>
          <w:sz w:val="28"/>
          <w:szCs w:val="28"/>
          <w:lang w:val="uk-UA"/>
        </w:rPr>
        <w:t>Проведення кореляційного аналізу між віковими показниками, які характеризують ТС, та метаболічними  і антропометричними показниками дозволило виявити наявність достовірного позитивного зв’язку між рівнями артеріального тиску (САТ, ДАТ, ПАТ) та віковими показниками незалежно від патологічного процесу: в групі 1: кт. швидкості старіння – САТ                               (</w:t>
      </w:r>
      <w:r w:rsidRPr="00D43235">
        <w:rPr>
          <w:sz w:val="28"/>
          <w:szCs w:val="28"/>
          <w:lang w:val="en-US"/>
        </w:rPr>
        <w:t>r</w:t>
      </w:r>
      <w:r w:rsidRPr="00D43235">
        <w:rPr>
          <w:sz w:val="28"/>
          <w:szCs w:val="28"/>
          <w:lang w:val="uk-UA"/>
        </w:rPr>
        <w:t>=0,543, p=0,002), кт. швидкості старіння – ДАТ (</w:t>
      </w:r>
      <w:r w:rsidRPr="00D43235">
        <w:rPr>
          <w:sz w:val="28"/>
          <w:szCs w:val="28"/>
          <w:lang w:val="en-US"/>
        </w:rPr>
        <w:t>r</w:t>
      </w:r>
      <w:r w:rsidRPr="00D43235">
        <w:rPr>
          <w:sz w:val="28"/>
          <w:szCs w:val="28"/>
          <w:lang w:val="uk-UA"/>
        </w:rPr>
        <w:t xml:space="preserve">=0,465, </w:t>
      </w:r>
      <w:r w:rsidR="00D43235" w:rsidRPr="00D43235">
        <w:rPr>
          <w:sz w:val="28"/>
          <w:szCs w:val="28"/>
          <w:lang w:val="uk-UA"/>
        </w:rPr>
        <w:t xml:space="preserve"> </w:t>
      </w:r>
      <w:r w:rsidRPr="00D43235">
        <w:rPr>
          <w:sz w:val="28"/>
          <w:szCs w:val="28"/>
          <w:lang w:val="uk-UA"/>
        </w:rPr>
        <w:t>p=0,008); в групі 2: БВ-САТ (</w:t>
      </w:r>
      <w:r w:rsidRPr="00D43235">
        <w:rPr>
          <w:sz w:val="28"/>
          <w:szCs w:val="28"/>
          <w:lang w:val="en-US"/>
        </w:rPr>
        <w:t>r</w:t>
      </w:r>
      <w:r w:rsidRPr="00D43235">
        <w:rPr>
          <w:sz w:val="28"/>
          <w:szCs w:val="28"/>
          <w:lang w:val="uk-UA"/>
        </w:rPr>
        <w:t>=0,433, p=0,001), БВ-ПАТ (</w:t>
      </w:r>
      <w:r w:rsidRPr="00D43235">
        <w:rPr>
          <w:sz w:val="28"/>
          <w:szCs w:val="28"/>
          <w:lang w:val="en-US"/>
        </w:rPr>
        <w:t>r</w:t>
      </w:r>
      <w:r w:rsidRPr="00D43235">
        <w:rPr>
          <w:sz w:val="28"/>
          <w:szCs w:val="28"/>
          <w:lang w:val="uk-UA"/>
        </w:rPr>
        <w:t>=0,467,</w:t>
      </w:r>
      <w:r w:rsidR="00D43235" w:rsidRPr="00D43235">
        <w:rPr>
          <w:sz w:val="28"/>
          <w:szCs w:val="28"/>
          <w:lang w:val="uk-UA"/>
        </w:rPr>
        <w:t xml:space="preserve"> </w:t>
      </w:r>
      <w:r w:rsidRPr="00D43235">
        <w:rPr>
          <w:sz w:val="28"/>
          <w:szCs w:val="28"/>
          <w:lang w:val="uk-UA"/>
        </w:rPr>
        <w:t>р=0,001), інд. швидкості старіння – САТ (</w:t>
      </w:r>
      <w:r w:rsidRPr="00D43235">
        <w:rPr>
          <w:sz w:val="28"/>
          <w:szCs w:val="28"/>
          <w:lang w:val="en-US"/>
        </w:rPr>
        <w:t>r</w:t>
      </w:r>
      <w:r w:rsidRPr="00D43235">
        <w:rPr>
          <w:sz w:val="28"/>
          <w:szCs w:val="28"/>
          <w:lang w:val="uk-UA"/>
        </w:rPr>
        <w:t>=0,540, p=0,001), інд. швидкості старіння – ПАТ (</w:t>
      </w:r>
      <w:r w:rsidRPr="00D43235">
        <w:rPr>
          <w:sz w:val="28"/>
          <w:szCs w:val="28"/>
          <w:lang w:val="en-US"/>
        </w:rPr>
        <w:t>r</w:t>
      </w:r>
      <w:r w:rsidRPr="00D43235">
        <w:rPr>
          <w:sz w:val="28"/>
          <w:szCs w:val="28"/>
          <w:lang w:val="uk-UA"/>
        </w:rPr>
        <w:t>=0,456, p=0,001); в групі 3: БВ – САТ(</w:t>
      </w:r>
      <w:r w:rsidRPr="00D43235">
        <w:rPr>
          <w:sz w:val="28"/>
          <w:szCs w:val="28"/>
          <w:lang w:val="en-US"/>
        </w:rPr>
        <w:t>r</w:t>
      </w:r>
      <w:r w:rsidRPr="00D43235">
        <w:rPr>
          <w:sz w:val="28"/>
          <w:szCs w:val="28"/>
          <w:lang w:val="uk-UA"/>
        </w:rPr>
        <w:t>=0,426, p=0,001), інд. швидкості старіння- САТ(</w:t>
      </w:r>
      <w:r w:rsidRPr="00D43235">
        <w:rPr>
          <w:sz w:val="28"/>
          <w:szCs w:val="28"/>
          <w:lang w:val="en-US"/>
        </w:rPr>
        <w:t>r</w:t>
      </w:r>
      <w:r w:rsidRPr="00D43235">
        <w:rPr>
          <w:sz w:val="28"/>
          <w:szCs w:val="28"/>
          <w:lang w:val="uk-UA"/>
        </w:rPr>
        <w:t>=0,462, p=0,001), інд. швидкості старіння – ПАТ (</w:t>
      </w:r>
      <w:r w:rsidRPr="00D43235">
        <w:rPr>
          <w:sz w:val="28"/>
          <w:szCs w:val="28"/>
          <w:lang w:val="en-US"/>
        </w:rPr>
        <w:t>r</w:t>
      </w:r>
      <w:r w:rsidRPr="00D43235">
        <w:rPr>
          <w:sz w:val="28"/>
          <w:szCs w:val="28"/>
          <w:lang w:val="uk-UA"/>
        </w:rPr>
        <w:t>=0,559, p=0,001), кт. швидкості старіння-САТ (</w:t>
      </w:r>
      <w:r w:rsidRPr="00D43235">
        <w:rPr>
          <w:sz w:val="28"/>
          <w:szCs w:val="28"/>
          <w:lang w:val="en-US"/>
        </w:rPr>
        <w:t>r</w:t>
      </w:r>
      <w:r w:rsidRPr="00D43235">
        <w:rPr>
          <w:sz w:val="28"/>
          <w:szCs w:val="28"/>
          <w:lang w:val="uk-UA"/>
        </w:rPr>
        <w:t>=0,446, p=0,001), кт. швидкості старіння- ПАТ (</w:t>
      </w:r>
      <w:r w:rsidRPr="00D43235">
        <w:rPr>
          <w:sz w:val="28"/>
          <w:szCs w:val="28"/>
          <w:lang w:val="en-US"/>
        </w:rPr>
        <w:t>r</w:t>
      </w:r>
      <w:r w:rsidRPr="00D43235">
        <w:rPr>
          <w:sz w:val="28"/>
          <w:szCs w:val="28"/>
          <w:lang w:val="uk-UA"/>
        </w:rPr>
        <w:t xml:space="preserve">=0,552, p=0,001), </w:t>
      </w:r>
      <w:r w:rsidRPr="00D43235">
        <w:rPr>
          <w:rStyle w:val="tlid-translation"/>
          <w:rFonts w:eastAsiaTheme="majorEastAsia"/>
          <w:sz w:val="28"/>
          <w:szCs w:val="28"/>
          <w:lang w:val="uk-UA"/>
        </w:rPr>
        <w:t>що підтверджує існуючу думку, що рівень АТ, який входить практично в усі формули розрахунку БВ, є одним з найважливіших показників старіння.</w:t>
      </w:r>
      <w:r w:rsidRPr="00D43235">
        <w:rPr>
          <w:rStyle w:val="10"/>
          <w:rFonts w:eastAsiaTheme="majorEastAsia"/>
          <w:sz w:val="28"/>
          <w:szCs w:val="28"/>
          <w:lang w:val="uk-UA"/>
        </w:rPr>
        <w:t xml:space="preserve"> </w:t>
      </w:r>
      <w:r w:rsidRPr="00D43235">
        <w:rPr>
          <w:rStyle w:val="tlid-translation"/>
          <w:rFonts w:eastAsiaTheme="majorEastAsia"/>
          <w:sz w:val="28"/>
          <w:szCs w:val="28"/>
          <w:lang w:val="uk-UA" w:eastAsia="uk-UA"/>
        </w:rPr>
        <w:t>Наявність при ПТС значної кількості достовірних кореляційних зв’язків між показниками вуглеводного обміну  та віковими показниками в групах з коморбідною патологією незалежно від функціонального стану ЩЗ свідчить про суттєвий вплив порушень вуглеводного обміну на прогресування процесів старіння у цієї категорії хворих, причому в групі 2 ці зв`язки мали негативний характер (</w:t>
      </w:r>
      <w:r w:rsidRPr="00D43235">
        <w:rPr>
          <w:sz w:val="28"/>
          <w:szCs w:val="28"/>
          <w:lang w:val="uk-UA" w:eastAsia="uk-UA"/>
        </w:rPr>
        <w:t>кт. швидкості старіння-глюкоза (</w:t>
      </w:r>
      <w:r w:rsidRPr="00D43235">
        <w:rPr>
          <w:sz w:val="28"/>
          <w:szCs w:val="28"/>
          <w:lang w:val="en-US" w:eastAsia="uk-UA"/>
        </w:rPr>
        <w:t>r</w:t>
      </w:r>
      <w:r w:rsidRPr="00D43235">
        <w:rPr>
          <w:sz w:val="28"/>
          <w:szCs w:val="28"/>
          <w:lang w:val="uk-UA" w:eastAsia="uk-UA"/>
        </w:rPr>
        <w:t>=-0,438, р=0,001), кт. швидкості старіння- HbA1с (</w:t>
      </w:r>
      <w:r w:rsidRPr="00D43235">
        <w:rPr>
          <w:sz w:val="28"/>
          <w:szCs w:val="28"/>
          <w:lang w:val="en-US" w:eastAsia="uk-UA"/>
        </w:rPr>
        <w:t>r</w:t>
      </w:r>
      <w:r w:rsidRPr="00D43235">
        <w:rPr>
          <w:sz w:val="28"/>
          <w:szCs w:val="28"/>
          <w:lang w:val="uk-UA" w:eastAsia="uk-UA"/>
        </w:rPr>
        <w:t>=-0,342, р=0,002)), а при наявності СГТ у групі 3 – позитивний (БВ-глюкоза (</w:t>
      </w:r>
      <w:r w:rsidRPr="00D43235">
        <w:rPr>
          <w:sz w:val="28"/>
          <w:szCs w:val="28"/>
          <w:lang w:val="en-US" w:eastAsia="uk-UA"/>
        </w:rPr>
        <w:t>r</w:t>
      </w:r>
      <w:r w:rsidRPr="00D43235">
        <w:rPr>
          <w:sz w:val="28"/>
          <w:szCs w:val="28"/>
          <w:lang w:val="uk-UA" w:eastAsia="uk-UA"/>
        </w:rPr>
        <w:t xml:space="preserve">=0,388, р=0,005), БВ- </w:t>
      </w:r>
      <w:r w:rsidRPr="00D43235">
        <w:rPr>
          <w:sz w:val="28"/>
          <w:szCs w:val="28"/>
          <w:lang w:val="en-US" w:eastAsia="uk-UA"/>
        </w:rPr>
        <w:t>HbA</w:t>
      </w:r>
      <w:r w:rsidRPr="00D43235">
        <w:rPr>
          <w:sz w:val="28"/>
          <w:szCs w:val="28"/>
          <w:lang w:val="uk-UA" w:eastAsia="uk-UA"/>
        </w:rPr>
        <w:t>1</w:t>
      </w:r>
      <w:r w:rsidRPr="00D43235">
        <w:rPr>
          <w:sz w:val="28"/>
          <w:szCs w:val="28"/>
          <w:lang w:val="en-US" w:eastAsia="uk-UA"/>
        </w:rPr>
        <w:t>c</w:t>
      </w:r>
      <w:r w:rsidRPr="00D43235">
        <w:rPr>
          <w:sz w:val="28"/>
          <w:szCs w:val="28"/>
          <w:lang w:val="uk-UA" w:eastAsia="uk-UA"/>
        </w:rPr>
        <w:t xml:space="preserve"> (</w:t>
      </w:r>
      <w:r w:rsidRPr="00D43235">
        <w:rPr>
          <w:sz w:val="28"/>
          <w:szCs w:val="28"/>
          <w:lang w:val="en-US" w:eastAsia="uk-UA"/>
        </w:rPr>
        <w:t>r</w:t>
      </w:r>
      <w:r w:rsidRPr="00D43235">
        <w:rPr>
          <w:sz w:val="28"/>
          <w:szCs w:val="28"/>
          <w:lang w:val="uk-UA" w:eastAsia="uk-UA"/>
        </w:rPr>
        <w:t>=0,513, р=0,001), інд. швидкості старіння-глюкоза (</w:t>
      </w:r>
      <w:r w:rsidRPr="00D43235">
        <w:rPr>
          <w:sz w:val="28"/>
          <w:szCs w:val="28"/>
          <w:lang w:val="en-US" w:eastAsia="uk-UA"/>
        </w:rPr>
        <w:t>r</w:t>
      </w:r>
      <w:r w:rsidRPr="00D43235">
        <w:rPr>
          <w:sz w:val="28"/>
          <w:szCs w:val="28"/>
          <w:lang w:val="uk-UA" w:eastAsia="uk-UA"/>
        </w:rPr>
        <w:t xml:space="preserve">=0,308, р=0,028), інд. швидкості старіння - </w:t>
      </w:r>
      <w:r w:rsidRPr="00D43235">
        <w:rPr>
          <w:sz w:val="28"/>
          <w:szCs w:val="28"/>
          <w:lang w:val="en-US" w:eastAsia="uk-UA"/>
        </w:rPr>
        <w:t>HbA</w:t>
      </w:r>
      <w:r w:rsidRPr="00D43235">
        <w:rPr>
          <w:sz w:val="28"/>
          <w:szCs w:val="28"/>
          <w:lang w:val="uk-UA" w:eastAsia="uk-UA"/>
        </w:rPr>
        <w:t>1</w:t>
      </w:r>
      <w:r w:rsidRPr="00D43235">
        <w:rPr>
          <w:sz w:val="28"/>
          <w:szCs w:val="28"/>
          <w:lang w:val="en-US" w:eastAsia="uk-UA"/>
        </w:rPr>
        <w:t>c</w:t>
      </w:r>
      <w:r w:rsidRPr="00D43235">
        <w:rPr>
          <w:sz w:val="28"/>
          <w:szCs w:val="28"/>
          <w:lang w:val="uk-UA" w:eastAsia="uk-UA"/>
        </w:rPr>
        <w:t xml:space="preserve"> (</w:t>
      </w:r>
      <w:r w:rsidRPr="00D43235">
        <w:rPr>
          <w:sz w:val="28"/>
          <w:szCs w:val="28"/>
          <w:lang w:val="en-US" w:eastAsia="uk-UA"/>
        </w:rPr>
        <w:t>r</w:t>
      </w:r>
      <w:r w:rsidRPr="00D43235">
        <w:rPr>
          <w:sz w:val="28"/>
          <w:szCs w:val="28"/>
          <w:lang w:val="uk-UA" w:eastAsia="uk-UA"/>
        </w:rPr>
        <w:t>=0,394, р=0,004), кт. швидкості старіння-глюкоза (</w:t>
      </w:r>
      <w:r w:rsidRPr="00D43235">
        <w:rPr>
          <w:sz w:val="28"/>
          <w:szCs w:val="28"/>
          <w:lang w:val="en-US" w:eastAsia="uk-UA"/>
        </w:rPr>
        <w:t>r</w:t>
      </w:r>
      <w:r w:rsidRPr="00D43235">
        <w:rPr>
          <w:sz w:val="28"/>
          <w:szCs w:val="28"/>
          <w:lang w:val="uk-UA" w:eastAsia="uk-UA"/>
        </w:rPr>
        <w:t>=0,359,р=0,010), кт. швидкості старіння-HbA1С (</w:t>
      </w:r>
      <w:r w:rsidRPr="00D43235">
        <w:rPr>
          <w:sz w:val="28"/>
          <w:szCs w:val="28"/>
          <w:lang w:val="en-US" w:eastAsia="uk-UA"/>
        </w:rPr>
        <w:t>r</w:t>
      </w:r>
      <w:r w:rsidRPr="00D43235">
        <w:rPr>
          <w:sz w:val="28"/>
          <w:szCs w:val="28"/>
          <w:lang w:val="uk-UA" w:eastAsia="uk-UA"/>
        </w:rPr>
        <w:t>=-0,424,р=0,002)).</w:t>
      </w:r>
    </w:p>
    <w:p w:rsidR="00E3259F" w:rsidRPr="00D43235" w:rsidRDefault="00E3259F" w:rsidP="00D43235">
      <w:pPr>
        <w:spacing w:line="360" w:lineRule="auto"/>
        <w:ind w:firstLine="709"/>
        <w:jc w:val="both"/>
        <w:rPr>
          <w:sz w:val="28"/>
          <w:szCs w:val="28"/>
          <w:shd w:val="clear" w:color="auto" w:fill="FFFFFF"/>
          <w:lang w:val="uk-UA" w:eastAsia="en-US"/>
        </w:rPr>
      </w:pPr>
      <w:r w:rsidRPr="00D43235">
        <w:rPr>
          <w:rFonts w:eastAsia="Calibri"/>
          <w:sz w:val="28"/>
          <w:szCs w:val="28"/>
          <w:lang w:val="uk-UA"/>
        </w:rPr>
        <w:t>Значна увага в роботі приділялася дослідженню оксидантно-антиоксидантного балансу. Так, н</w:t>
      </w:r>
      <w:r w:rsidRPr="00D43235">
        <w:rPr>
          <w:sz w:val="28"/>
          <w:szCs w:val="28"/>
          <w:lang w:val="uk-UA"/>
        </w:rPr>
        <w:t xml:space="preserve">езважаючи на антигіпертензивну та антидіабетичну терапію, в усіх групах хворих спостерігались ознаки ОС у вигляді достовірного зниження АОЗ та підвищення показників окислювальних процесів порівняно з контрольною групою (р&lt;0,05). Порівняно з групою ізольованої ГХ, при коморбідній патології було виявлено більш високі рівні МДА, проте достовірні відмінності спостерігалися тільки при порівнянні 1 та 3 груп (р=0,020), рівні </w:t>
      </w:r>
      <w:r w:rsidRPr="00D43235">
        <w:rPr>
          <w:sz w:val="28"/>
          <w:szCs w:val="28"/>
          <w:shd w:val="clear" w:color="auto" w:fill="FFFFFF"/>
          <w:lang w:val="uk-UA"/>
        </w:rPr>
        <w:t>8-OHdG були достовірно вище при порівнянні групі 1 та 2</w:t>
      </w:r>
      <w:r w:rsidRPr="00D43235">
        <w:rPr>
          <w:b/>
          <w:sz w:val="28"/>
          <w:szCs w:val="28"/>
          <w:shd w:val="clear" w:color="auto" w:fill="FFFFFF"/>
          <w:lang w:val="uk-UA"/>
        </w:rPr>
        <w:t xml:space="preserve"> (</w:t>
      </w:r>
      <w:r w:rsidRPr="00D43235">
        <w:rPr>
          <w:sz w:val="28"/>
          <w:szCs w:val="28"/>
          <w:lang w:val="uk-UA"/>
        </w:rPr>
        <w:t xml:space="preserve">р=0,001), при порівнянні групи 1 та 3 достовірних відмінностей не було виявлено. Порівняльний аналіз окислювальних маркерів між групами 2 та 3 виявив відсутність статистично значущих відмінностей рівня МДА (р&gt;0,05) та достовірно вищий рівень </w:t>
      </w:r>
      <w:r w:rsidRPr="00D43235">
        <w:rPr>
          <w:sz w:val="28"/>
          <w:szCs w:val="28"/>
          <w:shd w:val="clear" w:color="auto" w:fill="FFFFFF"/>
          <w:lang w:val="uk-UA"/>
        </w:rPr>
        <w:t>8-OHdG  в групі 2 (група 2 - 15,37±0,27 пкг/мл, група 3 - 14,13±0,36 пкг/мл, відповідно, р=0,005).</w:t>
      </w:r>
    </w:p>
    <w:p w:rsidR="00E3259F" w:rsidRPr="00D43235" w:rsidRDefault="00E3259F" w:rsidP="00D43235">
      <w:pPr>
        <w:spacing w:line="360" w:lineRule="auto"/>
        <w:ind w:firstLine="709"/>
        <w:jc w:val="both"/>
        <w:rPr>
          <w:sz w:val="28"/>
          <w:szCs w:val="28"/>
          <w:lang w:val="uk-UA"/>
        </w:rPr>
      </w:pPr>
      <w:r w:rsidRPr="00D43235">
        <w:rPr>
          <w:sz w:val="28"/>
          <w:szCs w:val="28"/>
          <w:lang w:val="uk-UA"/>
        </w:rPr>
        <w:t>Спостерігалося зменшення АОЗ при коморбідній патології порівняно з ізольованою ГХ. Так, встановлено прогресивне  зменшення активності ГПО у пацієнтів з першої по третю групи (5,81±0,15 мккат/гНв проти 5,41±0,11 мккат/гНв проти 5,19±0,13 мккат/гНв, р</w:t>
      </w:r>
      <w:r w:rsidRPr="00D43235">
        <w:rPr>
          <w:sz w:val="28"/>
          <w:szCs w:val="28"/>
          <w:vertAlign w:val="subscript"/>
          <w:lang w:val="uk-UA"/>
        </w:rPr>
        <w:t>1-2</w:t>
      </w:r>
      <w:r w:rsidRPr="00D43235">
        <w:rPr>
          <w:sz w:val="28"/>
          <w:szCs w:val="28"/>
          <w:lang w:val="uk-UA"/>
        </w:rPr>
        <w:t>=0,032, р</w:t>
      </w:r>
      <w:r w:rsidRPr="00D43235">
        <w:rPr>
          <w:sz w:val="28"/>
          <w:szCs w:val="28"/>
          <w:vertAlign w:val="subscript"/>
          <w:lang w:val="uk-UA"/>
        </w:rPr>
        <w:t>1-3</w:t>
      </w:r>
      <w:r w:rsidRPr="00D43235">
        <w:rPr>
          <w:sz w:val="28"/>
          <w:szCs w:val="28"/>
          <w:lang w:val="uk-UA"/>
        </w:rPr>
        <w:t>=0,002, р</w:t>
      </w:r>
      <w:r w:rsidRPr="00D43235">
        <w:rPr>
          <w:sz w:val="28"/>
          <w:szCs w:val="28"/>
          <w:vertAlign w:val="subscript"/>
          <w:lang w:val="uk-UA"/>
        </w:rPr>
        <w:t>2-3</w:t>
      </w:r>
      <w:r w:rsidRPr="00D43235">
        <w:rPr>
          <w:sz w:val="28"/>
          <w:szCs w:val="28"/>
          <w:lang w:val="uk-UA"/>
        </w:rPr>
        <w:t>&gt;0,05). Достовірне  зниження толового статусу (</w:t>
      </w:r>
      <w:r w:rsidRPr="00D43235">
        <w:rPr>
          <w:sz w:val="28"/>
          <w:szCs w:val="28"/>
          <w:lang w:val="en-US"/>
        </w:rPr>
        <w:t>SH</w:t>
      </w:r>
      <w:r w:rsidRPr="00D43235">
        <w:rPr>
          <w:sz w:val="28"/>
          <w:szCs w:val="28"/>
          <w:lang w:val="uk-UA"/>
        </w:rPr>
        <w:t xml:space="preserve">-груп) спостерігалось в усіх групах пацієнтів, незалежно від нозології, по відношенню до групи контрою (р&lt;0,001), проте між групами статистично значущих відмінностей знайдено не було. </w:t>
      </w:r>
    </w:p>
    <w:p w:rsidR="00E3259F" w:rsidRPr="00D43235" w:rsidRDefault="00E3259F" w:rsidP="00D43235">
      <w:pPr>
        <w:spacing w:line="360" w:lineRule="auto"/>
        <w:ind w:firstLine="709"/>
        <w:jc w:val="both"/>
        <w:rPr>
          <w:sz w:val="28"/>
          <w:szCs w:val="28"/>
          <w:lang w:val="uk-UA"/>
        </w:rPr>
      </w:pPr>
      <w:r w:rsidRPr="00D43235">
        <w:rPr>
          <w:sz w:val="28"/>
          <w:szCs w:val="28"/>
          <w:lang w:val="uk-UA"/>
        </w:rPr>
        <w:t xml:space="preserve">Проведення однофакторного дисперсійного аналізу дозволило виявити значний вплив ТТГ на активність ГПО (р=0,035) у пацієнтів з ГХ, ЦД 2 типу та СГТ та рівні МДА (р&lt;0,001) і </w:t>
      </w:r>
      <w:r w:rsidRPr="00D43235">
        <w:rPr>
          <w:sz w:val="28"/>
          <w:szCs w:val="28"/>
          <w:shd w:val="clear" w:color="auto" w:fill="FFFFFF"/>
          <w:lang w:val="uk-UA"/>
        </w:rPr>
        <w:t xml:space="preserve">8-OHdG (р=0,038)  </w:t>
      </w:r>
      <w:r w:rsidRPr="00D43235">
        <w:rPr>
          <w:sz w:val="28"/>
          <w:szCs w:val="28"/>
          <w:lang w:val="uk-UA"/>
        </w:rPr>
        <w:t xml:space="preserve">у пацієнтів з ГХ та ЦД 2 типу, що підтверджує значну роль тиреоїдної функції в регуляції оксидантно-антиоксидантного балансу, в тому числі й при еутиреоїдному стані.  </w:t>
      </w:r>
    </w:p>
    <w:p w:rsidR="00E3259F" w:rsidRPr="003C2169" w:rsidRDefault="00E3259F" w:rsidP="00D43235">
      <w:pPr>
        <w:pStyle w:val="amaintext"/>
        <w:spacing w:before="0" w:beforeAutospacing="0" w:after="0" w:afterAutospacing="0" w:line="360" w:lineRule="auto"/>
        <w:ind w:firstLine="709"/>
        <w:jc w:val="both"/>
        <w:rPr>
          <w:sz w:val="28"/>
          <w:szCs w:val="28"/>
          <w:lang w:val="uk-UA"/>
        </w:rPr>
      </w:pPr>
      <w:r w:rsidRPr="00D43235">
        <w:rPr>
          <w:sz w:val="28"/>
          <w:szCs w:val="28"/>
          <w:lang w:val="uk-UA"/>
        </w:rPr>
        <w:t>Дослідження ЕД як одного з основних механізмів реалізації всіх факторів серцево-судинного ризику</w:t>
      </w:r>
      <w:r w:rsidRPr="00D43235">
        <w:rPr>
          <w:rFonts w:eastAsia="Calibri"/>
          <w:sz w:val="28"/>
          <w:szCs w:val="28"/>
          <w:lang w:val="uk-UA"/>
        </w:rPr>
        <w:t xml:space="preserve"> виявило суттєві зміни судинного ендотелію на клітинному рівні за даними ЦДЕК та біохімічного маркеру  ЕД - ВЕФР , що виражалося в достовірному зростанні цих показників у хворих всіх груп порівняно з контрольною групою (р&lt;0,001). </w:t>
      </w:r>
      <w:r w:rsidRPr="00D43235">
        <w:rPr>
          <w:sz w:val="28"/>
          <w:szCs w:val="28"/>
          <w:lang w:val="uk-UA"/>
        </w:rPr>
        <w:t>Наявність ЦД 2 типу в  групі 2 практично не супроводжувалась змінами кількості ЦДЕК  при порівнянні із групою ізольованої ГХ (р&gt;0,05), що можна пояснити сприятливим впливом метформіну на ЕД. При поєднаному перебігу ГХ, ЦД 2 типу та СГТ рівень ВЕФР  був достовірно вище, ніж в інших групах ( р&lt;0,001 для всіх груп порівняння), а кількість ДЦЕК достовірно нижче ніж у групі ізольованої ГХ  (р&lt;0,001 ) та групі ГХ та ЦД 2 типу (р&lt;0,001). У  групі 3 майже в 2 рази рідше, ніж у групі 1 та в групі 2 зустрічалися пацієнти з вираженим морфологічним ушкодженням ендотелію (рівень ДЦЕК більше 10 кл. /100 мкл): 38,71±5,05% пацієнтів у  групі 3 проти 67,92 ±4,53%  - у групі 1 (р&lt;0,001</w:t>
      </w:r>
      <w:r w:rsidR="00D43235">
        <w:rPr>
          <w:sz w:val="28"/>
          <w:szCs w:val="28"/>
          <w:lang w:val="uk-UA"/>
        </w:rPr>
        <w:t>)</w:t>
      </w:r>
      <w:r w:rsidRPr="00D43235">
        <w:rPr>
          <w:sz w:val="28"/>
          <w:szCs w:val="28"/>
          <w:lang w:val="uk-UA"/>
        </w:rPr>
        <w:t xml:space="preserve"> та  проти 70,51 ±3,65% - у  групі 2 (р&lt;0,001), що є свідченням відсутності суттєвого морфологічного ушкодження ендотелію під впливом </w:t>
      </w:r>
      <w:r w:rsidRPr="003C2169">
        <w:rPr>
          <w:sz w:val="28"/>
          <w:szCs w:val="28"/>
          <w:lang w:val="uk-UA"/>
        </w:rPr>
        <w:t>СГТ. Наявність кореляційних зв`язків між ТТГ та рівнями ВЕФР у групі 2 (</w:t>
      </w:r>
      <w:r w:rsidRPr="003C2169">
        <w:rPr>
          <w:sz w:val="28"/>
          <w:szCs w:val="28"/>
          <w:lang w:val="en-US"/>
        </w:rPr>
        <w:t>r</w:t>
      </w:r>
      <w:r w:rsidRPr="003C2169">
        <w:rPr>
          <w:sz w:val="28"/>
          <w:szCs w:val="28"/>
          <w:lang w:val="uk-UA"/>
        </w:rPr>
        <w:t>=</w:t>
      </w:r>
      <w:r w:rsidRPr="003C2169">
        <w:rPr>
          <w:sz w:val="28"/>
          <w:szCs w:val="28"/>
          <w:lang w:val="uk-UA" w:eastAsia="en-US"/>
        </w:rPr>
        <w:t>-0,299,</w:t>
      </w:r>
      <w:r w:rsidRPr="003C2169">
        <w:rPr>
          <w:sz w:val="28"/>
          <w:szCs w:val="28"/>
          <w:lang w:val="uk-UA"/>
        </w:rPr>
        <w:t xml:space="preserve"> </w:t>
      </w:r>
      <w:r w:rsidRPr="003C2169">
        <w:rPr>
          <w:sz w:val="28"/>
          <w:szCs w:val="28"/>
          <w:lang w:val="en-US" w:eastAsia="en-US"/>
        </w:rPr>
        <w:t>p</w:t>
      </w:r>
      <w:r w:rsidRPr="003C2169">
        <w:rPr>
          <w:sz w:val="28"/>
          <w:szCs w:val="28"/>
          <w:lang w:val="uk-UA" w:eastAsia="en-US"/>
        </w:rPr>
        <w:t>=0,001)</w:t>
      </w:r>
      <w:r w:rsidRPr="003C2169">
        <w:rPr>
          <w:sz w:val="28"/>
          <w:szCs w:val="28"/>
          <w:lang w:val="uk-UA"/>
        </w:rPr>
        <w:t xml:space="preserve"> та  групі 3 (</w:t>
      </w:r>
      <w:r w:rsidRPr="003C2169">
        <w:rPr>
          <w:sz w:val="28"/>
          <w:szCs w:val="28"/>
          <w:lang w:val="en-US"/>
        </w:rPr>
        <w:t>r</w:t>
      </w:r>
      <w:r w:rsidRPr="003C2169">
        <w:rPr>
          <w:sz w:val="28"/>
          <w:szCs w:val="28"/>
          <w:lang w:val="uk-UA"/>
        </w:rPr>
        <w:t xml:space="preserve">=0,434, р=0,001) свідчить про значний вплив тиреоїдних гормонів на функціональний стан ендотелію навіть у межах нормальних значень ТТГ і погіршується за мірою зростання рівня ТТГ. Результати однофакторного дисперсійного аналізу показали значний вплив ВЕФР на рівні ТТГ у пацієнтів як 2 групи (р=0,001), так і 3 групи (р&lt;0,001). Виявлено значний вплив ВЕФР на метаболічні показники: на рівні ЗХС (р=0,020), ХС ЛПНЩ (р=0,002), ХС ЛПВЩ (р=0,001), глюкози натще (р=0,001), </w:t>
      </w:r>
      <w:r w:rsidRPr="003C2169">
        <w:rPr>
          <w:sz w:val="28"/>
          <w:szCs w:val="28"/>
        </w:rPr>
        <w:t>HbA</w:t>
      </w:r>
      <w:r w:rsidRPr="003C2169">
        <w:rPr>
          <w:sz w:val="28"/>
          <w:szCs w:val="28"/>
          <w:lang w:val="uk-UA"/>
        </w:rPr>
        <w:t>1с (р=0,005) та НОМА-</w:t>
      </w:r>
      <w:r w:rsidRPr="003C2169">
        <w:rPr>
          <w:sz w:val="28"/>
          <w:szCs w:val="28"/>
          <w:lang w:val="en-US"/>
        </w:rPr>
        <w:t>IR</w:t>
      </w:r>
      <w:r w:rsidRPr="003C2169">
        <w:rPr>
          <w:sz w:val="28"/>
          <w:szCs w:val="28"/>
          <w:lang w:val="uk-UA"/>
        </w:rPr>
        <w:t xml:space="preserve"> (р=0,015) у  групі 2 пацієнтів. Був виявлений достовірний вплив ВЕФР на ТКІМ ЗСА у групі 2 (р=0,008). Однофакторний  дисперсійний аналіз дозволив виявити значний вплив ВЕФР на БВ як у  групі 2 (р=0,001),  так  і  у  групі 3 (р=0,004), а  також  на такі вікові показники, як КВ (р=0,005), коефіцієнт старіння (р=0,018), коефіцієнт швидкості старіння (р=0,006) у пацієнтів з ГХ, ЦД 2 типу та СГТ та НБВ (р=0,002) в групі 2.  Отримані в роботі більш значущі прояви ЕД при приєднанні СГТ до ГХ та ЦД 2 типу можна розглядати як предиктор посилення та прогресування судинних розладів у коморбідних пацієнтів.</w:t>
      </w:r>
    </w:p>
    <w:p w:rsidR="00E3259F" w:rsidRPr="003C2169" w:rsidRDefault="00E3259F" w:rsidP="00E3259F">
      <w:pPr>
        <w:pStyle w:val="amaintext"/>
        <w:spacing w:before="0" w:beforeAutospacing="0" w:after="0" w:afterAutospacing="0" w:line="360" w:lineRule="auto"/>
        <w:ind w:firstLine="709"/>
        <w:jc w:val="both"/>
        <w:rPr>
          <w:sz w:val="28"/>
          <w:szCs w:val="28"/>
          <w:lang w:val="uk-UA"/>
        </w:rPr>
      </w:pPr>
      <w:r w:rsidRPr="003C2169">
        <w:rPr>
          <w:rFonts w:eastAsia="Calibri"/>
          <w:sz w:val="28"/>
          <w:szCs w:val="28"/>
          <w:lang w:val="uk-UA" w:eastAsia="en-US"/>
        </w:rPr>
        <w:t>Виявлено значні відмінності маркерів хронічного системного запалення</w:t>
      </w:r>
      <w:r w:rsidRPr="003C2169">
        <w:rPr>
          <w:sz w:val="28"/>
          <w:szCs w:val="28"/>
          <w:lang w:val="uk-UA"/>
        </w:rPr>
        <w:t xml:space="preserve"> між контрольною групою та групами хворих, що проявлялося в достовірно нижчих значеннях СРП та ФНП-α (СРП: група контролю - </w:t>
      </w:r>
      <w:r w:rsidRPr="003C2169">
        <w:rPr>
          <w:sz w:val="28"/>
          <w:szCs w:val="28"/>
          <w:lang w:val="uk-UA" w:eastAsia="en-US"/>
        </w:rPr>
        <w:t xml:space="preserve">3,82±0,10 </w:t>
      </w:r>
      <w:r w:rsidRPr="003C2169">
        <w:rPr>
          <w:sz w:val="28"/>
          <w:szCs w:val="28"/>
          <w:lang w:val="uk-UA"/>
        </w:rPr>
        <w:t>мг/л, група 1-</w:t>
      </w:r>
      <w:r w:rsidRPr="003C2169">
        <w:rPr>
          <w:sz w:val="28"/>
          <w:szCs w:val="28"/>
          <w:lang w:val="uk-UA" w:eastAsia="en-US"/>
        </w:rPr>
        <w:t xml:space="preserve">6,68±0,28 </w:t>
      </w:r>
      <w:r w:rsidRPr="003C2169">
        <w:rPr>
          <w:sz w:val="28"/>
          <w:szCs w:val="28"/>
          <w:lang w:val="uk-UA"/>
        </w:rPr>
        <w:t>мг/л, група 2-</w:t>
      </w:r>
      <w:r w:rsidRPr="003C2169">
        <w:rPr>
          <w:sz w:val="28"/>
          <w:szCs w:val="28"/>
          <w:lang w:val="uk-UA" w:eastAsia="en-US"/>
        </w:rPr>
        <w:t>8,52±0,27</w:t>
      </w:r>
      <w:r w:rsidRPr="003C2169">
        <w:rPr>
          <w:sz w:val="28"/>
          <w:szCs w:val="28"/>
          <w:lang w:val="uk-UA"/>
        </w:rPr>
        <w:t xml:space="preserve"> мг/л, група 3 - </w:t>
      </w:r>
      <w:r w:rsidRPr="003C2169">
        <w:rPr>
          <w:sz w:val="28"/>
          <w:szCs w:val="28"/>
          <w:lang w:val="uk-UA" w:eastAsia="en-US"/>
        </w:rPr>
        <w:t>8,35±0,33</w:t>
      </w:r>
      <w:r w:rsidRPr="003C2169">
        <w:rPr>
          <w:sz w:val="28"/>
          <w:szCs w:val="28"/>
          <w:lang w:val="uk-UA"/>
        </w:rPr>
        <w:t xml:space="preserve"> мг/л, відповідно, (р&lt;0,001) при порівнянні груп 1,2,3 з групою контролю;</w:t>
      </w:r>
      <w:r w:rsidRPr="003C2169">
        <w:rPr>
          <w:sz w:val="28"/>
          <w:szCs w:val="28"/>
          <w:lang w:val="uk-UA" w:eastAsia="en-US"/>
        </w:rPr>
        <w:t xml:space="preserve"> ФНП-</w:t>
      </w:r>
      <w:r w:rsidRPr="003C2169">
        <w:rPr>
          <w:sz w:val="28"/>
          <w:szCs w:val="28"/>
          <w:lang w:eastAsia="en-US"/>
        </w:rPr>
        <w:t>α</w:t>
      </w:r>
      <w:r w:rsidRPr="003C2169">
        <w:rPr>
          <w:sz w:val="28"/>
          <w:szCs w:val="28"/>
          <w:lang w:val="uk-UA" w:eastAsia="en-US"/>
        </w:rPr>
        <w:t xml:space="preserve">: </w:t>
      </w:r>
      <w:r w:rsidRPr="003C2169">
        <w:rPr>
          <w:sz w:val="28"/>
          <w:szCs w:val="28"/>
          <w:lang w:val="uk-UA"/>
        </w:rPr>
        <w:t xml:space="preserve">група контролю - </w:t>
      </w:r>
      <w:r w:rsidRPr="003C2169">
        <w:rPr>
          <w:sz w:val="28"/>
          <w:szCs w:val="28"/>
          <w:lang w:val="uk-UA" w:eastAsia="en-US"/>
        </w:rPr>
        <w:t>6,90±0,23</w:t>
      </w:r>
      <w:r w:rsidRPr="003C2169">
        <w:rPr>
          <w:sz w:val="28"/>
          <w:szCs w:val="28"/>
          <w:lang w:val="uk-UA"/>
        </w:rPr>
        <w:t xml:space="preserve"> пг/мл, група 1 - </w:t>
      </w:r>
      <w:r w:rsidRPr="003C2169">
        <w:rPr>
          <w:sz w:val="28"/>
          <w:szCs w:val="28"/>
          <w:lang w:val="uk-UA" w:eastAsia="en-US"/>
        </w:rPr>
        <w:t xml:space="preserve">12,24±0,49 </w:t>
      </w:r>
      <w:r w:rsidRPr="003C2169">
        <w:rPr>
          <w:sz w:val="28"/>
          <w:szCs w:val="28"/>
          <w:lang w:val="uk-UA"/>
        </w:rPr>
        <w:t>пг/мл, група 2-</w:t>
      </w:r>
      <w:r w:rsidRPr="003C2169">
        <w:rPr>
          <w:sz w:val="28"/>
          <w:szCs w:val="28"/>
          <w:lang w:val="uk-UA" w:eastAsia="en-US"/>
        </w:rPr>
        <w:t>11,19±0,35</w:t>
      </w:r>
      <w:r w:rsidRPr="003C2169">
        <w:rPr>
          <w:sz w:val="28"/>
          <w:szCs w:val="28"/>
          <w:lang w:val="uk-UA"/>
        </w:rPr>
        <w:t xml:space="preserve"> пг/мл, група 3-</w:t>
      </w:r>
      <w:r w:rsidRPr="003C2169">
        <w:rPr>
          <w:sz w:val="28"/>
          <w:szCs w:val="28"/>
          <w:lang w:val="uk-UA" w:eastAsia="en-US"/>
        </w:rPr>
        <w:t xml:space="preserve">12,62±0,41 </w:t>
      </w:r>
      <w:r w:rsidRPr="003C2169">
        <w:rPr>
          <w:sz w:val="28"/>
          <w:szCs w:val="28"/>
          <w:lang w:val="uk-UA"/>
        </w:rPr>
        <w:t xml:space="preserve">пг/мл, відповідно, (р&lt;0,001) при порівнянні груп 1,2,3 з групою контролю).  </w:t>
      </w:r>
    </w:p>
    <w:p w:rsidR="00E3259F" w:rsidRPr="003C2169" w:rsidRDefault="00E3259F" w:rsidP="00E3259F">
      <w:pPr>
        <w:pStyle w:val="amaintext"/>
        <w:spacing w:before="0" w:beforeAutospacing="0" w:after="0" w:afterAutospacing="0" w:line="360" w:lineRule="auto"/>
        <w:ind w:firstLine="709"/>
        <w:jc w:val="both"/>
        <w:rPr>
          <w:sz w:val="28"/>
          <w:szCs w:val="28"/>
          <w:lang w:val="uk-UA"/>
        </w:rPr>
      </w:pPr>
      <w:r w:rsidRPr="003C2169">
        <w:rPr>
          <w:sz w:val="28"/>
          <w:szCs w:val="28"/>
          <w:lang w:val="uk-UA"/>
        </w:rPr>
        <w:t>У пацієнтів групи 2 та 3 мало місце вірогідне підвищення СРП (р=0,001) та відсутність достовірних відмінностей рівнів ФНП-α (р&gt;0,05) у порівнянні з групою 1, але між групами з коморбідною патологією достовірні відмінності спостерігались тільки у рівнях ФНО-α (р=0,011). Однофакторний  дисперсійний аналіз виявив значний вплив ТТГ на рівні ФНО-α (р =0,032) у пацієнтів з ГХ, ЦД 2 типу та СГТ та на  рівні СРП (р=0,001) у пацієнтів з ГХ та ЦД 2 типу.</w:t>
      </w:r>
      <w:r w:rsidRPr="003C2169">
        <w:rPr>
          <w:sz w:val="28"/>
          <w:szCs w:val="28"/>
        </w:rPr>
        <w:t> </w:t>
      </w:r>
      <w:r w:rsidRPr="003C2169">
        <w:rPr>
          <w:sz w:val="28"/>
          <w:szCs w:val="28"/>
          <w:lang w:val="uk-UA"/>
        </w:rPr>
        <w:t>Не було отримано достовірних відмінностей між рівнями СРП та ФНО-α залежно від темпу старіння в групах пацієнтів.</w:t>
      </w:r>
    </w:p>
    <w:p w:rsidR="00E3259F" w:rsidRPr="003C2169" w:rsidRDefault="00E3259F" w:rsidP="00E3259F">
      <w:pPr>
        <w:spacing w:line="360" w:lineRule="auto"/>
        <w:ind w:firstLine="567"/>
        <w:jc w:val="both"/>
        <w:rPr>
          <w:sz w:val="28"/>
          <w:szCs w:val="28"/>
          <w:lang w:val="uk-UA"/>
        </w:rPr>
      </w:pPr>
      <w:r w:rsidRPr="003C2169">
        <w:rPr>
          <w:sz w:val="28"/>
          <w:szCs w:val="28"/>
          <w:lang w:val="uk-UA"/>
        </w:rPr>
        <w:t>Проведення порівняльного аналізу ВДТ виявило, що ВДТ у групі контролю була достовірно більше як у крові, так і в клітинах букального епітелію (р&lt;0,01) порівняно із усіма досліджуваними групами хворих. Отримані в роботі дані підтверджують значний вплив коморбідної патології на процеси судинного старіння, що характеризується наявністю достовірно більш короткої ВДТ як у групі поєднаного перебігу ГХ та ЦД 2 типу (ВДТ крові (р&lt;0,001), ВДТ клітин букального епітелію (р&lt;0,001)), так й при поєднаному перебігу ГХ, ЦД 2 типу та СГТ (ВДТ крові (р&lt;0,001), ВДТ клітин букального епітелію (р&lt;0,001)) порівняно із групою ізольованої ГХ, що підтверджує думку про узаємопосилюючий негативний вплив ГХ та ЦД 2 типу на процеси біологічного старіння. Порівняльний аналіз між групами 2 та 3 не виявив достовірних відмінностей ВДТ як крові (</w:t>
      </w:r>
      <w:r w:rsidRPr="003C2169">
        <w:rPr>
          <w:sz w:val="28"/>
          <w:szCs w:val="28"/>
          <w:shd w:val="clear" w:color="auto" w:fill="FFFFFF"/>
          <w:lang w:val="uk-UA"/>
        </w:rPr>
        <w:t>р&gt;0,05),</w:t>
      </w:r>
      <w:r w:rsidRPr="003C2169">
        <w:rPr>
          <w:sz w:val="28"/>
          <w:szCs w:val="28"/>
          <w:lang w:val="uk-UA"/>
        </w:rPr>
        <w:t xml:space="preserve"> так  і клітин букального епітелію (</w:t>
      </w:r>
      <w:r w:rsidRPr="003C2169">
        <w:rPr>
          <w:sz w:val="28"/>
          <w:szCs w:val="28"/>
          <w:shd w:val="clear" w:color="auto" w:fill="FFFFFF"/>
          <w:lang w:val="uk-UA"/>
        </w:rPr>
        <w:t xml:space="preserve">р&gt;0,05). </w:t>
      </w:r>
      <w:r w:rsidRPr="003C2169">
        <w:rPr>
          <w:sz w:val="28"/>
          <w:szCs w:val="28"/>
          <w:lang w:val="uk-UA"/>
        </w:rPr>
        <w:t xml:space="preserve"> </w:t>
      </w:r>
    </w:p>
    <w:p w:rsidR="00E3259F" w:rsidRDefault="00E3259F" w:rsidP="00E3259F">
      <w:pPr>
        <w:pStyle w:val="12"/>
        <w:spacing w:after="0" w:line="360" w:lineRule="auto"/>
        <w:ind w:left="0" w:firstLine="709"/>
        <w:jc w:val="both"/>
        <w:rPr>
          <w:rFonts w:ascii="Times New Roman" w:hAnsi="Times New Roman"/>
          <w:sz w:val="28"/>
          <w:szCs w:val="28"/>
          <w:lang w:val="uk-UA"/>
        </w:rPr>
      </w:pPr>
      <w:r w:rsidRPr="003C2169">
        <w:rPr>
          <w:rStyle w:val="tlid-translation"/>
          <w:rFonts w:ascii="Times New Roman" w:eastAsiaTheme="majorEastAsia" w:hAnsi="Times New Roman"/>
          <w:sz w:val="28"/>
          <w:szCs w:val="28"/>
          <w:lang w:val="uk-UA"/>
        </w:rPr>
        <w:t xml:space="preserve">Для більш повного розуміння впливу поєднаного перебігу ГХ та ЦД 2 типу залежно від функціонального стану ЩЗ на ВДТ було проведено додатковий розподіл пацієнтів усіх груп на підгрупи з огляду на значення ВДТ. До першої  підгрупи – квартиль 1 </w:t>
      </w:r>
      <w:r w:rsidRPr="003C2169">
        <w:rPr>
          <w:rFonts w:ascii="Times New Roman" w:eastAsiaTheme="majorEastAsia" w:hAnsi="Times New Roman"/>
          <w:sz w:val="28"/>
          <w:szCs w:val="28"/>
          <w:lang w:val="uk-UA"/>
        </w:rPr>
        <w:t xml:space="preserve">– </w:t>
      </w:r>
      <w:r w:rsidRPr="003C2169">
        <w:rPr>
          <w:rStyle w:val="tlid-translation"/>
          <w:rFonts w:ascii="Times New Roman" w:eastAsiaTheme="majorEastAsia" w:hAnsi="Times New Roman"/>
          <w:sz w:val="28"/>
          <w:szCs w:val="28"/>
          <w:lang w:val="uk-UA"/>
        </w:rPr>
        <w:t xml:space="preserve">увійшли пацієнти з дуже короткою ВДТ: від мінімального значення у групі до верхньої межі першого квартиля, тобто нижче 25% межі розподілу. До другої підгрупи – квартиль 2 </w:t>
      </w:r>
      <w:r w:rsidRPr="003C2169">
        <w:rPr>
          <w:rFonts w:ascii="Times New Roman" w:eastAsiaTheme="majorEastAsia" w:hAnsi="Times New Roman"/>
          <w:sz w:val="28"/>
          <w:szCs w:val="28"/>
          <w:lang w:val="uk-UA"/>
        </w:rPr>
        <w:t xml:space="preserve">– </w:t>
      </w:r>
      <w:r w:rsidRPr="003C2169">
        <w:rPr>
          <w:rStyle w:val="tlid-translation"/>
          <w:rFonts w:ascii="Times New Roman" w:eastAsiaTheme="majorEastAsia" w:hAnsi="Times New Roman"/>
          <w:sz w:val="28"/>
          <w:szCs w:val="28"/>
          <w:lang w:val="uk-UA"/>
        </w:rPr>
        <w:t xml:space="preserve">увійшли пацієнти з ВДТ від медіани розподілу до нижньої межі квартиля. До  третьої підгрупи – квартиль 3 </w:t>
      </w:r>
      <w:r w:rsidRPr="003C2169">
        <w:rPr>
          <w:rFonts w:ascii="Times New Roman" w:eastAsiaTheme="majorEastAsia" w:hAnsi="Times New Roman"/>
          <w:sz w:val="28"/>
          <w:szCs w:val="28"/>
          <w:lang w:val="uk-UA"/>
        </w:rPr>
        <w:t xml:space="preserve">– </w:t>
      </w:r>
      <w:r w:rsidRPr="003C2169">
        <w:rPr>
          <w:rStyle w:val="tlid-translation"/>
          <w:rFonts w:ascii="Times New Roman" w:eastAsiaTheme="majorEastAsia" w:hAnsi="Times New Roman"/>
          <w:sz w:val="28"/>
          <w:szCs w:val="28"/>
          <w:lang w:val="uk-UA"/>
        </w:rPr>
        <w:t xml:space="preserve">увійшли особи з ВДТ від медіани розподілу до 75% межі розподілу. До четвертої підгрупи – квартиль 4 </w:t>
      </w:r>
      <w:r w:rsidRPr="003C2169">
        <w:rPr>
          <w:rFonts w:ascii="Times New Roman" w:eastAsiaTheme="majorEastAsia" w:hAnsi="Times New Roman"/>
          <w:sz w:val="28"/>
          <w:szCs w:val="28"/>
          <w:lang w:val="uk-UA"/>
        </w:rPr>
        <w:t xml:space="preserve">– </w:t>
      </w:r>
      <w:r w:rsidRPr="003C2169">
        <w:rPr>
          <w:rStyle w:val="tlid-translation"/>
          <w:rFonts w:ascii="Times New Roman" w:eastAsiaTheme="majorEastAsia" w:hAnsi="Times New Roman"/>
          <w:sz w:val="28"/>
          <w:szCs w:val="28"/>
          <w:lang w:val="uk-UA"/>
        </w:rPr>
        <w:t>були віднесені особи з найбільшою в групі ВДТ, що становить верхній квартиль розподілу. Виявлено</w:t>
      </w:r>
      <w:r w:rsidRPr="003C2169">
        <w:rPr>
          <w:rFonts w:ascii="Times New Roman" w:hAnsi="Times New Roman"/>
          <w:sz w:val="28"/>
          <w:szCs w:val="28"/>
          <w:lang w:val="uk-UA"/>
        </w:rPr>
        <w:t xml:space="preserve">, що коморбідна патологія, на відміну від ізольованої ГХ,  характеризується наявністю коротких теломер як крові, так і клітин букального епітелію (пацієнти квартилів 1 та 2 разом) у переважної більшості пацієнтів  (група 1: коротка ВДТ крові виявлена у 24,39±4,18% пацієнтів, ВДТ букального епітітелію – у 34,14±4,63%;  група 2: коротка ВДТ крові – у 50,0±4,00% пацієнтів, ВДТ букального епітелію – у 63,83±3,85%;  група 3: коротка ВДТ крові – у  59,2±5,09% пацієнтів, ВДТ букального епітелію – у 52,54±5,18%). Встановлені </w:t>
      </w:r>
      <w:r w:rsidRPr="003C2169">
        <w:rPr>
          <w:rFonts w:ascii="Times New Roman" w:hAnsi="Times New Roman"/>
          <w:sz w:val="28"/>
          <w:szCs w:val="28"/>
          <w:shd w:val="clear" w:color="auto" w:fill="FFFFFF"/>
          <w:lang w:val="uk-UA"/>
        </w:rPr>
        <w:t xml:space="preserve">достовірні відмінності між пацієнтами, що розподілені за квартілями  згідно ВДТ </w:t>
      </w:r>
      <w:r w:rsidRPr="003C2169">
        <w:rPr>
          <w:rFonts w:ascii="Times New Roman" w:hAnsi="Times New Roman"/>
          <w:sz w:val="28"/>
          <w:szCs w:val="28"/>
          <w:lang w:val="uk-UA"/>
        </w:rPr>
        <w:t>крові (</w:t>
      </w:r>
      <w:r w:rsidRPr="003C2169">
        <w:rPr>
          <w:rFonts w:ascii="Times New Roman" w:hAnsi="Times New Roman"/>
          <w:sz w:val="28"/>
          <w:szCs w:val="28"/>
          <w:shd w:val="clear" w:color="auto" w:fill="FFFFFF"/>
        </w:rPr>
        <w:t>χ</w:t>
      </w:r>
      <w:r w:rsidRPr="003C2169">
        <w:rPr>
          <w:rFonts w:ascii="Times New Roman" w:hAnsi="Times New Roman"/>
          <w:sz w:val="28"/>
          <w:szCs w:val="28"/>
          <w:shd w:val="clear" w:color="auto" w:fill="FFFFFF"/>
          <w:vertAlign w:val="superscript"/>
          <w:lang w:val="uk-UA"/>
        </w:rPr>
        <w:t>2</w:t>
      </w:r>
      <w:r w:rsidRPr="003C2169">
        <w:rPr>
          <w:rFonts w:ascii="Times New Roman" w:hAnsi="Times New Roman"/>
          <w:sz w:val="28"/>
          <w:szCs w:val="28"/>
          <w:lang w:val="uk-UA"/>
        </w:rPr>
        <w:t xml:space="preserve"> = 24.397, p&lt;0,001)  та клітин букального епітелію (</w:t>
      </w:r>
      <w:r w:rsidRPr="003C2169">
        <w:rPr>
          <w:rFonts w:ascii="Times New Roman" w:hAnsi="Times New Roman"/>
          <w:sz w:val="28"/>
          <w:szCs w:val="28"/>
          <w:shd w:val="clear" w:color="auto" w:fill="FFFFFF"/>
        </w:rPr>
        <w:t>χ</w:t>
      </w:r>
      <w:r w:rsidRPr="003C2169">
        <w:rPr>
          <w:rFonts w:ascii="Times New Roman" w:hAnsi="Times New Roman"/>
          <w:sz w:val="28"/>
          <w:szCs w:val="28"/>
          <w:shd w:val="clear" w:color="auto" w:fill="FFFFFF"/>
          <w:vertAlign w:val="superscript"/>
          <w:lang w:val="uk-UA"/>
        </w:rPr>
        <w:t>2</w:t>
      </w:r>
      <w:r w:rsidRPr="003C2169">
        <w:rPr>
          <w:rFonts w:ascii="Times New Roman" w:hAnsi="Times New Roman"/>
          <w:sz w:val="28"/>
          <w:szCs w:val="28"/>
          <w:lang w:val="uk-UA"/>
        </w:rPr>
        <w:t xml:space="preserve"> = 21.201, p&lt;0,001) між групами 1 і 2 пацієнтів  та між </w:t>
      </w:r>
      <w:r w:rsidRPr="003C2169">
        <w:rPr>
          <w:rFonts w:ascii="Times New Roman" w:hAnsi="Times New Roman"/>
          <w:sz w:val="28"/>
          <w:szCs w:val="28"/>
          <w:shd w:val="clear" w:color="auto" w:fill="FFFFFF"/>
          <w:lang w:val="uk-UA"/>
        </w:rPr>
        <w:t>групами 1 і 3 пацієнтів (ВДТ крові - (</w:t>
      </w:r>
      <w:r w:rsidRPr="003C2169">
        <w:rPr>
          <w:rFonts w:ascii="Times New Roman" w:hAnsi="Times New Roman"/>
          <w:sz w:val="28"/>
          <w:szCs w:val="28"/>
          <w:shd w:val="clear" w:color="auto" w:fill="FFFFFF"/>
        </w:rPr>
        <w:t>χ</w:t>
      </w:r>
      <w:r w:rsidRPr="003C2169">
        <w:rPr>
          <w:rFonts w:ascii="Times New Roman" w:hAnsi="Times New Roman"/>
          <w:sz w:val="28"/>
          <w:szCs w:val="28"/>
          <w:shd w:val="clear" w:color="auto" w:fill="FFFFFF"/>
          <w:vertAlign w:val="superscript"/>
          <w:lang w:val="uk-UA"/>
        </w:rPr>
        <w:t>2</w:t>
      </w:r>
      <w:r w:rsidRPr="003C2169">
        <w:rPr>
          <w:rFonts w:ascii="Times New Roman" w:hAnsi="Times New Roman"/>
          <w:sz w:val="28"/>
          <w:szCs w:val="28"/>
          <w:shd w:val="clear" w:color="auto" w:fill="FFFFFF"/>
          <w:lang w:val="uk-UA"/>
        </w:rPr>
        <w:t> =12.154, p=0,002), букального епітелію -(</w:t>
      </w:r>
      <w:r w:rsidRPr="003C2169">
        <w:rPr>
          <w:rFonts w:ascii="Times New Roman" w:hAnsi="Times New Roman"/>
          <w:sz w:val="28"/>
          <w:szCs w:val="28"/>
          <w:shd w:val="clear" w:color="auto" w:fill="FFFFFF"/>
        </w:rPr>
        <w:t>χ</w:t>
      </w:r>
      <w:r w:rsidRPr="003C2169">
        <w:rPr>
          <w:rFonts w:ascii="Times New Roman" w:hAnsi="Times New Roman"/>
          <w:sz w:val="28"/>
          <w:szCs w:val="28"/>
          <w:shd w:val="clear" w:color="auto" w:fill="FFFFFF"/>
          <w:vertAlign w:val="superscript"/>
          <w:lang w:val="uk-UA"/>
        </w:rPr>
        <w:t>2</w:t>
      </w:r>
      <w:r w:rsidRPr="003C2169">
        <w:rPr>
          <w:rFonts w:ascii="Times New Roman" w:hAnsi="Times New Roman"/>
          <w:sz w:val="28"/>
          <w:szCs w:val="28"/>
          <w:shd w:val="clear" w:color="auto" w:fill="FFFFFF"/>
          <w:lang w:val="uk-UA"/>
        </w:rPr>
        <w:t xml:space="preserve"> =7.769, p=0,021)).  Між групами 2 та 3 достовірних відмінностей у розподілені пацієнтів за квартилями виявлено не було (р&gt;0,05). </w:t>
      </w:r>
      <w:r w:rsidRPr="003C2169">
        <w:rPr>
          <w:rFonts w:ascii="Times New Roman" w:hAnsi="Times New Roman"/>
          <w:sz w:val="28"/>
          <w:szCs w:val="28"/>
          <w:lang w:val="uk-UA"/>
        </w:rPr>
        <w:t xml:space="preserve">  У групах пацієнтів з коморбідною патологїєю за допомогою кореляційного аналізу був встановлений узаємозв`язок між ВДТ та віковими показниками, що характеризують ТС: між НБВ та ВДТ крові (</w:t>
      </w:r>
      <w:r w:rsidRPr="003C2169">
        <w:rPr>
          <w:rFonts w:ascii="Times New Roman" w:hAnsi="Times New Roman"/>
          <w:sz w:val="28"/>
          <w:szCs w:val="28"/>
          <w:lang w:val="en-US"/>
        </w:rPr>
        <w:t>r</w:t>
      </w:r>
      <w:r w:rsidRPr="003C2169">
        <w:rPr>
          <w:rFonts w:ascii="Times New Roman" w:hAnsi="Times New Roman"/>
          <w:sz w:val="28"/>
          <w:szCs w:val="28"/>
          <w:lang w:val="uk-UA"/>
        </w:rPr>
        <w:t>=- 0,259, р= 0,004) та НБВ та ВДТ клітин букального епітелію (</w:t>
      </w:r>
      <w:r w:rsidRPr="003C2169">
        <w:rPr>
          <w:rFonts w:ascii="Times New Roman" w:hAnsi="Times New Roman"/>
          <w:sz w:val="28"/>
          <w:szCs w:val="28"/>
          <w:lang w:val="en-US"/>
        </w:rPr>
        <w:t>r</w:t>
      </w:r>
      <w:r w:rsidRPr="003C2169">
        <w:rPr>
          <w:rFonts w:ascii="Times New Roman" w:hAnsi="Times New Roman"/>
          <w:sz w:val="28"/>
          <w:szCs w:val="28"/>
          <w:lang w:val="uk-UA"/>
        </w:rPr>
        <w:t>=-0,208, р=0,021) у  групі 2, між ВДТ крові та КВ (</w:t>
      </w:r>
      <w:r w:rsidRPr="003C2169">
        <w:rPr>
          <w:rFonts w:ascii="Times New Roman" w:hAnsi="Times New Roman"/>
          <w:sz w:val="28"/>
          <w:szCs w:val="28"/>
          <w:lang w:val="en-US"/>
        </w:rPr>
        <w:t>r</w:t>
      </w:r>
      <w:r w:rsidRPr="003C2169">
        <w:rPr>
          <w:rFonts w:ascii="Times New Roman" w:hAnsi="Times New Roman"/>
          <w:sz w:val="28"/>
          <w:szCs w:val="28"/>
          <w:lang w:val="uk-UA"/>
        </w:rPr>
        <w:t>= - 0,230, р= 0,026), ВДТ крові - коефіцієнтом старіння (</w:t>
      </w:r>
      <w:r w:rsidRPr="003C2169">
        <w:rPr>
          <w:rFonts w:ascii="Times New Roman" w:hAnsi="Times New Roman"/>
          <w:sz w:val="28"/>
          <w:szCs w:val="28"/>
          <w:lang w:val="en-US"/>
        </w:rPr>
        <w:t>r</w:t>
      </w:r>
      <w:r w:rsidRPr="003C2169">
        <w:rPr>
          <w:rFonts w:ascii="Times New Roman" w:hAnsi="Times New Roman"/>
          <w:sz w:val="28"/>
          <w:szCs w:val="28"/>
          <w:lang w:val="uk-UA"/>
        </w:rPr>
        <w:t>= 0,258,                р=0,046), між ВДТ клітин букального епітелію та КВ (</w:t>
      </w:r>
      <w:r w:rsidRPr="003C2169">
        <w:rPr>
          <w:rFonts w:ascii="Times New Roman" w:hAnsi="Times New Roman"/>
          <w:sz w:val="28"/>
          <w:szCs w:val="28"/>
          <w:lang w:val="en-US"/>
        </w:rPr>
        <w:t>r</w:t>
      </w:r>
      <w:r w:rsidRPr="003C2169">
        <w:rPr>
          <w:rFonts w:ascii="Times New Roman" w:hAnsi="Times New Roman"/>
          <w:sz w:val="28"/>
          <w:szCs w:val="28"/>
          <w:lang w:val="uk-UA"/>
        </w:rPr>
        <w:t>=-0,299, р=0,004), НБВ (</w:t>
      </w:r>
      <w:r w:rsidRPr="003C2169">
        <w:rPr>
          <w:rFonts w:ascii="Times New Roman" w:hAnsi="Times New Roman"/>
          <w:sz w:val="28"/>
          <w:szCs w:val="28"/>
          <w:lang w:val="en-US"/>
        </w:rPr>
        <w:t>r</w:t>
      </w:r>
      <w:r w:rsidRPr="003C2169">
        <w:rPr>
          <w:rFonts w:ascii="Times New Roman" w:hAnsi="Times New Roman"/>
          <w:sz w:val="28"/>
          <w:szCs w:val="28"/>
          <w:lang w:val="uk-UA"/>
        </w:rPr>
        <w:t>=-0,316, р=0,014), коефіцієнтом старіння (</w:t>
      </w:r>
      <w:r w:rsidRPr="003C2169">
        <w:rPr>
          <w:rFonts w:ascii="Times New Roman" w:hAnsi="Times New Roman"/>
          <w:sz w:val="28"/>
          <w:szCs w:val="28"/>
          <w:lang w:val="en-US"/>
        </w:rPr>
        <w:t>r</w:t>
      </w:r>
      <w:r w:rsidRPr="003C2169">
        <w:rPr>
          <w:rFonts w:ascii="Times New Roman" w:hAnsi="Times New Roman"/>
          <w:sz w:val="28"/>
          <w:szCs w:val="28"/>
          <w:lang w:val="uk-UA"/>
        </w:rPr>
        <w:t>=0,338, р= 0,008) та індексом швидкості старіння (</w:t>
      </w:r>
      <w:r w:rsidRPr="003C2169">
        <w:rPr>
          <w:rFonts w:ascii="Times New Roman" w:hAnsi="Times New Roman"/>
          <w:sz w:val="28"/>
          <w:szCs w:val="28"/>
          <w:lang w:val="en-US"/>
        </w:rPr>
        <w:t>r</w:t>
      </w:r>
      <w:r w:rsidRPr="003C2169">
        <w:rPr>
          <w:rFonts w:ascii="Times New Roman" w:hAnsi="Times New Roman"/>
          <w:sz w:val="28"/>
          <w:szCs w:val="28"/>
          <w:lang w:val="uk-UA"/>
        </w:rPr>
        <w:t>=0,267, р= 0,040) у  групі 3. У групі ізольованої ГХ кореляційних зв</w:t>
      </w:r>
      <w:r w:rsidRPr="003C2169">
        <w:rPr>
          <w:rFonts w:ascii="Times New Roman" w:hAnsi="Times New Roman"/>
          <w:sz w:val="28"/>
          <w:szCs w:val="28"/>
        </w:rPr>
        <w:t>`</w:t>
      </w:r>
      <w:r w:rsidRPr="003C2169">
        <w:rPr>
          <w:rFonts w:ascii="Times New Roman" w:hAnsi="Times New Roman"/>
          <w:sz w:val="28"/>
          <w:szCs w:val="28"/>
          <w:lang w:val="uk-UA"/>
        </w:rPr>
        <w:t xml:space="preserve">язків між віковими показниками та ВДТ знайдено не було. </w:t>
      </w:r>
      <w:r w:rsidRPr="00E00CAF">
        <w:rPr>
          <w:rFonts w:ascii="Times New Roman" w:hAnsi="Times New Roman"/>
          <w:sz w:val="28"/>
          <w:szCs w:val="28"/>
          <w:lang w:val="uk-UA"/>
        </w:rPr>
        <w:t>Виявлено достовірний вплив ТТГ на рівні ВДТ клітин букального епітелію у групі 2 (р=0,014), що свідчить про суттєве значення рівнів ТТГ, навіть в межах референтних значень, для процесів біологічного, а саме судинного старіння, вплив рівня ВЕФР  в  групі 2 на ВДТ крові  (р=0,005) та ВДТ клітин букального епітелію  (р=0,001) і ВДТ крові (р=0,046) в групі 3, вплив  8-OH-dG на ВДТ крові в  групі 2 (р=0,001) та ВДТ клітин букального епітелію (р=0,002) у  групі 3.</w:t>
      </w:r>
    </w:p>
    <w:p w:rsidR="00E3259F" w:rsidRPr="003C2169" w:rsidRDefault="00E3259F" w:rsidP="00E3259F">
      <w:pPr>
        <w:spacing w:line="360" w:lineRule="auto"/>
        <w:ind w:firstLine="709"/>
        <w:jc w:val="both"/>
        <w:rPr>
          <w:sz w:val="28"/>
          <w:szCs w:val="28"/>
          <w:lang w:val="uk-UA"/>
        </w:rPr>
      </w:pPr>
      <w:r w:rsidRPr="003C2169">
        <w:rPr>
          <w:sz w:val="28"/>
          <w:szCs w:val="28"/>
          <w:lang w:val="uk-UA"/>
        </w:rPr>
        <w:t xml:space="preserve">У разі ГХ та ЦД 2 типу наявність довгих теломер порівняно з короткими теломерами асоціювалася із посиленням АОЗ на тлі підвищення інтенсивності окислювальних процесів, що проявлялося достовірно нижчими рівнями МДА (р=0,018 при порівнянні ВДТ крові,  р=0,027 при порівнянні ВДТ клітин букального епітетелію, відповідно) та достовірно вищіми рівнями </w:t>
      </w:r>
      <w:r w:rsidRPr="003C2169">
        <w:rPr>
          <w:rStyle w:val="tlid-translation"/>
          <w:rFonts w:eastAsiaTheme="majorEastAsia"/>
          <w:sz w:val="28"/>
          <w:szCs w:val="28"/>
        </w:rPr>
        <w:t>SH</w:t>
      </w:r>
      <w:r w:rsidRPr="003C2169">
        <w:rPr>
          <w:rStyle w:val="tlid-translation"/>
          <w:rFonts w:eastAsiaTheme="majorEastAsia"/>
          <w:sz w:val="28"/>
          <w:szCs w:val="28"/>
          <w:lang w:val="uk-UA"/>
        </w:rPr>
        <w:t xml:space="preserve">-груп (р=0,046 порівняно з пацієнтами з короткими теломерами крові та р=0,032 порівняно з пацієнттами з короткими теломерами букального епітелію) та більшою активностю ГПО (р=0,009 порівняно з пацієнтами з короткими теломерами клітин букального епітелію). </w:t>
      </w:r>
      <w:r w:rsidRPr="003C2169">
        <w:rPr>
          <w:sz w:val="28"/>
          <w:szCs w:val="28"/>
          <w:lang w:val="uk-UA"/>
        </w:rPr>
        <w:t>У пацієнтів з одночасним перебігом ГХ, ЦД 2 типу та СГТ при короткій ВДТ клітин букального епітелію спостерігалася більш виражена активність окислювальних процесів за рахунок вищих рівнів МДА (р=0,028) та               8-OH-dG (р=0,033) ніж при довгих теломерах, на тлі меньшої активності АОЗ у вигляді достовірно нижчої активності ГПО при коротких теломерах крові (6,65±0,21 мккат/гНв проти 7,37±0,33 мккат/гНв, р=0,041) порівняно з пацієнтами з довгими теломерами. Наявність більш коротких теломер асоціювалася із достовірно більшою ТКІМ,  ніж при довгих теломерах в усіх групах пацієнтів ((=0,037, при порівнянні ВДТ крові в групі 3, при порівнянні ВДТ бук епітелію в групі 1 (р=0,046), в групі 2 (р=0,033), (р=0,003) - в групі 3, відповідно). Ознаки ЕД у пацієнтів з коморбідною патологією при короткій ВДТ були виражені більшою мірою, ніж при довгих теломерах, незалежно від наявності СГТ. Так, у групі 2 у пацієнтів  з короткою ВДТ клітин букального епітелію спостерігалися достовірно вищі рівні ВЕФР (406,84±29,74</w:t>
      </w:r>
      <w:r w:rsidRPr="003C2169">
        <w:rPr>
          <w:rStyle w:val="10"/>
          <w:rFonts w:eastAsiaTheme="minorHAnsi"/>
          <w:sz w:val="28"/>
          <w:szCs w:val="28"/>
          <w:lang w:val="uk-UA"/>
        </w:rPr>
        <w:t xml:space="preserve"> </w:t>
      </w:r>
      <w:r w:rsidRPr="003C2169">
        <w:rPr>
          <w:rStyle w:val="xfm65112403"/>
          <w:sz w:val="28"/>
          <w:szCs w:val="28"/>
          <w:lang w:val="uk-UA"/>
        </w:rPr>
        <w:t>пг</w:t>
      </w:r>
      <w:r w:rsidRPr="003C2169">
        <w:rPr>
          <w:sz w:val="28"/>
          <w:szCs w:val="28"/>
          <w:lang w:val="uk-UA"/>
        </w:rPr>
        <w:t>/мл проти 342,86±29,61</w:t>
      </w:r>
      <w:r w:rsidRPr="003C2169">
        <w:rPr>
          <w:rStyle w:val="10"/>
          <w:rFonts w:eastAsiaTheme="minorHAnsi"/>
          <w:sz w:val="28"/>
          <w:szCs w:val="28"/>
          <w:lang w:val="uk-UA"/>
        </w:rPr>
        <w:t xml:space="preserve"> </w:t>
      </w:r>
      <w:r w:rsidRPr="003C2169">
        <w:rPr>
          <w:rStyle w:val="xfm65112403"/>
          <w:sz w:val="28"/>
          <w:szCs w:val="28"/>
          <w:lang w:val="uk-UA"/>
        </w:rPr>
        <w:t>пг</w:t>
      </w:r>
      <w:r w:rsidRPr="003C2169">
        <w:rPr>
          <w:sz w:val="28"/>
          <w:szCs w:val="28"/>
          <w:lang w:val="uk-UA"/>
        </w:rPr>
        <w:t>/мл, р=0,008) та кількість ЦДЕК (13,49±0,71</w:t>
      </w:r>
      <w:r w:rsidRPr="003C2169">
        <w:rPr>
          <w:rFonts w:eastAsia="TimesNewRomanPSMT"/>
          <w:sz w:val="28"/>
          <w:szCs w:val="28"/>
          <w:lang w:val="uk-UA"/>
        </w:rPr>
        <w:t xml:space="preserve"> кл./100 мкл проти 10,97±0,62 кл./100 мкл, р=0,01), ніж при довгих теломерах. У групі 3 </w:t>
      </w:r>
      <w:r w:rsidRPr="003C2169">
        <w:rPr>
          <w:sz w:val="28"/>
          <w:szCs w:val="28"/>
          <w:lang w:val="uk-UA"/>
        </w:rPr>
        <w:t>у хворих із короткою ВДТ крові</w:t>
      </w:r>
      <w:r w:rsidRPr="003C2169">
        <w:rPr>
          <w:rFonts w:eastAsia="TimesNewRomanPSMT"/>
          <w:sz w:val="28"/>
          <w:szCs w:val="28"/>
          <w:lang w:val="uk-UA"/>
        </w:rPr>
        <w:t xml:space="preserve"> </w:t>
      </w:r>
      <w:r w:rsidRPr="003C2169">
        <w:rPr>
          <w:sz w:val="28"/>
          <w:szCs w:val="28"/>
          <w:lang w:val="uk-UA"/>
        </w:rPr>
        <w:t>спостерігалися</w:t>
      </w:r>
      <w:r w:rsidRPr="003C2169">
        <w:rPr>
          <w:rFonts w:eastAsia="TimesNewRomanPSMT"/>
          <w:sz w:val="28"/>
          <w:szCs w:val="28"/>
          <w:lang w:val="uk-UA"/>
        </w:rPr>
        <w:t xml:space="preserve"> достовірно вищі рівні ВЕФР (535,30±45,83</w:t>
      </w:r>
      <w:r w:rsidRPr="003C2169">
        <w:rPr>
          <w:rStyle w:val="10"/>
          <w:rFonts w:eastAsiaTheme="minorHAnsi"/>
          <w:sz w:val="28"/>
          <w:szCs w:val="28"/>
          <w:lang w:val="uk-UA"/>
        </w:rPr>
        <w:t xml:space="preserve"> </w:t>
      </w:r>
      <w:r w:rsidRPr="003C2169">
        <w:rPr>
          <w:rStyle w:val="xfm65112403"/>
          <w:sz w:val="28"/>
          <w:szCs w:val="28"/>
          <w:lang w:val="uk-UA"/>
        </w:rPr>
        <w:t>пг</w:t>
      </w:r>
      <w:r w:rsidRPr="003C2169">
        <w:rPr>
          <w:sz w:val="28"/>
          <w:szCs w:val="28"/>
        </w:rPr>
        <w:t>/</w:t>
      </w:r>
      <w:r w:rsidRPr="003C2169">
        <w:rPr>
          <w:sz w:val="28"/>
          <w:szCs w:val="28"/>
          <w:lang w:val="uk-UA"/>
        </w:rPr>
        <w:t>мл проти 374,92±30,84</w:t>
      </w:r>
      <w:r w:rsidRPr="003C2169">
        <w:rPr>
          <w:rStyle w:val="10"/>
          <w:rFonts w:eastAsiaTheme="minorHAnsi"/>
          <w:sz w:val="28"/>
          <w:szCs w:val="28"/>
          <w:lang w:val="uk-UA"/>
        </w:rPr>
        <w:t xml:space="preserve"> </w:t>
      </w:r>
      <w:r w:rsidRPr="003C2169">
        <w:rPr>
          <w:rStyle w:val="xfm65112403"/>
          <w:sz w:val="28"/>
          <w:szCs w:val="28"/>
          <w:lang w:val="uk-UA"/>
        </w:rPr>
        <w:t>пг</w:t>
      </w:r>
      <w:r w:rsidRPr="003C2169">
        <w:rPr>
          <w:sz w:val="28"/>
          <w:szCs w:val="28"/>
        </w:rPr>
        <w:t>/</w:t>
      </w:r>
      <w:r w:rsidRPr="003C2169">
        <w:rPr>
          <w:sz w:val="28"/>
          <w:szCs w:val="28"/>
          <w:lang w:val="uk-UA"/>
        </w:rPr>
        <w:t xml:space="preserve">мл, р=0,006), ніж при довгих теломерах. Наявність коротких теломер у пацієнтів з коморбідною патологією, асоціювалася з посиленням ознак хронічного системного запалення,  порівняно з пацієнтами з довгими теломерами, незалежно від наявності СГТ, проте достовірні відмінності спостерігалися лише у групі 2 (ФНП-α -13,40±0,74 </w:t>
      </w:r>
      <w:r w:rsidRPr="003C2169">
        <w:rPr>
          <w:rStyle w:val="xfm65112403"/>
          <w:sz w:val="28"/>
          <w:szCs w:val="28"/>
          <w:lang w:val="uk-UA"/>
        </w:rPr>
        <w:t>пг</w:t>
      </w:r>
      <w:r w:rsidRPr="003C2169">
        <w:rPr>
          <w:sz w:val="28"/>
          <w:szCs w:val="28"/>
          <w:lang w:val="uk-UA"/>
        </w:rPr>
        <w:t xml:space="preserve">/мл проти 9,24±0,45, р&lt;0,001). Було виявлено достовірний вплив на ВДТ: рівня глюкози  натще (р=0,029), ТГ (р=0,049) на ВДТ букального епітелію, рівнів ЗХС (р=0,019), ХС ЛПВЩ (р=0,032), ІМТ (р=0,029) на ВДТ теломер крові у групі 2,  </w:t>
      </w:r>
      <w:r w:rsidRPr="003C2169">
        <w:rPr>
          <w:sz w:val="28"/>
          <w:szCs w:val="28"/>
          <w:shd w:val="clear" w:color="auto" w:fill="FFFFFF"/>
          <w:lang w:val="uk-UA"/>
        </w:rPr>
        <w:t xml:space="preserve">рівня ХС ЛПНП на ВДТ крові (р=0,042), КВ (р=0,029) на наявність більш довгої ВДТ клітин букального епітелію та ІМТ (р=0,015) на наявність більш короткої ВДТ клітин букального епітелію у  групі 3, вплив </w:t>
      </w:r>
      <w:r w:rsidRPr="003C2169">
        <w:rPr>
          <w:sz w:val="28"/>
          <w:szCs w:val="28"/>
          <w:lang w:val="uk-UA"/>
        </w:rPr>
        <w:t xml:space="preserve">рівня ВЕФР на ВДТ крові як у групі 2 (р=0,005), так і у групі 3 (р=0,046) та на рівень ВДТ букального епітелію у  групі 2 (р=0,001),  вплив рівня 8-OH-dG на ВДТ крові у групі 2 (р=0,001) та ВДТ букального епітелію (р=0,002) у групі 3. </w:t>
      </w:r>
    </w:p>
    <w:p w:rsidR="00E3259F" w:rsidRPr="003C2169" w:rsidRDefault="00E3259F" w:rsidP="00E3259F">
      <w:pPr>
        <w:spacing w:line="360" w:lineRule="auto"/>
        <w:ind w:firstLine="709"/>
        <w:jc w:val="both"/>
        <w:rPr>
          <w:sz w:val="28"/>
          <w:szCs w:val="28"/>
          <w:lang w:val="uk-UA"/>
        </w:rPr>
      </w:pPr>
      <w:r w:rsidRPr="003C2169">
        <w:rPr>
          <w:sz w:val="28"/>
          <w:szCs w:val="28"/>
          <w:shd w:val="clear" w:color="auto" w:fill="FFFFFF"/>
          <w:lang w:val="uk-UA"/>
        </w:rPr>
        <w:t xml:space="preserve">Одним із напрямків дослідження було </w:t>
      </w:r>
      <w:r w:rsidRPr="003C2169">
        <w:rPr>
          <w:rStyle w:val="tlid-translation"/>
          <w:sz w:val="28"/>
          <w:szCs w:val="28"/>
          <w:lang w:val="uk-UA"/>
        </w:rPr>
        <w:t>визначення того, чи є передчасне біологічне старіння, що оцінюється за зменшенням ВДТ, додатковим фактором, що збільшує КВР в осіб, які страждають на ГХ, у тому числі при наявності коморбідного перебігу із ЦД 2 типу та СГТ, тому має велике клінічне значення. З цією метою н</w:t>
      </w:r>
      <w:r w:rsidRPr="003C2169">
        <w:rPr>
          <w:sz w:val="28"/>
          <w:szCs w:val="28"/>
          <w:shd w:val="clear" w:color="auto" w:fill="FFFFFF"/>
          <w:lang w:val="uk-UA"/>
        </w:rPr>
        <w:t>ами було проведено дослідження значень показників, які використовуються</w:t>
      </w:r>
      <w:r w:rsidRPr="003C2169">
        <w:rPr>
          <w:sz w:val="28"/>
          <w:szCs w:val="28"/>
          <w:lang w:val="uk-UA"/>
        </w:rPr>
        <w:t xml:space="preserve"> як визначені маркери КВР, по відношенню до ВДТ. Отже було виявлено, що при коморбідній патології коротка ВДТ асоціюються з вищими рівнями АТ, ніж при довгій ВДТ, проте достовірні відмінності спостерігалися лише у групі пацієнтів з ГХ та ЦД 2 типу при порівнянні рівнів</w:t>
      </w:r>
      <w:r w:rsidRPr="003C2169">
        <w:rPr>
          <w:sz w:val="40"/>
          <w:szCs w:val="40"/>
          <w:lang w:val="uk-UA"/>
        </w:rPr>
        <w:t xml:space="preserve"> </w:t>
      </w:r>
      <w:r w:rsidRPr="003C2169">
        <w:rPr>
          <w:sz w:val="28"/>
          <w:szCs w:val="28"/>
          <w:lang w:val="uk-UA"/>
        </w:rPr>
        <w:t xml:space="preserve">ПАТ у пацієнтів, які потрапили до квартиля 1 та квартиля 4 як ВДТ крові (р=0,005), так й клітин букального епітелію (р=0,001), рівнів САТ між пацієнтами квартиля 1 та квартиля 2 ВДТ крові (р=0,014) та рівнів ДАТ між пацієнтами квартиля 1 та квартиля 3 ВДТ букального епітелію (р=0,006). </w:t>
      </w:r>
      <w:r w:rsidRPr="003C2169">
        <w:rPr>
          <w:rStyle w:val="tlid-translation"/>
          <w:rFonts w:eastAsiaTheme="majorEastAsia"/>
          <w:sz w:val="28"/>
          <w:szCs w:val="28"/>
          <w:lang w:val="uk-UA"/>
        </w:rPr>
        <w:t>У групі 2 спостерігалося підвищення ІМТ при більш коротких теломерах. Д</w:t>
      </w:r>
      <w:r w:rsidRPr="003C2169">
        <w:rPr>
          <w:sz w:val="28"/>
          <w:szCs w:val="28"/>
          <w:lang w:val="uk-UA"/>
        </w:rPr>
        <w:t xml:space="preserve">остовірні відмінності </w:t>
      </w:r>
      <w:r w:rsidRPr="003C2169">
        <w:rPr>
          <w:rStyle w:val="tlid-translation"/>
          <w:rFonts w:eastAsiaTheme="majorEastAsia"/>
          <w:sz w:val="28"/>
          <w:szCs w:val="28"/>
          <w:lang w:val="uk-UA"/>
        </w:rPr>
        <w:t>ІМТ</w:t>
      </w:r>
      <w:r w:rsidRPr="003C2169">
        <w:rPr>
          <w:sz w:val="28"/>
          <w:szCs w:val="28"/>
          <w:lang w:val="uk-UA"/>
        </w:rPr>
        <w:t xml:space="preserve"> </w:t>
      </w:r>
      <w:r w:rsidRPr="003C2169">
        <w:rPr>
          <w:rStyle w:val="tlid-translation"/>
          <w:rFonts w:eastAsiaTheme="majorEastAsia"/>
          <w:sz w:val="28"/>
          <w:szCs w:val="28"/>
          <w:lang w:val="uk-UA"/>
        </w:rPr>
        <w:t>б</w:t>
      </w:r>
      <w:r w:rsidRPr="003C2169">
        <w:rPr>
          <w:sz w:val="28"/>
          <w:szCs w:val="28"/>
          <w:lang w:val="uk-UA"/>
        </w:rPr>
        <w:t xml:space="preserve">уло отримано </w:t>
      </w:r>
      <w:r w:rsidRPr="003C2169">
        <w:rPr>
          <w:rStyle w:val="tlid-translation"/>
          <w:rFonts w:eastAsiaTheme="majorEastAsia"/>
          <w:sz w:val="28"/>
          <w:szCs w:val="28"/>
          <w:lang w:val="uk-UA"/>
        </w:rPr>
        <w:t>в результаті порівнянні між пацієнтами, які потрапили у квартилі 1 і 2 (</w:t>
      </w:r>
      <w:r w:rsidRPr="003C2169">
        <w:rPr>
          <w:sz w:val="28"/>
          <w:szCs w:val="28"/>
          <w:lang w:val="uk-UA"/>
        </w:rPr>
        <w:t xml:space="preserve">31,58±0,64 та 29,83±0,55, відповідно, </w:t>
      </w:r>
      <w:r w:rsidRPr="003C2169">
        <w:rPr>
          <w:rStyle w:val="tlid-translation"/>
          <w:rFonts w:eastAsiaTheme="majorEastAsia"/>
          <w:sz w:val="28"/>
          <w:szCs w:val="28"/>
          <w:lang w:val="uk-UA"/>
        </w:rPr>
        <w:t>р=0,042) та між пацієнтами квартилів 1 і 4 (</w:t>
      </w:r>
      <w:r w:rsidRPr="003C2169">
        <w:rPr>
          <w:sz w:val="28"/>
          <w:szCs w:val="28"/>
          <w:lang w:val="uk-UA"/>
        </w:rPr>
        <w:t xml:space="preserve">31,58±0,64 та 29,88±0,71, відповідно, </w:t>
      </w:r>
      <w:r w:rsidRPr="003C2169">
        <w:rPr>
          <w:rStyle w:val="tlid-translation"/>
          <w:rFonts w:eastAsiaTheme="majorEastAsia"/>
          <w:sz w:val="28"/>
          <w:szCs w:val="28"/>
          <w:lang w:val="uk-UA"/>
        </w:rPr>
        <w:t>р=0,049). При поєднаному перебігу ГХ, ЦД 2 типу  та СГТ зниження ІМТ мало достовірний характер тільки в разі порівнянні між пацієнтами квартилів 2 та 3 ВДТ крові (</w:t>
      </w:r>
      <w:r w:rsidRPr="003C2169">
        <w:rPr>
          <w:sz w:val="28"/>
          <w:szCs w:val="28"/>
          <w:lang w:val="uk-UA"/>
        </w:rPr>
        <w:t xml:space="preserve">29,42±0,67 та 27,58±0,55, відповідно, </w:t>
      </w:r>
      <w:r w:rsidRPr="003C2169">
        <w:rPr>
          <w:rStyle w:val="tlid-translation"/>
          <w:rFonts w:eastAsiaTheme="majorEastAsia"/>
          <w:sz w:val="28"/>
          <w:szCs w:val="28"/>
          <w:lang w:val="uk-UA"/>
        </w:rPr>
        <w:t xml:space="preserve">р=0,038). Після розподілу пацієнтів усіх груп за квартилями ВДТ клітин букального епітелію не було виявлено достовірних відмінностей ІМТ залежно від ВДТ. </w:t>
      </w:r>
      <w:r w:rsidRPr="003C2169">
        <w:rPr>
          <w:sz w:val="28"/>
          <w:szCs w:val="28"/>
          <w:lang w:val="uk-UA"/>
        </w:rPr>
        <w:t xml:space="preserve">Також було виявлено посилення атерогенності дисліпідемії за наявності більш короткої ВДТ, що спостерігалося у групах ізольованої ГХ та ГХ із ЦД 2 типу. Так, у групах 1 та 2 при короткої ВДТ порівняно з довгою ВДТ були достовірно вище рівні ЗХС (ВДТ крові – (р=0,007) у групі 1, (р=0,002) у групі 2, ВДТ клітин букального епітелію- (р=0,049) у групі 1, (р=0,016) - у групі 2),  рівні ХС ЛПНЩ (ВДТ крові  - (р=0,008) у групі 1, (р=0,021) у групі 2, ВДТ клітин букального епітелію- (р=0,046) у групі 1, (р=0,006) – у групі 2). При поєднаному перебігу ГХ, ЦД 2 типу та СГТ при розподілі пацієнтів за квартилями зміни ВДТ крові та клітин букального епітелію не супроводжувались суттєвими відмінностями показників ліпідного обміну. </w:t>
      </w:r>
    </w:p>
    <w:p w:rsidR="00E3259F" w:rsidRPr="003C2169" w:rsidRDefault="00E3259F" w:rsidP="00E3259F">
      <w:pPr>
        <w:spacing w:line="360" w:lineRule="auto"/>
        <w:ind w:firstLine="709"/>
        <w:jc w:val="both"/>
        <w:rPr>
          <w:sz w:val="28"/>
          <w:szCs w:val="28"/>
          <w:lang w:val="uk-UA"/>
        </w:rPr>
      </w:pPr>
      <w:r w:rsidRPr="003C2169">
        <w:rPr>
          <w:sz w:val="28"/>
          <w:szCs w:val="28"/>
          <w:lang w:val="uk-UA"/>
        </w:rPr>
        <w:t xml:space="preserve">При визначенні особливостей вуглеводного обміну було виявлено тенденцією до зниження рівня глюкози натще при більш довгих теломерах в усіх групах пацієнтів, проте достовірні відмінності цього показника спостерігались тільки у групах 1 та 2 ( при порівнянні ВДТ крові відповідно р=0,001 у групі 2, ВДТ букального епітелію (р=0,033) у групі 1 та (р&lt;0,001) у групі 2). </w:t>
      </w:r>
    </w:p>
    <w:p w:rsidR="00E3259F" w:rsidRPr="003C2169" w:rsidRDefault="00E3259F" w:rsidP="00E3259F">
      <w:pPr>
        <w:spacing w:line="360" w:lineRule="auto"/>
        <w:ind w:firstLine="709"/>
        <w:jc w:val="both"/>
        <w:rPr>
          <w:sz w:val="28"/>
          <w:szCs w:val="28"/>
          <w:lang w:val="uk-UA"/>
        </w:rPr>
      </w:pPr>
      <w:r w:rsidRPr="003C2169">
        <w:rPr>
          <w:sz w:val="28"/>
          <w:szCs w:val="28"/>
          <w:lang w:val="uk-UA"/>
        </w:rPr>
        <w:t>Нами було проведено аналіз значення корекції визнаних модифікованих антропометричних та метаболічних факторів ризику для ВДТ. Так, оцінюючи</w:t>
      </w:r>
      <w:r w:rsidRPr="003C2169">
        <w:rPr>
          <w:rStyle w:val="tlid-translation"/>
          <w:rFonts w:eastAsiaTheme="majorEastAsia"/>
          <w:sz w:val="28"/>
          <w:szCs w:val="28"/>
          <w:lang w:val="uk-UA"/>
        </w:rPr>
        <w:t xml:space="preserve"> значення рівня АТ, було проведено порівняння ВДТ при різних рівнях АТ: цільових та нецільових рівнях (відповідно до рекомендацій ЕТК, 2018). </w:t>
      </w:r>
      <w:r w:rsidRPr="003C2169">
        <w:rPr>
          <w:sz w:val="28"/>
          <w:szCs w:val="28"/>
          <w:lang w:val="uk-UA"/>
        </w:rPr>
        <w:t xml:space="preserve">Визначено, що у пацієнтів з ізольованою ГХ не спостерігалося достовірних відмінностей ВДТ як крові, так клітин букального епітелію </w:t>
      </w:r>
      <w:r w:rsidRPr="003C2169">
        <w:rPr>
          <w:sz w:val="28"/>
          <w:szCs w:val="28"/>
          <w:lang w:val="uk-UA" w:eastAsia="en-US"/>
        </w:rPr>
        <w:t>залежно</w:t>
      </w:r>
      <w:r w:rsidRPr="003C2169">
        <w:rPr>
          <w:sz w:val="28"/>
          <w:szCs w:val="28"/>
          <w:lang w:val="uk-UA"/>
        </w:rPr>
        <w:t xml:space="preserve"> від наявності цільових рівнів АТ, але при поєднаному перебігу ГХ та ЦД 2 типу спостерігалась суттєво більш коротка ВДТ у пацієнтів, що не мали цільових рівнів як САТ, так і ДАТ, що є вагомим фактом, який підтверджує важливість контролю АТ при ЦД (ВДТ крові при цільових рівнях САТ -1,45±0,19, при нецільових рівнях САТ - 0,89±0,04, р=0,011, відповідно; ВТД букального епітелію при цільових рівнях САТ - 0,99±0,09, при нецільових рівнях САТ - 0,87±0,04, р&gt;0,05, відповідно; ВДТ крові при цільових рівнях ДАТ -1,43±0,01, при нецільових - 0,94±0,04, р&lt;0,001, відповідно; ВДТ букального епітелію при цільових рівнях ДАТ - 1,27±0,01, при нецільових рівнях ДАТ - 0,88±0,04, р&lt;0,001, відповідно). Наявність ПАТ в межах рекомендованих значень також асоціювалось з достовірно більш довгими теломерами як крові (р=0,013), так і клітин букального епітелію (р=0,004) порівняно з хворими з більш високим значенням ПАТ. У пацієнтів при поєднаному перебігу ГХ, ЦД 2 типу та СГТ не було виявлено достовірних відмінностей ВДТ крові та клітин букального епітелію залежно від наявності цільових рівнів АТ. </w:t>
      </w:r>
    </w:p>
    <w:p w:rsidR="00E3259F" w:rsidRPr="003C2169" w:rsidRDefault="00E3259F" w:rsidP="00E3259F">
      <w:pPr>
        <w:pStyle w:val="xfmc1"/>
        <w:spacing w:before="0" w:beforeAutospacing="0" w:after="0" w:afterAutospacing="0" w:line="360" w:lineRule="auto"/>
        <w:ind w:firstLine="709"/>
        <w:jc w:val="both"/>
        <w:rPr>
          <w:sz w:val="28"/>
          <w:szCs w:val="28"/>
          <w:lang w:val="uk-UA"/>
        </w:rPr>
      </w:pPr>
      <w:r w:rsidRPr="003C2169">
        <w:rPr>
          <w:sz w:val="28"/>
          <w:szCs w:val="28"/>
          <w:lang w:val="uk-UA"/>
        </w:rPr>
        <w:t xml:space="preserve">Було виявлено, що наявність цільових рівнів показників ліпідного обміну при ізольованої ГХ асоціювалася з різноспрямованим характером ВДТ: при цільових значеннях ЗХС, ТГ, ХС ЛПНЩ  ВДТ крові була коротше , а ВДТ клітин букального епітелію довше, ніж у пацієнтів, що мали нецільові рівні цих показників, проте достовірних відмінностей знайдено не було (р&gt;0,05). Наявність цільових рівней ХС ЛПВЩ  асоціювалася з достовірно більш кроткими теломерами крові (1,23±0,07 проти 1,40±0,05, р=0,045)  та букального епітелію (1,19±0,06 проти 1,40±0,08, р=0,040) у цій групі пацієнтів . </w:t>
      </w:r>
    </w:p>
    <w:p w:rsidR="00E3259F" w:rsidRPr="003C2169" w:rsidRDefault="00E3259F" w:rsidP="00E3259F">
      <w:pPr>
        <w:pStyle w:val="xfmc1"/>
        <w:spacing w:before="0" w:beforeAutospacing="0" w:after="0" w:afterAutospacing="0" w:line="360" w:lineRule="auto"/>
        <w:ind w:firstLine="709"/>
        <w:jc w:val="both"/>
        <w:rPr>
          <w:sz w:val="28"/>
          <w:szCs w:val="28"/>
          <w:lang w:val="uk-UA"/>
        </w:rPr>
      </w:pPr>
      <w:r w:rsidRPr="003C2169">
        <w:rPr>
          <w:sz w:val="28"/>
          <w:szCs w:val="28"/>
          <w:lang w:val="uk-UA"/>
        </w:rPr>
        <w:t>Серед пацієнтів з коморбідною патологією наявність цільових рівнів ліпідів асоціювалась з більш довгою ВДТ, ніж при не цільових рівнях ліпідів, незалежно від функціонального стану ЩЗ.  Було виявлено, що цільові рівні ЗХC супроводжувались довшою ВДТ крові, ніж при нецільових рівнях ЗХС, як при ГХ та ЦД 2 типу (1,02±0,07 проти 0,84±0,03, р=0,015), так й при поєднаному перебігу ГХ, ЦД 2 типу та СГТ (1,18±0,20 проти 0,88±0,04, р=0,016) . При цільових рівнях ХС ЛПНЩ спостерігалася достовірно довша ВДТ крові у пацієнтів групи 2 (0,98±0,06 проти 0,82±0,05, р=0,027) та групи 3 (1,16±0,02 проти 0,91±0,04, р=0,046) та  ВДТ клітин букального епітелію у групі 2 (0,91±0,05 проти 0,77±0,04, р=0,017), ніж при нецільових рівнях ХС ЛПНЩ. При цільових значеннях ТГ спостерігалась довша ВДТ, ніж при нецільових рівнях ТГ, але достовірні відмінності спостерігалися лише у групі 2 при порівнянні ВДТ крові (1,08±0,07 проти 0,75±0,03, р&lt;0,001). Аналогічна тенденція спостерігалася при наявності цільових значень ХС ЛПВЩ: більш довгі теломери при цільових рівнях, проте достовірні відмінності з пацієнтами, які не мали цільових рівнів, спостерігалися тільки при порівнянні ВДТ крові у групі ГХ та ЦД 2 типу  (1,05±0,08 проти 0,86±0,04, р=0,035).</w:t>
      </w:r>
    </w:p>
    <w:p w:rsidR="00E3259F" w:rsidRPr="003C2169" w:rsidRDefault="00E3259F" w:rsidP="00E3259F">
      <w:pPr>
        <w:pStyle w:val="xfmc1"/>
        <w:spacing w:before="0" w:beforeAutospacing="0" w:after="0" w:afterAutospacing="0" w:line="360" w:lineRule="auto"/>
        <w:ind w:firstLine="709"/>
        <w:jc w:val="both"/>
        <w:rPr>
          <w:sz w:val="28"/>
          <w:szCs w:val="28"/>
          <w:lang w:val="uk-UA"/>
        </w:rPr>
      </w:pPr>
      <w:r w:rsidRPr="003C2169">
        <w:rPr>
          <w:sz w:val="28"/>
          <w:szCs w:val="28"/>
          <w:lang w:val="uk-UA"/>
        </w:rPr>
        <w:t>Аналізуючи вплив наявності компенсаторного стану вуглеводного обміну на ВДТ у пацієнтів  з коморбідною патологією, переконливі дані були отримані тільки у групі поєднаного перебігу ГХ та ЦД 2 типу: при рівнях глюкози натще &lt;6,5 ммоль/л спостерігалися достовірно довша ВДТ як крові (1,02</w:t>
      </w:r>
      <w:r w:rsidRPr="003C2169">
        <w:rPr>
          <w:sz w:val="28"/>
          <w:szCs w:val="28"/>
          <w:lang w:val="uk-UA" w:eastAsia="en-US"/>
        </w:rPr>
        <w:t>±0</w:t>
      </w:r>
      <w:r w:rsidRPr="003C2169">
        <w:rPr>
          <w:sz w:val="28"/>
          <w:szCs w:val="28"/>
          <w:lang w:val="uk-UA"/>
        </w:rPr>
        <w:t xml:space="preserve">,07 проти 0,84±0,03, р=0,015), так і клітин букального епітелію (1,04±0,08 проти 0,79±0,036, р=0,001), ніж при більш високих значеннях глюкози. У пацієнтів, що мали рівень </w:t>
      </w:r>
      <w:r w:rsidRPr="003C2169">
        <w:rPr>
          <w:sz w:val="28"/>
          <w:szCs w:val="28"/>
          <w:lang w:val="en-US"/>
        </w:rPr>
        <w:t>HbA</w:t>
      </w:r>
      <w:r w:rsidRPr="003C2169">
        <w:rPr>
          <w:sz w:val="28"/>
          <w:szCs w:val="28"/>
          <w:lang w:val="uk-UA"/>
        </w:rPr>
        <w:t>1</w:t>
      </w:r>
      <w:r w:rsidRPr="003C2169">
        <w:rPr>
          <w:sz w:val="28"/>
          <w:szCs w:val="28"/>
          <w:lang w:val="en-US"/>
        </w:rPr>
        <w:t>c</w:t>
      </w:r>
      <w:r w:rsidRPr="003C2169">
        <w:rPr>
          <w:sz w:val="28"/>
          <w:szCs w:val="28"/>
          <w:lang w:val="uk-UA"/>
        </w:rPr>
        <w:t xml:space="preserve">&lt;6,9% спостерігалася достовірно довша ВДТ крові, ніж при рівнях </w:t>
      </w:r>
      <w:r w:rsidRPr="003C2169">
        <w:rPr>
          <w:sz w:val="28"/>
          <w:szCs w:val="28"/>
          <w:lang w:val="en-US"/>
        </w:rPr>
        <w:t>HbA</w:t>
      </w:r>
      <w:r w:rsidRPr="003C2169">
        <w:rPr>
          <w:sz w:val="28"/>
          <w:szCs w:val="28"/>
          <w:lang w:val="uk-UA"/>
        </w:rPr>
        <w:t>1</w:t>
      </w:r>
      <w:r w:rsidRPr="003C2169">
        <w:rPr>
          <w:sz w:val="28"/>
          <w:szCs w:val="28"/>
          <w:lang w:val="en-US"/>
        </w:rPr>
        <w:t>c</w:t>
      </w:r>
      <w:r w:rsidRPr="003C2169">
        <w:rPr>
          <w:sz w:val="28"/>
          <w:szCs w:val="28"/>
          <w:lang w:val="uk-UA"/>
        </w:rPr>
        <w:t xml:space="preserve"> більше 7,0% (1,04</w:t>
      </w:r>
      <w:r w:rsidRPr="003C2169">
        <w:rPr>
          <w:sz w:val="28"/>
          <w:szCs w:val="28"/>
          <w:lang w:val="uk-UA" w:eastAsia="en-US"/>
        </w:rPr>
        <w:t>±0</w:t>
      </w:r>
      <w:r w:rsidRPr="003C2169">
        <w:rPr>
          <w:sz w:val="28"/>
          <w:szCs w:val="28"/>
          <w:lang w:val="uk-UA"/>
        </w:rPr>
        <w:t>,06 проти 0,78</w:t>
      </w:r>
      <w:r w:rsidRPr="003C2169">
        <w:rPr>
          <w:sz w:val="28"/>
          <w:szCs w:val="28"/>
          <w:lang w:val="uk-UA" w:eastAsia="en-US"/>
        </w:rPr>
        <w:t>±0</w:t>
      </w:r>
      <w:r w:rsidRPr="003C2169">
        <w:rPr>
          <w:sz w:val="28"/>
          <w:szCs w:val="28"/>
          <w:lang w:val="uk-UA"/>
        </w:rPr>
        <w:t>,03, р&lt;0,001), але достовірних відмінностей ВДТ клітин букального епітелію знайдейно не було (0,94</w:t>
      </w:r>
      <w:r w:rsidRPr="003C2169">
        <w:rPr>
          <w:sz w:val="28"/>
          <w:szCs w:val="28"/>
          <w:lang w:val="uk-UA" w:eastAsia="en-US"/>
        </w:rPr>
        <w:t>±0</w:t>
      </w:r>
      <w:r w:rsidRPr="003C2169">
        <w:rPr>
          <w:sz w:val="28"/>
          <w:szCs w:val="28"/>
          <w:lang w:val="uk-UA"/>
        </w:rPr>
        <w:t xml:space="preserve">,04 проти </w:t>
      </w:r>
      <w:r w:rsidRPr="003C2169">
        <w:rPr>
          <w:sz w:val="28"/>
          <w:szCs w:val="28"/>
          <w:lang w:val="uk-UA" w:eastAsia="en-US"/>
        </w:rPr>
        <w:t>0</w:t>
      </w:r>
      <w:r w:rsidRPr="003C2169">
        <w:rPr>
          <w:sz w:val="28"/>
          <w:szCs w:val="28"/>
          <w:lang w:val="uk-UA"/>
        </w:rPr>
        <w:t>,8610</w:t>
      </w:r>
      <w:r w:rsidRPr="003C2169">
        <w:rPr>
          <w:sz w:val="28"/>
          <w:szCs w:val="28"/>
          <w:lang w:val="uk-UA" w:eastAsia="en-US"/>
        </w:rPr>
        <w:t>±0,</w:t>
      </w:r>
      <w:r w:rsidRPr="003C2169">
        <w:rPr>
          <w:sz w:val="28"/>
          <w:szCs w:val="28"/>
          <w:lang w:val="uk-UA"/>
        </w:rPr>
        <w:t xml:space="preserve">05, р&gt;0,05). При поєднаному перебігу ГХ, ЦД 2 типу та СГТ наявність ознак компенсації вуглеводного обміну супроводжувалась більшою ВДТ як крові, так і клітин букального епітелію, ніж при недостатньому глікемічному контролі, проте достовірних відмінностей знайдено не було. </w:t>
      </w:r>
    </w:p>
    <w:p w:rsidR="00E3259F" w:rsidRPr="003C2169" w:rsidRDefault="00E3259F" w:rsidP="00E3259F">
      <w:pPr>
        <w:shd w:val="clear" w:color="auto" w:fill="FFFFFF"/>
        <w:spacing w:line="360" w:lineRule="auto"/>
        <w:ind w:firstLine="709"/>
        <w:jc w:val="both"/>
        <w:rPr>
          <w:sz w:val="28"/>
          <w:szCs w:val="28"/>
          <w:lang w:val="uk-UA"/>
        </w:rPr>
      </w:pPr>
      <w:r w:rsidRPr="003C2169">
        <w:rPr>
          <w:sz w:val="28"/>
          <w:szCs w:val="28"/>
          <w:lang w:val="uk-UA"/>
        </w:rPr>
        <w:t xml:space="preserve">За допомогою однофакторного дисперсійного аналізу нами було проведено визначення впливу модифікованих антропометричних та метаболічних факторів ризику, що змінюються у двох напрямках: наявність цільових рівнів і нецільових рівнів, на ВДТ.  Виявлено достовірно значимий вплив наявності цільових значень рівня ЗХС (р=0,041), ТГ (р&lt;0,001), ХСЛПДНЩ (р=0,049), ХСЛПВЩ (р=0,031) у групі 2 та  рівня ЗХС (р=0,016) у групі 3 на ВДТ крові,  вплив наявності цільових значень ХС ЛПВЩ (р=0,040) на ВДТ клітин букального епітелію у групі 1. Було встановлено значний вплив наявності компенсації  ЦД 2 типу на ВДТ: у групі 2 наявність цільових рівней глюкозі натще достовірно впливала як на ВДТ крові (р=0,036), так і ВДТ клітин букального епітелію (р=0,001), наявність цільових рівнів </w:t>
      </w:r>
      <w:r w:rsidRPr="003C2169">
        <w:rPr>
          <w:sz w:val="28"/>
          <w:szCs w:val="28"/>
        </w:rPr>
        <w:t>HbA</w:t>
      </w:r>
      <w:r w:rsidRPr="003C2169">
        <w:rPr>
          <w:sz w:val="28"/>
          <w:szCs w:val="28"/>
          <w:lang w:val="uk-UA"/>
        </w:rPr>
        <w:t>1</w:t>
      </w:r>
      <w:r w:rsidRPr="003C2169">
        <w:rPr>
          <w:sz w:val="28"/>
          <w:szCs w:val="28"/>
        </w:rPr>
        <w:t>c</w:t>
      </w:r>
      <w:r w:rsidRPr="003C2169">
        <w:rPr>
          <w:sz w:val="28"/>
          <w:szCs w:val="28"/>
          <w:lang w:val="uk-UA"/>
        </w:rPr>
        <w:t xml:space="preserve"> також достовірно впливала на ВДТ крові (р=0,002) та клітин букального епітелію (р=0,018). Виявлено достовірний вплив цільових рівнів САТ на ВДТ крові  у групі 2 (р&lt;0,001), цільових рівней ДАТ на ВДТ клітин букального епітелію - у групі 1 (р=0,012) та  у групі 2 (р=0,036). Досягнення рекомендованих рівнів ПАТ достовірно впливало на ВДТ в усіх групах пацієнтів: на ВДТ клітин букального епітелію у групі 1 (р=0,004), на ВДТ крові у групі 2 (р&lt;0,001) та ВДТ клітин букального епітелію у групі 3 (р=0,039). </w:t>
      </w:r>
    </w:p>
    <w:p w:rsidR="00E3259F" w:rsidRPr="003C2169" w:rsidRDefault="00E3259F" w:rsidP="00E3259F">
      <w:pPr>
        <w:shd w:val="clear" w:color="auto" w:fill="FFFFFF"/>
        <w:spacing w:line="360" w:lineRule="auto"/>
        <w:ind w:firstLine="709"/>
        <w:jc w:val="both"/>
        <w:rPr>
          <w:sz w:val="28"/>
          <w:szCs w:val="28"/>
          <w:lang w:val="uk-UA"/>
        </w:rPr>
      </w:pPr>
      <w:r w:rsidRPr="003C2169">
        <w:rPr>
          <w:sz w:val="28"/>
          <w:szCs w:val="28"/>
          <w:lang w:val="uk-UA"/>
        </w:rPr>
        <w:t xml:space="preserve">Отримані результати свідчать про значний вплив АТ, метаболічних порушень, ДЕ, ОС на процеси судинного старіння при досліджуваної коморбідності захворювань, що робить припущення про можливість використання ВДТ в якості маркера серцево-судинного прогнозу значимим для цієї категорії хворих. </w:t>
      </w:r>
    </w:p>
    <w:p w:rsidR="00E3259F" w:rsidRPr="003C2169" w:rsidRDefault="00E3259F" w:rsidP="00E3259F">
      <w:pPr>
        <w:spacing w:line="360" w:lineRule="auto"/>
        <w:ind w:firstLine="709"/>
        <w:jc w:val="both"/>
        <w:rPr>
          <w:sz w:val="28"/>
          <w:szCs w:val="28"/>
          <w:lang w:val="uk-UA"/>
        </w:rPr>
      </w:pPr>
      <w:r w:rsidRPr="003C2169">
        <w:rPr>
          <w:sz w:val="28"/>
          <w:szCs w:val="28"/>
          <w:shd w:val="clear" w:color="auto" w:fill="FFFFFF"/>
          <w:lang w:val="uk-UA"/>
        </w:rPr>
        <w:t xml:space="preserve">У дисертаційній роботі певна увага приділялась дослідженню гендерних особливостей досліджуваних процесів метаболізму, ЕД, ОС, процесів судинного старіння у групах пацієнтів з коморбідною патологією. Так у групах пацієнтів з коморбідною патологією  було виявлено збільшення проатерогенних фракцій ліпідів у жінок </w:t>
      </w:r>
      <w:r w:rsidRPr="003C2169">
        <w:rPr>
          <w:sz w:val="28"/>
          <w:szCs w:val="28"/>
          <w:lang w:val="uk-UA"/>
        </w:rPr>
        <w:t xml:space="preserve">порівняно </w:t>
      </w:r>
      <w:r w:rsidRPr="003C2169">
        <w:rPr>
          <w:sz w:val="28"/>
          <w:szCs w:val="28"/>
          <w:shd w:val="clear" w:color="auto" w:fill="FFFFFF"/>
          <w:lang w:val="uk-UA"/>
        </w:rPr>
        <w:t>з чоловіками, але достовірних відмінностей знайдено не було.</w:t>
      </w:r>
      <w:r w:rsidRPr="003C2169">
        <w:rPr>
          <w:sz w:val="28"/>
          <w:szCs w:val="28"/>
          <w:lang w:val="uk-UA"/>
        </w:rPr>
        <w:t xml:space="preserve"> У </w:t>
      </w:r>
      <w:r w:rsidRPr="003C2169">
        <w:rPr>
          <w:bCs/>
          <w:iCs/>
          <w:kern w:val="36"/>
          <w:sz w:val="28"/>
          <w:szCs w:val="28"/>
          <w:lang w:val="uk-UA"/>
        </w:rPr>
        <w:t xml:space="preserve">жінок із ГХ та ЦД 2 типу при супутньому СГТ була виявлена більш виражена дисліпідемія, ніж при відсутності порушення функції ЩЖ, що проявлялося достовірним збільшенням рівнів ЗХС (р=0,036), у чоловіків вплив СГТ на показники ліпідного обміну не приводив до статистично значимих відмінностей. При аналізі </w:t>
      </w:r>
      <w:r w:rsidRPr="003C2169">
        <w:rPr>
          <w:sz w:val="28"/>
          <w:szCs w:val="28"/>
          <w:lang w:val="uk-UA"/>
        </w:rPr>
        <w:t xml:space="preserve">показників вуглеводного обміну у жінок групи 3 спостерігалися достовірно нижчі рівні глюкози натще, ніж у чоловіків (р=0,012), між іншими показниками вуглеводного обміну  достовірних відмінностей за статтю знайдено не було. При міжгруповому порівнянні у жінок групи 3 спостерігались достовірно нижчі рівні глюкози натще (р=0,001) та індекс НОМА- </w:t>
      </w:r>
      <w:r w:rsidRPr="003C2169">
        <w:rPr>
          <w:sz w:val="28"/>
          <w:szCs w:val="28"/>
          <w:lang w:val="en-US"/>
        </w:rPr>
        <w:t>IR</w:t>
      </w:r>
      <w:r w:rsidRPr="003C2169">
        <w:rPr>
          <w:sz w:val="28"/>
          <w:szCs w:val="28"/>
          <w:lang w:val="uk-UA"/>
        </w:rPr>
        <w:t xml:space="preserve"> (р=0,004), ніж у жінок групи 2. Між чоловіками групи 2 та 3 статистично значущі відмінності були відсутні. Проведення однофакторного дисперсійного аналізу виявило достовірний вплив стати на рівень глюкози натще (р=0,012) у пацієнтів при коморбідному перебігу ГХ, ЦД 2 типу та СГТ. </w:t>
      </w:r>
    </w:p>
    <w:p w:rsidR="00E3259F" w:rsidRPr="003C2169" w:rsidRDefault="00E3259F" w:rsidP="00E3259F">
      <w:pPr>
        <w:spacing w:line="360" w:lineRule="auto"/>
        <w:ind w:firstLine="709"/>
        <w:jc w:val="both"/>
        <w:rPr>
          <w:sz w:val="28"/>
          <w:szCs w:val="28"/>
          <w:shd w:val="clear" w:color="auto" w:fill="FFFFFF"/>
          <w:lang w:val="uk-UA"/>
        </w:rPr>
      </w:pPr>
      <w:r w:rsidRPr="003C2169">
        <w:rPr>
          <w:sz w:val="28"/>
          <w:szCs w:val="28"/>
          <w:shd w:val="clear" w:color="auto" w:fill="FFFFFF"/>
          <w:lang w:val="uk-UA"/>
        </w:rPr>
        <w:t xml:space="preserve">Порівняльний аналіз показників ОС у групах пацієнтів з коморбідною патологією </w:t>
      </w:r>
      <w:r w:rsidRPr="003C2169">
        <w:rPr>
          <w:sz w:val="28"/>
          <w:szCs w:val="28"/>
          <w:lang w:val="uk-UA" w:eastAsia="en-US"/>
        </w:rPr>
        <w:t xml:space="preserve">залежно </w:t>
      </w:r>
      <w:r w:rsidRPr="003C2169">
        <w:rPr>
          <w:sz w:val="28"/>
          <w:szCs w:val="28"/>
          <w:shd w:val="clear" w:color="auto" w:fill="FFFFFF"/>
          <w:lang w:val="uk-UA"/>
        </w:rPr>
        <w:t xml:space="preserve">від статі не виявив достовірних відмінностей між жінками та чоловіками в усіх групах хворих за рівнями МДА та </w:t>
      </w:r>
      <w:r w:rsidRPr="003C2169">
        <w:rPr>
          <w:sz w:val="28"/>
          <w:szCs w:val="28"/>
          <w:shd w:val="clear" w:color="auto" w:fill="FFFFFF"/>
          <w:lang w:val="en-US"/>
        </w:rPr>
        <w:t>SH</w:t>
      </w:r>
      <w:r w:rsidRPr="003C2169">
        <w:rPr>
          <w:sz w:val="28"/>
          <w:szCs w:val="28"/>
          <w:shd w:val="clear" w:color="auto" w:fill="FFFFFF"/>
          <w:lang w:val="uk-UA"/>
        </w:rPr>
        <w:t xml:space="preserve">-груп. Активність ГПО у групі ГХ та ЦД 2 типу в жінок була вірогідно вище, ніж у чоловіків (р=0,006), що узгоджується з результатами дослідників, які виявили більш високий антиоксидантний потенціал у женок, ніж у чоловіків у фізіологічних умовах [251], а рівень </w:t>
      </w:r>
      <w:r w:rsidRPr="003C2169">
        <w:rPr>
          <w:sz w:val="28"/>
          <w:szCs w:val="28"/>
          <w:lang w:val="uk-UA" w:eastAsia="en-US"/>
        </w:rPr>
        <w:t>8-OHdG  в групі  пацієнтів з ГХ, ЦД 2 типу та СГТ у чоловіків був достовірно вищий, ніж у жінок (р=0,048)</w:t>
      </w:r>
      <w:r w:rsidRPr="003C2169">
        <w:rPr>
          <w:sz w:val="28"/>
          <w:szCs w:val="28"/>
          <w:shd w:val="clear" w:color="auto" w:fill="FFFFFF"/>
          <w:lang w:val="uk-UA"/>
        </w:rPr>
        <w:t xml:space="preserve">. Виявлено достовірно значимий вплив статі на активність ГПО (р=0,006) у групі пацієнтів з ГХ та ЦД 2 типу та рівні </w:t>
      </w:r>
      <w:r w:rsidRPr="003C2169">
        <w:rPr>
          <w:sz w:val="28"/>
          <w:szCs w:val="28"/>
          <w:lang w:val="uk-UA" w:eastAsia="en-US"/>
        </w:rPr>
        <w:t>8-OHdG (р=0,036)</w:t>
      </w:r>
      <w:r w:rsidRPr="003C2169">
        <w:rPr>
          <w:sz w:val="28"/>
          <w:szCs w:val="28"/>
          <w:shd w:val="clear" w:color="auto" w:fill="FFFFFF"/>
          <w:lang w:val="uk-UA"/>
        </w:rPr>
        <w:t>.</w:t>
      </w:r>
    </w:p>
    <w:p w:rsidR="00E3259F" w:rsidRPr="003C2169" w:rsidRDefault="00E3259F" w:rsidP="00E3259F">
      <w:pPr>
        <w:spacing w:line="360" w:lineRule="auto"/>
        <w:ind w:firstLine="709"/>
        <w:jc w:val="both"/>
        <w:rPr>
          <w:sz w:val="28"/>
          <w:szCs w:val="28"/>
          <w:lang w:val="uk-UA"/>
        </w:rPr>
      </w:pPr>
      <w:r w:rsidRPr="003C2169">
        <w:rPr>
          <w:sz w:val="28"/>
          <w:szCs w:val="28"/>
          <w:shd w:val="clear" w:color="auto" w:fill="FFFFFF"/>
          <w:lang w:val="uk-UA"/>
        </w:rPr>
        <w:t xml:space="preserve"> </w:t>
      </w:r>
      <w:r w:rsidRPr="003C2169">
        <w:rPr>
          <w:sz w:val="28"/>
          <w:szCs w:val="28"/>
          <w:lang w:val="uk-UA"/>
        </w:rPr>
        <w:t xml:space="preserve">Аналіз гендерних відмінностей показників ЕД та системного хронічного запалення не виявив суттєвого гендерного впливу на рівні ВЕФР, кількість ЦДЕК, СРП та ФНП-α, проте наявність СГТ приводила до погіршення маркерів ЕД як у жінок, так і в чоловіків, хоча  статистично значимих відмінностей отримано не було. Значення ТКІМ у чоловіків було вище, ніж у жінок незалежно від функціонального стану ЩЗ, проте достовірні відмінності спостерігалися лише при порівняні у групі 2 (р=0,005). Також не було визначено гендерних відмінностей ВДТ в досліджуваних групах  та не було виявлено достовірного впливу статі на ВДТ в групах, незалежно від патологічного процесу. </w:t>
      </w:r>
    </w:p>
    <w:p w:rsidR="00E3259F" w:rsidRPr="003C2169" w:rsidRDefault="00E3259F" w:rsidP="00E3259F">
      <w:pPr>
        <w:pStyle w:val="amaintext"/>
        <w:spacing w:before="0" w:beforeAutospacing="0" w:after="0" w:afterAutospacing="0" w:line="360" w:lineRule="auto"/>
        <w:ind w:firstLine="709"/>
        <w:jc w:val="both"/>
        <w:rPr>
          <w:sz w:val="28"/>
          <w:szCs w:val="28"/>
          <w:lang w:val="uk-UA"/>
        </w:rPr>
      </w:pPr>
      <w:r w:rsidRPr="003C2169">
        <w:rPr>
          <w:sz w:val="28"/>
          <w:szCs w:val="28"/>
          <w:lang w:val="uk-UA"/>
        </w:rPr>
        <w:t xml:space="preserve">Згідно з завданнями дослідження був проведений аналіз досліджуваних показників </w:t>
      </w:r>
      <w:r w:rsidRPr="003C2169">
        <w:rPr>
          <w:sz w:val="28"/>
          <w:szCs w:val="28"/>
          <w:lang w:val="uk-UA" w:eastAsia="en-US"/>
        </w:rPr>
        <w:t xml:space="preserve">залежно </w:t>
      </w:r>
      <w:r w:rsidRPr="003C2169">
        <w:rPr>
          <w:sz w:val="28"/>
          <w:szCs w:val="28"/>
          <w:lang w:val="uk-UA"/>
        </w:rPr>
        <w:t xml:space="preserve">від вікової підгрупи та визначення впливу віку на показники, що досліджуються. Так, не було виявлено статистично значущіх вікових відмінностей між антропометричними та метаболічними показниками у групі пацієнтів із ізольованою ГХ. У групі пацієнтів із поєднаним перебігом ГХ та ЦД 2 типу у віковій підгрупі 44-60 років порівняно з пацієнтами старшої вікової підгрупи спостерігалась достовірно більша МТ (р=0,024), більш виражена дисліпідемія, що супроводжувалось достовірно вищими рівнями ТГ(р=0,008), ХС ЛПДНЩ (р=0,001) та нижчими рівнями ХС ЛПВЩ (р=0,001), був достовірно вищий  рівень інсуліну (р=0,034),  рівень ТТГ (р=0,013), Т3віл(р=0,001) та рівні артеріального тиску (САТ (р=0,001), ДАТ(р=0,049) та ПАТ (р=0,021)) ніж у пацієнтів у віковому діапазоні 61-75 років. При поєднаному перебігу ГХ, ЦД 2 типу та СГТ не спостерігалося достовірних відмінностей антропометричних та метаболічних показників </w:t>
      </w:r>
      <w:r w:rsidRPr="003C2169">
        <w:rPr>
          <w:sz w:val="28"/>
          <w:szCs w:val="28"/>
          <w:lang w:val="uk-UA" w:eastAsia="en-US"/>
        </w:rPr>
        <w:t xml:space="preserve">залежно </w:t>
      </w:r>
      <w:r w:rsidRPr="003C2169">
        <w:rPr>
          <w:sz w:val="28"/>
          <w:szCs w:val="28"/>
          <w:lang w:val="uk-UA"/>
        </w:rPr>
        <w:t>від вікової категорії. Було виявлено достовірний вплив</w:t>
      </w:r>
      <w:r w:rsidRPr="003C2169">
        <w:rPr>
          <w:sz w:val="28"/>
          <w:szCs w:val="28"/>
          <w:shd w:val="clear" w:color="auto" w:fill="FFFFFF"/>
          <w:lang w:val="uk-UA"/>
        </w:rPr>
        <w:t xml:space="preserve"> віку на антропометричні та метаболічні показники  у пацієнтів лише у групі поєднаного перебігу ГХ та ЦД 2 типу:</w:t>
      </w:r>
      <w:r w:rsidRPr="003C2169">
        <w:rPr>
          <w:sz w:val="28"/>
          <w:szCs w:val="28"/>
          <w:shd w:val="clear" w:color="auto" w:fill="FFFFFF"/>
        </w:rPr>
        <w:t> </w:t>
      </w:r>
      <w:r w:rsidRPr="003C2169">
        <w:rPr>
          <w:sz w:val="28"/>
          <w:szCs w:val="28"/>
          <w:shd w:val="clear" w:color="auto" w:fill="FFFFFF"/>
          <w:lang w:val="uk-UA"/>
        </w:rPr>
        <w:t xml:space="preserve">влив на </w:t>
      </w:r>
      <w:r w:rsidRPr="003C2169">
        <w:rPr>
          <w:sz w:val="28"/>
          <w:szCs w:val="28"/>
          <w:lang w:val="uk-UA"/>
        </w:rPr>
        <w:t xml:space="preserve">ТГ(р=0,008), ХС ЛПДНЩ (р&lt;0,001), ХС ЛПВЩ (р=0,002), інсулін (р=0,018), ТТГ (р=0,013), САТ (р&lt;0,001), ДАТ (р=0,049),ПАТ (р=0,014).  Таким чином, вікові особливості метаболічних та антропометричних порушень треба приймати до уваги не тільки оцінюючи загальний КВР, але й при розробці лікувально-профілктичних методів особливо у разі поєднаного перебігу ГХ та ЦД 2 типу. </w:t>
      </w:r>
    </w:p>
    <w:p w:rsidR="00E3259F" w:rsidRPr="003C2169" w:rsidRDefault="00E3259F" w:rsidP="00E3259F">
      <w:pPr>
        <w:pStyle w:val="amaintext"/>
        <w:spacing w:before="0" w:beforeAutospacing="0" w:after="0" w:afterAutospacing="0" w:line="360" w:lineRule="auto"/>
        <w:ind w:firstLine="709"/>
        <w:jc w:val="both"/>
        <w:rPr>
          <w:sz w:val="28"/>
          <w:szCs w:val="28"/>
          <w:lang w:val="uk-UA"/>
        </w:rPr>
      </w:pPr>
      <w:r w:rsidRPr="003C2169">
        <w:rPr>
          <w:sz w:val="28"/>
          <w:szCs w:val="28"/>
          <w:lang w:val="uk-UA"/>
        </w:rPr>
        <w:t>Існують дані, що з віком ОС посилюється [319]. Так у  дослідженнях Carracedo et al. [176] було показано, що у людей з віком спостерігається значне збільшення MДA, проте у нашій роботі подібні тенденції не спостерігалися.  Було  виявивлено достовірно нижчий рівень МДА у хворих групи 1 та 2 у старшій віковій підгрупі, ніж у підгрупі віком 44-60 років (р=0,034 при порівнянні в групі 1, р=0,004 – в групі 2, відповідно).  У  групі 3 підвищення МДА у старшій віковій підгрупі не мало статистично значущих відмінностей.  У групах пацієнтів з коморбідною патологією рівень 8-OH-dG був достовірно вище у старшій віковій підгрупі (р=0,001) незалежно від функції ЩЗ, при ізольованій ГХ достовірних відмінностей цього показника між віковими підгрупами не виявлено. У пацієнтів старшої вікової підгрупи спостерігалося зниження активності АОЗ за рахунок більш низьких рівнів SH-груп порівняно з більш молодими хворими, незалежно від патологічних станів, але достовірні відмінності між віковими підгрупами не спостерігалися (р&gt;0,05 для усіх груп пацієнтів), та достовірно нижчої  активності ГПО у групах з коморбідною патологією (р</w:t>
      </w:r>
      <w:r w:rsidRPr="003C2169">
        <w:rPr>
          <w:sz w:val="28"/>
          <w:szCs w:val="28"/>
          <w:vertAlign w:val="subscript"/>
          <w:lang w:val="uk-UA"/>
        </w:rPr>
        <w:t xml:space="preserve"> </w:t>
      </w:r>
      <w:r w:rsidRPr="003C2169">
        <w:rPr>
          <w:sz w:val="28"/>
          <w:szCs w:val="28"/>
          <w:lang w:val="uk-UA"/>
        </w:rPr>
        <w:t xml:space="preserve">=0,028-при порівнянні у групі 2, р=0,041 – при порівнянні у групі 3, відповідно). При порівняльному міжгруповому аналізі показників ОС серед осіб віком 44-60 років не було знайдено достовірних відмінностей. Серед осіб старшої вікової підгрупи були знайдені вірогідні відмінності  активності ГПО  між групами 1 та 2 (р=0,007),  групами 1 та 3 (р=0,003), рівнями МДА  між групами 1 та 3 (р=0,001). При коморбідній патології виявлені достовірні кореляційні зв’язки показників, що характеризують ОС, з показниками вуглеводного та ліпідного обміну, рівнями АТ </w:t>
      </w:r>
      <w:r w:rsidRPr="003C2169">
        <w:rPr>
          <w:sz w:val="28"/>
          <w:szCs w:val="28"/>
          <w:lang w:val="uk-UA" w:eastAsia="en-US"/>
        </w:rPr>
        <w:t xml:space="preserve">залежно </w:t>
      </w:r>
      <w:r w:rsidRPr="003C2169">
        <w:rPr>
          <w:sz w:val="28"/>
          <w:szCs w:val="28"/>
          <w:lang w:val="uk-UA"/>
        </w:rPr>
        <w:t>від вікової підгрупи [ група 2 пацієнти віком 44- 60 років: ГПО-САТ (</w:t>
      </w:r>
      <w:r w:rsidRPr="003C2169">
        <w:rPr>
          <w:sz w:val="28"/>
          <w:szCs w:val="28"/>
        </w:rPr>
        <w:t>r</w:t>
      </w:r>
      <w:r w:rsidRPr="003C2169">
        <w:rPr>
          <w:sz w:val="28"/>
          <w:szCs w:val="28"/>
          <w:lang w:val="uk-UA"/>
        </w:rPr>
        <w:t>=0,606, р=0,001) ГПО-глюкоза натще (</w:t>
      </w:r>
      <w:r w:rsidRPr="003C2169">
        <w:rPr>
          <w:sz w:val="28"/>
          <w:szCs w:val="28"/>
        </w:rPr>
        <w:t>r</w:t>
      </w:r>
      <w:r w:rsidRPr="003C2169">
        <w:rPr>
          <w:sz w:val="28"/>
          <w:szCs w:val="28"/>
          <w:lang w:val="uk-UA"/>
        </w:rPr>
        <w:t>=-0,432, р=0,001) SH-групи-ХС ЛПВЩ (</w:t>
      </w:r>
      <w:r w:rsidRPr="003C2169">
        <w:rPr>
          <w:sz w:val="28"/>
          <w:szCs w:val="28"/>
        </w:rPr>
        <w:t>r</w:t>
      </w:r>
      <w:r w:rsidRPr="003C2169">
        <w:rPr>
          <w:sz w:val="28"/>
          <w:szCs w:val="28"/>
          <w:lang w:val="uk-UA"/>
        </w:rPr>
        <w:t>=0,557, р&lt;0,001),  SH-групи-ТГ (</w:t>
      </w:r>
      <w:r w:rsidRPr="003C2169">
        <w:rPr>
          <w:sz w:val="28"/>
          <w:szCs w:val="28"/>
        </w:rPr>
        <w:t>r</w:t>
      </w:r>
      <w:r w:rsidRPr="003C2169">
        <w:rPr>
          <w:sz w:val="28"/>
          <w:szCs w:val="28"/>
          <w:lang w:val="uk-UA"/>
        </w:rPr>
        <w:t>=-0,669,  р&lt;0,001); група 2 пацієнти віком 61-75років: ГПО-ХС ЛПНЩ (</w:t>
      </w:r>
      <w:r w:rsidRPr="003C2169">
        <w:rPr>
          <w:sz w:val="28"/>
          <w:szCs w:val="28"/>
        </w:rPr>
        <w:t>r</w:t>
      </w:r>
      <w:r w:rsidRPr="003C2169">
        <w:rPr>
          <w:sz w:val="28"/>
          <w:szCs w:val="28"/>
          <w:lang w:val="uk-UA"/>
        </w:rPr>
        <w:t>=0,418, р&lt;0,001); група 3 пацієнти віком 44-60 років: МДА-ЗХС (</w:t>
      </w:r>
      <w:r w:rsidRPr="003C2169">
        <w:rPr>
          <w:sz w:val="28"/>
          <w:szCs w:val="28"/>
        </w:rPr>
        <w:t>r</w:t>
      </w:r>
      <w:r w:rsidRPr="003C2169">
        <w:rPr>
          <w:sz w:val="28"/>
          <w:szCs w:val="28"/>
          <w:lang w:val="uk-UA"/>
        </w:rPr>
        <w:t>=0,415, р=0,011); група 3 пацієнти віком 61-75 років: ГПО-ЗХС (</w:t>
      </w:r>
      <w:r w:rsidRPr="003C2169">
        <w:rPr>
          <w:sz w:val="28"/>
          <w:szCs w:val="28"/>
        </w:rPr>
        <w:t>r</w:t>
      </w:r>
      <w:r w:rsidRPr="003C2169">
        <w:rPr>
          <w:sz w:val="28"/>
          <w:szCs w:val="28"/>
          <w:lang w:val="uk-UA"/>
        </w:rPr>
        <w:t>=0,506, р&lt;0,001)], що свідчить на користь припущення про сумарний узаємозв’язок цих процесів з негативним впливом на процеси перебігу досліджуваних захворювань та збільшенням загального КВР. Встановлено наявність достовірного впливу віку на рівні 8-OH-dG</w:t>
      </w:r>
      <w:r w:rsidRPr="003C2169">
        <w:rPr>
          <w:b/>
          <w:sz w:val="28"/>
          <w:szCs w:val="28"/>
          <w:lang w:val="uk-UA"/>
        </w:rPr>
        <w:t xml:space="preserve"> </w:t>
      </w:r>
      <w:r w:rsidRPr="003C2169">
        <w:rPr>
          <w:sz w:val="28"/>
          <w:szCs w:val="28"/>
          <w:lang w:val="uk-UA"/>
        </w:rPr>
        <w:t xml:space="preserve">(р&lt;0,001), рівень МДА (р=0,004), активність ГПО (р=0,028) у групі ГХ та ЦД 2 типу, що є свідченням того, що при коморбідній патології не тільки патологічні процеси мають вплив на інтенсивність ОС, але значною мірою впливає й вік. </w:t>
      </w:r>
    </w:p>
    <w:p w:rsidR="00E3259F" w:rsidRDefault="00E3259F" w:rsidP="00E3259F">
      <w:pPr>
        <w:pStyle w:val="amaintext"/>
        <w:spacing w:before="0" w:beforeAutospacing="0" w:after="0" w:afterAutospacing="0" w:line="360" w:lineRule="auto"/>
        <w:ind w:firstLine="709"/>
        <w:jc w:val="both"/>
        <w:rPr>
          <w:rStyle w:val="tlid-translation"/>
        </w:rPr>
      </w:pPr>
      <w:r w:rsidRPr="003C2169">
        <w:rPr>
          <w:sz w:val="28"/>
          <w:szCs w:val="28"/>
          <w:lang w:val="uk-UA"/>
        </w:rPr>
        <w:t>У нашому дослідженні у групах з коморбідною патологією чітко простежувалось поглиблення ЕД з віком, що узгоджується з даними  більш ранніх робіт, які продемонстрували, що ЕД є одним з центральних механізмів, що сприяють старінню судин та розвитку серцево-судинних подій [381]. Проте достовірні вікові відмінності в нашій роботі спостерігались тільки в групі 2 при порівнянні кількості ЦДЕК (р=0,007) та ТКІМ (р=0,002) – в групі 3. Виявлені  статистично значимі  кореляційні зв`язки між рівнями ВЕФР та БВ (</w:t>
      </w:r>
      <w:r w:rsidRPr="003C2169">
        <w:rPr>
          <w:sz w:val="28"/>
          <w:szCs w:val="28"/>
          <w:lang w:val="en-US"/>
        </w:rPr>
        <w:t>r</w:t>
      </w:r>
      <w:r w:rsidRPr="003C2169">
        <w:rPr>
          <w:sz w:val="28"/>
          <w:szCs w:val="28"/>
          <w:lang w:val="uk-UA"/>
        </w:rPr>
        <w:t>=0,280, р=0,030), кількістю ЦДЕК та коеф. старіння (</w:t>
      </w:r>
      <w:r w:rsidRPr="003C2169">
        <w:rPr>
          <w:sz w:val="28"/>
          <w:szCs w:val="28"/>
          <w:lang w:val="en-US"/>
        </w:rPr>
        <w:t>r</w:t>
      </w:r>
      <w:r w:rsidRPr="003C2169">
        <w:rPr>
          <w:sz w:val="28"/>
          <w:szCs w:val="28"/>
          <w:lang w:val="uk-UA"/>
        </w:rPr>
        <w:t>=-0,268, р=0,038) у 3 групі, кількістю ЦДЕК та коеф. старіння (</w:t>
      </w:r>
      <w:r w:rsidRPr="003C2169">
        <w:rPr>
          <w:sz w:val="28"/>
          <w:szCs w:val="28"/>
          <w:lang w:val="en-US"/>
        </w:rPr>
        <w:t>r</w:t>
      </w:r>
      <w:r w:rsidRPr="003C2169">
        <w:rPr>
          <w:sz w:val="28"/>
          <w:szCs w:val="28"/>
          <w:lang w:val="uk-UA"/>
        </w:rPr>
        <w:t>=-0,203, р=0,024), індексом швидкості старіння (</w:t>
      </w:r>
      <w:r w:rsidRPr="003C2169">
        <w:rPr>
          <w:sz w:val="28"/>
          <w:szCs w:val="28"/>
          <w:lang w:val="en-US"/>
        </w:rPr>
        <w:t>r</w:t>
      </w:r>
      <w:r w:rsidRPr="003C2169">
        <w:rPr>
          <w:sz w:val="28"/>
          <w:szCs w:val="28"/>
          <w:lang w:val="uk-UA"/>
        </w:rPr>
        <w:t>=-0,213, р=0,018), коеф. швидкості старіння (</w:t>
      </w:r>
      <w:r w:rsidRPr="003C2169">
        <w:rPr>
          <w:sz w:val="28"/>
          <w:szCs w:val="28"/>
          <w:lang w:val="en-US"/>
        </w:rPr>
        <w:t>r</w:t>
      </w:r>
      <w:r w:rsidRPr="003C2169">
        <w:rPr>
          <w:sz w:val="28"/>
          <w:szCs w:val="28"/>
          <w:lang w:val="uk-UA"/>
        </w:rPr>
        <w:t xml:space="preserve">=-0,291, р=0,001) у 2 групі. У групі пацієнтів з ізольованою ГХ з віком спостерігались достовірно нижчі рівні ФНП-α </w:t>
      </w:r>
      <w:r w:rsidRPr="00E00CAF">
        <w:rPr>
          <w:sz w:val="28"/>
          <w:szCs w:val="28"/>
          <w:lang w:val="uk-UA"/>
        </w:rPr>
        <w:t>(р=0,025). При</w:t>
      </w:r>
      <w:r>
        <w:rPr>
          <w:sz w:val="28"/>
          <w:szCs w:val="28"/>
          <w:lang w:val="uk-UA"/>
        </w:rPr>
        <w:t xml:space="preserve"> поєднаному перебігу ГХ та ЦД 2 типу виявлено достовірно вищі рівні СРП (р=0,028) та нижчі рівні ФНО-α (р=0,004) у осіб старшої вікової підгрупи. У пацієнтів з ГХ, ЦД 2 типу та СГТ віком від 61 до 75 років спостерігалося достовірне зменшення рівня СРП</w:t>
      </w:r>
      <w:r>
        <w:rPr>
          <w:color w:val="FF0000"/>
          <w:sz w:val="28"/>
          <w:szCs w:val="28"/>
          <w:lang w:val="uk-UA"/>
        </w:rPr>
        <w:t xml:space="preserve">, </w:t>
      </w:r>
      <w:r>
        <w:rPr>
          <w:sz w:val="28"/>
          <w:szCs w:val="28"/>
          <w:lang w:val="uk-UA"/>
        </w:rPr>
        <w:t>ніж у більш молодшої групи (р=0,043) на тлі незначних змін ФНО-α (р&gt;0,05). Отримано достовірний</w:t>
      </w:r>
      <w:r>
        <w:rPr>
          <w:rStyle w:val="tlid-translation"/>
          <w:sz w:val="28"/>
          <w:szCs w:val="28"/>
          <w:lang w:val="uk-UA"/>
        </w:rPr>
        <w:t xml:space="preserve"> </w:t>
      </w:r>
      <w:r>
        <w:rPr>
          <w:sz w:val="28"/>
          <w:szCs w:val="28"/>
          <w:lang w:val="uk-UA"/>
        </w:rPr>
        <w:t xml:space="preserve">вплив віку на рівні СРП </w:t>
      </w:r>
      <w:r>
        <w:rPr>
          <w:sz w:val="28"/>
          <w:szCs w:val="28"/>
          <w:shd w:val="clear" w:color="auto" w:fill="FFFFFF"/>
          <w:lang w:val="uk-UA" w:eastAsia="ru-RU"/>
        </w:rPr>
        <w:t>(р=0,028) у групі 2. Б</w:t>
      </w:r>
      <w:r>
        <w:rPr>
          <w:rStyle w:val="tlid-translation"/>
          <w:sz w:val="28"/>
          <w:szCs w:val="28"/>
          <w:lang w:val="uk-UA"/>
        </w:rPr>
        <w:t>ули знайдені достовірні кореляційні зв`язки</w:t>
      </w:r>
      <w:r>
        <w:rPr>
          <w:sz w:val="28"/>
          <w:szCs w:val="28"/>
          <w:lang w:val="uk-UA"/>
        </w:rPr>
        <w:t xml:space="preserve"> між ФНП-α і </w:t>
      </w:r>
      <w:r>
        <w:rPr>
          <w:rStyle w:val="tlid-translation"/>
          <w:sz w:val="28"/>
          <w:szCs w:val="28"/>
          <w:lang w:val="uk-UA"/>
        </w:rPr>
        <w:t>коефіцієнтом швидкості старіння у пацієнтів із ГХ та ЦД 2 типу віком від 61 до 75 років (</w:t>
      </w:r>
      <w:r>
        <w:rPr>
          <w:rStyle w:val="tlid-translation"/>
          <w:sz w:val="28"/>
          <w:szCs w:val="28"/>
        </w:rPr>
        <w:t>r</w:t>
      </w:r>
      <w:r>
        <w:rPr>
          <w:rStyle w:val="tlid-translation"/>
          <w:sz w:val="28"/>
          <w:szCs w:val="28"/>
          <w:lang w:val="uk-UA"/>
        </w:rPr>
        <w:t xml:space="preserve">=-0,434,р=0,001) та у пацієнтів із ГХ, ЦД 2 типу та СГТ віком від 44 до 60 років </w:t>
      </w:r>
      <w:r>
        <w:rPr>
          <w:sz w:val="28"/>
          <w:szCs w:val="28"/>
          <w:lang w:val="uk-UA"/>
        </w:rPr>
        <w:t>(</w:t>
      </w:r>
      <w:r>
        <w:rPr>
          <w:rStyle w:val="tlid-translation"/>
          <w:sz w:val="28"/>
          <w:szCs w:val="28"/>
        </w:rPr>
        <w:t>r</w:t>
      </w:r>
      <w:r>
        <w:rPr>
          <w:rStyle w:val="tlid-translation"/>
          <w:sz w:val="28"/>
          <w:szCs w:val="28"/>
          <w:lang w:val="uk-UA"/>
        </w:rPr>
        <w:t xml:space="preserve">=0,436,р=0,001). Отримані результати  свідчать про </w:t>
      </w:r>
      <w:r>
        <w:rPr>
          <w:sz w:val="28"/>
          <w:szCs w:val="28"/>
          <w:lang w:val="uk-UA"/>
        </w:rPr>
        <w:t xml:space="preserve">значимість хронічного запалення як вік-асоційованого процесу незалежно від супутнього захворювання. </w:t>
      </w:r>
    </w:p>
    <w:p w:rsidR="00E3259F" w:rsidRPr="003C2169" w:rsidRDefault="00E3259F" w:rsidP="003C2169">
      <w:pPr>
        <w:spacing w:line="360" w:lineRule="auto"/>
        <w:ind w:firstLine="709"/>
        <w:jc w:val="both"/>
        <w:rPr>
          <w:rFonts w:eastAsia="Calibri"/>
        </w:rPr>
      </w:pPr>
      <w:r w:rsidRPr="003C2169">
        <w:rPr>
          <w:sz w:val="28"/>
          <w:szCs w:val="28"/>
          <w:lang w:val="uk-UA"/>
        </w:rPr>
        <w:t>Порівняльний аналіз ВДТ з урахуванням вікової підгрупи виявив наявність більш короткої ВДТ крові та клітин букального епітелію у підгрупах пацієнтів старше 60 років при наявності коморбідної патології незалежно від функціонального стану ЩЗ, однак достовірні вікові відмінності були отримані тільки при порівнянні ВДТ клітин букального епітелію у 3 групі (ВДТ у пацієнтів віком 44-60 років -1,06±0,05 ум.од, віком 61-75 років - 0,91±0,03 ум.од., р=008).</w:t>
      </w:r>
    </w:p>
    <w:p w:rsidR="00E3259F" w:rsidRPr="003C2169" w:rsidRDefault="00E3259F" w:rsidP="003C2169">
      <w:pPr>
        <w:shd w:val="clear" w:color="auto" w:fill="FFFFFF"/>
        <w:spacing w:line="360" w:lineRule="auto"/>
        <w:ind w:firstLine="709"/>
        <w:jc w:val="both"/>
        <w:outlineLvl w:val="0"/>
        <w:rPr>
          <w:rFonts w:eastAsia="Calibri"/>
          <w:shd w:val="clear" w:color="auto" w:fill="FFFFFF"/>
          <w:lang w:val="uk-UA"/>
        </w:rPr>
      </w:pPr>
      <w:r w:rsidRPr="003C2169">
        <w:rPr>
          <w:sz w:val="28"/>
          <w:szCs w:val="28"/>
          <w:lang w:val="uk-UA"/>
        </w:rPr>
        <w:t xml:space="preserve">Аналіз показників, що вивчались у цьому дослідженні, в групі пацієнтів із поєднаним перебігом ГХ, ЦД 2 типу та СГТ  проводився зокрема з урахуванням рівня ТТГ. У метааналізі N. Rodondi продемонстровано, що ризик ССЗ і смертності підвищувався у хворих з ТТГ&gt; 7 мкОД/мл [336]. Беручи до уваги той факт, що ряд авторів виділяють рівні ТТГ 6-7 як порогові для оцінки КВР [151,279], проте припускаючи, що наявність коморбідної патології може посилювати негативний вплив підвищенних рівнів ТТГ у нижчому діапазоні, порогом розподілу ми ураховували рівень ТТГ 6,0 мкМО/м .  В процесі дослідження було виявлено, що при рівнях ТТГ </w:t>
      </w:r>
      <w:r w:rsidRPr="003C2169">
        <w:rPr>
          <w:sz w:val="28"/>
          <w:szCs w:val="28"/>
          <w:shd w:val="clear" w:color="auto" w:fill="FFFFFF"/>
          <w:lang w:val="uk-UA"/>
        </w:rPr>
        <w:t>6,1-10,0 мкМОд/мл</w:t>
      </w:r>
      <w:r w:rsidRPr="003C2169">
        <w:rPr>
          <w:sz w:val="28"/>
          <w:szCs w:val="28"/>
          <w:lang w:val="uk-UA"/>
        </w:rPr>
        <w:t xml:space="preserve"> спостерігалися достовірно більш високі рівні ЗХС (5,88±0,07 ммоль/л проти ±5,70±0,05 ммоль/л, р=0,039)  та ТГ (2,28±0,18 ммоль/л проти  1,81±0,15 ммоль/л, р=0,048), що вказує на більш атерогенну дисліпідемію, ніж при рівнях ТТГ до 6,0</w:t>
      </w:r>
      <w:r w:rsidRPr="003C2169">
        <w:rPr>
          <w:sz w:val="28"/>
          <w:szCs w:val="28"/>
          <w:shd w:val="clear" w:color="auto" w:fill="FFFFFF"/>
          <w:lang w:val="uk-UA"/>
        </w:rPr>
        <w:t xml:space="preserve"> мкМОд/мл, що </w:t>
      </w:r>
      <w:r w:rsidRPr="003C2169">
        <w:rPr>
          <w:bCs/>
          <w:iCs/>
          <w:kern w:val="36"/>
          <w:sz w:val="28"/>
          <w:szCs w:val="28"/>
          <w:lang w:val="uk-UA"/>
        </w:rPr>
        <w:t>необхідно враховувати оцінюючи прогноз</w:t>
      </w:r>
      <w:r w:rsidRPr="003C2169">
        <w:rPr>
          <w:sz w:val="28"/>
          <w:szCs w:val="28"/>
          <w:shd w:val="clear" w:color="auto" w:fill="FFFFFF"/>
          <w:lang w:val="uk-UA"/>
        </w:rPr>
        <w:t xml:space="preserve">. </w:t>
      </w:r>
      <w:r w:rsidRPr="003C2169">
        <w:rPr>
          <w:sz w:val="28"/>
          <w:szCs w:val="28"/>
          <w:lang w:val="uk-UA"/>
        </w:rPr>
        <w:t xml:space="preserve">Співставлення показників вуглеводного обміну та інсулінорезистентності продемонструвало достовірно вищі рівні глюкози (7,82±0,36 ммоль/л проти 6,31±0,24 ммоль/л, р&lt;0,001), рівня </w:t>
      </w:r>
      <w:r w:rsidRPr="003C2169">
        <w:rPr>
          <w:sz w:val="28"/>
          <w:szCs w:val="28"/>
        </w:rPr>
        <w:t>HbA</w:t>
      </w:r>
      <w:r w:rsidRPr="003C2169">
        <w:rPr>
          <w:sz w:val="28"/>
          <w:szCs w:val="28"/>
          <w:lang w:val="uk-UA"/>
        </w:rPr>
        <w:t>1</w:t>
      </w:r>
      <w:r w:rsidRPr="003C2169">
        <w:rPr>
          <w:sz w:val="28"/>
          <w:szCs w:val="28"/>
        </w:rPr>
        <w:t>c</w:t>
      </w:r>
      <w:r w:rsidRPr="003C2169">
        <w:rPr>
          <w:sz w:val="28"/>
          <w:szCs w:val="28"/>
          <w:lang w:val="uk-UA"/>
        </w:rPr>
        <w:t xml:space="preserve"> (7,46±0,15% проти 6,98 ±0,14%, р=0,022), не достовірно вище значення  </w:t>
      </w:r>
      <w:r w:rsidRPr="003C2169">
        <w:rPr>
          <w:sz w:val="28"/>
          <w:szCs w:val="28"/>
        </w:rPr>
        <w:t>HOMA</w:t>
      </w:r>
      <w:r w:rsidRPr="003C2169">
        <w:rPr>
          <w:sz w:val="28"/>
          <w:szCs w:val="28"/>
          <w:lang w:val="uk-UA"/>
        </w:rPr>
        <w:t>-</w:t>
      </w:r>
      <w:r w:rsidRPr="003C2169">
        <w:rPr>
          <w:sz w:val="28"/>
          <w:szCs w:val="28"/>
        </w:rPr>
        <w:t>IR</w:t>
      </w:r>
      <w:r w:rsidRPr="003C2169">
        <w:rPr>
          <w:sz w:val="28"/>
          <w:szCs w:val="28"/>
          <w:lang w:val="uk-UA"/>
        </w:rPr>
        <w:t xml:space="preserve"> </w:t>
      </w:r>
      <w:r w:rsidRPr="003C2169">
        <w:rPr>
          <w:sz w:val="28"/>
          <w:szCs w:val="28"/>
          <w:shd w:val="clear" w:color="auto" w:fill="FFFFFF"/>
          <w:lang w:val="uk-UA"/>
        </w:rPr>
        <w:t>(</w:t>
      </w:r>
      <w:r w:rsidRPr="003C2169">
        <w:rPr>
          <w:sz w:val="28"/>
          <w:szCs w:val="28"/>
          <w:lang w:val="uk-UA"/>
        </w:rPr>
        <w:t xml:space="preserve">7,15±0,76 проти </w:t>
      </w:r>
      <w:r w:rsidRPr="003C2169">
        <w:rPr>
          <w:rStyle w:val="tlid-translation"/>
          <w:rFonts w:eastAsia="Calibri"/>
          <w:sz w:val="28"/>
          <w:szCs w:val="28"/>
          <w:lang w:val="uk-UA"/>
        </w:rPr>
        <w:t>5</w:t>
      </w:r>
      <w:r w:rsidRPr="003C2169">
        <w:rPr>
          <w:sz w:val="28"/>
          <w:szCs w:val="28"/>
          <w:lang w:val="uk-UA"/>
        </w:rPr>
        <w:t xml:space="preserve">,84±0,48, р&gt;0,05) при  рівнях ТТГ у діапазоні 6,1-10,0 </w:t>
      </w:r>
      <w:r w:rsidRPr="003C2169">
        <w:rPr>
          <w:sz w:val="28"/>
          <w:szCs w:val="28"/>
          <w:shd w:val="clear" w:color="auto" w:fill="FFFFFF"/>
          <w:lang w:val="uk-UA"/>
        </w:rPr>
        <w:t>мкМО/мл, ніж при більш низьких рівнях ТТГ.</w:t>
      </w:r>
      <w:r w:rsidRPr="003C2169">
        <w:rPr>
          <w:sz w:val="28"/>
          <w:szCs w:val="28"/>
          <w:lang w:val="uk-UA"/>
        </w:rPr>
        <w:t xml:space="preserve"> При рівнях ТТГ від 6,1 до 10,0</w:t>
      </w:r>
      <w:r w:rsidRPr="003C2169">
        <w:rPr>
          <w:sz w:val="28"/>
          <w:szCs w:val="28"/>
          <w:shd w:val="clear" w:color="auto" w:fill="FFFFFF"/>
          <w:lang w:val="uk-UA"/>
        </w:rPr>
        <w:t xml:space="preserve"> мкМОд/мл б</w:t>
      </w:r>
      <w:r w:rsidRPr="003C2169">
        <w:rPr>
          <w:sz w:val="28"/>
          <w:szCs w:val="28"/>
          <w:lang w:val="uk-UA"/>
        </w:rPr>
        <w:t>ули виявлені</w:t>
      </w:r>
      <w:r w:rsidRPr="003C2169">
        <w:rPr>
          <w:sz w:val="28"/>
          <w:szCs w:val="28"/>
          <w:shd w:val="clear" w:color="auto" w:fill="FFFFFF"/>
          <w:lang w:val="uk-UA"/>
        </w:rPr>
        <w:t xml:space="preserve"> незначно нижчі</w:t>
      </w:r>
      <w:r w:rsidRPr="003C2169">
        <w:rPr>
          <w:sz w:val="28"/>
          <w:szCs w:val="28"/>
          <w:lang w:val="uk-UA"/>
        </w:rPr>
        <w:t xml:space="preserve"> рівні МДА (р&gt;0,05) та</w:t>
      </w:r>
      <w:r w:rsidRPr="003C2169">
        <w:rPr>
          <w:sz w:val="28"/>
          <w:szCs w:val="28"/>
          <w:shd w:val="clear" w:color="auto" w:fill="FFFFFF"/>
          <w:lang w:val="uk-UA"/>
        </w:rPr>
        <w:t xml:space="preserve"> вищі рівні 8-OHdG</w:t>
      </w:r>
      <w:r w:rsidRPr="003C2169">
        <w:rPr>
          <w:sz w:val="28"/>
          <w:szCs w:val="28"/>
          <w:lang w:val="uk-UA"/>
        </w:rPr>
        <w:t xml:space="preserve"> (р&gt;0,05) на тлі достовірно вищій  активності ГПО (р=0,022), але достовірно нижчих рівнях SН-груп (р=0,046) порівняно</w:t>
      </w:r>
      <w:r w:rsidRPr="003C2169">
        <w:rPr>
          <w:sz w:val="28"/>
          <w:szCs w:val="28"/>
          <w:shd w:val="clear" w:color="auto" w:fill="FFFFFF"/>
          <w:lang w:val="uk-UA"/>
        </w:rPr>
        <w:t xml:space="preserve"> із пацієнтами з рівнем ТТГ до </w:t>
      </w:r>
      <w:r w:rsidRPr="003C2169">
        <w:rPr>
          <w:sz w:val="28"/>
          <w:szCs w:val="28"/>
          <w:lang w:val="uk-UA"/>
        </w:rPr>
        <w:t>6,0</w:t>
      </w:r>
      <w:r w:rsidRPr="003C2169">
        <w:rPr>
          <w:sz w:val="28"/>
          <w:szCs w:val="28"/>
          <w:shd w:val="clear" w:color="auto" w:fill="FFFFFF"/>
          <w:lang w:val="uk-UA"/>
        </w:rPr>
        <w:t xml:space="preserve"> мкМОд/мл</w:t>
      </w:r>
      <w:r w:rsidRPr="003C2169">
        <w:rPr>
          <w:sz w:val="28"/>
          <w:szCs w:val="28"/>
          <w:lang w:val="uk-UA"/>
        </w:rPr>
        <w:t>, що свідчить що рівні ТТГ мають суттєве значення для інтенсивності ОС, впливаючи більшою мірою на ступінь АОЗ.</w:t>
      </w:r>
    </w:p>
    <w:p w:rsidR="00E3259F" w:rsidRPr="003C2169" w:rsidRDefault="00E3259F" w:rsidP="003C2169">
      <w:pPr>
        <w:spacing w:line="360" w:lineRule="auto"/>
        <w:ind w:firstLine="709"/>
        <w:jc w:val="both"/>
        <w:rPr>
          <w:sz w:val="28"/>
          <w:szCs w:val="28"/>
          <w:lang w:val="uk-UA"/>
        </w:rPr>
      </w:pPr>
      <w:r w:rsidRPr="003C2169">
        <w:rPr>
          <w:sz w:val="28"/>
          <w:szCs w:val="28"/>
          <w:shd w:val="clear" w:color="auto" w:fill="FFFFFF"/>
          <w:lang w:val="uk-UA"/>
        </w:rPr>
        <w:t>При рівнях ТТГ 6,1-10,0 мкМОд/мл спостерігалися достовірно вищі рівні ВЕФР (</w:t>
      </w:r>
      <w:r w:rsidRPr="003C2169">
        <w:rPr>
          <w:sz w:val="28"/>
          <w:szCs w:val="28"/>
          <w:lang w:val="uk-UA"/>
        </w:rPr>
        <w:t>585,77±25,39 пг/мл проти 401,56±27,87 пг/мл, р&lt;0,001) на тлі відсутності достовірних відмінностей</w:t>
      </w:r>
      <w:r w:rsidRPr="003C2169">
        <w:rPr>
          <w:sz w:val="28"/>
          <w:szCs w:val="28"/>
          <w:shd w:val="clear" w:color="auto" w:fill="FFFFFF"/>
          <w:lang w:val="uk-UA"/>
        </w:rPr>
        <w:t xml:space="preserve"> рівнів </w:t>
      </w:r>
      <w:r w:rsidRPr="003C2169">
        <w:rPr>
          <w:sz w:val="28"/>
          <w:szCs w:val="28"/>
          <w:lang w:val="uk-UA"/>
        </w:rPr>
        <w:t xml:space="preserve">ФНП-α та </w:t>
      </w:r>
      <w:r w:rsidRPr="003C2169">
        <w:rPr>
          <w:sz w:val="28"/>
          <w:szCs w:val="28"/>
          <w:shd w:val="clear" w:color="auto" w:fill="FFFFFF"/>
          <w:lang w:val="uk-UA"/>
        </w:rPr>
        <w:t>СРП</w:t>
      </w:r>
      <w:r w:rsidRPr="003C2169">
        <w:rPr>
          <w:sz w:val="28"/>
          <w:szCs w:val="28"/>
          <w:lang w:val="uk-UA"/>
        </w:rPr>
        <w:t xml:space="preserve"> (р&gt;0,05)</w:t>
      </w:r>
      <w:r w:rsidRPr="003C2169">
        <w:rPr>
          <w:sz w:val="28"/>
          <w:szCs w:val="28"/>
          <w:shd w:val="clear" w:color="auto" w:fill="FFFFFF"/>
          <w:lang w:val="uk-UA"/>
        </w:rPr>
        <w:t xml:space="preserve">.  </w:t>
      </w:r>
      <w:r w:rsidRPr="003C2169">
        <w:rPr>
          <w:sz w:val="28"/>
          <w:szCs w:val="28"/>
          <w:lang w:val="uk-UA"/>
        </w:rPr>
        <w:t>ВДТ при рівнях ТТГ від 6,1до 10,0</w:t>
      </w:r>
      <w:r w:rsidRPr="003C2169">
        <w:rPr>
          <w:sz w:val="28"/>
          <w:szCs w:val="28"/>
          <w:shd w:val="clear" w:color="auto" w:fill="FFFFFF"/>
          <w:lang w:val="uk-UA"/>
        </w:rPr>
        <w:t xml:space="preserve"> мкМОд/мл була меньшою, ніж при нижчих рівнях ТТГ (ВДТ крові: </w:t>
      </w:r>
      <w:r w:rsidRPr="003C2169">
        <w:rPr>
          <w:sz w:val="28"/>
          <w:szCs w:val="28"/>
          <w:lang w:val="uk-UA"/>
        </w:rPr>
        <w:t xml:space="preserve">0,88±0,06 проти 0,96±0,06, </w:t>
      </w:r>
      <w:r w:rsidRPr="003C2169">
        <w:rPr>
          <w:sz w:val="28"/>
          <w:szCs w:val="28"/>
          <w:shd w:val="clear" w:color="auto" w:fill="FFFFFF"/>
          <w:lang w:val="uk-UA"/>
        </w:rPr>
        <w:t xml:space="preserve">ВДТ </w:t>
      </w:r>
      <w:r w:rsidRPr="003C2169">
        <w:rPr>
          <w:sz w:val="28"/>
          <w:szCs w:val="28"/>
          <w:lang w:val="uk-UA"/>
        </w:rPr>
        <w:t>клітин букального епітелію: 0,95±0,04 проти 0,98±0,04,), хоча достовірних відмінностей знайдено не було (р&gt;0,05). Отримані результати у сукупності свідчать, що при рівнях ТТГ більш 6,0</w:t>
      </w:r>
      <w:r w:rsidRPr="003C2169">
        <w:rPr>
          <w:sz w:val="28"/>
          <w:szCs w:val="28"/>
          <w:shd w:val="clear" w:color="auto" w:fill="FFFFFF"/>
          <w:lang w:val="uk-UA"/>
        </w:rPr>
        <w:t xml:space="preserve"> мкМОд/мл</w:t>
      </w:r>
      <w:r w:rsidRPr="003C2169">
        <w:rPr>
          <w:sz w:val="28"/>
          <w:szCs w:val="28"/>
          <w:lang w:val="uk-UA"/>
        </w:rPr>
        <w:t xml:space="preserve"> має місце суттєве погіршення показників, які впливають на загальний КВР та розцінюються в якості маркерів прогнозу або предикторів несприятливого перебігу та прогресування, що необхідно ураховувати при розробці плану лікувально-профілактичних заходів при цих коморбідних станах.</w:t>
      </w:r>
    </w:p>
    <w:p w:rsidR="00E3259F" w:rsidRPr="003C2169" w:rsidRDefault="00E3259F" w:rsidP="003C2169">
      <w:pPr>
        <w:spacing w:line="360" w:lineRule="auto"/>
        <w:ind w:firstLine="709"/>
        <w:jc w:val="both"/>
        <w:rPr>
          <w:sz w:val="28"/>
          <w:szCs w:val="28"/>
          <w:lang w:val="uk-UA" w:eastAsia="ar-SA"/>
        </w:rPr>
      </w:pPr>
      <w:r w:rsidRPr="003C2169">
        <w:rPr>
          <w:rFonts w:eastAsia="Calibri"/>
          <w:sz w:val="28"/>
          <w:szCs w:val="28"/>
          <w:lang w:val="uk-UA"/>
        </w:rPr>
        <w:t xml:space="preserve">На підставі виявлених патогенетичних ланок розвитку та прогресування ГХ у поєднанні з ЦД 2 типу </w:t>
      </w:r>
      <w:r w:rsidRPr="003C2169">
        <w:rPr>
          <w:sz w:val="28"/>
          <w:szCs w:val="28"/>
          <w:lang w:val="uk-UA" w:eastAsia="en-US"/>
        </w:rPr>
        <w:t xml:space="preserve">залежно </w:t>
      </w:r>
      <w:r w:rsidRPr="003C2169">
        <w:rPr>
          <w:rFonts w:eastAsia="Calibri"/>
          <w:sz w:val="28"/>
          <w:szCs w:val="28"/>
          <w:lang w:val="uk-UA"/>
        </w:rPr>
        <w:t>від функціонального стану ЩЗ нами було створено метод прогнозування ССУ за допомогою бінарної логістичної регресії, яка дозволяє досить точно виявити ознаки, які істотно впливають на результат захворювання.</w:t>
      </w:r>
      <w:r w:rsidRPr="003C2169">
        <w:rPr>
          <w:sz w:val="28"/>
          <w:szCs w:val="28"/>
          <w:lang w:val="uk-UA" w:eastAsia="ar-SA"/>
        </w:rPr>
        <w:t xml:space="preserve"> </w:t>
      </w:r>
    </w:p>
    <w:p w:rsidR="00E3259F" w:rsidRPr="003C2169" w:rsidRDefault="00E3259F" w:rsidP="003C2169">
      <w:pPr>
        <w:spacing w:line="360" w:lineRule="auto"/>
        <w:ind w:firstLine="709"/>
        <w:jc w:val="both"/>
        <w:rPr>
          <w:sz w:val="28"/>
          <w:szCs w:val="28"/>
          <w:lang w:val="uk-UA" w:eastAsia="ar-SA"/>
        </w:rPr>
      </w:pPr>
      <w:r w:rsidRPr="003C2169">
        <w:rPr>
          <w:sz w:val="28"/>
          <w:szCs w:val="28"/>
          <w:lang w:val="uk-UA" w:eastAsia="ar-SA"/>
        </w:rPr>
        <w:t xml:space="preserve">Згідно запропонованого методу, імовірність </w:t>
      </w:r>
      <w:r w:rsidRPr="003C2169">
        <w:rPr>
          <w:kern w:val="2"/>
          <w:position w:val="-4"/>
          <w:sz w:val="28"/>
          <w:szCs w:val="28"/>
          <w:lang w:eastAsia="en-US"/>
        </w:rPr>
        <w:object w:dxaOrig="240" w:dyaOrig="435">
          <v:shape id="_x0000_i1098" type="#_x0000_t75" style="width:12.75pt;height:21.75pt" o:ole="">
            <v:imagedata r:id="rId17" o:title=""/>
          </v:shape>
          <o:OLEObject Type="Embed" ProgID="Equation.3" ShapeID="_x0000_i1098" DrawAspect="Content" ObjectID="_1669446882" r:id="rId121"/>
        </w:object>
      </w:r>
      <w:r w:rsidRPr="003C2169">
        <w:rPr>
          <w:kern w:val="2"/>
          <w:position w:val="-4"/>
          <w:sz w:val="28"/>
          <w:szCs w:val="28"/>
          <w:lang w:val="uk-UA"/>
        </w:rPr>
        <w:t xml:space="preserve"> </w:t>
      </w:r>
      <w:r w:rsidRPr="003C2169">
        <w:rPr>
          <w:sz w:val="28"/>
          <w:szCs w:val="28"/>
          <w:lang w:val="uk-UA" w:eastAsia="ar-SA"/>
        </w:rPr>
        <w:t>виникнення серцево-судинних ускладнень у пацієнтів із ГХ та ЦД 2 типу без порушення функції ЩЗ визначається за формулою:</w:t>
      </w:r>
    </w:p>
    <w:p w:rsidR="00E3259F" w:rsidRPr="003C2169" w:rsidRDefault="00E3259F" w:rsidP="003C2169">
      <w:pPr>
        <w:autoSpaceDE w:val="0"/>
        <w:autoSpaceDN w:val="0"/>
        <w:adjustRightInd w:val="0"/>
        <w:spacing w:line="360" w:lineRule="auto"/>
        <w:ind w:firstLine="709"/>
        <w:jc w:val="center"/>
        <w:rPr>
          <w:rFonts w:eastAsia="Calibri"/>
          <w:sz w:val="28"/>
          <w:szCs w:val="28"/>
          <w:lang w:val="uk-UA"/>
        </w:rPr>
      </w:pPr>
      <w:r w:rsidRPr="003C2169">
        <w:rPr>
          <w:kern w:val="2"/>
          <w:position w:val="-4"/>
          <w:sz w:val="28"/>
          <w:szCs w:val="28"/>
          <w:lang w:eastAsia="en-US"/>
        </w:rPr>
        <w:object w:dxaOrig="240" w:dyaOrig="435">
          <v:shape id="_x0000_i1099" type="#_x0000_t75" style="width:12.75pt;height:21.75pt" o:ole="">
            <v:imagedata r:id="rId17" o:title=""/>
          </v:shape>
          <o:OLEObject Type="Embed" ProgID="Equation.3" ShapeID="_x0000_i1099" DrawAspect="Content" ObjectID="_1669446883" r:id="rId122"/>
        </w:object>
      </w:r>
      <w:r w:rsidRPr="003C2169">
        <w:rPr>
          <w:kern w:val="2"/>
          <w:sz w:val="28"/>
          <w:szCs w:val="28"/>
          <w:lang w:val="uk-UA"/>
        </w:rPr>
        <w:t xml:space="preserve">=[1+ </w:t>
      </w:r>
      <w:r w:rsidRPr="003C2169">
        <w:rPr>
          <w:kern w:val="2"/>
          <w:sz w:val="28"/>
          <w:szCs w:val="28"/>
        </w:rPr>
        <w:t>exp</w:t>
      </w:r>
      <w:r w:rsidRPr="003C2169">
        <w:rPr>
          <w:kern w:val="2"/>
          <w:sz w:val="28"/>
          <w:szCs w:val="28"/>
          <w:lang w:val="uk-UA"/>
        </w:rPr>
        <w:t>(-(</w:t>
      </w:r>
      <w:r w:rsidRPr="003C2169">
        <w:rPr>
          <w:sz w:val="28"/>
          <w:szCs w:val="28"/>
          <w:lang w:val="uk-UA"/>
        </w:rPr>
        <w:t>2,156*</w:t>
      </w:r>
      <w:r w:rsidRPr="003C2169">
        <w:rPr>
          <w:kern w:val="2"/>
          <w:sz w:val="28"/>
          <w:szCs w:val="28"/>
          <w:lang w:val="uk-UA"/>
        </w:rPr>
        <w:t xml:space="preserve"> </w:t>
      </w:r>
      <w:r w:rsidRPr="003C2169">
        <w:rPr>
          <w:kern w:val="2"/>
          <w:sz w:val="28"/>
          <w:szCs w:val="28"/>
        </w:rPr>
        <w:t>X</w:t>
      </w:r>
      <w:r w:rsidRPr="003C2169">
        <w:rPr>
          <w:kern w:val="2"/>
          <w:sz w:val="28"/>
          <w:szCs w:val="28"/>
          <w:vertAlign w:val="subscript"/>
          <w:lang w:val="uk-UA"/>
        </w:rPr>
        <w:t xml:space="preserve">1 </w:t>
      </w:r>
      <w:r w:rsidRPr="003C2169">
        <w:rPr>
          <w:sz w:val="28"/>
          <w:szCs w:val="28"/>
          <w:lang w:val="uk-UA"/>
        </w:rPr>
        <w:t>+0,391*</w:t>
      </w:r>
      <w:r w:rsidRPr="003C2169">
        <w:rPr>
          <w:kern w:val="2"/>
          <w:sz w:val="28"/>
          <w:szCs w:val="28"/>
        </w:rPr>
        <w:t>X</w:t>
      </w:r>
      <w:r w:rsidRPr="003C2169">
        <w:rPr>
          <w:kern w:val="2"/>
          <w:sz w:val="28"/>
          <w:szCs w:val="28"/>
          <w:vertAlign w:val="subscript"/>
          <w:lang w:val="uk-UA"/>
        </w:rPr>
        <w:t xml:space="preserve">2  </w:t>
      </w:r>
      <w:r w:rsidRPr="003C2169">
        <w:rPr>
          <w:sz w:val="28"/>
          <w:szCs w:val="28"/>
          <w:lang w:val="uk-UA"/>
        </w:rPr>
        <w:t>– 1,277*</w:t>
      </w:r>
      <w:r w:rsidRPr="003C2169">
        <w:rPr>
          <w:kern w:val="2"/>
          <w:sz w:val="28"/>
          <w:szCs w:val="28"/>
          <w:lang w:val="uk-UA"/>
        </w:rPr>
        <w:t xml:space="preserve"> </w:t>
      </w:r>
      <w:r w:rsidRPr="003C2169">
        <w:rPr>
          <w:kern w:val="2"/>
          <w:sz w:val="28"/>
          <w:szCs w:val="28"/>
        </w:rPr>
        <w:t>X</w:t>
      </w:r>
      <w:r w:rsidRPr="003C2169">
        <w:rPr>
          <w:kern w:val="2"/>
          <w:sz w:val="28"/>
          <w:szCs w:val="28"/>
          <w:vertAlign w:val="subscript"/>
          <w:lang w:val="uk-UA"/>
        </w:rPr>
        <w:t>3</w:t>
      </w:r>
      <w:r w:rsidRPr="003C2169">
        <w:rPr>
          <w:kern w:val="2"/>
          <w:sz w:val="28"/>
          <w:szCs w:val="28"/>
          <w:lang w:val="uk-UA"/>
        </w:rPr>
        <w:t>+0</w:t>
      </w:r>
      <w:r w:rsidRPr="003C2169">
        <w:rPr>
          <w:sz w:val="28"/>
          <w:szCs w:val="28"/>
          <w:lang w:val="uk-UA"/>
        </w:rPr>
        <w:t xml:space="preserve">,405* </w:t>
      </w:r>
      <w:r w:rsidRPr="003C2169">
        <w:rPr>
          <w:kern w:val="2"/>
          <w:sz w:val="28"/>
          <w:szCs w:val="28"/>
        </w:rPr>
        <w:t>X</w:t>
      </w:r>
      <w:r w:rsidRPr="003C2169">
        <w:rPr>
          <w:kern w:val="2"/>
          <w:sz w:val="28"/>
          <w:szCs w:val="28"/>
          <w:vertAlign w:val="subscript"/>
          <w:lang w:val="uk-UA"/>
        </w:rPr>
        <w:t>4 +</w:t>
      </w:r>
      <w:r w:rsidRPr="003C2169">
        <w:rPr>
          <w:kern w:val="2"/>
          <w:sz w:val="28"/>
          <w:szCs w:val="28"/>
          <w:lang w:val="uk-UA"/>
        </w:rPr>
        <w:t>0</w:t>
      </w:r>
      <w:r w:rsidRPr="003C2169">
        <w:rPr>
          <w:sz w:val="28"/>
          <w:szCs w:val="28"/>
          <w:lang w:val="uk-UA"/>
        </w:rPr>
        <w:t xml:space="preserve">,526* </w:t>
      </w:r>
      <w:r w:rsidRPr="003C2169">
        <w:rPr>
          <w:kern w:val="2"/>
          <w:sz w:val="28"/>
          <w:szCs w:val="28"/>
        </w:rPr>
        <w:t>X</w:t>
      </w:r>
      <w:r w:rsidRPr="003C2169">
        <w:rPr>
          <w:kern w:val="2"/>
          <w:sz w:val="28"/>
          <w:szCs w:val="28"/>
          <w:vertAlign w:val="subscript"/>
          <w:lang w:val="uk-UA"/>
        </w:rPr>
        <w:t>5</w:t>
      </w:r>
      <w:r w:rsidRPr="003C2169">
        <w:rPr>
          <w:sz w:val="28"/>
          <w:szCs w:val="28"/>
          <w:lang w:val="uk-UA"/>
        </w:rPr>
        <w:t xml:space="preserve"> –6,240*</w:t>
      </w:r>
      <w:r w:rsidRPr="003C2169">
        <w:rPr>
          <w:kern w:val="2"/>
          <w:sz w:val="28"/>
          <w:szCs w:val="28"/>
        </w:rPr>
        <w:t>X</w:t>
      </w:r>
      <w:r w:rsidRPr="003C2169">
        <w:rPr>
          <w:kern w:val="2"/>
          <w:sz w:val="28"/>
          <w:szCs w:val="28"/>
          <w:vertAlign w:val="subscript"/>
          <w:lang w:val="uk-UA"/>
        </w:rPr>
        <w:t xml:space="preserve">6 </w:t>
      </w:r>
      <w:r w:rsidRPr="003C2169">
        <w:rPr>
          <w:sz w:val="28"/>
          <w:szCs w:val="28"/>
          <w:lang w:val="uk-UA"/>
        </w:rPr>
        <w:t>–</w:t>
      </w:r>
      <w:r w:rsidRPr="003C2169">
        <w:rPr>
          <w:kern w:val="2"/>
          <w:sz w:val="28"/>
          <w:szCs w:val="28"/>
          <w:lang w:val="uk-UA"/>
        </w:rPr>
        <w:t xml:space="preserve"> </w:t>
      </w:r>
      <w:r w:rsidRPr="003C2169">
        <w:rPr>
          <w:sz w:val="28"/>
          <w:szCs w:val="28"/>
          <w:lang w:val="uk-UA"/>
        </w:rPr>
        <w:t>7,994)</w:t>
      </w:r>
      <w:r w:rsidRPr="003C2169">
        <w:rPr>
          <w:kern w:val="2"/>
          <w:sz w:val="28"/>
          <w:szCs w:val="28"/>
          <w:lang w:val="uk-UA"/>
        </w:rPr>
        <w:t>)]</w:t>
      </w:r>
      <w:r w:rsidRPr="003C2169">
        <w:rPr>
          <w:kern w:val="2"/>
          <w:sz w:val="28"/>
          <w:szCs w:val="28"/>
          <w:vertAlign w:val="superscript"/>
          <w:lang w:val="uk-UA"/>
        </w:rPr>
        <w:t>-1</w:t>
      </w:r>
    </w:p>
    <w:p w:rsidR="00E3259F" w:rsidRPr="003C2169" w:rsidRDefault="00E3259F" w:rsidP="003C2169">
      <w:pPr>
        <w:spacing w:line="360" w:lineRule="auto"/>
        <w:ind w:firstLine="709"/>
        <w:jc w:val="both"/>
        <w:rPr>
          <w:sz w:val="28"/>
          <w:szCs w:val="28"/>
          <w:lang w:val="uk-UA" w:eastAsia="en-US"/>
        </w:rPr>
      </w:pPr>
      <w:r w:rsidRPr="003C2169">
        <w:rPr>
          <w:kern w:val="2"/>
          <w:sz w:val="28"/>
          <w:szCs w:val="28"/>
          <w:lang w:val="uk-UA"/>
        </w:rPr>
        <w:t xml:space="preserve">де </w:t>
      </w:r>
      <w:r w:rsidRPr="003C2169">
        <w:rPr>
          <w:kern w:val="2"/>
          <w:sz w:val="28"/>
          <w:szCs w:val="28"/>
        </w:rPr>
        <w:t>X</w:t>
      </w:r>
      <w:r w:rsidRPr="003C2169">
        <w:rPr>
          <w:kern w:val="2"/>
          <w:sz w:val="28"/>
          <w:szCs w:val="28"/>
          <w:vertAlign w:val="subscript"/>
          <w:lang w:val="uk-UA"/>
        </w:rPr>
        <w:t xml:space="preserve">1 </w:t>
      </w:r>
      <w:r w:rsidRPr="003C2169">
        <w:rPr>
          <w:kern w:val="2"/>
          <w:sz w:val="28"/>
          <w:szCs w:val="28"/>
          <w:lang w:val="uk-UA"/>
        </w:rPr>
        <w:t>– рівень ХС ЛПВЩ</w:t>
      </w:r>
      <w:r w:rsidRPr="003C2169">
        <w:rPr>
          <w:sz w:val="28"/>
          <w:szCs w:val="28"/>
          <w:lang w:val="uk-UA"/>
        </w:rPr>
        <w:t xml:space="preserve">; </w:t>
      </w:r>
      <w:r w:rsidRPr="003C2169">
        <w:rPr>
          <w:kern w:val="2"/>
          <w:sz w:val="28"/>
          <w:szCs w:val="28"/>
        </w:rPr>
        <w:t>X</w:t>
      </w:r>
      <w:r w:rsidRPr="003C2169">
        <w:rPr>
          <w:kern w:val="2"/>
          <w:sz w:val="28"/>
          <w:szCs w:val="28"/>
          <w:vertAlign w:val="subscript"/>
          <w:lang w:val="uk-UA"/>
        </w:rPr>
        <w:t xml:space="preserve">2  </w:t>
      </w:r>
      <w:r w:rsidRPr="003C2169">
        <w:rPr>
          <w:kern w:val="2"/>
          <w:sz w:val="28"/>
          <w:szCs w:val="28"/>
          <w:lang w:val="uk-UA"/>
        </w:rPr>
        <w:t xml:space="preserve">-значення  </w:t>
      </w:r>
      <w:r w:rsidRPr="003C2169">
        <w:rPr>
          <w:kern w:val="2"/>
          <w:sz w:val="28"/>
          <w:szCs w:val="28"/>
        </w:rPr>
        <w:t>HOMA</w:t>
      </w:r>
      <w:r w:rsidRPr="003C2169">
        <w:rPr>
          <w:kern w:val="2"/>
          <w:sz w:val="28"/>
          <w:szCs w:val="28"/>
          <w:lang w:val="uk-UA"/>
        </w:rPr>
        <w:t>-</w:t>
      </w:r>
      <w:r w:rsidRPr="003C2169">
        <w:rPr>
          <w:kern w:val="2"/>
          <w:sz w:val="28"/>
          <w:szCs w:val="28"/>
        </w:rPr>
        <w:t>IR</w:t>
      </w:r>
      <w:r w:rsidRPr="003C2169">
        <w:rPr>
          <w:sz w:val="28"/>
          <w:szCs w:val="28"/>
          <w:lang w:val="uk-UA"/>
        </w:rPr>
        <w:t xml:space="preserve">; </w:t>
      </w:r>
      <w:r w:rsidRPr="003C2169">
        <w:rPr>
          <w:kern w:val="2"/>
          <w:sz w:val="28"/>
          <w:szCs w:val="28"/>
        </w:rPr>
        <w:t>X</w:t>
      </w:r>
      <w:r w:rsidRPr="003C2169">
        <w:rPr>
          <w:kern w:val="2"/>
          <w:sz w:val="28"/>
          <w:szCs w:val="28"/>
          <w:vertAlign w:val="subscript"/>
          <w:lang w:val="uk-UA"/>
        </w:rPr>
        <w:t xml:space="preserve">3  </w:t>
      </w:r>
      <w:r w:rsidRPr="003C2169">
        <w:rPr>
          <w:kern w:val="2"/>
          <w:sz w:val="28"/>
          <w:szCs w:val="28"/>
          <w:lang w:val="uk-UA"/>
        </w:rPr>
        <w:t>-  рівень г</w:t>
      </w:r>
      <w:r w:rsidRPr="003C2169">
        <w:rPr>
          <w:sz w:val="28"/>
          <w:szCs w:val="28"/>
          <w:lang w:val="uk-UA"/>
        </w:rPr>
        <w:t xml:space="preserve">люкози натще; </w:t>
      </w:r>
      <w:r w:rsidRPr="003C2169">
        <w:rPr>
          <w:kern w:val="2"/>
          <w:sz w:val="28"/>
          <w:szCs w:val="28"/>
        </w:rPr>
        <w:t>X</w:t>
      </w:r>
      <w:r w:rsidRPr="003C2169">
        <w:rPr>
          <w:kern w:val="2"/>
          <w:sz w:val="28"/>
          <w:szCs w:val="28"/>
          <w:vertAlign w:val="subscript"/>
          <w:lang w:val="uk-UA"/>
        </w:rPr>
        <w:t xml:space="preserve">4 </w:t>
      </w:r>
      <w:r w:rsidRPr="003C2169">
        <w:rPr>
          <w:kern w:val="2"/>
          <w:sz w:val="28"/>
          <w:szCs w:val="28"/>
          <w:lang w:val="uk-UA"/>
        </w:rPr>
        <w:t>– кількість ЦДЕК</w:t>
      </w:r>
      <w:r w:rsidRPr="003C2169">
        <w:rPr>
          <w:sz w:val="28"/>
          <w:szCs w:val="28"/>
          <w:lang w:val="uk-UA"/>
        </w:rPr>
        <w:t xml:space="preserve">; </w:t>
      </w:r>
      <w:r w:rsidRPr="003C2169">
        <w:rPr>
          <w:kern w:val="2"/>
          <w:sz w:val="28"/>
          <w:szCs w:val="28"/>
        </w:rPr>
        <w:t>X</w:t>
      </w:r>
      <w:r w:rsidRPr="003C2169">
        <w:rPr>
          <w:kern w:val="2"/>
          <w:sz w:val="28"/>
          <w:szCs w:val="28"/>
          <w:vertAlign w:val="subscript"/>
          <w:lang w:val="uk-UA"/>
        </w:rPr>
        <w:t xml:space="preserve">5 </w:t>
      </w:r>
      <w:r w:rsidRPr="003C2169">
        <w:rPr>
          <w:kern w:val="2"/>
          <w:sz w:val="28"/>
          <w:szCs w:val="28"/>
          <w:lang w:val="uk-UA"/>
        </w:rPr>
        <w:t xml:space="preserve">– рівень </w:t>
      </w:r>
      <w:r w:rsidRPr="003C2169">
        <w:rPr>
          <w:sz w:val="28"/>
          <w:szCs w:val="28"/>
          <w:lang w:val="uk-UA"/>
        </w:rPr>
        <w:t xml:space="preserve">8-OH-dG; </w:t>
      </w:r>
      <w:r w:rsidRPr="003C2169">
        <w:rPr>
          <w:kern w:val="2"/>
          <w:sz w:val="28"/>
          <w:szCs w:val="28"/>
        </w:rPr>
        <w:t>X</w:t>
      </w:r>
      <w:r w:rsidRPr="003C2169">
        <w:rPr>
          <w:kern w:val="2"/>
          <w:sz w:val="28"/>
          <w:szCs w:val="28"/>
          <w:vertAlign w:val="subscript"/>
          <w:lang w:val="uk-UA"/>
        </w:rPr>
        <w:t xml:space="preserve">6 </w:t>
      </w:r>
      <w:r w:rsidRPr="003C2169">
        <w:rPr>
          <w:kern w:val="2"/>
          <w:sz w:val="28"/>
          <w:szCs w:val="28"/>
          <w:lang w:val="uk-UA"/>
        </w:rPr>
        <w:t xml:space="preserve">– </w:t>
      </w:r>
      <w:r w:rsidRPr="003C2169">
        <w:rPr>
          <w:sz w:val="28"/>
          <w:szCs w:val="28"/>
          <w:lang w:val="uk-UA"/>
        </w:rPr>
        <w:t xml:space="preserve">ВДТ крові. </w:t>
      </w:r>
    </w:p>
    <w:p w:rsidR="00E3259F" w:rsidRPr="003C2169" w:rsidRDefault="00E3259F" w:rsidP="003C2169">
      <w:pPr>
        <w:spacing w:line="360" w:lineRule="auto"/>
        <w:ind w:firstLine="709"/>
        <w:jc w:val="both"/>
        <w:rPr>
          <w:rFonts w:eastAsiaTheme="minorHAnsi"/>
          <w:sz w:val="28"/>
          <w:szCs w:val="28"/>
          <w:lang w:val="uk-UA"/>
        </w:rPr>
      </w:pPr>
      <w:r w:rsidRPr="003C2169">
        <w:rPr>
          <w:sz w:val="28"/>
          <w:szCs w:val="28"/>
          <w:lang w:val="uk-UA"/>
        </w:rPr>
        <w:t xml:space="preserve">Імовірність </w:t>
      </w:r>
      <w:r w:rsidRPr="003C2169">
        <w:rPr>
          <w:kern w:val="2"/>
          <w:position w:val="-4"/>
          <w:sz w:val="28"/>
          <w:szCs w:val="28"/>
          <w:lang w:eastAsia="en-US"/>
        </w:rPr>
        <w:object w:dxaOrig="240" w:dyaOrig="435">
          <v:shape id="_x0000_i1100" type="#_x0000_t75" style="width:12.75pt;height:21.75pt" o:ole="">
            <v:imagedata r:id="rId17" o:title=""/>
          </v:shape>
          <o:OLEObject Type="Embed" ProgID="Equation.3" ShapeID="_x0000_i1100" DrawAspect="Content" ObjectID="_1669446884" r:id="rId123"/>
        </w:object>
      </w:r>
      <w:r w:rsidRPr="003C2169">
        <w:rPr>
          <w:sz w:val="28"/>
          <w:szCs w:val="28"/>
          <w:lang w:val="uk-UA"/>
        </w:rPr>
        <w:t xml:space="preserve"> виникнення ССУ у пацієнтів з ГХ, ЦД 2 типу та СГТ визначається за формулою:</w:t>
      </w:r>
    </w:p>
    <w:p w:rsidR="00E3259F" w:rsidRPr="003C2169" w:rsidRDefault="00E3259F" w:rsidP="003C2169">
      <w:pPr>
        <w:autoSpaceDE w:val="0"/>
        <w:autoSpaceDN w:val="0"/>
        <w:adjustRightInd w:val="0"/>
        <w:spacing w:line="360" w:lineRule="auto"/>
        <w:ind w:firstLine="709"/>
        <w:jc w:val="center"/>
        <w:rPr>
          <w:rFonts w:eastAsia="Calibri"/>
          <w:sz w:val="28"/>
          <w:szCs w:val="28"/>
          <w:lang w:val="en-US"/>
        </w:rPr>
      </w:pPr>
      <w:r w:rsidRPr="003C2169">
        <w:rPr>
          <w:kern w:val="2"/>
          <w:position w:val="-4"/>
          <w:sz w:val="28"/>
          <w:szCs w:val="28"/>
          <w:lang w:eastAsia="en-US"/>
        </w:rPr>
        <w:object w:dxaOrig="240" w:dyaOrig="435">
          <v:shape id="_x0000_i1101" type="#_x0000_t75" style="width:12.75pt;height:21.75pt" o:ole="">
            <v:imagedata r:id="rId17" o:title=""/>
          </v:shape>
          <o:OLEObject Type="Embed" ProgID="Equation.3" ShapeID="_x0000_i1101" DrawAspect="Content" ObjectID="_1669446885" r:id="rId124"/>
        </w:object>
      </w:r>
      <w:r w:rsidRPr="003C2169">
        <w:rPr>
          <w:kern w:val="2"/>
          <w:sz w:val="28"/>
          <w:szCs w:val="28"/>
          <w:lang w:val="en-US"/>
        </w:rPr>
        <w:t>=[1+ exp(-(</w:t>
      </w:r>
      <w:r w:rsidRPr="003C2169">
        <w:rPr>
          <w:sz w:val="28"/>
          <w:szCs w:val="28"/>
          <w:lang w:val="en-US"/>
        </w:rPr>
        <w:t>-10,826 *</w:t>
      </w:r>
      <w:r w:rsidRPr="003C2169">
        <w:rPr>
          <w:kern w:val="2"/>
          <w:sz w:val="28"/>
          <w:szCs w:val="28"/>
          <w:lang w:val="en-US"/>
        </w:rPr>
        <w:t xml:space="preserve"> X</w:t>
      </w:r>
      <w:r w:rsidRPr="003C2169">
        <w:rPr>
          <w:kern w:val="2"/>
          <w:sz w:val="28"/>
          <w:szCs w:val="28"/>
          <w:vertAlign w:val="subscript"/>
          <w:lang w:val="en-US"/>
        </w:rPr>
        <w:t xml:space="preserve">1 </w:t>
      </w:r>
      <w:r w:rsidRPr="003C2169">
        <w:rPr>
          <w:sz w:val="28"/>
          <w:szCs w:val="28"/>
          <w:lang w:val="en-US"/>
        </w:rPr>
        <w:t>–</w:t>
      </w:r>
      <w:r w:rsidRPr="003C2169">
        <w:rPr>
          <w:kern w:val="2"/>
          <w:sz w:val="28"/>
          <w:szCs w:val="28"/>
          <w:lang w:val="en-US"/>
        </w:rPr>
        <w:t xml:space="preserve"> </w:t>
      </w:r>
      <w:r w:rsidRPr="003C2169">
        <w:rPr>
          <w:sz w:val="28"/>
          <w:szCs w:val="28"/>
          <w:lang w:val="en-US"/>
        </w:rPr>
        <w:t>25,252*</w:t>
      </w:r>
      <w:r w:rsidRPr="003C2169">
        <w:rPr>
          <w:kern w:val="2"/>
          <w:sz w:val="28"/>
          <w:szCs w:val="28"/>
          <w:lang w:val="en-US"/>
        </w:rPr>
        <w:t>X</w:t>
      </w:r>
      <w:r w:rsidRPr="003C2169">
        <w:rPr>
          <w:kern w:val="2"/>
          <w:sz w:val="28"/>
          <w:szCs w:val="28"/>
          <w:vertAlign w:val="subscript"/>
          <w:lang w:val="en-US"/>
        </w:rPr>
        <w:t xml:space="preserve">2 </w:t>
      </w:r>
      <w:r w:rsidRPr="003C2169">
        <w:rPr>
          <w:sz w:val="28"/>
          <w:szCs w:val="28"/>
          <w:lang w:val="en-US"/>
        </w:rPr>
        <w:t>–0,382 *</w:t>
      </w:r>
      <w:r w:rsidRPr="003C2169">
        <w:rPr>
          <w:kern w:val="2"/>
          <w:sz w:val="28"/>
          <w:szCs w:val="28"/>
          <w:lang w:val="en-US"/>
        </w:rPr>
        <w:t xml:space="preserve"> X</w:t>
      </w:r>
      <w:r w:rsidRPr="003C2169">
        <w:rPr>
          <w:kern w:val="2"/>
          <w:sz w:val="28"/>
          <w:szCs w:val="28"/>
          <w:vertAlign w:val="subscript"/>
          <w:lang w:val="en-US"/>
        </w:rPr>
        <w:t>3</w:t>
      </w:r>
      <w:r w:rsidRPr="003C2169">
        <w:rPr>
          <w:kern w:val="2"/>
          <w:sz w:val="28"/>
          <w:szCs w:val="28"/>
          <w:lang w:val="en-US"/>
        </w:rPr>
        <w:t>+0</w:t>
      </w:r>
      <w:r w:rsidRPr="003C2169">
        <w:rPr>
          <w:sz w:val="28"/>
          <w:szCs w:val="28"/>
          <w:lang w:val="en-US"/>
        </w:rPr>
        <w:t xml:space="preserve">,523* </w:t>
      </w:r>
      <w:r w:rsidRPr="003C2169">
        <w:rPr>
          <w:kern w:val="2"/>
          <w:sz w:val="28"/>
          <w:szCs w:val="28"/>
          <w:lang w:val="en-US"/>
        </w:rPr>
        <w:t>X</w:t>
      </w:r>
      <w:r w:rsidRPr="003C2169">
        <w:rPr>
          <w:kern w:val="2"/>
          <w:sz w:val="28"/>
          <w:szCs w:val="28"/>
          <w:vertAlign w:val="subscript"/>
          <w:lang w:val="en-US"/>
        </w:rPr>
        <w:t xml:space="preserve">4 </w:t>
      </w:r>
      <w:r w:rsidRPr="003C2169">
        <w:rPr>
          <w:sz w:val="28"/>
          <w:szCs w:val="28"/>
          <w:lang w:val="en-US"/>
        </w:rPr>
        <w:t xml:space="preserve">– 1,438 * </w:t>
      </w:r>
      <w:r w:rsidRPr="003C2169">
        <w:rPr>
          <w:kern w:val="2"/>
          <w:sz w:val="28"/>
          <w:szCs w:val="28"/>
          <w:lang w:val="en-US"/>
        </w:rPr>
        <w:t>X</w:t>
      </w:r>
      <w:r w:rsidRPr="003C2169">
        <w:rPr>
          <w:kern w:val="2"/>
          <w:sz w:val="28"/>
          <w:szCs w:val="28"/>
          <w:vertAlign w:val="subscript"/>
          <w:lang w:val="en-US"/>
        </w:rPr>
        <w:t>5</w:t>
      </w:r>
      <w:r w:rsidRPr="003C2169">
        <w:rPr>
          <w:sz w:val="28"/>
          <w:szCs w:val="28"/>
          <w:lang w:val="en-US"/>
        </w:rPr>
        <w:t xml:space="preserve"> +2,935 *</w:t>
      </w:r>
      <w:r w:rsidRPr="003C2169">
        <w:rPr>
          <w:kern w:val="2"/>
          <w:sz w:val="28"/>
          <w:szCs w:val="28"/>
          <w:lang w:val="en-US"/>
        </w:rPr>
        <w:t>X</w:t>
      </w:r>
      <w:r w:rsidRPr="003C2169">
        <w:rPr>
          <w:kern w:val="2"/>
          <w:sz w:val="28"/>
          <w:szCs w:val="28"/>
          <w:vertAlign w:val="subscript"/>
          <w:lang w:val="en-US"/>
        </w:rPr>
        <w:t xml:space="preserve">6 </w:t>
      </w:r>
      <w:r w:rsidRPr="003C2169">
        <w:rPr>
          <w:sz w:val="28"/>
          <w:szCs w:val="28"/>
          <w:lang w:val="en-US"/>
        </w:rPr>
        <w:t>+0,016 *</w:t>
      </w:r>
      <w:r w:rsidRPr="003C2169">
        <w:rPr>
          <w:kern w:val="2"/>
          <w:sz w:val="28"/>
          <w:szCs w:val="28"/>
          <w:lang w:val="en-US"/>
        </w:rPr>
        <w:t xml:space="preserve"> X</w:t>
      </w:r>
      <w:r w:rsidRPr="003C2169">
        <w:rPr>
          <w:kern w:val="2"/>
          <w:sz w:val="28"/>
          <w:szCs w:val="28"/>
          <w:vertAlign w:val="subscript"/>
          <w:lang w:val="en-US"/>
        </w:rPr>
        <w:t xml:space="preserve">7 </w:t>
      </w:r>
      <w:r w:rsidRPr="003C2169">
        <w:rPr>
          <w:kern w:val="2"/>
          <w:sz w:val="28"/>
          <w:szCs w:val="28"/>
          <w:lang w:val="en-US"/>
        </w:rPr>
        <w:t xml:space="preserve">+ </w:t>
      </w:r>
      <w:r w:rsidRPr="003C2169">
        <w:rPr>
          <w:sz w:val="28"/>
          <w:szCs w:val="28"/>
          <w:lang w:val="en-US"/>
        </w:rPr>
        <w:t>41,554)</w:t>
      </w:r>
      <w:r w:rsidRPr="003C2169">
        <w:rPr>
          <w:kern w:val="2"/>
          <w:sz w:val="28"/>
          <w:szCs w:val="28"/>
          <w:lang w:val="en-US"/>
        </w:rPr>
        <w:t>)]</w:t>
      </w:r>
      <w:r w:rsidRPr="003C2169">
        <w:rPr>
          <w:kern w:val="2"/>
          <w:sz w:val="28"/>
          <w:szCs w:val="28"/>
          <w:vertAlign w:val="superscript"/>
          <w:lang w:val="en-US"/>
        </w:rPr>
        <w:t>-1</w:t>
      </w:r>
    </w:p>
    <w:p w:rsidR="00E3259F" w:rsidRPr="003C2169" w:rsidRDefault="00E3259F" w:rsidP="003C2169">
      <w:pPr>
        <w:spacing w:line="360" w:lineRule="auto"/>
        <w:ind w:firstLine="709"/>
        <w:jc w:val="both"/>
        <w:rPr>
          <w:sz w:val="28"/>
          <w:szCs w:val="28"/>
          <w:lang w:val="en-US"/>
        </w:rPr>
      </w:pPr>
      <w:r w:rsidRPr="003C2169">
        <w:rPr>
          <w:kern w:val="2"/>
          <w:sz w:val="28"/>
          <w:szCs w:val="28"/>
        </w:rPr>
        <w:t>де</w:t>
      </w:r>
      <w:r w:rsidRPr="003C2169">
        <w:rPr>
          <w:kern w:val="2"/>
          <w:sz w:val="28"/>
          <w:szCs w:val="28"/>
          <w:lang w:val="en-US"/>
        </w:rPr>
        <w:t xml:space="preserve"> X</w:t>
      </w:r>
      <w:r w:rsidRPr="003C2169">
        <w:rPr>
          <w:kern w:val="2"/>
          <w:sz w:val="28"/>
          <w:szCs w:val="28"/>
          <w:vertAlign w:val="subscript"/>
          <w:lang w:val="en-US"/>
        </w:rPr>
        <w:t xml:space="preserve">1 </w:t>
      </w:r>
      <w:r w:rsidRPr="003C2169">
        <w:rPr>
          <w:kern w:val="2"/>
          <w:sz w:val="28"/>
          <w:szCs w:val="28"/>
          <w:lang w:val="en-US"/>
        </w:rPr>
        <w:t xml:space="preserve">– </w:t>
      </w:r>
      <w:r w:rsidRPr="003C2169">
        <w:rPr>
          <w:kern w:val="2"/>
          <w:sz w:val="28"/>
          <w:szCs w:val="28"/>
          <w:lang w:val="uk-UA"/>
        </w:rPr>
        <w:t xml:space="preserve">ВДТ крові, </w:t>
      </w:r>
      <w:r w:rsidRPr="003C2169">
        <w:rPr>
          <w:kern w:val="2"/>
          <w:sz w:val="28"/>
          <w:szCs w:val="28"/>
          <w:lang w:val="en-US"/>
        </w:rPr>
        <w:t>X</w:t>
      </w:r>
      <w:r w:rsidRPr="003C2169">
        <w:rPr>
          <w:kern w:val="2"/>
          <w:sz w:val="28"/>
          <w:szCs w:val="28"/>
          <w:vertAlign w:val="subscript"/>
          <w:lang w:val="en-US"/>
        </w:rPr>
        <w:t xml:space="preserve">2  </w:t>
      </w:r>
      <w:r w:rsidRPr="003C2169">
        <w:rPr>
          <w:kern w:val="2"/>
          <w:sz w:val="28"/>
          <w:szCs w:val="28"/>
          <w:lang w:val="en-US"/>
        </w:rPr>
        <w:t xml:space="preserve">- </w:t>
      </w:r>
      <w:r w:rsidRPr="003C2169">
        <w:rPr>
          <w:kern w:val="2"/>
          <w:sz w:val="28"/>
          <w:szCs w:val="28"/>
          <w:lang w:val="uk-UA"/>
        </w:rPr>
        <w:t xml:space="preserve"> ВДТ клітин букального епітелію, </w:t>
      </w:r>
      <w:r w:rsidRPr="003C2169">
        <w:rPr>
          <w:kern w:val="2"/>
          <w:sz w:val="28"/>
          <w:szCs w:val="28"/>
          <w:lang w:val="en-US"/>
        </w:rPr>
        <w:t>X</w:t>
      </w:r>
      <w:r w:rsidRPr="003C2169">
        <w:rPr>
          <w:kern w:val="2"/>
          <w:sz w:val="28"/>
          <w:szCs w:val="28"/>
          <w:vertAlign w:val="subscript"/>
          <w:lang w:val="en-US"/>
        </w:rPr>
        <w:t xml:space="preserve">3  </w:t>
      </w:r>
      <w:r w:rsidRPr="003C2169">
        <w:rPr>
          <w:kern w:val="2"/>
          <w:sz w:val="28"/>
          <w:szCs w:val="28"/>
          <w:lang w:val="en-US"/>
        </w:rPr>
        <w:t>-</w:t>
      </w:r>
      <w:r w:rsidRPr="003C2169">
        <w:rPr>
          <w:kern w:val="2"/>
          <w:sz w:val="28"/>
          <w:szCs w:val="28"/>
          <w:lang w:val="uk-UA"/>
        </w:rPr>
        <w:t xml:space="preserve"> рівень </w:t>
      </w:r>
      <w:r w:rsidRPr="003C2169">
        <w:rPr>
          <w:kern w:val="2"/>
          <w:sz w:val="28"/>
          <w:szCs w:val="28"/>
          <w:lang w:val="en-US"/>
        </w:rPr>
        <w:t xml:space="preserve"> </w:t>
      </w:r>
      <w:r w:rsidRPr="003C2169">
        <w:rPr>
          <w:kern w:val="2"/>
          <w:sz w:val="28"/>
          <w:szCs w:val="28"/>
          <w:lang w:val="uk-UA"/>
        </w:rPr>
        <w:t xml:space="preserve">САТ, </w:t>
      </w:r>
      <w:r w:rsidRPr="003C2169">
        <w:rPr>
          <w:kern w:val="2"/>
          <w:sz w:val="28"/>
          <w:szCs w:val="28"/>
          <w:lang w:val="en-US"/>
        </w:rPr>
        <w:t>X</w:t>
      </w:r>
      <w:r w:rsidRPr="003C2169">
        <w:rPr>
          <w:kern w:val="2"/>
          <w:sz w:val="28"/>
          <w:szCs w:val="28"/>
          <w:vertAlign w:val="subscript"/>
          <w:lang w:val="en-US"/>
        </w:rPr>
        <w:t xml:space="preserve">4 </w:t>
      </w:r>
      <w:r w:rsidRPr="003C2169">
        <w:rPr>
          <w:kern w:val="2"/>
          <w:sz w:val="28"/>
          <w:szCs w:val="28"/>
          <w:lang w:val="en-US"/>
        </w:rPr>
        <w:t>–</w:t>
      </w:r>
      <w:r w:rsidRPr="003C2169">
        <w:rPr>
          <w:kern w:val="2"/>
          <w:sz w:val="28"/>
          <w:szCs w:val="28"/>
          <w:lang w:val="uk-UA"/>
        </w:rPr>
        <w:t xml:space="preserve"> рівень ПАТ, </w:t>
      </w:r>
      <w:r w:rsidRPr="003C2169">
        <w:rPr>
          <w:kern w:val="2"/>
          <w:sz w:val="28"/>
          <w:szCs w:val="28"/>
          <w:lang w:val="en-US"/>
        </w:rPr>
        <w:t>X</w:t>
      </w:r>
      <w:r w:rsidRPr="003C2169">
        <w:rPr>
          <w:kern w:val="2"/>
          <w:sz w:val="28"/>
          <w:szCs w:val="28"/>
          <w:vertAlign w:val="subscript"/>
          <w:lang w:val="uk-UA"/>
        </w:rPr>
        <w:t xml:space="preserve">5 </w:t>
      </w:r>
      <w:r w:rsidRPr="003C2169">
        <w:rPr>
          <w:kern w:val="2"/>
          <w:sz w:val="28"/>
          <w:szCs w:val="28"/>
          <w:lang w:val="uk-UA"/>
        </w:rPr>
        <w:t xml:space="preserve">–  рівень </w:t>
      </w:r>
      <w:r w:rsidRPr="003C2169">
        <w:rPr>
          <w:sz w:val="28"/>
          <w:szCs w:val="28"/>
          <w:lang w:val="uk-UA"/>
        </w:rPr>
        <w:t xml:space="preserve">8-OH-dG, </w:t>
      </w:r>
      <w:r w:rsidRPr="003C2169">
        <w:rPr>
          <w:kern w:val="2"/>
          <w:sz w:val="28"/>
          <w:szCs w:val="28"/>
          <w:lang w:val="en-US"/>
        </w:rPr>
        <w:t>X</w:t>
      </w:r>
      <w:r w:rsidRPr="003C2169">
        <w:rPr>
          <w:kern w:val="2"/>
          <w:sz w:val="28"/>
          <w:szCs w:val="28"/>
          <w:vertAlign w:val="subscript"/>
          <w:lang w:val="en-US"/>
        </w:rPr>
        <w:t xml:space="preserve">6 </w:t>
      </w:r>
      <w:r w:rsidRPr="003C2169">
        <w:rPr>
          <w:kern w:val="2"/>
          <w:sz w:val="28"/>
          <w:szCs w:val="28"/>
          <w:lang w:val="en-US"/>
        </w:rPr>
        <w:t xml:space="preserve">– </w:t>
      </w:r>
      <w:r w:rsidRPr="003C2169">
        <w:rPr>
          <w:kern w:val="2"/>
          <w:sz w:val="28"/>
          <w:szCs w:val="28"/>
          <w:lang w:val="uk-UA"/>
        </w:rPr>
        <w:t xml:space="preserve">рівеньТТГ, </w:t>
      </w:r>
      <w:r w:rsidRPr="003C2169">
        <w:rPr>
          <w:kern w:val="2"/>
          <w:sz w:val="28"/>
          <w:szCs w:val="28"/>
          <w:lang w:val="en-US"/>
        </w:rPr>
        <w:t>X</w:t>
      </w:r>
      <w:r w:rsidRPr="003C2169">
        <w:rPr>
          <w:kern w:val="2"/>
          <w:sz w:val="28"/>
          <w:szCs w:val="28"/>
          <w:vertAlign w:val="subscript"/>
          <w:lang w:val="en-US"/>
        </w:rPr>
        <w:t>7</w:t>
      </w:r>
      <w:r w:rsidRPr="003C2169">
        <w:rPr>
          <w:sz w:val="28"/>
          <w:szCs w:val="28"/>
          <w:lang w:val="en-US"/>
        </w:rPr>
        <w:t xml:space="preserve"> </w:t>
      </w:r>
      <w:r w:rsidRPr="003C2169">
        <w:rPr>
          <w:kern w:val="2"/>
          <w:sz w:val="28"/>
          <w:szCs w:val="28"/>
          <w:lang w:val="en-US"/>
        </w:rPr>
        <w:t xml:space="preserve">– </w:t>
      </w:r>
      <w:r w:rsidRPr="003C2169">
        <w:rPr>
          <w:kern w:val="2"/>
          <w:sz w:val="28"/>
          <w:szCs w:val="28"/>
          <w:lang w:val="uk-UA"/>
        </w:rPr>
        <w:t xml:space="preserve"> рівень ВЕФР</w:t>
      </w:r>
      <w:r w:rsidRPr="003C2169">
        <w:rPr>
          <w:sz w:val="28"/>
          <w:szCs w:val="28"/>
          <w:lang w:val="en-US"/>
        </w:rPr>
        <w:t>.</w:t>
      </w:r>
    </w:p>
    <w:p w:rsidR="00E3259F" w:rsidRPr="003C2169" w:rsidRDefault="00E3259F" w:rsidP="003C2169">
      <w:pPr>
        <w:spacing w:line="360" w:lineRule="auto"/>
        <w:ind w:firstLine="709"/>
        <w:jc w:val="both"/>
        <w:rPr>
          <w:rFonts w:eastAsiaTheme="minorHAnsi"/>
          <w:sz w:val="28"/>
          <w:szCs w:val="28"/>
          <w:lang w:val="uk-UA"/>
        </w:rPr>
      </w:pPr>
      <w:r w:rsidRPr="003C2169">
        <w:rPr>
          <w:rFonts w:eastAsia="Calibri"/>
          <w:sz w:val="28"/>
          <w:szCs w:val="28"/>
          <w:lang w:val="uk-UA"/>
        </w:rPr>
        <w:t xml:space="preserve">За допомогою </w:t>
      </w:r>
      <w:r w:rsidRPr="003C2169">
        <w:rPr>
          <w:rFonts w:eastAsia="Calibri"/>
          <w:sz w:val="28"/>
          <w:szCs w:val="28"/>
          <w:lang w:val="en-US"/>
        </w:rPr>
        <w:t>ROC</w:t>
      </w:r>
      <w:r w:rsidRPr="003C2169">
        <w:rPr>
          <w:rFonts w:eastAsia="Calibri"/>
          <w:sz w:val="28"/>
          <w:szCs w:val="28"/>
          <w:lang w:val="uk-UA"/>
        </w:rPr>
        <w:t xml:space="preserve">-аналізу доведена висока прогностична значущість визначення </w:t>
      </w:r>
      <w:r w:rsidRPr="003C2169">
        <w:rPr>
          <w:kern w:val="2"/>
          <w:sz w:val="28"/>
          <w:szCs w:val="28"/>
          <w:lang w:val="uk-UA"/>
        </w:rPr>
        <w:t>рівня ХС ЛПВЩ</w:t>
      </w:r>
      <w:r w:rsidRPr="003C2169">
        <w:rPr>
          <w:sz w:val="28"/>
          <w:szCs w:val="28"/>
          <w:lang w:val="uk-UA"/>
        </w:rPr>
        <w:t>, індексу</w:t>
      </w:r>
      <w:r w:rsidRPr="003C2169">
        <w:rPr>
          <w:kern w:val="2"/>
          <w:sz w:val="28"/>
          <w:szCs w:val="28"/>
          <w:lang w:val="uk-UA"/>
        </w:rPr>
        <w:t xml:space="preserve"> </w:t>
      </w:r>
      <w:r w:rsidRPr="003C2169">
        <w:rPr>
          <w:kern w:val="2"/>
          <w:sz w:val="28"/>
          <w:szCs w:val="28"/>
          <w:lang w:val="en-US"/>
        </w:rPr>
        <w:t>HOMA</w:t>
      </w:r>
      <w:r w:rsidRPr="003C2169">
        <w:rPr>
          <w:kern w:val="2"/>
          <w:sz w:val="28"/>
          <w:szCs w:val="28"/>
          <w:lang w:val="uk-UA"/>
        </w:rPr>
        <w:t>-</w:t>
      </w:r>
      <w:r w:rsidRPr="003C2169">
        <w:rPr>
          <w:kern w:val="2"/>
          <w:sz w:val="28"/>
          <w:szCs w:val="28"/>
          <w:lang w:val="en-US"/>
        </w:rPr>
        <w:t>IR</w:t>
      </w:r>
      <w:r w:rsidRPr="003C2169">
        <w:rPr>
          <w:sz w:val="28"/>
          <w:szCs w:val="28"/>
          <w:lang w:val="uk-UA"/>
        </w:rPr>
        <w:t>, рівня глюкози натще, кількості</w:t>
      </w:r>
      <w:r w:rsidRPr="003C2169">
        <w:rPr>
          <w:kern w:val="2"/>
          <w:sz w:val="28"/>
          <w:szCs w:val="28"/>
          <w:lang w:val="uk-UA"/>
        </w:rPr>
        <w:t xml:space="preserve"> ЦДЕК, рівня </w:t>
      </w:r>
      <w:r w:rsidRPr="003C2169">
        <w:rPr>
          <w:sz w:val="28"/>
          <w:szCs w:val="28"/>
          <w:lang w:val="uk-UA"/>
        </w:rPr>
        <w:t xml:space="preserve">8-OH-dG плазми, ВДТ крові </w:t>
      </w:r>
      <w:r w:rsidRPr="003C2169">
        <w:rPr>
          <w:rFonts w:eastAsia="Calibri"/>
          <w:sz w:val="28"/>
          <w:szCs w:val="28"/>
          <w:lang w:val="uk-UA"/>
        </w:rPr>
        <w:t xml:space="preserve">відносно розвитку ССУ при ГХ та ЦД 2 типу (площа під </w:t>
      </w:r>
      <w:r w:rsidRPr="003C2169">
        <w:rPr>
          <w:rFonts w:eastAsia="Calibri"/>
          <w:sz w:val="28"/>
          <w:szCs w:val="28"/>
          <w:lang w:val="en-US"/>
        </w:rPr>
        <w:t>ROC</w:t>
      </w:r>
      <w:r w:rsidRPr="003C2169">
        <w:rPr>
          <w:rFonts w:eastAsia="Calibri"/>
          <w:sz w:val="28"/>
          <w:szCs w:val="28"/>
          <w:lang w:val="uk-UA"/>
        </w:rPr>
        <w:t>-кривою (</w:t>
      </w:r>
      <w:r w:rsidRPr="003C2169">
        <w:rPr>
          <w:rFonts w:eastAsia="Calibri"/>
          <w:sz w:val="28"/>
          <w:szCs w:val="28"/>
        </w:rPr>
        <w:t>AUC</w:t>
      </w:r>
      <w:r w:rsidRPr="003C2169">
        <w:rPr>
          <w:rFonts w:eastAsia="Calibri"/>
          <w:sz w:val="28"/>
          <w:szCs w:val="28"/>
          <w:lang w:val="uk-UA"/>
        </w:rPr>
        <w:t xml:space="preserve">) - </w:t>
      </w:r>
      <w:r w:rsidRPr="003C2169">
        <w:rPr>
          <w:sz w:val="28"/>
          <w:szCs w:val="28"/>
          <w:lang w:val="uk-UA"/>
        </w:rPr>
        <w:t>0,950</w:t>
      </w:r>
      <w:r w:rsidRPr="003C2169">
        <w:rPr>
          <w:rFonts w:eastAsia="Calibri"/>
          <w:sz w:val="28"/>
          <w:szCs w:val="28"/>
          <w:lang w:val="uk-UA"/>
        </w:rPr>
        <w:t xml:space="preserve"> (95% довірчий інтервал: 0,884-1,000; р&lt;0,001)); а визначення </w:t>
      </w:r>
      <w:r w:rsidRPr="003C2169">
        <w:rPr>
          <w:kern w:val="2"/>
          <w:sz w:val="28"/>
          <w:szCs w:val="28"/>
          <w:lang w:val="uk-UA"/>
        </w:rPr>
        <w:t xml:space="preserve">ВДТ крові, ВДТ клітин букального епітелію, рівня САТ, рівня ПАТ, рівня </w:t>
      </w:r>
      <w:r w:rsidRPr="003C2169">
        <w:rPr>
          <w:sz w:val="28"/>
          <w:szCs w:val="28"/>
          <w:lang w:val="uk-UA"/>
        </w:rPr>
        <w:t>8-OH-dG плазми, рівня</w:t>
      </w:r>
      <w:r w:rsidRPr="003C2169">
        <w:rPr>
          <w:kern w:val="2"/>
          <w:sz w:val="28"/>
          <w:szCs w:val="28"/>
          <w:lang w:val="uk-UA"/>
        </w:rPr>
        <w:t xml:space="preserve"> ТТГ та ВЕФР </w:t>
      </w:r>
      <w:r w:rsidRPr="003C2169">
        <w:rPr>
          <w:rFonts w:eastAsia="Calibri"/>
          <w:sz w:val="28"/>
          <w:szCs w:val="28"/>
          <w:lang w:val="uk-UA"/>
        </w:rPr>
        <w:t xml:space="preserve">має високу прогностичну значущість відносно розвитку ССУ при ГХ, ЦД 2 типу та СГТ - площа під </w:t>
      </w:r>
      <w:r w:rsidRPr="003C2169">
        <w:rPr>
          <w:rFonts w:eastAsia="Calibri"/>
          <w:sz w:val="28"/>
          <w:szCs w:val="28"/>
        </w:rPr>
        <w:t>ROC</w:t>
      </w:r>
      <w:r w:rsidRPr="003C2169">
        <w:rPr>
          <w:rFonts w:eastAsia="Calibri"/>
          <w:sz w:val="28"/>
          <w:szCs w:val="28"/>
          <w:lang w:val="uk-UA"/>
        </w:rPr>
        <w:t>-кривою (</w:t>
      </w:r>
      <w:r w:rsidRPr="003C2169">
        <w:rPr>
          <w:rFonts w:eastAsia="Calibri"/>
          <w:sz w:val="28"/>
          <w:szCs w:val="28"/>
        </w:rPr>
        <w:t>AUC</w:t>
      </w:r>
      <w:r w:rsidRPr="003C2169">
        <w:rPr>
          <w:rFonts w:eastAsia="Calibri"/>
          <w:sz w:val="28"/>
          <w:szCs w:val="28"/>
          <w:lang w:val="uk-UA"/>
        </w:rPr>
        <w:t xml:space="preserve">) - 0,991 (95% довірчий інтервал: 0,978 - 1,000; р&lt;0,001). </w:t>
      </w:r>
      <w:r w:rsidRPr="003C2169">
        <w:rPr>
          <w:sz w:val="28"/>
          <w:szCs w:val="28"/>
          <w:lang w:val="uk-UA"/>
        </w:rPr>
        <w:t xml:space="preserve">Корисність математичних моделей була перевірена на практиці при прогнозуванні розвитку ССУ у пацієнтів відповідних категорій. Результати перевірки дозволили підтвердити, що  застосування синтезованої логістичної моделі дозволить проводити своєчасну ранню діагностику, лікування та профілактику у хворих із поєднаним перебігом ГХ та ЦД 2 типу </w:t>
      </w:r>
      <w:r w:rsidRPr="003C2169">
        <w:rPr>
          <w:sz w:val="28"/>
          <w:szCs w:val="28"/>
          <w:lang w:val="uk-UA" w:eastAsia="en-US"/>
        </w:rPr>
        <w:t xml:space="preserve">залежно </w:t>
      </w:r>
      <w:r w:rsidRPr="003C2169">
        <w:rPr>
          <w:sz w:val="28"/>
          <w:szCs w:val="28"/>
          <w:lang w:val="uk-UA"/>
        </w:rPr>
        <w:t>від функціонального стану ЩЗ для попередження розвитку ССУ.</w:t>
      </w:r>
    </w:p>
    <w:p w:rsidR="00E3259F" w:rsidRPr="003C2169" w:rsidRDefault="00E3259F" w:rsidP="003C2169">
      <w:pPr>
        <w:shd w:val="clear" w:color="auto" w:fill="FFFFFF"/>
        <w:spacing w:line="360" w:lineRule="auto"/>
        <w:ind w:firstLine="709"/>
        <w:jc w:val="both"/>
        <w:rPr>
          <w:sz w:val="28"/>
          <w:szCs w:val="28"/>
          <w:lang w:val="uk-UA"/>
        </w:rPr>
      </w:pPr>
      <w:r w:rsidRPr="003C2169">
        <w:rPr>
          <w:sz w:val="28"/>
          <w:szCs w:val="28"/>
          <w:lang w:val="uk-UA"/>
        </w:rPr>
        <w:t>Згідно існуючих рекомендацій, призначення статинів є одним з основних принципів сучасної антидіабетичної терапії, яка повинна призначатися хворим на ГХ та ЦД 2 типу з метою зниження КВР. У нашому дослідженні призначення статинів у групі пацієнтів з ГХ та ЦД 2 типу асоціювалось із зниженням САТ у 11,54±2,56% пацієнтів та ДАТ у 8,97±2,29% пацієнтів, що призвело до зниження ПАТ у 19,23±3,15% пацієнтів. У 1,92±1,1% пацієнтів ці зміни призвели до досягнення цільових рівнів САТ, у 1,28±0,90% пацієнтів – цільових рівнів ДАТ. Статинотерапія пацієнтів з ГХ та ЦД 2 типу не супровождувалася достовірними змінами МТ (р&gt;0,05) та ІМТ (р&gt;0,05), але приводила до очікуваного покращення ліпідного обміну через 1 рік спостереження: достовірне зниження  рівня ЗХС (5,25±0,10 ммоль/л  проти 4.83±0.08 ммоль/л, p=0,001), ХС ЛПНЩ (3.21±0.11 ммоль/л проти, 2.70±0.08 ммоль/л,  p&lt;0,001),  ХС ЛПДНЩ (0.85±0.04 ммоль/л проти 0.79±0.04 ммоль/л, p&lt;0,001), ТГ (1.90±0.07 ммоль/л проти 1.81±0.07 ммоль/л, p&lt;0,001), підвищення ХС ЛПВЩ (1,22±0,03 ммоль/л проти 1,24±0,03 ммоль/л, p=0,001), але досягнення цільових рівнів ЗХС спостерігалось лише у 46,15±3,99% пацієнтів,  ХС ЛПНЩ – у 27,56±3,58% пацієнтів, ХС ЛПВЩ – у 53,85±3,99% пацієнтів. Додавання терапії статинами призводило до підвищення рівня інсуліну, але показники не перевищували референсних значень (23,03±1,09 мк</w:t>
      </w:r>
      <w:r w:rsidRPr="003C2169">
        <w:rPr>
          <w:sz w:val="28"/>
          <w:szCs w:val="28"/>
        </w:rPr>
        <w:t>M</w:t>
      </w:r>
      <w:r w:rsidRPr="003C2169">
        <w:rPr>
          <w:sz w:val="28"/>
          <w:szCs w:val="28"/>
          <w:lang w:val="uk-UA"/>
        </w:rPr>
        <w:t>О/мл проти 22,64±1,19 мк</w:t>
      </w:r>
      <w:r w:rsidRPr="003C2169">
        <w:rPr>
          <w:sz w:val="28"/>
          <w:szCs w:val="28"/>
        </w:rPr>
        <w:t>M</w:t>
      </w:r>
      <w:r w:rsidRPr="003C2169">
        <w:rPr>
          <w:sz w:val="28"/>
          <w:szCs w:val="28"/>
          <w:lang w:val="uk-UA"/>
        </w:rPr>
        <w:t xml:space="preserve">О/мл), зниження рівнів глюкози натще, підвищення рівнів </w:t>
      </w:r>
      <w:r w:rsidRPr="003C2169">
        <w:rPr>
          <w:sz w:val="28"/>
          <w:szCs w:val="28"/>
        </w:rPr>
        <w:t>HbA</w:t>
      </w:r>
      <w:r w:rsidRPr="003C2169">
        <w:rPr>
          <w:sz w:val="28"/>
          <w:szCs w:val="28"/>
          <w:lang w:val="uk-UA"/>
        </w:rPr>
        <w:t xml:space="preserve">1с та </w:t>
      </w:r>
      <w:r w:rsidRPr="003C2169">
        <w:rPr>
          <w:sz w:val="28"/>
          <w:szCs w:val="28"/>
        </w:rPr>
        <w:t>HOMA</w:t>
      </w:r>
      <w:r w:rsidRPr="003C2169">
        <w:rPr>
          <w:sz w:val="28"/>
          <w:szCs w:val="28"/>
          <w:lang w:val="uk-UA"/>
        </w:rPr>
        <w:t>-</w:t>
      </w:r>
      <w:r w:rsidRPr="003C2169">
        <w:rPr>
          <w:sz w:val="28"/>
          <w:szCs w:val="28"/>
        </w:rPr>
        <w:t>IR</w:t>
      </w:r>
      <w:r w:rsidRPr="003C2169">
        <w:rPr>
          <w:sz w:val="28"/>
          <w:szCs w:val="28"/>
          <w:lang w:val="uk-UA"/>
        </w:rPr>
        <w:t xml:space="preserve">, проте отримані відмінності були не достовірні (р&gt;0,05). З одного боку, у сукупності ці дані підтверджують існуючу думку про погіршення резистентності до інсуліну навіть при використанні невисоких доз статинів [2], проте з іншого, співпадають з результатами </w:t>
      </w:r>
      <w:r w:rsidRPr="003C2169">
        <w:rPr>
          <w:sz w:val="28"/>
          <w:szCs w:val="28"/>
          <w:lang w:val="en-US"/>
        </w:rPr>
        <w:t>Aktay</w:t>
      </w:r>
      <w:r w:rsidRPr="003C2169">
        <w:rPr>
          <w:sz w:val="28"/>
          <w:szCs w:val="28"/>
          <w:lang w:val="uk-UA"/>
        </w:rPr>
        <w:t xml:space="preserve"> </w:t>
      </w:r>
      <w:r w:rsidRPr="003C2169">
        <w:rPr>
          <w:sz w:val="28"/>
          <w:szCs w:val="28"/>
          <w:lang w:val="en-US"/>
        </w:rPr>
        <w:t>G</w:t>
      </w:r>
      <w:r w:rsidRPr="003C2169">
        <w:rPr>
          <w:sz w:val="28"/>
          <w:szCs w:val="28"/>
          <w:lang w:val="uk-UA"/>
        </w:rPr>
        <w:t xml:space="preserve"> та співав [137], які на моделях тварин із стрептозотоцин-індукованим ЦД отримали зниження рівня глюкози натще на тлі лікуванням аторвастатином. Призначення статинів призвело до достовірного  підвищення рівнів ВЕФР (326,03±14,22пг / мл проти 355,17±14,11 пг / мл, р&lt;0,001) на тлі зниження кількості ЦДЕК (12,13±0,38  кл./мл проти 10,49±0,28 кл./мл, р=0,001), що може свідчити про те, що зменшення морфологічного пошкодження ендотелію відбувається за рахунок збільшення експресії факторів росту стимуляції ангіогенезу, зокрема ВЕФР. Не спостерігалося достовірного зниження ТКІМ ЗСА на тлі лікуванням статинами протягом 1 року спостереження  (0,078±0,001 мм проти 0,077±0,001 мм, р&gt;0,05) у даної групи пацієнтів. Виявлене достовірне зниження  рівнів СРП (р=0,001) та ФНП-</w:t>
      </w:r>
      <w:r w:rsidRPr="003C2169">
        <w:rPr>
          <w:sz w:val="28"/>
          <w:szCs w:val="28"/>
        </w:rPr>
        <w:t>α</w:t>
      </w:r>
      <w:r w:rsidRPr="003C2169">
        <w:rPr>
          <w:sz w:val="28"/>
          <w:szCs w:val="28"/>
          <w:lang w:val="uk-UA"/>
        </w:rPr>
        <w:t xml:space="preserve"> (р=0,001) на тлі статинотерапії в пацієнтів із ГХ та ЦД 2 типу можна розцінити як прояв не тільки протизапального, але й ендотелійпротекторного впливу статинів. </w:t>
      </w:r>
    </w:p>
    <w:p w:rsidR="00E3259F" w:rsidRPr="003C2169" w:rsidRDefault="00E3259F" w:rsidP="003C2169">
      <w:pPr>
        <w:shd w:val="clear" w:color="auto" w:fill="FFFFFF"/>
        <w:spacing w:line="360" w:lineRule="auto"/>
        <w:ind w:firstLine="709"/>
        <w:jc w:val="both"/>
        <w:rPr>
          <w:sz w:val="28"/>
          <w:szCs w:val="28"/>
          <w:lang w:val="uk-UA"/>
        </w:rPr>
      </w:pPr>
      <w:r w:rsidRPr="003C2169">
        <w:rPr>
          <w:sz w:val="28"/>
          <w:szCs w:val="28"/>
          <w:lang w:val="uk-UA"/>
        </w:rPr>
        <w:t xml:space="preserve">Виявлене у нашій роботі напруження оксидантно-антиоксидантного балансу: достовірне підвищення рівня SH-групи (р=0,001) та зниження рівня 8-OH-dG крові (р=0,001) на тлі не значного підвищення рівня МДА (р&gt;0,05) та зниження активності ГПО (р&gt;0,05),  співпадає з даними, які з'явилися в останні роки, щодо можливого посилення ОС на тлі лікування статинами [267,269,412]. </w:t>
      </w:r>
    </w:p>
    <w:p w:rsidR="00E3259F" w:rsidRPr="003C2169" w:rsidRDefault="00E3259F" w:rsidP="003C2169">
      <w:pPr>
        <w:shd w:val="clear" w:color="auto" w:fill="FFFFFF"/>
        <w:spacing w:line="360" w:lineRule="auto"/>
        <w:ind w:firstLine="709"/>
        <w:jc w:val="both"/>
        <w:rPr>
          <w:sz w:val="28"/>
          <w:szCs w:val="28"/>
          <w:lang w:val="uk-UA"/>
        </w:rPr>
      </w:pPr>
      <w:r w:rsidRPr="003C2169">
        <w:rPr>
          <w:sz w:val="28"/>
          <w:szCs w:val="28"/>
          <w:lang w:val="uk-UA"/>
        </w:rPr>
        <w:t>Незважаючи на неоднозначний вплив статинів на вуглеводний обмін, ОС та ЕД мало місце невелике, але достовірне подовшення ВДТ як крові (р=0,001) так і клітин букального епітелію (р=0,008). У осіб, у яких на тлі статинотерапії відмічалось подовшення ВДТ як крові, так і клітин букального епітелію (</w:t>
      </w:r>
      <w:r w:rsidRPr="003C2169">
        <w:rPr>
          <w:sz w:val="28"/>
          <w:szCs w:val="28"/>
        </w:rPr>
        <w:t>n</w:t>
      </w:r>
      <w:r w:rsidRPr="003C2169">
        <w:rPr>
          <w:sz w:val="28"/>
          <w:szCs w:val="28"/>
          <w:lang w:val="uk-UA"/>
        </w:rPr>
        <w:t>=54), більшою мірою мав місце позитивний вплив на значну кількість досліджуваних показників порівняно з пацієнтами, у яких на тлі статинотерапії відмічалося вкорочення ВДТ або відсутність будь-яких змін ВДТ (</w:t>
      </w:r>
      <w:r w:rsidRPr="003C2169">
        <w:rPr>
          <w:sz w:val="28"/>
          <w:szCs w:val="28"/>
        </w:rPr>
        <w:t>n</w:t>
      </w:r>
      <w:r w:rsidRPr="003C2169">
        <w:rPr>
          <w:sz w:val="28"/>
          <w:szCs w:val="28"/>
          <w:lang w:val="uk-UA"/>
        </w:rPr>
        <w:t>=72): на наявність цільових рівнів САТ (у 44,44±6,76% пацієнтів проти  26,39±5,19% пацієнтів, р=0,035), зниження рівня ЗХС (4,46±0,13 ммоль/л проти 5,05±0,11ммоль/л, р=0,001), досягнення цільових рівнів ЗХС (у 35,18±6,50% пацієнтів проти 11,11%±3,70 пацієнтів, р=0,002), зниження рівня ХС ЛПНЩ (2,42±0,14моль/л проти 2,96±0,12 ммоль/л, р=0,006), досягнення цільових рівнів ХС ЛПНЩ (у 31,48±6,32% пацієнтів проти 12,50±3,89% пацієнтів, р=0,010), достовірно нижчі рівні 8-OH-dG (13,41±0,37 пкг/мл проти 15,16±0,39 пкг/мл, р=0,002) та нижчі рівні МДА (6,37±0,23 мкмоль/л та 6,39±0,21 мкмоль/л, р&gt;0,05),  ВЕФР (335,62±27,05</w:t>
      </w:r>
      <w:r w:rsidRPr="003C2169">
        <w:rPr>
          <w:rStyle w:val="10"/>
          <w:rFonts w:eastAsiaTheme="minorHAnsi"/>
          <w:b w:val="0"/>
          <w:lang w:val="uk-UA"/>
        </w:rPr>
        <w:t xml:space="preserve"> </w:t>
      </w:r>
      <w:r w:rsidRPr="003C2169">
        <w:rPr>
          <w:rStyle w:val="xfm65112403"/>
          <w:rFonts w:eastAsiaTheme="majorEastAsia"/>
          <w:sz w:val="28"/>
          <w:szCs w:val="28"/>
          <w:lang w:val="uk-UA"/>
        </w:rPr>
        <w:t>пг</w:t>
      </w:r>
      <w:r w:rsidRPr="003C2169">
        <w:rPr>
          <w:sz w:val="28"/>
          <w:szCs w:val="28"/>
          <w:lang w:val="uk-UA"/>
        </w:rPr>
        <w:t xml:space="preserve">/мл проти 374,93±20,80 </w:t>
      </w:r>
      <w:r w:rsidRPr="003C2169">
        <w:rPr>
          <w:rStyle w:val="xfm65112403"/>
          <w:rFonts w:eastAsiaTheme="majorEastAsia"/>
          <w:sz w:val="28"/>
          <w:szCs w:val="28"/>
          <w:lang w:val="uk-UA"/>
        </w:rPr>
        <w:t>пг</w:t>
      </w:r>
      <w:r w:rsidRPr="003C2169">
        <w:rPr>
          <w:sz w:val="28"/>
          <w:szCs w:val="28"/>
          <w:lang w:val="uk-UA"/>
        </w:rPr>
        <w:t xml:space="preserve">/мл,р&gt;0,05) і СРП (7,06±0,39 мг/л проти 7,53±0,28 мг/л, р&gt;0,05), але достовірних відмінностей не було. </w:t>
      </w:r>
    </w:p>
    <w:p w:rsidR="00E3259F" w:rsidRPr="003C2169" w:rsidRDefault="00E3259F" w:rsidP="003C2169">
      <w:pPr>
        <w:shd w:val="clear" w:color="auto" w:fill="FFFFFF"/>
        <w:spacing w:line="360" w:lineRule="auto"/>
        <w:ind w:firstLine="709"/>
        <w:jc w:val="both"/>
        <w:rPr>
          <w:sz w:val="28"/>
          <w:szCs w:val="28"/>
          <w:lang w:val="uk-UA"/>
        </w:rPr>
      </w:pPr>
      <w:r w:rsidRPr="003C2169">
        <w:rPr>
          <w:sz w:val="28"/>
          <w:szCs w:val="28"/>
          <w:lang w:val="uk-UA"/>
        </w:rPr>
        <w:t>Проведення кореляційного аналізу виявило достовірні негативні зв`язки значної сили, яких не було до лікування статинами, між ВДТ та віковими показниками, що характеризують процеси старіння, а саме:  між ВДТ крові та БВ (</w:t>
      </w:r>
      <w:r w:rsidRPr="003C2169">
        <w:rPr>
          <w:sz w:val="28"/>
          <w:szCs w:val="28"/>
        </w:rPr>
        <w:t>r</w:t>
      </w:r>
      <w:r w:rsidRPr="003C2169">
        <w:rPr>
          <w:sz w:val="28"/>
          <w:szCs w:val="28"/>
          <w:lang w:val="uk-UA"/>
        </w:rPr>
        <w:t>=-0,776, р=0,040), ВДТ крові  та  індексом швидкості старіння (</w:t>
      </w:r>
      <w:r w:rsidRPr="003C2169">
        <w:rPr>
          <w:sz w:val="28"/>
          <w:szCs w:val="28"/>
        </w:rPr>
        <w:t>r</w:t>
      </w:r>
      <w:r w:rsidRPr="003C2169">
        <w:rPr>
          <w:sz w:val="28"/>
          <w:szCs w:val="28"/>
          <w:lang w:val="uk-UA"/>
        </w:rPr>
        <w:t>=-0,788, р=0,035), ВДТ крові  та коефіцієнтом швидкості старіння (</w:t>
      </w:r>
      <w:r w:rsidRPr="003C2169">
        <w:rPr>
          <w:sz w:val="28"/>
          <w:szCs w:val="28"/>
        </w:rPr>
        <w:t>r</w:t>
      </w:r>
      <w:r w:rsidRPr="003C2169">
        <w:rPr>
          <w:sz w:val="28"/>
          <w:szCs w:val="28"/>
          <w:lang w:val="uk-UA"/>
        </w:rPr>
        <w:t xml:space="preserve">=-0,769, р=0,043). </w:t>
      </w:r>
    </w:p>
    <w:p w:rsidR="00E3259F" w:rsidRPr="003C2169" w:rsidRDefault="00E3259F" w:rsidP="003C2169">
      <w:pPr>
        <w:shd w:val="clear" w:color="auto" w:fill="FFFFFF"/>
        <w:spacing w:line="360" w:lineRule="auto"/>
        <w:ind w:firstLine="709"/>
        <w:jc w:val="both"/>
        <w:rPr>
          <w:sz w:val="28"/>
          <w:szCs w:val="28"/>
          <w:lang w:val="uk-UA"/>
        </w:rPr>
      </w:pPr>
      <w:r w:rsidRPr="003C2169">
        <w:rPr>
          <w:sz w:val="28"/>
          <w:szCs w:val="28"/>
          <w:lang w:val="uk-UA"/>
        </w:rPr>
        <w:t>Однофакторний дисперсійний аналіз дозволив виявити на</w:t>
      </w:r>
      <w:r w:rsidRPr="003C2169">
        <w:rPr>
          <w:rStyle w:val="10"/>
          <w:rFonts w:eastAsiaTheme="minorHAnsi"/>
          <w:b w:val="0"/>
          <w:sz w:val="28"/>
          <w:szCs w:val="28"/>
          <w:lang w:val="uk-UA"/>
        </w:rPr>
        <w:t>явність значного впливу прийому статинів на рівень ЗХС (р=0</w:t>
      </w:r>
      <w:r w:rsidRPr="003C2169">
        <w:rPr>
          <w:sz w:val="28"/>
          <w:szCs w:val="28"/>
          <w:lang w:val="uk-UA"/>
        </w:rPr>
        <w:t>,001), ХС ЛПНЩ (р=0,001), ЦДЕК (р&lt;0,001), СРП (р&lt;0,001), ФНП-</w:t>
      </w:r>
      <w:r w:rsidRPr="003C2169">
        <w:rPr>
          <w:sz w:val="28"/>
          <w:szCs w:val="28"/>
        </w:rPr>
        <w:t>α</w:t>
      </w:r>
      <w:r w:rsidRPr="003C2169">
        <w:rPr>
          <w:sz w:val="28"/>
          <w:szCs w:val="28"/>
          <w:lang w:val="uk-UA"/>
        </w:rPr>
        <w:t xml:space="preserve"> (р=0,009) та рівень </w:t>
      </w:r>
      <w:r w:rsidRPr="003C2169">
        <w:rPr>
          <w:sz w:val="28"/>
          <w:szCs w:val="28"/>
        </w:rPr>
        <w:t>SH</w:t>
      </w:r>
      <w:r w:rsidRPr="003C2169">
        <w:rPr>
          <w:sz w:val="28"/>
          <w:szCs w:val="28"/>
          <w:lang w:val="uk-UA"/>
        </w:rPr>
        <w:t xml:space="preserve">-груп (р=0,006). </w:t>
      </w:r>
      <w:r w:rsidRPr="003C2169">
        <w:rPr>
          <w:rStyle w:val="10"/>
          <w:rFonts w:eastAsiaTheme="minorHAnsi"/>
          <w:b w:val="0"/>
          <w:sz w:val="28"/>
          <w:szCs w:val="28"/>
          <w:lang w:val="uk-UA"/>
        </w:rPr>
        <w:t>Незважаючи на наявність суперечливих даних щодо негативного впливу статинів на окремі ланки метаболізму, у пацієнтів з ГХ та ЦД 2 типу отримані результати свідчать про незаперечну користь статінотерапії, а наявність асоціації</w:t>
      </w:r>
      <w:r w:rsidRPr="003C2169">
        <w:rPr>
          <w:sz w:val="28"/>
          <w:szCs w:val="28"/>
          <w:lang w:val="uk-UA"/>
        </w:rPr>
        <w:t xml:space="preserve"> між змінами ВДТ та визнаними факторами КВР на тлі лікуванням статинами надають додаткової сили щодо можливості використання ВДТ як додаткового маркера КВР в пацієнтів цієї категорії.  </w:t>
      </w:r>
    </w:p>
    <w:p w:rsidR="00E3259F" w:rsidRPr="003C2169" w:rsidRDefault="00E3259F" w:rsidP="003C2169">
      <w:pPr>
        <w:spacing w:line="360" w:lineRule="auto"/>
        <w:ind w:firstLine="709"/>
        <w:jc w:val="both"/>
        <w:rPr>
          <w:sz w:val="28"/>
          <w:szCs w:val="28"/>
          <w:lang w:val="uk-UA" w:eastAsia="en-US"/>
        </w:rPr>
      </w:pPr>
      <w:r w:rsidRPr="003C2169">
        <w:rPr>
          <w:sz w:val="28"/>
          <w:szCs w:val="28"/>
          <w:lang w:val="uk-UA"/>
        </w:rPr>
        <w:t>Приймаючи до уваги суперечливі дані відносно прогресування ОС на тлі лікування статинами, зокрема у осіб з коморбідною патологією, яка включає ЦД 2 типу, розроблено метод оцінки інтенсивності та прогнозування</w:t>
      </w:r>
      <w:r w:rsidRPr="003C2169">
        <w:rPr>
          <w:b/>
          <w:sz w:val="28"/>
          <w:szCs w:val="28"/>
          <w:lang w:val="uk-UA"/>
        </w:rPr>
        <w:t xml:space="preserve"> </w:t>
      </w:r>
      <w:r w:rsidRPr="003C2169">
        <w:rPr>
          <w:sz w:val="28"/>
          <w:szCs w:val="28"/>
          <w:lang w:val="uk-UA"/>
        </w:rPr>
        <w:t xml:space="preserve">прогресування оксидативного стресу, який полягає в тому, що у пацієнтів з ГХ, ЦД 2 тиипу та СГТ на тлі статинотерапії на підставі лабораторних ознак таких, як рівень МДА та </w:t>
      </w:r>
      <w:r w:rsidRPr="003C2169">
        <w:rPr>
          <w:sz w:val="28"/>
          <w:szCs w:val="28"/>
        </w:rPr>
        <w:t>SH</w:t>
      </w:r>
      <w:r w:rsidRPr="003C2169">
        <w:rPr>
          <w:sz w:val="28"/>
          <w:szCs w:val="28"/>
          <w:lang w:val="uk-UA"/>
        </w:rPr>
        <w:t xml:space="preserve">-груп за допомогою математичного апарату визначають рівень ОС, додатково обстежуючи та враховуючи активність ГПО, рівень 8-OH-dG, інформацію щодо вживання статинів, рівень САТ та рівень ТТГ, за регресійним рівнянням визначають у пацієнта ймовірність прогресування ОС за формулою: </w:t>
      </w:r>
    </w:p>
    <w:p w:rsidR="00E3259F" w:rsidRPr="003C2169" w:rsidRDefault="00E3259F" w:rsidP="003C2169">
      <w:pPr>
        <w:spacing w:line="360" w:lineRule="auto"/>
        <w:ind w:firstLine="709"/>
        <w:jc w:val="center"/>
        <w:rPr>
          <w:sz w:val="28"/>
          <w:szCs w:val="28"/>
          <w:lang w:val="uk-UA"/>
        </w:rPr>
      </w:pPr>
      <w:r w:rsidRPr="003C2169">
        <w:rPr>
          <w:rFonts w:eastAsiaTheme="minorHAnsi"/>
          <w:sz w:val="28"/>
          <w:szCs w:val="28"/>
          <w:lang w:eastAsia="en-US"/>
        </w:rPr>
        <w:object w:dxaOrig="240" w:dyaOrig="405">
          <v:shape id="_x0000_i1102" type="#_x0000_t75" style="width:12.75pt;height:20.25pt" o:ole="">
            <v:imagedata r:id="rId48" o:title=""/>
          </v:shape>
          <o:OLEObject Type="Embed" ProgID="Equation.3" ShapeID="_x0000_i1102" DrawAspect="Content" ObjectID="_1669446886" r:id="rId125"/>
        </w:object>
      </w:r>
      <w:r w:rsidRPr="003C2169">
        <w:rPr>
          <w:sz w:val="28"/>
          <w:szCs w:val="28"/>
          <w:lang w:val="uk-UA"/>
        </w:rPr>
        <w:t xml:space="preserve"> =[1+ </w:t>
      </w:r>
      <w:r w:rsidRPr="003C2169">
        <w:rPr>
          <w:sz w:val="28"/>
          <w:szCs w:val="28"/>
          <w:lang w:val="en-US"/>
        </w:rPr>
        <w:t>exp</w:t>
      </w:r>
      <w:r w:rsidRPr="003C2169">
        <w:rPr>
          <w:sz w:val="28"/>
          <w:szCs w:val="28"/>
          <w:lang w:val="uk-UA"/>
        </w:rPr>
        <w:t xml:space="preserve">(4,229 </w:t>
      </w:r>
      <w:r w:rsidRPr="003C2169">
        <w:rPr>
          <w:i/>
          <w:sz w:val="28"/>
          <w:szCs w:val="28"/>
          <w:lang w:val="en-US"/>
        </w:rPr>
        <w:t>X</w:t>
      </w:r>
      <w:r w:rsidRPr="003C2169">
        <w:rPr>
          <w:i/>
          <w:sz w:val="28"/>
          <w:szCs w:val="28"/>
          <w:vertAlign w:val="subscript"/>
          <w:lang w:val="uk-UA"/>
        </w:rPr>
        <w:t xml:space="preserve">1 </w:t>
      </w:r>
      <w:r w:rsidRPr="003C2169">
        <w:rPr>
          <w:sz w:val="28"/>
          <w:szCs w:val="28"/>
          <w:lang w:val="uk-UA"/>
        </w:rPr>
        <w:t xml:space="preserve">- 2,530 </w:t>
      </w:r>
      <w:r w:rsidRPr="003C2169">
        <w:rPr>
          <w:i/>
          <w:sz w:val="28"/>
          <w:szCs w:val="28"/>
          <w:lang w:val="en-US"/>
        </w:rPr>
        <w:t>X</w:t>
      </w:r>
      <w:r w:rsidRPr="003C2169">
        <w:rPr>
          <w:i/>
          <w:sz w:val="28"/>
          <w:szCs w:val="28"/>
          <w:vertAlign w:val="subscript"/>
          <w:lang w:val="uk-UA"/>
        </w:rPr>
        <w:t>2</w:t>
      </w:r>
      <w:r w:rsidRPr="003C2169">
        <w:rPr>
          <w:sz w:val="28"/>
          <w:szCs w:val="28"/>
          <w:vertAlign w:val="subscript"/>
          <w:lang w:val="uk-UA"/>
        </w:rPr>
        <w:t xml:space="preserve"> </w:t>
      </w:r>
      <w:r w:rsidRPr="003C2169">
        <w:rPr>
          <w:sz w:val="28"/>
          <w:szCs w:val="28"/>
          <w:lang w:val="uk-UA"/>
        </w:rPr>
        <w:t xml:space="preserve">- 0,059 </w:t>
      </w:r>
      <w:r w:rsidRPr="003C2169">
        <w:rPr>
          <w:i/>
          <w:sz w:val="28"/>
          <w:szCs w:val="28"/>
          <w:lang w:val="en-US"/>
        </w:rPr>
        <w:t>X</w:t>
      </w:r>
      <w:r w:rsidRPr="003C2169">
        <w:rPr>
          <w:i/>
          <w:sz w:val="28"/>
          <w:szCs w:val="28"/>
          <w:vertAlign w:val="subscript"/>
          <w:lang w:val="uk-UA"/>
        </w:rPr>
        <w:t xml:space="preserve">3 </w:t>
      </w:r>
      <w:r w:rsidRPr="003C2169">
        <w:rPr>
          <w:sz w:val="28"/>
          <w:szCs w:val="28"/>
          <w:lang w:val="uk-UA"/>
        </w:rPr>
        <w:t xml:space="preserve">+ 0,871 </w:t>
      </w:r>
      <w:r w:rsidRPr="003C2169">
        <w:rPr>
          <w:i/>
          <w:sz w:val="28"/>
          <w:szCs w:val="28"/>
          <w:lang w:val="en-US"/>
        </w:rPr>
        <w:t>X</w:t>
      </w:r>
      <w:r w:rsidRPr="003C2169">
        <w:rPr>
          <w:i/>
          <w:sz w:val="28"/>
          <w:szCs w:val="28"/>
          <w:vertAlign w:val="subscript"/>
          <w:lang w:val="uk-UA"/>
        </w:rPr>
        <w:t>4</w:t>
      </w:r>
      <w:r w:rsidRPr="003C2169">
        <w:rPr>
          <w:sz w:val="28"/>
          <w:szCs w:val="28"/>
          <w:vertAlign w:val="subscript"/>
          <w:lang w:val="uk-UA"/>
        </w:rPr>
        <w:t xml:space="preserve"> </w:t>
      </w:r>
      <w:r w:rsidRPr="003C2169">
        <w:rPr>
          <w:sz w:val="28"/>
          <w:szCs w:val="28"/>
          <w:lang w:val="uk-UA"/>
        </w:rPr>
        <w:t xml:space="preserve">+ 3,380 </w:t>
      </w:r>
      <w:r w:rsidRPr="003C2169">
        <w:rPr>
          <w:i/>
          <w:sz w:val="28"/>
          <w:szCs w:val="28"/>
          <w:lang w:val="en-US"/>
        </w:rPr>
        <w:t>X</w:t>
      </w:r>
      <w:r w:rsidRPr="003C2169">
        <w:rPr>
          <w:i/>
          <w:sz w:val="28"/>
          <w:szCs w:val="28"/>
          <w:vertAlign w:val="subscript"/>
          <w:lang w:val="uk-UA"/>
        </w:rPr>
        <w:t>5</w:t>
      </w:r>
      <w:r w:rsidRPr="003C2169">
        <w:rPr>
          <w:sz w:val="28"/>
          <w:szCs w:val="28"/>
          <w:lang w:val="uk-UA"/>
        </w:rPr>
        <w:t xml:space="preserve"> - 0,149 </w:t>
      </w:r>
      <w:r w:rsidRPr="003C2169">
        <w:rPr>
          <w:i/>
          <w:sz w:val="28"/>
          <w:szCs w:val="28"/>
          <w:lang w:val="en-US"/>
        </w:rPr>
        <w:t>X</w:t>
      </w:r>
      <w:r w:rsidRPr="003C2169">
        <w:rPr>
          <w:i/>
          <w:sz w:val="28"/>
          <w:szCs w:val="28"/>
          <w:vertAlign w:val="subscript"/>
          <w:lang w:val="uk-UA"/>
        </w:rPr>
        <w:t>6</w:t>
      </w:r>
      <w:r w:rsidRPr="003C2169">
        <w:rPr>
          <w:sz w:val="28"/>
          <w:szCs w:val="28"/>
          <w:lang w:val="uk-UA"/>
        </w:rPr>
        <w:t xml:space="preserve"> - 0,611 </w:t>
      </w:r>
      <w:r w:rsidRPr="003C2169">
        <w:rPr>
          <w:i/>
          <w:sz w:val="28"/>
          <w:szCs w:val="28"/>
          <w:lang w:val="en-US"/>
        </w:rPr>
        <w:t>X</w:t>
      </w:r>
      <w:r w:rsidRPr="003C2169">
        <w:rPr>
          <w:i/>
          <w:sz w:val="28"/>
          <w:szCs w:val="28"/>
          <w:vertAlign w:val="subscript"/>
          <w:lang w:val="uk-UA"/>
        </w:rPr>
        <w:t>7</w:t>
      </w:r>
      <w:r w:rsidRPr="003C2169">
        <w:rPr>
          <w:sz w:val="28"/>
          <w:szCs w:val="28"/>
          <w:lang w:val="uk-UA"/>
        </w:rPr>
        <w:t xml:space="preserve"> + 29,490)]</w:t>
      </w:r>
      <w:r w:rsidRPr="003C2169">
        <w:rPr>
          <w:sz w:val="28"/>
          <w:szCs w:val="28"/>
          <w:vertAlign w:val="superscript"/>
          <w:lang w:val="uk-UA"/>
        </w:rPr>
        <w:t>-1</w:t>
      </w:r>
      <w:r w:rsidRPr="003C2169">
        <w:rPr>
          <w:sz w:val="28"/>
          <w:szCs w:val="28"/>
          <w:lang w:val="uk-UA"/>
        </w:rPr>
        <w:t>,</w:t>
      </w:r>
    </w:p>
    <w:p w:rsidR="00E3259F" w:rsidRPr="003C2169" w:rsidRDefault="00E3259F" w:rsidP="003C2169">
      <w:pPr>
        <w:spacing w:line="360" w:lineRule="auto"/>
        <w:ind w:firstLine="709"/>
        <w:jc w:val="both"/>
        <w:rPr>
          <w:sz w:val="28"/>
          <w:szCs w:val="28"/>
          <w:lang w:val="uk-UA"/>
        </w:rPr>
      </w:pPr>
      <w:r w:rsidRPr="003C2169">
        <w:rPr>
          <w:sz w:val="28"/>
          <w:szCs w:val="28"/>
          <w:lang w:val="uk-UA"/>
        </w:rPr>
        <w:t xml:space="preserve">де </w:t>
      </w:r>
      <w:r w:rsidRPr="003C2169">
        <w:rPr>
          <w:rFonts w:eastAsiaTheme="minorHAnsi"/>
          <w:sz w:val="28"/>
          <w:szCs w:val="28"/>
          <w:lang w:eastAsia="en-US"/>
        </w:rPr>
        <w:object w:dxaOrig="240" w:dyaOrig="405">
          <v:shape id="_x0000_i1103" type="#_x0000_t75" style="width:12.75pt;height:20.25pt" o:ole="">
            <v:imagedata r:id="rId48" o:title=""/>
          </v:shape>
          <o:OLEObject Type="Embed" ProgID="Equation.3" ShapeID="_x0000_i1103" DrawAspect="Content" ObjectID="_1669446887" r:id="rId126"/>
        </w:object>
      </w:r>
      <w:r w:rsidRPr="003C2169">
        <w:rPr>
          <w:sz w:val="28"/>
          <w:szCs w:val="28"/>
          <w:lang w:val="uk-UA"/>
        </w:rPr>
        <w:t xml:space="preserve"> – імовірність прогресування оксидативного стресу у пацієнтів з ГХ та ЦД 2 типу в поєднанні з СГна тлі статинотерапії ; </w:t>
      </w:r>
      <w:r w:rsidRPr="003C2169">
        <w:rPr>
          <w:i/>
          <w:sz w:val="28"/>
          <w:szCs w:val="28"/>
        </w:rPr>
        <w:t>X</w:t>
      </w:r>
      <w:r w:rsidRPr="003C2169">
        <w:rPr>
          <w:i/>
          <w:sz w:val="28"/>
          <w:szCs w:val="28"/>
          <w:vertAlign w:val="subscript"/>
          <w:lang w:val="uk-UA"/>
        </w:rPr>
        <w:t>1</w:t>
      </w:r>
      <w:r w:rsidRPr="003C2169">
        <w:rPr>
          <w:sz w:val="28"/>
          <w:szCs w:val="28"/>
          <w:vertAlign w:val="subscript"/>
          <w:lang w:val="uk-UA"/>
        </w:rPr>
        <w:t xml:space="preserve"> </w:t>
      </w:r>
      <w:r w:rsidRPr="003C2169">
        <w:rPr>
          <w:sz w:val="28"/>
          <w:szCs w:val="28"/>
          <w:lang w:val="uk-UA"/>
        </w:rPr>
        <w:t xml:space="preserve">– рівень МДА, </w:t>
      </w:r>
      <w:r w:rsidRPr="003C2169">
        <w:rPr>
          <w:i/>
          <w:sz w:val="28"/>
          <w:szCs w:val="28"/>
        </w:rPr>
        <w:t>X</w:t>
      </w:r>
      <w:r w:rsidRPr="003C2169">
        <w:rPr>
          <w:i/>
          <w:sz w:val="28"/>
          <w:szCs w:val="28"/>
          <w:vertAlign w:val="subscript"/>
          <w:lang w:val="uk-UA"/>
        </w:rPr>
        <w:t xml:space="preserve">2 </w:t>
      </w:r>
      <w:r w:rsidRPr="003C2169">
        <w:rPr>
          <w:sz w:val="28"/>
          <w:szCs w:val="28"/>
          <w:lang w:val="uk-UA"/>
        </w:rPr>
        <w:t xml:space="preserve">– активність ГПО, </w:t>
      </w:r>
      <w:r w:rsidRPr="003C2169">
        <w:rPr>
          <w:i/>
          <w:sz w:val="28"/>
          <w:szCs w:val="28"/>
        </w:rPr>
        <w:t>X</w:t>
      </w:r>
      <w:r w:rsidRPr="003C2169">
        <w:rPr>
          <w:i/>
          <w:sz w:val="28"/>
          <w:szCs w:val="28"/>
          <w:vertAlign w:val="subscript"/>
          <w:lang w:val="uk-UA"/>
        </w:rPr>
        <w:t>3</w:t>
      </w:r>
      <w:r w:rsidRPr="003C2169">
        <w:rPr>
          <w:sz w:val="28"/>
          <w:szCs w:val="28"/>
          <w:vertAlign w:val="subscript"/>
          <w:lang w:val="uk-UA"/>
        </w:rPr>
        <w:t xml:space="preserve"> </w:t>
      </w:r>
      <w:r w:rsidRPr="003C2169">
        <w:rPr>
          <w:sz w:val="28"/>
          <w:szCs w:val="28"/>
          <w:lang w:val="uk-UA"/>
        </w:rPr>
        <w:t xml:space="preserve">–  рівень </w:t>
      </w:r>
      <w:r w:rsidRPr="003C2169">
        <w:rPr>
          <w:sz w:val="28"/>
          <w:szCs w:val="28"/>
        </w:rPr>
        <w:t>SH</w:t>
      </w:r>
      <w:r w:rsidRPr="003C2169">
        <w:rPr>
          <w:sz w:val="28"/>
          <w:szCs w:val="28"/>
          <w:lang w:val="uk-UA"/>
        </w:rPr>
        <w:t xml:space="preserve">-груп, </w:t>
      </w:r>
      <w:r w:rsidRPr="003C2169">
        <w:rPr>
          <w:i/>
          <w:sz w:val="28"/>
          <w:szCs w:val="28"/>
        </w:rPr>
        <w:t>X</w:t>
      </w:r>
      <w:r w:rsidRPr="003C2169">
        <w:rPr>
          <w:i/>
          <w:sz w:val="28"/>
          <w:szCs w:val="28"/>
          <w:vertAlign w:val="subscript"/>
          <w:lang w:val="uk-UA"/>
        </w:rPr>
        <w:t>4</w:t>
      </w:r>
      <w:r w:rsidRPr="003C2169">
        <w:rPr>
          <w:sz w:val="28"/>
          <w:szCs w:val="28"/>
          <w:vertAlign w:val="subscript"/>
          <w:lang w:val="uk-UA"/>
        </w:rPr>
        <w:t xml:space="preserve"> </w:t>
      </w:r>
      <w:r w:rsidRPr="003C2169">
        <w:rPr>
          <w:sz w:val="28"/>
          <w:szCs w:val="28"/>
          <w:lang w:val="uk-UA"/>
        </w:rPr>
        <w:t xml:space="preserve">–  рівень 8-OH-dG, </w:t>
      </w:r>
      <w:r w:rsidRPr="003C2169">
        <w:rPr>
          <w:i/>
          <w:sz w:val="28"/>
          <w:szCs w:val="28"/>
        </w:rPr>
        <w:t>X</w:t>
      </w:r>
      <w:r w:rsidRPr="003C2169">
        <w:rPr>
          <w:i/>
          <w:sz w:val="28"/>
          <w:szCs w:val="28"/>
          <w:vertAlign w:val="subscript"/>
          <w:lang w:val="uk-UA"/>
        </w:rPr>
        <w:t>5</w:t>
      </w:r>
      <w:r w:rsidRPr="003C2169">
        <w:rPr>
          <w:sz w:val="28"/>
          <w:szCs w:val="28"/>
          <w:vertAlign w:val="subscript"/>
          <w:lang w:val="uk-UA"/>
        </w:rPr>
        <w:t xml:space="preserve"> </w:t>
      </w:r>
      <w:r w:rsidRPr="003C2169">
        <w:rPr>
          <w:sz w:val="28"/>
          <w:szCs w:val="28"/>
          <w:lang w:val="uk-UA"/>
        </w:rPr>
        <w:t xml:space="preserve">– інформація щодо прийому статинів (1 – не приймає; 2 – приймає),  </w:t>
      </w:r>
      <w:r w:rsidRPr="003C2169">
        <w:rPr>
          <w:i/>
          <w:sz w:val="28"/>
          <w:szCs w:val="28"/>
        </w:rPr>
        <w:t>X</w:t>
      </w:r>
      <w:r w:rsidRPr="003C2169">
        <w:rPr>
          <w:i/>
          <w:sz w:val="28"/>
          <w:szCs w:val="28"/>
          <w:vertAlign w:val="subscript"/>
          <w:lang w:val="uk-UA"/>
        </w:rPr>
        <w:t xml:space="preserve">6 </w:t>
      </w:r>
      <w:r w:rsidRPr="003C2169">
        <w:rPr>
          <w:sz w:val="28"/>
          <w:szCs w:val="28"/>
          <w:lang w:val="uk-UA"/>
        </w:rPr>
        <w:t xml:space="preserve">– рівень САТ, </w:t>
      </w:r>
      <w:r w:rsidRPr="003C2169">
        <w:rPr>
          <w:i/>
          <w:sz w:val="28"/>
          <w:szCs w:val="28"/>
        </w:rPr>
        <w:t>X</w:t>
      </w:r>
      <w:r w:rsidRPr="003C2169">
        <w:rPr>
          <w:i/>
          <w:sz w:val="28"/>
          <w:szCs w:val="28"/>
          <w:vertAlign w:val="subscript"/>
          <w:lang w:val="uk-UA"/>
        </w:rPr>
        <w:t xml:space="preserve">7 </w:t>
      </w:r>
      <w:r w:rsidRPr="003C2169">
        <w:rPr>
          <w:sz w:val="28"/>
          <w:szCs w:val="28"/>
          <w:lang w:val="uk-UA"/>
        </w:rPr>
        <w:t xml:space="preserve">– рівень ТТГ. </w:t>
      </w:r>
    </w:p>
    <w:p w:rsidR="00E3259F" w:rsidRPr="003C2169" w:rsidRDefault="00E3259F" w:rsidP="003C2169">
      <w:pPr>
        <w:spacing w:line="360" w:lineRule="auto"/>
        <w:ind w:firstLine="709"/>
        <w:jc w:val="both"/>
        <w:rPr>
          <w:sz w:val="28"/>
          <w:szCs w:val="28"/>
          <w:lang w:val="uk-UA"/>
        </w:rPr>
      </w:pPr>
      <w:r w:rsidRPr="003C2169">
        <w:rPr>
          <w:sz w:val="28"/>
          <w:szCs w:val="28"/>
          <w:lang w:val="uk-UA"/>
        </w:rPr>
        <w:t xml:space="preserve">Значення </w:t>
      </w:r>
      <w:r w:rsidRPr="003C2169">
        <w:rPr>
          <w:rFonts w:eastAsiaTheme="minorHAnsi"/>
          <w:sz w:val="28"/>
          <w:szCs w:val="28"/>
          <w:lang w:eastAsia="en-US"/>
        </w:rPr>
        <w:object w:dxaOrig="240" w:dyaOrig="405">
          <v:shape id="_x0000_i1104" type="#_x0000_t75" style="width:12.75pt;height:20.25pt" o:ole="">
            <v:imagedata r:id="rId48" o:title=""/>
          </v:shape>
          <o:OLEObject Type="Embed" ProgID="Equation.3" ShapeID="_x0000_i1104" DrawAspect="Content" ObjectID="_1669446888" r:id="rId127"/>
        </w:object>
      </w:r>
      <w:r w:rsidRPr="003C2169">
        <w:rPr>
          <w:sz w:val="28"/>
          <w:szCs w:val="28"/>
          <w:lang w:val="uk-UA"/>
        </w:rPr>
        <w:t xml:space="preserve"> лежить в межах від 0 до 1, чим ближче значення прогнозованої імовірності до 1, тим вище вираженість ОС, якщо значення </w:t>
      </w:r>
      <w:r w:rsidRPr="003C2169">
        <w:rPr>
          <w:rFonts w:eastAsiaTheme="minorHAnsi"/>
          <w:sz w:val="28"/>
          <w:szCs w:val="28"/>
          <w:lang w:eastAsia="en-US"/>
        </w:rPr>
        <w:object w:dxaOrig="240" w:dyaOrig="405">
          <v:shape id="_x0000_i1105" type="#_x0000_t75" style="width:12.75pt;height:20.25pt" o:ole="">
            <v:imagedata r:id="rId48" o:title=""/>
          </v:shape>
          <o:OLEObject Type="Embed" ProgID="Equation.3" ShapeID="_x0000_i1105" DrawAspect="Content" ObjectID="_1669446889" r:id="rId128"/>
        </w:object>
      </w:r>
      <w:r w:rsidRPr="003C2169">
        <w:rPr>
          <w:sz w:val="28"/>
          <w:szCs w:val="28"/>
          <w:lang w:val="uk-UA"/>
        </w:rPr>
        <w:t xml:space="preserve"> знаходиться в діапазоні від 0 до 0,5, робиться висновок, що у пацієнта низька ймовірність прогресування ОС, якщо </w:t>
      </w:r>
      <w:r w:rsidRPr="003C2169">
        <w:rPr>
          <w:rFonts w:eastAsiaTheme="minorHAnsi"/>
          <w:sz w:val="28"/>
          <w:szCs w:val="28"/>
          <w:lang w:eastAsia="en-US"/>
        </w:rPr>
        <w:object w:dxaOrig="240" w:dyaOrig="405">
          <v:shape id="_x0000_i1106" type="#_x0000_t75" style="width:12.75pt;height:20.25pt" o:ole="">
            <v:imagedata r:id="rId48" o:title=""/>
          </v:shape>
          <o:OLEObject Type="Embed" ProgID="Equation.3" ShapeID="_x0000_i1106" DrawAspect="Content" ObjectID="_1669446890" r:id="rId129"/>
        </w:object>
      </w:r>
      <w:r w:rsidRPr="003C2169">
        <w:rPr>
          <w:sz w:val="28"/>
          <w:szCs w:val="28"/>
          <w:lang w:val="uk-UA"/>
        </w:rPr>
        <w:t xml:space="preserve"> перевищує 0,5 – ймовірність прогресування ОС підвищена. За допомогою </w:t>
      </w:r>
      <w:r w:rsidRPr="003C2169">
        <w:rPr>
          <w:rFonts w:eastAsia="Calibri"/>
          <w:sz w:val="28"/>
          <w:szCs w:val="28"/>
          <w:lang w:val="en-US"/>
        </w:rPr>
        <w:t>ROC</w:t>
      </w:r>
      <w:r w:rsidRPr="003C2169">
        <w:rPr>
          <w:rFonts w:eastAsia="Calibri"/>
          <w:sz w:val="28"/>
          <w:szCs w:val="28"/>
          <w:lang w:val="uk-UA"/>
        </w:rPr>
        <w:t xml:space="preserve">- аналізу доведена висока прогностична значущість визначення цих показників відносно оцінки та прогнозування ОС на тлі статинотерапії (площа під </w:t>
      </w:r>
      <w:r w:rsidRPr="003C2169">
        <w:rPr>
          <w:rFonts w:eastAsia="Calibri"/>
          <w:sz w:val="28"/>
          <w:szCs w:val="28"/>
        </w:rPr>
        <w:t>ROC</w:t>
      </w:r>
      <w:r w:rsidRPr="003C2169">
        <w:rPr>
          <w:rFonts w:eastAsia="Calibri"/>
          <w:sz w:val="28"/>
          <w:szCs w:val="28"/>
          <w:lang w:val="uk-UA"/>
        </w:rPr>
        <w:t>- кривою (</w:t>
      </w:r>
      <w:r w:rsidRPr="003C2169">
        <w:rPr>
          <w:rFonts w:eastAsia="Calibri"/>
          <w:sz w:val="28"/>
          <w:szCs w:val="28"/>
        </w:rPr>
        <w:t>AUC</w:t>
      </w:r>
      <w:r w:rsidRPr="003C2169">
        <w:rPr>
          <w:rFonts w:eastAsia="Calibri"/>
          <w:sz w:val="28"/>
          <w:szCs w:val="28"/>
          <w:lang w:val="uk-UA"/>
        </w:rPr>
        <w:t>) - 0,992 (95% довірчий інтервал: 0,977-1,000; р&lt;0,001)).</w:t>
      </w:r>
      <w:r w:rsidRPr="003C2169">
        <w:rPr>
          <w:sz w:val="28"/>
          <w:szCs w:val="28"/>
          <w:lang w:val="uk-UA"/>
        </w:rPr>
        <w:t xml:space="preserve"> Корисність математичної моделі була перевірена на практиці при визначенні інтенсивності ОС у пацієнтів з ГХ, ЦД 2 типу та СГТ. Запропонований метод дозволяє визначати ймовірність прогресування ОС у пацієнтів з ГХ, ЦД 2 типу та СГТ</w:t>
      </w:r>
      <w:r w:rsidRPr="003C2169">
        <w:rPr>
          <w:bCs/>
          <w:sz w:val="28"/>
          <w:szCs w:val="28"/>
          <w:lang w:val="uk-UA"/>
        </w:rPr>
        <w:t xml:space="preserve"> </w:t>
      </w:r>
      <w:r w:rsidRPr="003C2169">
        <w:rPr>
          <w:sz w:val="28"/>
          <w:szCs w:val="28"/>
          <w:lang w:val="uk-UA"/>
        </w:rPr>
        <w:t>на тлі статинотерапії</w:t>
      </w:r>
      <w:r w:rsidRPr="003C2169">
        <w:rPr>
          <w:bCs/>
          <w:sz w:val="28"/>
          <w:szCs w:val="28"/>
          <w:lang w:val="uk-UA"/>
        </w:rPr>
        <w:t xml:space="preserve"> на основі клініко-лабораторних показників</w:t>
      </w:r>
      <w:r w:rsidRPr="003C2169">
        <w:rPr>
          <w:sz w:val="28"/>
          <w:szCs w:val="28"/>
          <w:lang w:val="uk-UA"/>
        </w:rPr>
        <w:t>.</w:t>
      </w:r>
    </w:p>
    <w:p w:rsidR="00E3259F" w:rsidRPr="003C2169" w:rsidRDefault="00E3259F" w:rsidP="003C2169">
      <w:pPr>
        <w:spacing w:line="360" w:lineRule="auto"/>
        <w:ind w:firstLine="709"/>
        <w:jc w:val="both"/>
        <w:rPr>
          <w:rStyle w:val="tlid-translation"/>
        </w:rPr>
      </w:pPr>
      <w:r w:rsidRPr="003C2169">
        <w:rPr>
          <w:rFonts w:eastAsia="Calibri"/>
          <w:sz w:val="28"/>
          <w:szCs w:val="28"/>
          <w:lang w:val="uk-UA"/>
        </w:rPr>
        <w:t xml:space="preserve">У роботі, згідно з завданнями дослідження, було проаналізовано ефективність застосування замісної терапії левотироксином та її вплив на основні кардіометаболічні показникі у пацієнтів з ГХ, ЦД 2 типу та СГТ. </w:t>
      </w:r>
      <w:r w:rsidRPr="003C2169">
        <w:rPr>
          <w:sz w:val="28"/>
          <w:szCs w:val="28"/>
          <w:lang w:val="uk-UA"/>
        </w:rPr>
        <w:t xml:space="preserve">Адекватною клінічною відповіддю на </w:t>
      </w:r>
      <w:r w:rsidRPr="003C2169">
        <w:rPr>
          <w:rStyle w:val="tlid-translation"/>
          <w:rFonts w:eastAsia="Calibri"/>
          <w:sz w:val="28"/>
          <w:szCs w:val="28"/>
          <w:lang w:val="uk-UA"/>
        </w:rPr>
        <w:t xml:space="preserve">індивідуально </w:t>
      </w:r>
      <w:r w:rsidRPr="003C2169">
        <w:rPr>
          <w:sz w:val="28"/>
          <w:szCs w:val="28"/>
          <w:lang w:val="uk-UA"/>
        </w:rPr>
        <w:t>титраційні</w:t>
      </w:r>
      <w:r w:rsidRPr="003C2169">
        <w:rPr>
          <w:rStyle w:val="tlid-translation"/>
          <w:rFonts w:eastAsia="Calibri"/>
          <w:sz w:val="28"/>
          <w:szCs w:val="28"/>
          <w:lang w:val="uk-UA"/>
        </w:rPr>
        <w:t xml:space="preserve"> дози</w:t>
      </w:r>
      <w:r w:rsidRPr="003C2169">
        <w:rPr>
          <w:sz w:val="28"/>
          <w:szCs w:val="28"/>
          <w:lang w:val="uk-UA"/>
        </w:rPr>
        <w:t xml:space="preserve"> </w:t>
      </w:r>
      <w:r w:rsidRPr="003C2169">
        <w:rPr>
          <w:rStyle w:val="tlid-translation"/>
          <w:rFonts w:eastAsia="Calibri"/>
          <w:sz w:val="28"/>
          <w:szCs w:val="28"/>
          <w:lang w:val="uk-UA"/>
        </w:rPr>
        <w:t xml:space="preserve">левотироксину </w:t>
      </w:r>
      <w:r w:rsidRPr="003C2169">
        <w:rPr>
          <w:rFonts w:eastAsia="Arial Unicode MS"/>
          <w:kern w:val="2"/>
          <w:sz w:val="28"/>
          <w:szCs w:val="28"/>
          <w:lang w:val="uk-UA"/>
        </w:rPr>
        <w:t>через 1 рік спостереження</w:t>
      </w:r>
      <w:r w:rsidRPr="003C2169">
        <w:rPr>
          <w:rStyle w:val="tlid-translation"/>
          <w:rFonts w:eastAsia="Calibri"/>
          <w:sz w:val="28"/>
          <w:szCs w:val="28"/>
          <w:lang w:val="uk-UA"/>
        </w:rPr>
        <w:t xml:space="preserve"> вважали досягнення пацієнтами із ГХ, ЦД 2 типу та СГТ еутиреозу (середній рівень ТТГ до лікування -</w:t>
      </w:r>
      <w:r w:rsidRPr="003C2169">
        <w:rPr>
          <w:sz w:val="28"/>
          <w:szCs w:val="28"/>
          <w:lang w:val="uk-UA"/>
        </w:rPr>
        <w:t>7,43±0,21</w:t>
      </w:r>
      <w:r w:rsidRPr="003C2169">
        <w:rPr>
          <w:rFonts w:eastAsia="Arial Unicode MS"/>
          <w:kern w:val="2"/>
          <w:sz w:val="28"/>
          <w:szCs w:val="28"/>
          <w:lang w:val="uk-UA"/>
        </w:rPr>
        <w:t xml:space="preserve"> мкМОд/мл проти</w:t>
      </w:r>
      <w:r w:rsidRPr="003C2169">
        <w:rPr>
          <w:rStyle w:val="tlid-translation"/>
          <w:rFonts w:eastAsia="Calibri"/>
          <w:sz w:val="28"/>
          <w:szCs w:val="28"/>
          <w:lang w:val="uk-UA"/>
        </w:rPr>
        <w:t xml:space="preserve"> </w:t>
      </w:r>
      <w:r w:rsidRPr="003C2169">
        <w:rPr>
          <w:sz w:val="28"/>
          <w:szCs w:val="28"/>
          <w:lang w:val="uk-UA"/>
        </w:rPr>
        <w:t xml:space="preserve">3,58±0,66 </w:t>
      </w:r>
      <w:r w:rsidRPr="003C2169">
        <w:rPr>
          <w:rFonts w:eastAsia="Arial Unicode MS"/>
          <w:kern w:val="2"/>
          <w:sz w:val="28"/>
          <w:szCs w:val="28"/>
          <w:lang w:val="uk-UA"/>
        </w:rPr>
        <w:t>мкМОд/мл наприкінці періоду спостереження, р=</w:t>
      </w:r>
      <w:r w:rsidRPr="003C2169">
        <w:rPr>
          <w:sz w:val="28"/>
          <w:szCs w:val="28"/>
          <w:lang w:val="uk-UA"/>
        </w:rPr>
        <w:t>0,001). Слід зазначити, що досягнення еутиреозу супроводжувалося</w:t>
      </w:r>
      <w:r w:rsidRPr="003C2169">
        <w:rPr>
          <w:rStyle w:val="tlid-translation"/>
          <w:rFonts w:eastAsia="Calibri"/>
          <w:sz w:val="28"/>
          <w:szCs w:val="28"/>
          <w:lang w:val="uk-UA"/>
        </w:rPr>
        <w:t xml:space="preserve"> достовірною позитивною динамікою зниження АТ (САТ (р=0,001), ДАТ (р&lt;0,001) та ПАТ (р&lt;0,001)),  що </w:t>
      </w:r>
      <w:r w:rsidRPr="003C2169">
        <w:rPr>
          <w:sz w:val="28"/>
          <w:szCs w:val="28"/>
          <w:lang w:val="uk-UA"/>
        </w:rPr>
        <w:t>дозволило додатково ще 16,13±3,81% пацієнтам досягнути цільових рівнів САТ, 22,58±4,33% пацієнтам – цільових рівнів ДАТ</w:t>
      </w:r>
      <w:r w:rsidRPr="003C2169">
        <w:rPr>
          <w:rStyle w:val="tlid-translation"/>
          <w:rFonts w:eastAsia="Calibri"/>
          <w:sz w:val="28"/>
          <w:szCs w:val="28"/>
          <w:lang w:val="uk-UA"/>
        </w:rPr>
        <w:t xml:space="preserve">. Ці дані співпадають з результатами метааналізу, який був проведений </w:t>
      </w:r>
      <w:r w:rsidRPr="003C2169">
        <w:rPr>
          <w:rStyle w:val="tlid-translation"/>
          <w:bCs/>
          <w:sz w:val="28"/>
          <w:szCs w:val="28"/>
          <w:lang w:val="uk-UA"/>
        </w:rPr>
        <w:t>He W та співавт. у 2018 році, відносно суттєвого зніження АТ під впливом левотироксину</w:t>
      </w:r>
      <w:r w:rsidRPr="003C2169">
        <w:rPr>
          <w:rStyle w:val="tlid-translation"/>
          <w:b/>
          <w:sz w:val="28"/>
          <w:szCs w:val="28"/>
          <w:lang w:val="uk-UA"/>
        </w:rPr>
        <w:t xml:space="preserve">. </w:t>
      </w:r>
      <w:r w:rsidRPr="003C2169">
        <w:rPr>
          <w:rStyle w:val="tlid-translation"/>
          <w:sz w:val="28"/>
          <w:szCs w:val="28"/>
          <w:lang w:val="uk-UA"/>
        </w:rPr>
        <w:t>Крім того, було отримано значне  п</w:t>
      </w:r>
      <w:r w:rsidRPr="003C2169">
        <w:rPr>
          <w:rStyle w:val="tlid-translation"/>
          <w:rFonts w:eastAsia="Calibri"/>
          <w:sz w:val="28"/>
          <w:szCs w:val="28"/>
          <w:lang w:val="uk-UA"/>
        </w:rPr>
        <w:t xml:space="preserve">окращення ліпідного обміну:  достовірне зниження рівнів ЗХС (р&lt;0,001), ТГ (р=0,019), ХС ЛПНЩ (р&lt;0,001) та </w:t>
      </w:r>
      <w:r w:rsidRPr="003C2169">
        <w:rPr>
          <w:sz w:val="28"/>
          <w:szCs w:val="28"/>
          <w:lang w:val="uk-UA"/>
        </w:rPr>
        <w:t xml:space="preserve">на тлі </w:t>
      </w:r>
      <w:r w:rsidRPr="003C2169">
        <w:rPr>
          <w:rStyle w:val="tlid-translation"/>
          <w:rFonts w:eastAsia="Calibri"/>
          <w:sz w:val="28"/>
          <w:szCs w:val="28"/>
          <w:lang w:val="uk-UA"/>
        </w:rPr>
        <w:t>незначних змін рівнів ХС ЛПДНЩ (</w:t>
      </w:r>
      <w:r w:rsidRPr="003C2169">
        <w:rPr>
          <w:sz w:val="28"/>
          <w:szCs w:val="28"/>
          <w:lang w:val="uk-UA"/>
        </w:rPr>
        <w:t xml:space="preserve">р&gt;0,05) та </w:t>
      </w:r>
      <w:r w:rsidRPr="003C2169">
        <w:rPr>
          <w:rStyle w:val="tlid-translation"/>
          <w:rFonts w:eastAsia="Calibri"/>
          <w:sz w:val="28"/>
          <w:szCs w:val="28"/>
          <w:lang w:val="uk-UA"/>
        </w:rPr>
        <w:t>ХС ЛПВЩ,</w:t>
      </w:r>
      <w:r w:rsidRPr="003C2169">
        <w:rPr>
          <w:sz w:val="28"/>
          <w:szCs w:val="28"/>
          <w:lang w:val="uk-UA"/>
        </w:rPr>
        <w:t xml:space="preserve">  що </w:t>
      </w:r>
      <w:r w:rsidRPr="003C2169">
        <w:rPr>
          <w:rStyle w:val="tlid-translation"/>
          <w:sz w:val="28"/>
          <w:szCs w:val="28"/>
          <w:lang w:val="uk-UA"/>
        </w:rPr>
        <w:t xml:space="preserve">дозволило додатково </w:t>
      </w:r>
      <w:r w:rsidRPr="003C2169">
        <w:rPr>
          <w:sz w:val="28"/>
          <w:szCs w:val="28"/>
          <w:lang w:val="uk-UA"/>
        </w:rPr>
        <w:t>8,6±2,91% пацієнтам – досягнути цільових рівнів ЗХС, а 12,9±3,48% пацієнтам – цільових рівней ХС ЛПВЩ.</w:t>
      </w:r>
      <w:r w:rsidRPr="003C2169">
        <w:rPr>
          <w:rStyle w:val="10"/>
          <w:rFonts w:eastAsiaTheme="majorEastAsia"/>
          <w:bCs w:val="0"/>
          <w:sz w:val="28"/>
          <w:szCs w:val="28"/>
          <w:lang w:val="uk-UA"/>
        </w:rPr>
        <w:t xml:space="preserve"> </w:t>
      </w:r>
      <w:r w:rsidRPr="003C2169">
        <w:rPr>
          <w:rStyle w:val="10"/>
          <w:rFonts w:eastAsiaTheme="majorEastAsia"/>
          <w:b w:val="0"/>
          <w:bCs w:val="0"/>
          <w:sz w:val="28"/>
          <w:szCs w:val="28"/>
          <w:lang w:val="uk-UA"/>
        </w:rPr>
        <w:t>Спостерігалося</w:t>
      </w:r>
      <w:r w:rsidRPr="003C2169">
        <w:rPr>
          <w:rStyle w:val="10"/>
          <w:rFonts w:eastAsiaTheme="majorEastAsia"/>
          <w:bCs w:val="0"/>
          <w:sz w:val="28"/>
          <w:szCs w:val="28"/>
          <w:lang w:val="uk-UA"/>
        </w:rPr>
        <w:t xml:space="preserve"> </w:t>
      </w:r>
      <w:r w:rsidRPr="003C2169">
        <w:rPr>
          <w:sz w:val="28"/>
          <w:szCs w:val="28"/>
          <w:lang w:val="uk-UA"/>
        </w:rPr>
        <w:t xml:space="preserve">поліпшення вуглеводного обміну: достовірне зменшення рівня глюкози натще (6,98±0,22 ммоль/л проти 6,33±0,16 ммоль/л, р&lt;0,001), </w:t>
      </w:r>
      <w:r w:rsidRPr="003C2169">
        <w:rPr>
          <w:sz w:val="28"/>
          <w:szCs w:val="28"/>
        </w:rPr>
        <w:t>HbA</w:t>
      </w:r>
      <w:r w:rsidRPr="003C2169">
        <w:rPr>
          <w:sz w:val="28"/>
          <w:szCs w:val="28"/>
          <w:lang w:val="uk-UA"/>
        </w:rPr>
        <w:t>1</w:t>
      </w:r>
      <w:r w:rsidRPr="003C2169">
        <w:rPr>
          <w:sz w:val="28"/>
          <w:szCs w:val="28"/>
        </w:rPr>
        <w:t>c</w:t>
      </w:r>
      <w:r w:rsidRPr="003C2169">
        <w:rPr>
          <w:sz w:val="28"/>
          <w:szCs w:val="28"/>
          <w:lang w:val="uk-UA"/>
        </w:rPr>
        <w:t xml:space="preserve"> (7,19±0,11% проти 6,69±0,09%, р&lt;0,001), достовірне зменшення індексу інсулінорезистентності - </w:t>
      </w:r>
      <w:r w:rsidRPr="003C2169">
        <w:rPr>
          <w:sz w:val="28"/>
          <w:szCs w:val="28"/>
        </w:rPr>
        <w:t>HOMA</w:t>
      </w:r>
      <w:r w:rsidRPr="003C2169">
        <w:rPr>
          <w:sz w:val="28"/>
          <w:szCs w:val="28"/>
          <w:lang w:val="uk-UA"/>
        </w:rPr>
        <w:t>-</w:t>
      </w:r>
      <w:r w:rsidRPr="003C2169">
        <w:rPr>
          <w:sz w:val="28"/>
          <w:szCs w:val="28"/>
        </w:rPr>
        <w:t>IR</w:t>
      </w:r>
      <w:r w:rsidRPr="003C2169">
        <w:rPr>
          <w:sz w:val="28"/>
          <w:szCs w:val="28"/>
          <w:lang w:val="uk-UA"/>
        </w:rPr>
        <w:t xml:space="preserve"> (6,42±0,43 проти 5,66±0,30, р=0,001). Незважаючи на те, що</w:t>
      </w:r>
      <w:r w:rsidRPr="003C2169">
        <w:rPr>
          <w:rStyle w:val="tlid-translation"/>
          <w:rFonts w:eastAsia="Calibri"/>
          <w:sz w:val="28"/>
          <w:szCs w:val="28"/>
          <w:lang w:val="uk-UA"/>
        </w:rPr>
        <w:t xml:space="preserve"> в роботі нами не було отримано достовірних змін ІМТ</w:t>
      </w:r>
      <w:r w:rsidRPr="003C2169">
        <w:rPr>
          <w:sz w:val="28"/>
          <w:szCs w:val="28"/>
          <w:lang w:val="uk-UA"/>
        </w:rPr>
        <w:t xml:space="preserve"> </w:t>
      </w:r>
      <w:r w:rsidRPr="003C2169">
        <w:rPr>
          <w:rStyle w:val="tlid-translation"/>
          <w:rFonts w:eastAsia="Calibri"/>
          <w:sz w:val="28"/>
          <w:szCs w:val="28"/>
          <w:lang w:val="uk-UA"/>
        </w:rPr>
        <w:t>(р&gt;0,05), що було</w:t>
      </w:r>
      <w:r w:rsidRPr="003C2169">
        <w:rPr>
          <w:rStyle w:val="10"/>
          <w:rFonts w:eastAsiaTheme="majorEastAsia"/>
          <w:sz w:val="28"/>
          <w:szCs w:val="28"/>
          <w:lang w:val="uk-UA"/>
        </w:rPr>
        <w:t xml:space="preserve"> </w:t>
      </w:r>
      <w:r w:rsidRPr="003C2169">
        <w:rPr>
          <w:rStyle w:val="tlid-translation"/>
          <w:sz w:val="28"/>
          <w:szCs w:val="28"/>
          <w:lang w:val="uk-UA"/>
        </w:rPr>
        <w:t>продемонстровано в інших дослідженнях [309], о</w:t>
      </w:r>
      <w:r w:rsidRPr="003C2169">
        <w:rPr>
          <w:rStyle w:val="10"/>
          <w:rFonts w:eastAsiaTheme="majorEastAsia"/>
          <w:b w:val="0"/>
          <w:bCs w:val="0"/>
          <w:sz w:val="28"/>
          <w:szCs w:val="28"/>
          <w:lang w:val="uk-UA"/>
        </w:rPr>
        <w:t>тримані результати</w:t>
      </w:r>
      <w:r w:rsidRPr="003C2169">
        <w:rPr>
          <w:rStyle w:val="10"/>
          <w:rFonts w:eastAsiaTheme="majorEastAsia"/>
          <w:bCs w:val="0"/>
          <w:sz w:val="28"/>
          <w:szCs w:val="28"/>
          <w:lang w:val="uk-UA"/>
        </w:rPr>
        <w:t xml:space="preserve"> </w:t>
      </w:r>
      <w:r w:rsidRPr="003C2169">
        <w:rPr>
          <w:rStyle w:val="tlid-translation"/>
          <w:bCs/>
          <w:sz w:val="28"/>
          <w:szCs w:val="28"/>
          <w:lang w:val="uk-UA"/>
        </w:rPr>
        <w:t xml:space="preserve">можуть </w:t>
      </w:r>
      <w:r w:rsidRPr="003C2169">
        <w:rPr>
          <w:rStyle w:val="tlid-translation"/>
          <w:sz w:val="28"/>
          <w:szCs w:val="28"/>
          <w:lang w:val="uk-UA"/>
        </w:rPr>
        <w:t>розцінюватися як позитивний вплив на модифіковані фактори КВР у цих пацієнтів.</w:t>
      </w:r>
    </w:p>
    <w:p w:rsidR="00E3259F" w:rsidRPr="003C2169" w:rsidRDefault="00E3259F" w:rsidP="003C2169">
      <w:pPr>
        <w:spacing w:line="360" w:lineRule="auto"/>
        <w:ind w:firstLine="709"/>
        <w:jc w:val="both"/>
        <w:rPr>
          <w:rStyle w:val="tlid-translation"/>
          <w:rFonts w:eastAsiaTheme="majorEastAsia"/>
          <w:sz w:val="28"/>
          <w:szCs w:val="28"/>
          <w:lang w:val="uk-UA"/>
        </w:rPr>
      </w:pPr>
      <w:r w:rsidRPr="003C2169">
        <w:rPr>
          <w:rStyle w:val="tlid-translation"/>
          <w:rFonts w:eastAsia="Calibri"/>
          <w:sz w:val="28"/>
          <w:szCs w:val="28"/>
          <w:lang w:val="uk-UA"/>
        </w:rPr>
        <w:t>Звертає на себе увагу зменшення проявів ДЕ на тлі досягнення еутиреозу під впливом замісної терапії левотироксином за рахунок достовірного зниження рівня ВЕФР (</w:t>
      </w:r>
      <w:r w:rsidRPr="003C2169">
        <w:rPr>
          <w:sz w:val="28"/>
          <w:szCs w:val="28"/>
          <w:lang w:val="uk-UA"/>
        </w:rPr>
        <w:t>482,77</w:t>
      </w:r>
      <w:r w:rsidRPr="003C2169">
        <w:rPr>
          <w:rStyle w:val="tlid-translation"/>
          <w:rFonts w:eastAsia="Calibri"/>
          <w:sz w:val="28"/>
          <w:szCs w:val="28"/>
          <w:lang w:val="uk-UA"/>
        </w:rPr>
        <w:t xml:space="preserve">±21,33пг/мл проти  418,82±15,68пг/мл, р&lt;0,001) при відсутності  істотного зниження рівня ЦДЕК (10,29 ± 0,34 кл./100 мкл проти </w:t>
      </w:r>
      <w:r w:rsidRPr="003C2169">
        <w:rPr>
          <w:sz w:val="28"/>
          <w:szCs w:val="28"/>
          <w:lang w:val="uk-UA"/>
        </w:rPr>
        <w:t>9,95</w:t>
      </w:r>
      <w:r w:rsidRPr="003C2169">
        <w:rPr>
          <w:rStyle w:val="tlid-translation"/>
          <w:rFonts w:eastAsia="Calibri"/>
          <w:sz w:val="28"/>
          <w:szCs w:val="28"/>
          <w:lang w:val="uk-UA"/>
        </w:rPr>
        <w:t xml:space="preserve">±0,30 кл./100 мкл, р&gt;0,05),  що </w:t>
      </w:r>
      <w:r w:rsidRPr="003C2169">
        <w:rPr>
          <w:rStyle w:val="tlid-translation"/>
          <w:sz w:val="28"/>
          <w:szCs w:val="28"/>
          <w:lang w:val="uk-UA"/>
        </w:rPr>
        <w:t xml:space="preserve">збігається з результатами Gong N і співавт. </w:t>
      </w:r>
      <w:r w:rsidRPr="003C2169">
        <w:rPr>
          <w:sz w:val="28"/>
          <w:szCs w:val="28"/>
          <w:lang w:val="uk-UA"/>
        </w:rPr>
        <w:t xml:space="preserve">[218], </w:t>
      </w:r>
      <w:r w:rsidRPr="003C2169">
        <w:rPr>
          <w:rStyle w:val="tlid-translation"/>
          <w:sz w:val="28"/>
          <w:szCs w:val="28"/>
          <w:lang w:val="uk-UA"/>
        </w:rPr>
        <w:t>які виявили зниження дисфункції ендотелію на тлі лікування левотироксином в експерименті на щурах з СГТ</w:t>
      </w:r>
      <w:r w:rsidRPr="003C2169">
        <w:rPr>
          <w:sz w:val="28"/>
          <w:szCs w:val="28"/>
          <w:lang w:val="uk-UA"/>
        </w:rPr>
        <w:t xml:space="preserve"> та даними та </w:t>
      </w:r>
      <w:r w:rsidRPr="003C2169">
        <w:rPr>
          <w:sz w:val="28"/>
          <w:szCs w:val="28"/>
          <w:lang w:val="en-US"/>
        </w:rPr>
        <w:t>Nasmi</w:t>
      </w:r>
      <w:r w:rsidRPr="003C2169">
        <w:rPr>
          <w:sz w:val="28"/>
          <w:szCs w:val="28"/>
          <w:lang w:val="uk-UA"/>
        </w:rPr>
        <w:t xml:space="preserve"> </w:t>
      </w:r>
      <w:r w:rsidRPr="003C2169">
        <w:rPr>
          <w:sz w:val="28"/>
          <w:szCs w:val="28"/>
          <w:lang w:val="en-US"/>
        </w:rPr>
        <w:t>Niknam</w:t>
      </w:r>
      <w:r w:rsidRPr="003C2169">
        <w:rPr>
          <w:sz w:val="28"/>
          <w:szCs w:val="28"/>
          <w:lang w:val="uk-UA"/>
        </w:rPr>
        <w:t xml:space="preserve"> та співавт., </w:t>
      </w:r>
      <w:r w:rsidRPr="003C2169">
        <w:rPr>
          <w:rStyle w:val="tlid-translation"/>
          <w:sz w:val="28"/>
          <w:szCs w:val="28"/>
          <w:lang w:val="uk-UA"/>
        </w:rPr>
        <w:t>які</w:t>
      </w:r>
      <w:r w:rsidRPr="003C2169">
        <w:rPr>
          <w:sz w:val="28"/>
          <w:szCs w:val="28"/>
          <w:lang w:val="uk-UA"/>
        </w:rPr>
        <w:t xml:space="preserve"> </w:t>
      </w:r>
      <w:r w:rsidRPr="003C2169">
        <w:rPr>
          <w:rStyle w:val="tlid-translation"/>
          <w:sz w:val="28"/>
          <w:szCs w:val="28"/>
          <w:lang w:val="uk-UA"/>
        </w:rPr>
        <w:t xml:space="preserve">продемонстрували поліпшення </w:t>
      </w:r>
      <w:r w:rsidRPr="003C2169">
        <w:rPr>
          <w:sz w:val="28"/>
          <w:szCs w:val="28"/>
          <w:lang w:val="uk-UA"/>
        </w:rPr>
        <w:t>ЕД</w:t>
      </w:r>
      <w:r w:rsidRPr="003C2169">
        <w:rPr>
          <w:rStyle w:val="tlid-translation"/>
          <w:sz w:val="28"/>
          <w:szCs w:val="28"/>
          <w:lang w:val="uk-UA"/>
        </w:rPr>
        <w:t xml:space="preserve"> у пацієнтів з СГТ на тлі лікування левотироксином </w:t>
      </w:r>
      <w:r w:rsidRPr="003C2169">
        <w:rPr>
          <w:sz w:val="28"/>
          <w:szCs w:val="28"/>
          <w:lang w:val="uk-UA"/>
        </w:rPr>
        <w:t>[</w:t>
      </w:r>
      <w:r w:rsidRPr="003C2169">
        <w:rPr>
          <w:sz w:val="28"/>
          <w:szCs w:val="28"/>
          <w:shd w:val="clear" w:color="auto" w:fill="FFFFFF"/>
          <w:lang w:val="uk-UA"/>
        </w:rPr>
        <w:t>302</w:t>
      </w:r>
      <w:r w:rsidRPr="003C2169">
        <w:rPr>
          <w:sz w:val="28"/>
          <w:szCs w:val="28"/>
          <w:lang w:val="uk-UA"/>
        </w:rPr>
        <w:t xml:space="preserve">]. </w:t>
      </w:r>
      <w:r w:rsidRPr="003C2169">
        <w:rPr>
          <w:rStyle w:val="tlid-translation"/>
          <w:rFonts w:eastAsiaTheme="majorEastAsia"/>
          <w:sz w:val="28"/>
          <w:szCs w:val="28"/>
          <w:lang w:val="uk-UA"/>
        </w:rPr>
        <w:t xml:space="preserve">Відсутність достовірних змін кількості ЦДЕК на тлі замісної терапії можливо може бути пояснено існуючим уявленням, що ЕД при СГТ не супроводжується вираженим морфологічним ушкодженням ендотелію </w:t>
      </w:r>
      <w:r w:rsidRPr="003C2169">
        <w:rPr>
          <w:bCs/>
          <w:kern w:val="36"/>
          <w:sz w:val="28"/>
          <w:szCs w:val="28"/>
          <w:lang w:val="uk-UA"/>
        </w:rPr>
        <w:t>[</w:t>
      </w:r>
      <w:r w:rsidRPr="003C2169">
        <w:rPr>
          <w:sz w:val="28"/>
          <w:szCs w:val="28"/>
          <w:lang w:val="uk-UA"/>
        </w:rPr>
        <w:t>100</w:t>
      </w:r>
      <w:r w:rsidRPr="003C2169">
        <w:rPr>
          <w:bCs/>
          <w:kern w:val="36"/>
          <w:sz w:val="28"/>
          <w:szCs w:val="28"/>
          <w:lang w:val="uk-UA"/>
        </w:rPr>
        <w:t xml:space="preserve">], </w:t>
      </w:r>
      <w:r w:rsidRPr="003C2169">
        <w:rPr>
          <w:rStyle w:val="tlid-translation"/>
          <w:rFonts w:eastAsiaTheme="majorEastAsia"/>
          <w:sz w:val="28"/>
          <w:szCs w:val="28"/>
          <w:lang w:val="uk-UA"/>
        </w:rPr>
        <w:t>а наявність підвищеної кількості ЦДЕК ще до лікування переважно обумовлена наявністю ГХ та ЦД 2 типу.</w:t>
      </w:r>
    </w:p>
    <w:p w:rsidR="00E3259F" w:rsidRPr="003C2169" w:rsidRDefault="00E3259F" w:rsidP="003C2169">
      <w:pPr>
        <w:spacing w:line="360" w:lineRule="auto"/>
        <w:ind w:firstLine="709"/>
        <w:jc w:val="both"/>
        <w:rPr>
          <w:lang w:val="uk-UA"/>
        </w:rPr>
      </w:pPr>
      <w:r w:rsidRPr="003C2169">
        <w:rPr>
          <w:rStyle w:val="tlid-translation"/>
          <w:sz w:val="28"/>
          <w:szCs w:val="28"/>
          <w:lang w:val="uk-UA"/>
        </w:rPr>
        <w:t xml:space="preserve"> Д</w:t>
      </w:r>
      <w:r w:rsidRPr="003C2169">
        <w:rPr>
          <w:rStyle w:val="tlid-translation"/>
          <w:rFonts w:eastAsia="Calibri"/>
          <w:sz w:val="28"/>
          <w:szCs w:val="28"/>
          <w:lang w:val="uk-UA"/>
        </w:rPr>
        <w:t>остовірне зниження рівня маркерів хронічного системного запалення: СРП (</w:t>
      </w:r>
      <w:r w:rsidRPr="003C2169">
        <w:rPr>
          <w:sz w:val="28"/>
          <w:szCs w:val="28"/>
          <w:lang w:val="uk-UA"/>
        </w:rPr>
        <w:t>8,00±0,33 мг/л</w:t>
      </w:r>
      <w:r w:rsidRPr="003C2169">
        <w:rPr>
          <w:rStyle w:val="tlid-translation"/>
          <w:rFonts w:eastAsia="Calibri"/>
          <w:sz w:val="28"/>
          <w:szCs w:val="28"/>
          <w:lang w:val="uk-UA"/>
        </w:rPr>
        <w:t xml:space="preserve"> проти </w:t>
      </w:r>
      <w:r w:rsidRPr="003C2169">
        <w:rPr>
          <w:sz w:val="28"/>
          <w:szCs w:val="28"/>
          <w:lang w:val="uk-UA"/>
        </w:rPr>
        <w:t>7,14</w:t>
      </w:r>
      <w:r w:rsidRPr="003C2169">
        <w:rPr>
          <w:rStyle w:val="tlid-translation"/>
          <w:rFonts w:eastAsia="Calibri"/>
          <w:sz w:val="28"/>
          <w:szCs w:val="28"/>
          <w:lang w:val="uk-UA"/>
        </w:rPr>
        <w:t>±</w:t>
      </w:r>
      <w:r w:rsidRPr="003C2169">
        <w:rPr>
          <w:sz w:val="28"/>
          <w:szCs w:val="28"/>
          <w:lang w:val="uk-UA"/>
        </w:rPr>
        <w:t>0,26</w:t>
      </w:r>
      <w:r w:rsidRPr="003C2169">
        <w:rPr>
          <w:rStyle w:val="tlid-translation"/>
          <w:rFonts w:eastAsia="Calibri"/>
          <w:sz w:val="28"/>
          <w:szCs w:val="28"/>
          <w:lang w:val="uk-UA"/>
        </w:rPr>
        <w:t xml:space="preserve"> </w:t>
      </w:r>
      <w:r w:rsidRPr="003C2169">
        <w:rPr>
          <w:sz w:val="28"/>
          <w:szCs w:val="28"/>
          <w:lang w:val="uk-UA"/>
        </w:rPr>
        <w:t>мг/л</w:t>
      </w:r>
      <w:r w:rsidRPr="003C2169">
        <w:rPr>
          <w:rStyle w:val="tlid-translation"/>
          <w:rFonts w:eastAsia="Calibri"/>
          <w:sz w:val="28"/>
          <w:szCs w:val="28"/>
          <w:lang w:val="uk-UA"/>
        </w:rPr>
        <w:t>, р&lt;0,001), ФНП-α (</w:t>
      </w:r>
      <w:r w:rsidRPr="003C2169">
        <w:rPr>
          <w:sz w:val="28"/>
          <w:szCs w:val="28"/>
          <w:lang w:val="uk-UA"/>
        </w:rPr>
        <w:t xml:space="preserve">13,4617±,64256 пг/мл проти 12,1932±,57976 пг/мл, </w:t>
      </w:r>
      <w:r w:rsidRPr="003C2169">
        <w:rPr>
          <w:rStyle w:val="tlid-translation"/>
          <w:rFonts w:eastAsia="Calibri"/>
          <w:sz w:val="28"/>
          <w:szCs w:val="28"/>
          <w:lang w:val="uk-UA"/>
        </w:rPr>
        <w:t xml:space="preserve">р&lt;0,001), </w:t>
      </w:r>
      <w:r w:rsidRPr="003C2169">
        <w:rPr>
          <w:sz w:val="28"/>
          <w:szCs w:val="28"/>
          <w:lang w:val="uk-UA"/>
        </w:rPr>
        <w:t xml:space="preserve">узгоджується із даними інших дослідників, які вивчали динаміку процесів хронічного запалення під впливом левотироксину [33]. </w:t>
      </w:r>
      <w:r w:rsidRPr="003C2169">
        <w:rPr>
          <w:rStyle w:val="tlid-translation"/>
          <w:rFonts w:eastAsia="Calibri"/>
          <w:sz w:val="28"/>
          <w:szCs w:val="28"/>
          <w:lang w:val="uk-UA"/>
        </w:rPr>
        <w:t>Аналіз балансу оксидантно-антиоксидантної системи виявив  не значне зниження рівней МДА (</w:t>
      </w:r>
      <w:r w:rsidRPr="003C2169">
        <w:rPr>
          <w:sz w:val="28"/>
          <w:szCs w:val="28"/>
          <w:lang w:val="uk-UA"/>
        </w:rPr>
        <w:t>р&gt;0,05)</w:t>
      </w:r>
      <w:r w:rsidRPr="003C2169">
        <w:rPr>
          <w:rStyle w:val="tlid-translation"/>
          <w:rFonts w:eastAsia="Calibri"/>
          <w:sz w:val="28"/>
          <w:szCs w:val="28"/>
          <w:lang w:val="uk-UA"/>
        </w:rPr>
        <w:t xml:space="preserve"> та </w:t>
      </w:r>
      <w:r w:rsidRPr="003C2169">
        <w:rPr>
          <w:sz w:val="28"/>
          <w:szCs w:val="28"/>
          <w:shd w:val="clear" w:color="auto" w:fill="FFFFFF"/>
          <w:lang w:val="uk-UA"/>
        </w:rPr>
        <w:t>8-OHdG (</w:t>
      </w:r>
      <w:r w:rsidRPr="003C2169">
        <w:rPr>
          <w:sz w:val="28"/>
          <w:szCs w:val="28"/>
          <w:lang w:val="uk-UA"/>
        </w:rPr>
        <w:t>р&gt;0,05) проте</w:t>
      </w:r>
      <w:r w:rsidRPr="003C2169">
        <w:rPr>
          <w:rStyle w:val="tlid-translation"/>
          <w:rFonts w:eastAsia="Calibri"/>
          <w:sz w:val="28"/>
          <w:szCs w:val="28"/>
          <w:lang w:val="uk-UA"/>
        </w:rPr>
        <w:t xml:space="preserve"> достовірне підвищення активності </w:t>
      </w:r>
      <w:r w:rsidRPr="003C2169">
        <w:rPr>
          <w:sz w:val="28"/>
          <w:szCs w:val="28"/>
          <w:shd w:val="clear" w:color="auto" w:fill="FFFFFF"/>
          <w:lang w:val="uk-UA"/>
        </w:rPr>
        <w:t xml:space="preserve">ГПО (р=0,001) та рівнів </w:t>
      </w:r>
      <w:r w:rsidRPr="003C2169">
        <w:rPr>
          <w:sz w:val="28"/>
          <w:szCs w:val="28"/>
        </w:rPr>
        <w:t>SH</w:t>
      </w:r>
      <w:r w:rsidRPr="003C2169">
        <w:rPr>
          <w:sz w:val="28"/>
          <w:szCs w:val="28"/>
          <w:lang w:val="uk-UA"/>
        </w:rPr>
        <w:t xml:space="preserve">-груп (р&lt;0,001) під впливом терапії левотироксином. </w:t>
      </w:r>
    </w:p>
    <w:p w:rsidR="00E3259F" w:rsidRPr="003C2169" w:rsidRDefault="00E3259F" w:rsidP="003C2169">
      <w:pPr>
        <w:spacing w:line="360" w:lineRule="auto"/>
        <w:ind w:firstLine="709"/>
        <w:jc w:val="both"/>
        <w:rPr>
          <w:rStyle w:val="tlid-translation"/>
          <w:rFonts w:eastAsia="Calibri"/>
          <w:lang w:val="uk-UA"/>
        </w:rPr>
      </w:pPr>
      <w:r w:rsidRPr="003C2169">
        <w:rPr>
          <w:rStyle w:val="tlid-translation"/>
          <w:rFonts w:eastAsia="Calibri"/>
          <w:sz w:val="28"/>
          <w:szCs w:val="28"/>
          <w:lang w:val="uk-UA"/>
        </w:rPr>
        <w:t xml:space="preserve">На тлі замісної терапії левотироксином у 63 (67,7±4,8%) пацієнтів спостерігалось збільшення ВДТ крові, у 17(18,3±4,0%) пацієнтів  – зниження ВДТ крові та у 13 (14,0±3,6%) пацієнтів ВДТ крові не змінилась. Збільшення ВДТ клітин букального епітелію  спостерігалось у 51(54,8±5,2%) пацієнта, зниження - у 37 (39, 8± 5,1%) пацієнтів  та у 5 (5,4 ± 2,3%) пацієнтів ВДТ клітин букального епітелію не змінилась.  </w:t>
      </w:r>
    </w:p>
    <w:p w:rsidR="00E3259F" w:rsidRPr="003C2169" w:rsidRDefault="00E3259F" w:rsidP="003C2169">
      <w:pPr>
        <w:spacing w:line="360" w:lineRule="auto"/>
        <w:ind w:firstLine="709"/>
        <w:jc w:val="both"/>
        <w:rPr>
          <w:rFonts w:eastAsia="Calibri"/>
          <w:shd w:val="clear" w:color="auto" w:fill="FFFFFF"/>
          <w:lang w:val="uk-UA"/>
        </w:rPr>
      </w:pPr>
      <w:r w:rsidRPr="003C2169">
        <w:rPr>
          <w:sz w:val="28"/>
          <w:szCs w:val="28"/>
          <w:shd w:val="clear" w:color="auto" w:fill="FFFFFF"/>
          <w:lang w:val="uk-UA"/>
        </w:rPr>
        <w:t xml:space="preserve">Однофакторний дисперсійний аналіз дозволив виявити достовірний вплив терапії левотироксином на рівні показників ліпідного обміну (рівні ЗХС (р=0,001), ХС ЛПНЩ (р=0,021)), вуглеводного обміну (рівні глюкози (р=0,020), </w:t>
      </w:r>
      <w:r w:rsidRPr="003C2169">
        <w:rPr>
          <w:sz w:val="28"/>
          <w:szCs w:val="28"/>
          <w:shd w:val="clear" w:color="auto" w:fill="FFFFFF"/>
        </w:rPr>
        <w:t>HbA</w:t>
      </w:r>
      <w:r w:rsidRPr="003C2169">
        <w:rPr>
          <w:sz w:val="28"/>
          <w:szCs w:val="28"/>
          <w:shd w:val="clear" w:color="auto" w:fill="FFFFFF"/>
          <w:lang w:val="uk-UA"/>
        </w:rPr>
        <w:t>1с (р=0,001)), тиреоїдного обміну – рівні ТТГ (р=0,001), функціонального стану ендотелію -  рівні ВЕФР (р = 0,017),</w:t>
      </w:r>
      <w:r w:rsidRPr="003C2169">
        <w:rPr>
          <w:sz w:val="28"/>
          <w:szCs w:val="28"/>
          <w:shd w:val="clear" w:color="auto" w:fill="FFFFFF"/>
        </w:rPr>
        <w:t> </w:t>
      </w:r>
      <w:r w:rsidRPr="003C2169">
        <w:rPr>
          <w:sz w:val="28"/>
          <w:szCs w:val="28"/>
          <w:shd w:val="clear" w:color="auto" w:fill="FFFFFF"/>
          <w:lang w:val="uk-UA"/>
        </w:rPr>
        <w:t xml:space="preserve"> хронічного запалення - рівні СРП (р=0,012), антиоксидантної системи – рівні </w:t>
      </w:r>
      <w:r w:rsidRPr="003C2169">
        <w:rPr>
          <w:sz w:val="28"/>
          <w:szCs w:val="28"/>
          <w:shd w:val="clear" w:color="auto" w:fill="FFFFFF"/>
        </w:rPr>
        <w:t>SH</w:t>
      </w:r>
      <w:r w:rsidRPr="003C2169">
        <w:rPr>
          <w:sz w:val="28"/>
          <w:szCs w:val="28"/>
          <w:shd w:val="clear" w:color="auto" w:fill="FFFFFF"/>
          <w:lang w:val="uk-UA"/>
        </w:rPr>
        <w:t>-груп (р=0,016), рівні АТ (САТ (р=0,016), ПАД (р=0,009)) та на значення БВ (р=0,045).</w:t>
      </w:r>
    </w:p>
    <w:p w:rsidR="00E3259F" w:rsidRPr="003C2169" w:rsidRDefault="00E3259F" w:rsidP="003C2169">
      <w:pPr>
        <w:spacing w:line="360" w:lineRule="auto"/>
        <w:ind w:firstLine="709"/>
        <w:jc w:val="both"/>
        <w:rPr>
          <w:rStyle w:val="10"/>
          <w:rFonts w:eastAsiaTheme="minorHAnsi"/>
          <w:b w:val="0"/>
          <w:sz w:val="28"/>
          <w:szCs w:val="28"/>
          <w:lang w:val="uk-UA"/>
        </w:rPr>
      </w:pPr>
      <w:r w:rsidRPr="003C2169">
        <w:rPr>
          <w:rStyle w:val="10"/>
          <w:rFonts w:eastAsiaTheme="minorHAnsi"/>
          <w:b w:val="0"/>
          <w:sz w:val="28"/>
          <w:szCs w:val="28"/>
          <w:lang w:val="uk-UA"/>
        </w:rPr>
        <w:t xml:space="preserve">Був проведений аналіз змін досліджуваних показників на тлі замісної терапії левотироксином </w:t>
      </w:r>
      <w:r w:rsidRPr="003C2169">
        <w:rPr>
          <w:sz w:val="28"/>
          <w:szCs w:val="28"/>
          <w:lang w:val="uk-UA" w:eastAsia="en-US"/>
        </w:rPr>
        <w:t xml:space="preserve">залежно </w:t>
      </w:r>
      <w:r w:rsidRPr="003C2169">
        <w:rPr>
          <w:rStyle w:val="10"/>
          <w:rFonts w:eastAsiaTheme="minorHAnsi"/>
          <w:b w:val="0"/>
          <w:sz w:val="28"/>
          <w:szCs w:val="28"/>
          <w:lang w:val="uk-UA"/>
        </w:rPr>
        <w:t>від вихідного рівня ТТГ (до 6,0 мкМО/мл та від 6,1 до 10,0 мкМО/мл). Покращення ліпідного обміну спостерігалося в обох підгрупах пацієнтів, проте зниження ТГ при вихідному рівні ТТГ &lt;6,0 мкМО/мл було достовірно більшою мірою, ніж при вихідному рівні ТТГ&gt;6,0 мкМО/мл (1,69±0,13 ммоль/л проти 2,21±0,21ммоль/л, р=0</w:t>
      </w:r>
      <w:r w:rsidRPr="003C2169">
        <w:rPr>
          <w:sz w:val="28"/>
          <w:szCs w:val="28"/>
          <w:lang w:val="uk-UA"/>
        </w:rPr>
        <w:t>,039).  Суттєве покращення вуглеводного обміну спостерігалося незалежно від вихідного рівня ТТГ, проте за умови вихідного рівня ТТГ</w:t>
      </w:r>
      <w:r w:rsidRPr="003C2169">
        <w:rPr>
          <w:rStyle w:val="10"/>
          <w:rFonts w:eastAsiaTheme="minorHAnsi"/>
          <w:sz w:val="28"/>
          <w:szCs w:val="28"/>
          <w:lang w:val="uk-UA"/>
        </w:rPr>
        <w:t>&lt;</w:t>
      </w:r>
      <w:r w:rsidRPr="003C2169">
        <w:rPr>
          <w:rStyle w:val="10"/>
          <w:rFonts w:eastAsiaTheme="minorHAnsi"/>
          <w:b w:val="0"/>
          <w:sz w:val="28"/>
          <w:szCs w:val="28"/>
          <w:lang w:val="uk-UA"/>
        </w:rPr>
        <w:t>6,0 мкМО/мл</w:t>
      </w:r>
      <w:r w:rsidRPr="003C2169">
        <w:rPr>
          <w:sz w:val="28"/>
          <w:szCs w:val="28"/>
          <w:lang w:val="uk-UA"/>
        </w:rPr>
        <w:t xml:space="preserve"> наприкінці періоду спостереження було виявлено достовірно більш низькі</w:t>
      </w:r>
      <w:r w:rsidRPr="003C2169">
        <w:rPr>
          <w:rStyle w:val="10"/>
          <w:rFonts w:eastAsiaTheme="minorHAnsi"/>
          <w:b w:val="0"/>
          <w:sz w:val="28"/>
          <w:szCs w:val="28"/>
          <w:lang w:val="uk-UA"/>
        </w:rPr>
        <w:t xml:space="preserve"> </w:t>
      </w:r>
      <w:r w:rsidRPr="003C2169">
        <w:rPr>
          <w:sz w:val="28"/>
          <w:szCs w:val="28"/>
          <w:lang w:val="uk-UA"/>
        </w:rPr>
        <w:t>рівні глюкози (5,83±0,17 ммоль/л проти 6,98±0,27 ммоль/л, р=0,001) та глікованого гемоглобіну (6,38±0,11% проти 7,08±0,14%, р&lt;0,001)</w:t>
      </w:r>
      <w:r w:rsidRPr="003C2169">
        <w:rPr>
          <w:rStyle w:val="10"/>
          <w:rFonts w:eastAsiaTheme="minorHAnsi"/>
          <w:b w:val="0"/>
          <w:sz w:val="28"/>
          <w:szCs w:val="28"/>
          <w:lang w:val="uk-UA"/>
        </w:rPr>
        <w:t>, ніж у пацієнтів з вихідним рівнем ТТГ &gt;6,0 мкМО/мл. Незважаючи на значне зниження рівнів ВЕФР в обох підгрупах під впливом терапії левотироксином, рівні ВЕФР у підгрупі з вихідним рівнем ТТТ&gt;6,0 мкМО/мл були достовірно вищі наприкінці терміну спостереження, ніж в підгрупі пацієнтів з рівнем ТТГ&lt;6,0 мкМО/мл (</w:t>
      </w:r>
      <w:r w:rsidRPr="003C2169">
        <w:rPr>
          <w:sz w:val="28"/>
          <w:szCs w:val="28"/>
          <w:lang w:val="uk-UA"/>
        </w:rPr>
        <w:t>460,61±23,12</w:t>
      </w:r>
      <w:r w:rsidRPr="003C2169">
        <w:rPr>
          <w:rStyle w:val="10"/>
          <w:rFonts w:eastAsiaTheme="minorHAnsi"/>
          <w:b w:val="0"/>
          <w:sz w:val="28"/>
          <w:szCs w:val="28"/>
          <w:lang w:val="uk-UA"/>
        </w:rPr>
        <w:t xml:space="preserve"> пг/мл проти </w:t>
      </w:r>
      <w:r w:rsidRPr="003C2169">
        <w:rPr>
          <w:sz w:val="28"/>
          <w:szCs w:val="28"/>
          <w:lang w:val="uk-UA"/>
        </w:rPr>
        <w:t>385,87±20,36</w:t>
      </w:r>
      <w:r w:rsidRPr="003C2169">
        <w:rPr>
          <w:rStyle w:val="10"/>
          <w:rFonts w:eastAsiaTheme="minorHAnsi"/>
          <w:b w:val="0"/>
          <w:sz w:val="28"/>
          <w:szCs w:val="28"/>
          <w:lang w:val="uk-UA"/>
        </w:rPr>
        <w:t xml:space="preserve">  пг/мл, р=0</w:t>
      </w:r>
      <w:r w:rsidRPr="003C2169">
        <w:rPr>
          <w:b/>
          <w:sz w:val="28"/>
          <w:szCs w:val="28"/>
          <w:lang w:val="uk-UA"/>
        </w:rPr>
        <w:t>,</w:t>
      </w:r>
      <w:r w:rsidRPr="003C2169">
        <w:rPr>
          <w:sz w:val="28"/>
          <w:szCs w:val="28"/>
          <w:lang w:val="uk-UA"/>
        </w:rPr>
        <w:t>012</w:t>
      </w:r>
      <w:r w:rsidRPr="003C2169">
        <w:rPr>
          <w:b/>
          <w:sz w:val="28"/>
          <w:szCs w:val="28"/>
          <w:lang w:val="uk-UA"/>
        </w:rPr>
        <w:t>).</w:t>
      </w:r>
      <w:r w:rsidRPr="003C2169">
        <w:rPr>
          <w:rStyle w:val="10"/>
          <w:rFonts w:eastAsiaTheme="minorHAnsi"/>
          <w:b w:val="0"/>
          <w:sz w:val="28"/>
          <w:szCs w:val="28"/>
          <w:lang w:val="uk-UA"/>
        </w:rPr>
        <w:t xml:space="preserve">  Крім того, у пацієнтів з вихідним рівнем ТТГ&lt;6,0 мкМО/мл на тлі прийому левотироксину спостерігались більш низькі рівні </w:t>
      </w:r>
      <w:r w:rsidRPr="003C2169">
        <w:rPr>
          <w:sz w:val="28"/>
          <w:szCs w:val="28"/>
          <w:lang w:val="uk-UA"/>
        </w:rPr>
        <w:t>ХС ЛПДНЩ, 8-OH-dG,</w:t>
      </w:r>
      <w:r w:rsidRPr="003C2169">
        <w:rPr>
          <w:rStyle w:val="10"/>
          <w:rFonts w:eastAsiaTheme="minorHAnsi"/>
          <w:sz w:val="28"/>
          <w:szCs w:val="28"/>
          <w:lang w:val="uk-UA"/>
        </w:rPr>
        <w:t xml:space="preserve"> </w:t>
      </w:r>
      <w:r w:rsidRPr="003C2169">
        <w:rPr>
          <w:rStyle w:val="tlid-translation"/>
          <w:rFonts w:eastAsiaTheme="majorEastAsia"/>
          <w:sz w:val="28"/>
          <w:szCs w:val="28"/>
        </w:rPr>
        <w:t>SH</w:t>
      </w:r>
      <w:r w:rsidRPr="003C2169">
        <w:rPr>
          <w:rStyle w:val="tlid-translation"/>
          <w:rFonts w:eastAsiaTheme="majorEastAsia"/>
          <w:sz w:val="28"/>
          <w:szCs w:val="28"/>
          <w:lang w:val="uk-UA"/>
        </w:rPr>
        <w:t>-груп,</w:t>
      </w:r>
      <w:r w:rsidRPr="003C2169">
        <w:rPr>
          <w:rStyle w:val="10"/>
          <w:rFonts w:eastAsiaTheme="minorHAnsi"/>
          <w:sz w:val="28"/>
          <w:szCs w:val="28"/>
          <w:lang w:val="uk-UA"/>
        </w:rPr>
        <w:t xml:space="preserve"> </w:t>
      </w:r>
      <w:r w:rsidRPr="003C2169">
        <w:rPr>
          <w:rStyle w:val="tlid-translation"/>
          <w:rFonts w:eastAsiaTheme="majorEastAsia"/>
          <w:sz w:val="28"/>
          <w:szCs w:val="28"/>
          <w:lang w:val="uk-UA"/>
        </w:rPr>
        <w:t xml:space="preserve">МДА, </w:t>
      </w:r>
      <w:r w:rsidRPr="003C2169">
        <w:rPr>
          <w:sz w:val="28"/>
          <w:szCs w:val="28"/>
          <w:lang w:val="uk-UA"/>
        </w:rPr>
        <w:t>індексу НОМА-</w:t>
      </w:r>
      <w:r w:rsidRPr="003C2169">
        <w:rPr>
          <w:sz w:val="28"/>
          <w:szCs w:val="28"/>
        </w:rPr>
        <w:t>IR</w:t>
      </w:r>
      <w:r w:rsidRPr="003C2169">
        <w:rPr>
          <w:sz w:val="28"/>
          <w:szCs w:val="28"/>
          <w:lang w:val="uk-UA"/>
        </w:rPr>
        <w:t>, нижча</w:t>
      </w:r>
      <w:r w:rsidRPr="003C2169">
        <w:rPr>
          <w:rStyle w:val="tlid-translation"/>
          <w:rFonts w:eastAsiaTheme="majorEastAsia"/>
          <w:sz w:val="28"/>
          <w:szCs w:val="28"/>
          <w:lang w:val="uk-UA"/>
        </w:rPr>
        <w:t xml:space="preserve"> активність ГПО</w:t>
      </w:r>
      <w:r w:rsidRPr="003C2169">
        <w:rPr>
          <w:sz w:val="28"/>
          <w:szCs w:val="28"/>
          <w:lang w:val="uk-UA"/>
        </w:rPr>
        <w:t>,</w:t>
      </w:r>
      <w:r w:rsidRPr="003C2169">
        <w:rPr>
          <w:rStyle w:val="10"/>
          <w:rFonts w:eastAsiaTheme="minorHAnsi"/>
          <w:b w:val="0"/>
          <w:sz w:val="28"/>
          <w:szCs w:val="28"/>
          <w:lang w:val="uk-UA"/>
        </w:rPr>
        <w:t xml:space="preserve"> ніж у пацієнтів з вихідним рівнем ТТГ &gt;6,0 мкМО/мл,</w:t>
      </w:r>
      <w:r w:rsidRPr="003C2169">
        <w:rPr>
          <w:sz w:val="28"/>
          <w:szCs w:val="28"/>
          <w:lang w:val="uk-UA"/>
        </w:rPr>
        <w:t xml:space="preserve"> хоча ці відмінності не досягали статистичної значущості.</w:t>
      </w:r>
      <w:r w:rsidRPr="003C2169">
        <w:rPr>
          <w:rStyle w:val="10"/>
          <w:rFonts w:eastAsiaTheme="minorHAnsi"/>
          <w:b w:val="0"/>
          <w:sz w:val="28"/>
          <w:szCs w:val="28"/>
          <w:lang w:val="uk-UA"/>
        </w:rPr>
        <w:t xml:space="preserve"> БВ наприкінці періоду спостереження достовірно зменшився (р&lt;0,001), незалежно від вихідного рівня ТТГ, що може бути пояснено покращенням більшості показників, вплив яких на БВ доведено або припускається. </w:t>
      </w:r>
    </w:p>
    <w:p w:rsidR="00E3259F" w:rsidRPr="003C2169" w:rsidRDefault="00E3259F" w:rsidP="003C2169">
      <w:pPr>
        <w:spacing w:line="360" w:lineRule="auto"/>
        <w:ind w:firstLine="709"/>
        <w:jc w:val="both"/>
        <w:rPr>
          <w:shd w:val="clear" w:color="auto" w:fill="FFFFFF"/>
          <w:lang w:val="uk-UA" w:eastAsia="en-US"/>
        </w:rPr>
      </w:pPr>
      <w:r w:rsidRPr="003C2169">
        <w:rPr>
          <w:rStyle w:val="tlid-translation"/>
          <w:rFonts w:eastAsiaTheme="majorEastAsia"/>
          <w:sz w:val="28"/>
          <w:szCs w:val="28"/>
          <w:lang w:val="uk-UA"/>
        </w:rPr>
        <w:t xml:space="preserve">Звертає на себе увагу, що у пацієнтів з ГХ, ЦД 2 типу та СГТ з вихідним рівнем </w:t>
      </w:r>
      <w:r w:rsidRPr="003C2169">
        <w:rPr>
          <w:rStyle w:val="10"/>
          <w:rFonts w:eastAsiaTheme="minorHAnsi"/>
          <w:b w:val="0"/>
          <w:sz w:val="28"/>
          <w:szCs w:val="28"/>
          <w:lang w:val="uk-UA"/>
        </w:rPr>
        <w:t xml:space="preserve">ТТГ в діапазоні 4,1-6,0 </w:t>
      </w:r>
      <w:r w:rsidRPr="003C2169">
        <w:rPr>
          <w:sz w:val="28"/>
          <w:szCs w:val="28"/>
          <w:shd w:val="clear" w:color="auto" w:fill="FFFFFF"/>
          <w:lang w:val="uk-UA"/>
        </w:rPr>
        <w:t>мкОд/мл до початку замісної терапії левотироксином</w:t>
      </w:r>
      <w:r w:rsidRPr="003C2169">
        <w:rPr>
          <w:rStyle w:val="tlid-translation"/>
          <w:rFonts w:eastAsiaTheme="majorEastAsia"/>
          <w:sz w:val="28"/>
          <w:szCs w:val="28"/>
          <w:lang w:val="uk-UA"/>
        </w:rPr>
        <w:t xml:space="preserve"> такі вагомі фактори серцево-судинного ризику, як ІМТ,САТ, ХС ЛПВЩ, глюкоза натще, НОМА-</w:t>
      </w:r>
      <w:r w:rsidRPr="003C2169">
        <w:rPr>
          <w:rStyle w:val="tlid-translation"/>
          <w:rFonts w:eastAsiaTheme="majorEastAsia"/>
          <w:sz w:val="28"/>
          <w:szCs w:val="28"/>
        </w:rPr>
        <w:t>IR</w:t>
      </w:r>
      <w:r w:rsidRPr="003C2169">
        <w:rPr>
          <w:rStyle w:val="tlid-translation"/>
          <w:rFonts w:eastAsiaTheme="majorEastAsia"/>
          <w:sz w:val="28"/>
          <w:szCs w:val="28"/>
          <w:lang w:val="uk-UA"/>
        </w:rPr>
        <w:t xml:space="preserve"> </w:t>
      </w:r>
      <w:r w:rsidRPr="003C2169">
        <w:rPr>
          <w:sz w:val="28"/>
          <w:szCs w:val="28"/>
          <w:shd w:val="clear" w:color="auto" w:fill="FFFFFF"/>
          <w:lang w:val="uk-UA"/>
        </w:rPr>
        <w:t>мали</w:t>
      </w:r>
      <w:r w:rsidRPr="003C2169">
        <w:rPr>
          <w:b/>
          <w:sz w:val="28"/>
          <w:szCs w:val="28"/>
          <w:shd w:val="clear" w:color="auto" w:fill="FFFFFF"/>
          <w:lang w:val="uk-UA"/>
        </w:rPr>
        <w:t xml:space="preserve"> </w:t>
      </w:r>
      <w:r w:rsidRPr="003C2169">
        <w:rPr>
          <w:sz w:val="28"/>
          <w:szCs w:val="28"/>
          <w:shd w:val="clear" w:color="auto" w:fill="FFFFFF"/>
          <w:lang w:val="uk-UA"/>
        </w:rPr>
        <w:t>кращі значення</w:t>
      </w:r>
      <w:r w:rsidRPr="003C2169">
        <w:rPr>
          <w:rStyle w:val="tlid-translation"/>
          <w:rFonts w:eastAsiaTheme="majorEastAsia"/>
          <w:sz w:val="28"/>
          <w:szCs w:val="28"/>
          <w:lang w:val="uk-UA"/>
        </w:rPr>
        <w:t>, ніж  у  пацієнтів з поєднаним перебігом ГХ та ЦД 2 типу після 12 місяців статинотерпії, причому при порівнянні ІМТ (р=0</w:t>
      </w:r>
      <w:r w:rsidRPr="003C2169">
        <w:rPr>
          <w:sz w:val="28"/>
          <w:szCs w:val="28"/>
          <w:lang w:val="uk-UA"/>
        </w:rPr>
        <w:t>,004</w:t>
      </w:r>
      <w:r w:rsidRPr="003C2169">
        <w:rPr>
          <w:rStyle w:val="tlid-translation"/>
          <w:rFonts w:eastAsiaTheme="majorEastAsia"/>
          <w:sz w:val="28"/>
          <w:szCs w:val="28"/>
          <w:lang w:val="uk-UA"/>
        </w:rPr>
        <w:t>), НОМА-</w:t>
      </w:r>
      <w:r w:rsidRPr="003C2169">
        <w:rPr>
          <w:rStyle w:val="tlid-translation"/>
          <w:rFonts w:eastAsiaTheme="majorEastAsia"/>
          <w:sz w:val="28"/>
          <w:szCs w:val="28"/>
        </w:rPr>
        <w:t>IR</w:t>
      </w:r>
      <w:r w:rsidRPr="003C2169">
        <w:rPr>
          <w:rStyle w:val="tlid-translation"/>
          <w:rFonts w:eastAsiaTheme="majorEastAsia"/>
          <w:sz w:val="28"/>
          <w:szCs w:val="28"/>
          <w:lang w:val="uk-UA"/>
        </w:rPr>
        <w:t xml:space="preserve"> (р&lt;0,001) та глюкози натще (р&lt;0,001) ця різниця була достовірна. З іншого боку, значення рівнів ЗХС (р&lt;0,001), ХС ЛПНЩ (р&lt;0,001), СРП (р=0,028), ФНП-α (р&lt;0,001) після лікування статинами у пацієнтів групи 2 були достовірно нижче, ніж у пацієнтів групи 3 з рівнем ТТГ&lt;6,0 мкМО/мл до початку замісної терапії левотироксином. Виявлено різноспрямованість та недостовірність відмінностей (р&gt;0,05) показників оксидативного стресу, ЕД та ВДТ при порівнянні пацієнтів</w:t>
      </w:r>
      <w:r w:rsidRPr="003C2169">
        <w:rPr>
          <w:sz w:val="28"/>
          <w:szCs w:val="28"/>
          <w:lang w:val="uk-UA"/>
        </w:rPr>
        <w:t xml:space="preserve"> групі 3 при </w:t>
      </w:r>
      <w:r w:rsidRPr="003C2169">
        <w:rPr>
          <w:rStyle w:val="10"/>
          <w:rFonts w:eastAsiaTheme="minorHAnsi"/>
          <w:b w:val="0"/>
          <w:sz w:val="28"/>
          <w:szCs w:val="28"/>
          <w:lang w:val="uk-UA"/>
        </w:rPr>
        <w:t xml:space="preserve">ТТГ в діапазоні 4,1-6,0 </w:t>
      </w:r>
      <w:r w:rsidRPr="003C2169">
        <w:rPr>
          <w:sz w:val="28"/>
          <w:szCs w:val="28"/>
          <w:shd w:val="clear" w:color="auto" w:fill="FFFFFF"/>
          <w:lang w:val="uk-UA"/>
        </w:rPr>
        <w:t xml:space="preserve">мкОд /мл до призначення левотироксину </w:t>
      </w:r>
      <w:r w:rsidRPr="003C2169">
        <w:rPr>
          <w:rStyle w:val="tlid-translation"/>
          <w:rFonts w:eastAsiaTheme="majorEastAsia"/>
          <w:sz w:val="28"/>
          <w:szCs w:val="28"/>
          <w:lang w:val="uk-UA"/>
        </w:rPr>
        <w:t xml:space="preserve">з групою 2 наприкінці періоду спостереження: більш низькі рівні </w:t>
      </w:r>
      <w:r w:rsidRPr="003C2169">
        <w:rPr>
          <w:sz w:val="28"/>
          <w:szCs w:val="28"/>
          <w:lang w:val="uk-UA"/>
        </w:rPr>
        <w:t>8-OH-dG плазми крові, більш високі рівні ВЕФР, ТКІМ та</w:t>
      </w:r>
      <w:r w:rsidRPr="003C2169">
        <w:rPr>
          <w:rStyle w:val="tlid-translation"/>
          <w:rFonts w:eastAsiaTheme="majorEastAsia"/>
          <w:sz w:val="28"/>
          <w:szCs w:val="28"/>
          <w:lang w:val="uk-UA"/>
        </w:rPr>
        <w:t xml:space="preserve"> ВДТ букального епітелію, </w:t>
      </w:r>
      <w:r w:rsidRPr="003C2169">
        <w:rPr>
          <w:sz w:val="28"/>
          <w:szCs w:val="28"/>
          <w:shd w:val="clear" w:color="auto" w:fill="FFFFFF"/>
          <w:lang w:val="uk-UA"/>
        </w:rPr>
        <w:t>низькі рівні</w:t>
      </w:r>
      <w:r w:rsidRPr="003C2169">
        <w:rPr>
          <w:rStyle w:val="10"/>
          <w:rFonts w:eastAsiaTheme="minorHAnsi"/>
          <w:sz w:val="28"/>
          <w:szCs w:val="28"/>
          <w:lang w:val="uk-UA"/>
        </w:rPr>
        <w:t xml:space="preserve"> </w:t>
      </w:r>
      <w:r w:rsidRPr="003C2169">
        <w:rPr>
          <w:rStyle w:val="tlid-translation"/>
          <w:rFonts w:eastAsiaTheme="majorEastAsia"/>
          <w:sz w:val="28"/>
          <w:szCs w:val="28"/>
        </w:rPr>
        <w:t>SH</w:t>
      </w:r>
      <w:r w:rsidRPr="003C2169">
        <w:rPr>
          <w:rStyle w:val="tlid-translation"/>
          <w:rFonts w:eastAsiaTheme="majorEastAsia"/>
          <w:sz w:val="28"/>
          <w:szCs w:val="28"/>
          <w:lang w:val="uk-UA"/>
        </w:rPr>
        <w:t>-груп</w:t>
      </w:r>
      <w:r w:rsidRPr="003C2169">
        <w:rPr>
          <w:sz w:val="28"/>
          <w:szCs w:val="28"/>
          <w:lang w:val="uk-UA"/>
        </w:rPr>
        <w:t xml:space="preserve">, вища </w:t>
      </w:r>
      <w:r w:rsidRPr="003C2169">
        <w:rPr>
          <w:rStyle w:val="tlid-translation"/>
          <w:rFonts w:eastAsiaTheme="majorEastAsia"/>
          <w:sz w:val="28"/>
          <w:szCs w:val="28"/>
          <w:lang w:val="uk-UA"/>
        </w:rPr>
        <w:t xml:space="preserve">активнісь ГПО, що свідчить, що підхід до замісної терапії осіб з рівнем </w:t>
      </w:r>
      <w:r w:rsidRPr="003C2169">
        <w:rPr>
          <w:rStyle w:val="10"/>
          <w:rFonts w:eastAsiaTheme="minorHAnsi"/>
          <w:b w:val="0"/>
          <w:sz w:val="28"/>
          <w:szCs w:val="28"/>
          <w:lang w:val="uk-UA"/>
        </w:rPr>
        <w:t xml:space="preserve">ТТГ в діапазоні 4,1-6,0 </w:t>
      </w:r>
      <w:r w:rsidRPr="003C2169">
        <w:rPr>
          <w:sz w:val="28"/>
          <w:szCs w:val="28"/>
          <w:shd w:val="clear" w:color="auto" w:fill="FFFFFF"/>
          <w:lang w:val="uk-UA"/>
        </w:rPr>
        <w:t>мкОд /мл повинен бути індивідуалізованим  та враховувати рівень вихідних даних показників, що є факторами КВР або мають на них значний вплив.</w:t>
      </w:r>
    </w:p>
    <w:p w:rsidR="00E3259F" w:rsidRPr="003C2169" w:rsidRDefault="00E3259F" w:rsidP="003C2169">
      <w:pPr>
        <w:spacing w:line="360" w:lineRule="auto"/>
        <w:ind w:firstLine="709"/>
        <w:jc w:val="both"/>
        <w:rPr>
          <w:rStyle w:val="tlid-translation"/>
          <w:rFonts w:eastAsiaTheme="minorHAnsi"/>
          <w:lang w:val="uk-UA"/>
        </w:rPr>
      </w:pPr>
      <w:r w:rsidRPr="003C2169">
        <w:rPr>
          <w:rStyle w:val="tlid-translation"/>
          <w:rFonts w:eastAsia="Calibri"/>
          <w:sz w:val="28"/>
          <w:szCs w:val="28"/>
          <w:lang w:val="uk-UA"/>
        </w:rPr>
        <w:t>Таким чином, незважаючи на наявність значного покращення практичної більшості досліджуваних показників на тлі додаткового призначення статинів пацієнтам з ГХ та ЦД 2 типу та левотироксину пацієнтам з поєднаним перебігом ГХ, ЦД 2 типу та СГТ, необхідно враховувати та моніторувати негативний вплив статинів на показники, перед усім, вуглеводного обміну та оксидативного стресу при поєднаному перебігу ГХ та ЦД 2 типу, а в осіб з коморбідною патологією, яка включає ГХ, ЦД 2 типу та СГТ</w:t>
      </w:r>
      <w:r w:rsidRPr="003C2169">
        <w:rPr>
          <w:sz w:val="28"/>
          <w:szCs w:val="28"/>
          <w:shd w:val="clear" w:color="auto" w:fill="FFFFFF"/>
          <w:lang w:val="uk-UA"/>
        </w:rPr>
        <w:t>, п</w:t>
      </w:r>
      <w:r w:rsidRPr="003C2169">
        <w:rPr>
          <w:rStyle w:val="tlid-translation"/>
          <w:rFonts w:eastAsia="Calibri"/>
          <w:sz w:val="28"/>
          <w:szCs w:val="28"/>
          <w:lang w:val="uk-UA"/>
        </w:rPr>
        <w:t xml:space="preserve">риймаючи до уваги потенційні ризики від терапії левотироксином  у осіб старших вікових груп, особливо при наявності ССЗ, при прийнятті рішення про необхідність замісної терапії необхідно використовувати індивідуальний підхід до стратифікації ризику та прогнозу, особливо при рівнях ТТГ в межах 4,0-6,0 мкМО/мл. </w:t>
      </w:r>
    </w:p>
    <w:p w:rsidR="00E3259F" w:rsidRPr="003C2169" w:rsidRDefault="00E3259F" w:rsidP="003C2169">
      <w:pPr>
        <w:spacing w:line="360" w:lineRule="auto"/>
        <w:ind w:firstLine="709"/>
        <w:jc w:val="both"/>
        <w:rPr>
          <w:rFonts w:eastAsia="Calibri"/>
          <w:lang w:val="uk-UA"/>
        </w:rPr>
      </w:pPr>
      <w:r w:rsidRPr="003C2169">
        <w:rPr>
          <w:sz w:val="28"/>
          <w:szCs w:val="28"/>
          <w:lang w:val="uk-UA"/>
        </w:rPr>
        <w:t xml:space="preserve">Отримані дані стали підставою для створення алгоритму ранньої комплексної діагностики та лікувально-профілактичної тактики для запобігання розвитку серцево-судинних ускладнень у хворих з поєднаним перебігом гіпертонічної хвороби, цукрового діабету 2 типу </w:t>
      </w:r>
      <w:r w:rsidRPr="003C2169">
        <w:rPr>
          <w:sz w:val="28"/>
          <w:szCs w:val="28"/>
          <w:lang w:val="uk-UA" w:eastAsia="en-US"/>
        </w:rPr>
        <w:t xml:space="preserve">залежно </w:t>
      </w:r>
      <w:r w:rsidRPr="003C2169">
        <w:rPr>
          <w:sz w:val="28"/>
          <w:szCs w:val="28"/>
          <w:lang w:val="uk-UA"/>
        </w:rPr>
        <w:t>від функціонального стану ЩЗ.</w:t>
      </w:r>
    </w:p>
    <w:p w:rsidR="00E3259F" w:rsidRDefault="00E3259F" w:rsidP="00E3259F">
      <w:pPr>
        <w:spacing w:after="200" w:line="276" w:lineRule="auto"/>
        <w:rPr>
          <w:lang w:val="uk-UA"/>
        </w:rPr>
      </w:pPr>
      <w:r>
        <w:rPr>
          <w:lang w:val="uk-UA"/>
        </w:rPr>
        <w:br w:type="page"/>
      </w:r>
    </w:p>
    <w:p w:rsidR="00E3259F" w:rsidRDefault="00E3259F" w:rsidP="00E3259F">
      <w:pPr>
        <w:spacing w:line="360" w:lineRule="auto"/>
        <w:jc w:val="center"/>
        <w:rPr>
          <w:b/>
          <w:sz w:val="28"/>
          <w:szCs w:val="28"/>
          <w:lang w:val="uk-UA"/>
        </w:rPr>
      </w:pPr>
      <w:r>
        <w:rPr>
          <w:b/>
          <w:sz w:val="28"/>
          <w:szCs w:val="28"/>
          <w:lang w:val="uk-UA"/>
        </w:rPr>
        <w:t>ВИСНОВКИ</w:t>
      </w:r>
    </w:p>
    <w:p w:rsidR="00E3259F" w:rsidRDefault="00E3259F" w:rsidP="00E3259F">
      <w:pPr>
        <w:pStyle w:val="a4"/>
        <w:spacing w:line="360" w:lineRule="auto"/>
        <w:ind w:left="0"/>
        <w:rPr>
          <w:rFonts w:ascii="Tahoma" w:hAnsi="Tahoma" w:cs="Tahoma"/>
          <w:b/>
          <w:sz w:val="28"/>
          <w:szCs w:val="28"/>
          <w:lang w:val="uk-UA"/>
        </w:rPr>
      </w:pPr>
    </w:p>
    <w:p w:rsidR="00E3259F" w:rsidRDefault="00E3259F" w:rsidP="00E3259F">
      <w:pPr>
        <w:pStyle w:val="1"/>
        <w:spacing w:before="0" w:beforeAutospacing="0" w:after="0" w:afterAutospacing="0" w:line="360" w:lineRule="auto"/>
        <w:jc w:val="both"/>
        <w:rPr>
          <w:b w:val="0"/>
          <w:sz w:val="28"/>
          <w:szCs w:val="28"/>
          <w:lang w:val="uk-UA"/>
        </w:rPr>
      </w:pPr>
      <w:r>
        <w:rPr>
          <w:b w:val="0"/>
          <w:sz w:val="28"/>
          <w:szCs w:val="28"/>
          <w:lang w:val="uk-UA"/>
        </w:rPr>
        <w:t xml:space="preserve">1. У </w:t>
      </w:r>
      <w:r>
        <w:rPr>
          <w:b w:val="0"/>
          <w:bCs w:val="0"/>
          <w:sz w:val="28"/>
          <w:szCs w:val="28"/>
          <w:lang w:val="uk-UA"/>
        </w:rPr>
        <w:t>дисертаційній</w:t>
      </w:r>
      <w:r>
        <w:rPr>
          <w:b w:val="0"/>
          <w:sz w:val="28"/>
          <w:szCs w:val="28"/>
          <w:lang w:val="uk-UA"/>
        </w:rPr>
        <w:t xml:space="preserve"> роботі подано</w:t>
      </w:r>
      <w:r>
        <w:rPr>
          <w:b w:val="0"/>
          <w:bCs w:val="0"/>
          <w:sz w:val="28"/>
          <w:szCs w:val="28"/>
          <w:lang w:val="uk-UA"/>
        </w:rPr>
        <w:t xml:space="preserve"> теоретичне узагальнення</w:t>
      </w:r>
      <w:r>
        <w:rPr>
          <w:b w:val="0"/>
          <w:sz w:val="28"/>
          <w:szCs w:val="28"/>
          <w:lang w:val="uk-UA"/>
        </w:rPr>
        <w:t xml:space="preserve"> та </w:t>
      </w:r>
      <w:r>
        <w:rPr>
          <w:b w:val="0"/>
          <w:bCs w:val="0"/>
          <w:sz w:val="28"/>
          <w:szCs w:val="28"/>
          <w:lang w:val="uk-UA"/>
        </w:rPr>
        <w:t xml:space="preserve">нове вирішення актуальної науково-практичної проблеми сучасної внутрішньої медицини, а саме удосконалення </w:t>
      </w:r>
      <w:r>
        <w:rPr>
          <w:b w:val="0"/>
          <w:sz w:val="28"/>
          <w:szCs w:val="28"/>
          <w:lang w:val="uk-UA"/>
        </w:rPr>
        <w:t xml:space="preserve">ранньої діагностики, </w:t>
      </w:r>
      <w:r>
        <w:rPr>
          <w:b w:val="0"/>
          <w:bCs w:val="0"/>
          <w:sz w:val="28"/>
          <w:szCs w:val="28"/>
          <w:lang w:val="uk-UA"/>
        </w:rPr>
        <w:t xml:space="preserve">прогнозування перебігу й </w:t>
      </w:r>
      <w:r>
        <w:rPr>
          <w:b w:val="0"/>
          <w:sz w:val="28"/>
          <w:szCs w:val="28"/>
          <w:lang w:val="uk-UA"/>
        </w:rPr>
        <w:t>диференційованої лікувальної тактики хворих з поєднаним перебігом гіпертонічної хвороби, цукрового діабету 2 типу та субклінічного гіпотиреозу на підставі комплексного вивчення гормонально-метаболічних, антропометричніх показників, маркерів ендотеліальної дисфункції, оксидативного стресу й процесів судинного старіння.</w:t>
      </w:r>
    </w:p>
    <w:p w:rsidR="00E3259F" w:rsidRDefault="00E3259F" w:rsidP="00E3259F">
      <w:pPr>
        <w:pStyle w:val="1"/>
        <w:spacing w:before="0" w:beforeAutospacing="0" w:after="0" w:afterAutospacing="0" w:line="360" w:lineRule="auto"/>
        <w:jc w:val="both"/>
        <w:rPr>
          <w:b w:val="0"/>
          <w:sz w:val="28"/>
          <w:szCs w:val="28"/>
          <w:lang w:val="uk-UA"/>
        </w:rPr>
      </w:pPr>
      <w:r>
        <w:rPr>
          <w:b w:val="0"/>
          <w:sz w:val="28"/>
          <w:szCs w:val="28"/>
          <w:lang w:val="uk-UA"/>
        </w:rPr>
        <w:t>2. У хворих з коморбідним перебігом гіпертонічної хвороби, цукрового діабету 2 типу та субклінічного гіпотиреозу порівняно з хворими з коморбідністю ГХ та ЦД 2 типу спостерігаються достовірно вищі рівні ЗХС (р=0,002), ХС ЛПНЩ (р=</w:t>
      </w:r>
      <w:r>
        <w:rPr>
          <w:b w:val="0"/>
          <w:color w:val="000000"/>
          <w:sz w:val="28"/>
          <w:szCs w:val="28"/>
          <w:lang w:val="uk-UA"/>
        </w:rPr>
        <w:t>0</w:t>
      </w:r>
      <w:r>
        <w:rPr>
          <w:b w:val="0"/>
          <w:sz w:val="28"/>
          <w:szCs w:val="28"/>
          <w:lang w:val="uk-UA"/>
        </w:rPr>
        <w:t xml:space="preserve">,048) на тлі достовірно нижчих рівнів глюкози натще (р=0,001), глікованого гемоглобіну (р=0,011) та індексу інсулінорезистентности (р=0,001), що свідчить про значну роль підвищених рівнів ТТГ в регуляції ліпідного та вуглеводного обміну під час зазначених патологічних станів. </w:t>
      </w:r>
    </w:p>
    <w:p w:rsidR="00E3259F" w:rsidRDefault="00E3259F" w:rsidP="00E3259F">
      <w:pPr>
        <w:spacing w:line="360" w:lineRule="auto"/>
        <w:jc w:val="both"/>
        <w:rPr>
          <w:sz w:val="28"/>
          <w:szCs w:val="28"/>
          <w:lang w:val="uk-UA"/>
        </w:rPr>
      </w:pPr>
      <w:r>
        <w:rPr>
          <w:sz w:val="28"/>
          <w:szCs w:val="28"/>
          <w:lang w:val="uk-UA"/>
        </w:rPr>
        <w:t xml:space="preserve">3. Серед хворих на коморбідну патологію </w:t>
      </w:r>
      <w:r>
        <w:rPr>
          <w:rStyle w:val="tlid-translation"/>
          <w:rFonts w:eastAsiaTheme="majorEastAsia"/>
          <w:sz w:val="28"/>
          <w:szCs w:val="28"/>
          <w:lang w:val="uk-UA"/>
        </w:rPr>
        <w:t>порівняно з хворими на ізольовану ГХ</w:t>
      </w:r>
      <w:r>
        <w:rPr>
          <w:sz w:val="28"/>
          <w:szCs w:val="28"/>
          <w:lang w:val="uk-UA"/>
        </w:rPr>
        <w:t xml:space="preserve"> спостерігається </w:t>
      </w:r>
      <w:r>
        <w:rPr>
          <w:rStyle w:val="tlid-translation"/>
          <w:rFonts w:eastAsiaTheme="majorEastAsia"/>
          <w:sz w:val="28"/>
          <w:szCs w:val="28"/>
          <w:lang w:val="uk-UA"/>
        </w:rPr>
        <w:t xml:space="preserve">зменшення кількості осіб з фізіологічним темпом старіння (за наявності субклінічного гіпотиреозу в 3 рази, а у разі відсутності порушення функції щитовидної залози  - у 1,7 разу) та </w:t>
      </w:r>
      <w:r>
        <w:rPr>
          <w:sz w:val="28"/>
          <w:szCs w:val="28"/>
          <w:lang w:val="uk-UA"/>
        </w:rPr>
        <w:t xml:space="preserve">частіше виявлявся прискорений темп старіння: при ізольованій ГХ- у </w:t>
      </w:r>
      <w:r>
        <w:rPr>
          <w:rStyle w:val="tlid-translation"/>
          <w:rFonts w:eastAsiaTheme="majorEastAsia"/>
          <w:sz w:val="28"/>
          <w:szCs w:val="28"/>
          <w:lang w:val="uk-UA"/>
        </w:rPr>
        <w:t>31.13</w:t>
      </w:r>
      <w:r>
        <w:rPr>
          <w:sz w:val="28"/>
          <w:szCs w:val="28"/>
          <w:lang w:val="uk-UA"/>
        </w:rPr>
        <w:t>±4,50</w:t>
      </w:r>
      <w:r>
        <w:rPr>
          <w:rStyle w:val="tlid-translation"/>
          <w:rFonts w:eastAsiaTheme="majorEastAsia"/>
          <w:sz w:val="28"/>
          <w:szCs w:val="28"/>
          <w:lang w:val="uk-UA"/>
        </w:rPr>
        <w:t xml:space="preserve">% </w:t>
      </w:r>
      <w:r>
        <w:rPr>
          <w:sz w:val="28"/>
          <w:szCs w:val="28"/>
          <w:lang w:val="uk-UA"/>
        </w:rPr>
        <w:t xml:space="preserve">хворих, при ГХ та ЦД 2 типу -у </w:t>
      </w:r>
      <w:r>
        <w:rPr>
          <w:rStyle w:val="tlid-translation"/>
          <w:rFonts w:eastAsiaTheme="majorEastAsia"/>
          <w:sz w:val="28"/>
          <w:szCs w:val="28"/>
          <w:lang w:val="uk-UA"/>
        </w:rPr>
        <w:t>53,85</w:t>
      </w:r>
      <w:r>
        <w:rPr>
          <w:sz w:val="28"/>
          <w:szCs w:val="28"/>
          <w:lang w:val="uk-UA"/>
        </w:rPr>
        <w:t xml:space="preserve">±3,99% хворих, при ГХ, ЦД 2 типу та СГТ –у </w:t>
      </w:r>
      <w:r>
        <w:rPr>
          <w:rStyle w:val="tlid-translation"/>
          <w:rFonts w:eastAsiaTheme="majorEastAsia"/>
          <w:sz w:val="28"/>
          <w:szCs w:val="28"/>
          <w:lang w:val="uk-UA"/>
        </w:rPr>
        <w:t>54,84</w:t>
      </w:r>
      <w:r>
        <w:rPr>
          <w:sz w:val="28"/>
          <w:szCs w:val="28"/>
          <w:lang w:val="uk-UA"/>
        </w:rPr>
        <w:t xml:space="preserve">±5,16 </w:t>
      </w:r>
      <w:r>
        <w:rPr>
          <w:rStyle w:val="tlid-translation"/>
          <w:rFonts w:eastAsiaTheme="majorEastAsia"/>
          <w:sz w:val="28"/>
          <w:szCs w:val="28"/>
          <w:lang w:val="uk-UA"/>
        </w:rPr>
        <w:t xml:space="preserve">%. </w:t>
      </w:r>
      <w:r>
        <w:rPr>
          <w:sz w:val="28"/>
          <w:szCs w:val="28"/>
          <w:lang w:val="uk-UA"/>
        </w:rPr>
        <w:t xml:space="preserve">Коморбідна патологія характеризується вищим біологічним віком, ніж ізольована ГХ, наявність СГТ супроводжувалася достовірно нижчим біологічним віком (р=0,047) ніж у пацієнтів без порушення функції ЩЗ. </w:t>
      </w:r>
    </w:p>
    <w:p w:rsidR="00E3259F" w:rsidRDefault="00E3259F" w:rsidP="00E3259F">
      <w:pPr>
        <w:spacing w:line="360" w:lineRule="auto"/>
        <w:jc w:val="both"/>
        <w:rPr>
          <w:sz w:val="28"/>
          <w:szCs w:val="28"/>
          <w:lang w:val="uk-UA"/>
        </w:rPr>
      </w:pPr>
      <w:r>
        <w:rPr>
          <w:sz w:val="28"/>
          <w:szCs w:val="28"/>
          <w:lang w:val="uk-UA"/>
        </w:rPr>
        <w:t xml:space="preserve">4. У пацієнтів з поєднаним перебігом гіпертонічної хвороби, цукрового діабету 2-го типу та субклінічного гіпотиреозу відбувається посилення оксидативного стресу переважно за рахунок зниження антиоксидантного захисту, ендотеліальної дисфункції, хронічного системного запалення та вкорочення відносної довжини теломер залежно від рівня ТТГ, що підтверджується достовірним зниженням рівнів </w:t>
      </w:r>
      <w:r>
        <w:rPr>
          <w:sz w:val="28"/>
          <w:szCs w:val="28"/>
        </w:rPr>
        <w:t>SH</w:t>
      </w:r>
      <w:r>
        <w:rPr>
          <w:sz w:val="28"/>
          <w:szCs w:val="28"/>
          <w:lang w:val="uk-UA"/>
        </w:rPr>
        <w:t xml:space="preserve">-груп (р=0,046), активності ГПО (р=0,022), підвищенням рівнів ВЕФР (р&lt;0,001) на тлі посилення процесів хронічного системного запалення й наявності коротшої довжини теломер при рівнях ТТГ, вищих за 6,0 мкМО/мл та наявністю достовірного впливу рівня ТТГ на активність ГПО (р=0,035),  на рівні 8-OH-dG плазми (р=0,038), МДА (р=0,001), СРП (р=0,001), ФНП-α (р=0,032), ВЕФР (р=0,001), ВДТ клітин букального епітелію (р=0,014). </w:t>
      </w:r>
    </w:p>
    <w:p w:rsidR="00E3259F" w:rsidRDefault="00E3259F" w:rsidP="00E3259F">
      <w:pPr>
        <w:spacing w:line="360" w:lineRule="auto"/>
        <w:jc w:val="both"/>
        <w:rPr>
          <w:sz w:val="28"/>
          <w:szCs w:val="28"/>
          <w:lang w:val="uk-UA"/>
        </w:rPr>
      </w:pPr>
      <w:r>
        <w:rPr>
          <w:sz w:val="28"/>
          <w:szCs w:val="28"/>
          <w:lang w:val="uk-UA"/>
        </w:rPr>
        <w:t>5. Поєднаний перебіг гіпертонічної хвороби та ЦД 2 типу, за умови відсутності порушення функції ЩЗ, характеризується наявністю достовірного впливу віку на більшість гормонально-метаболічних показників:</w:t>
      </w:r>
      <w:r>
        <w:rPr>
          <w:color w:val="000000"/>
          <w:sz w:val="28"/>
          <w:szCs w:val="28"/>
          <w:shd w:val="clear" w:color="auto" w:fill="FFFFFF"/>
          <w:lang w:val="uk-UA"/>
        </w:rPr>
        <w:t xml:space="preserve"> МТ (р=0,024), рівні ТГ (р=0,008), ХС ЛПДНЩ (р&lt;0,001), ХС ЛПВЩ (р=0,002), інсуліну (р=0,018), артеріального тиску (САТ (р&lt;0,001), ДАТ (р=0,049), ПАТ (р=0,014)),</w:t>
      </w:r>
      <w:r>
        <w:rPr>
          <w:sz w:val="28"/>
          <w:szCs w:val="28"/>
          <w:lang w:val="uk-UA"/>
        </w:rPr>
        <w:t xml:space="preserve"> </w:t>
      </w:r>
      <w:r>
        <w:rPr>
          <w:color w:val="000000"/>
          <w:sz w:val="28"/>
          <w:szCs w:val="28"/>
          <w:shd w:val="clear" w:color="auto" w:fill="FFFFFF"/>
          <w:lang w:val="uk-UA"/>
        </w:rPr>
        <w:t xml:space="preserve">СРП (р=0,028), </w:t>
      </w:r>
      <w:r>
        <w:rPr>
          <w:sz w:val="28"/>
          <w:szCs w:val="28"/>
          <w:lang w:val="uk-UA"/>
        </w:rPr>
        <w:t>8-OH-dG</w:t>
      </w:r>
      <w:r>
        <w:rPr>
          <w:b/>
          <w:sz w:val="28"/>
          <w:szCs w:val="28"/>
          <w:lang w:val="uk-UA"/>
        </w:rPr>
        <w:t xml:space="preserve"> </w:t>
      </w:r>
      <w:r>
        <w:rPr>
          <w:sz w:val="28"/>
          <w:szCs w:val="28"/>
          <w:lang w:val="uk-UA"/>
        </w:rPr>
        <w:t>(р&lt;0,001), МДА (р=0,004),</w:t>
      </w:r>
      <w:r>
        <w:rPr>
          <w:color w:val="000000"/>
          <w:sz w:val="28"/>
          <w:szCs w:val="28"/>
          <w:shd w:val="clear" w:color="auto" w:fill="FFFFFF"/>
          <w:lang w:val="uk-UA"/>
        </w:rPr>
        <w:t xml:space="preserve"> </w:t>
      </w:r>
      <w:r>
        <w:rPr>
          <w:sz w:val="28"/>
          <w:szCs w:val="28"/>
          <w:lang w:val="uk-UA"/>
        </w:rPr>
        <w:t xml:space="preserve">активність ГПО (р=0,028), кількість ЦДЕК (р=0,007), що є основою формування переважно прискореного темпу старіння в цій групі.  </w:t>
      </w:r>
    </w:p>
    <w:p w:rsidR="00E3259F" w:rsidRDefault="00E3259F" w:rsidP="00E3259F">
      <w:pPr>
        <w:pStyle w:val="1"/>
        <w:spacing w:before="0" w:beforeAutospacing="0" w:after="0" w:afterAutospacing="0" w:line="360" w:lineRule="auto"/>
        <w:jc w:val="both"/>
        <w:rPr>
          <w:b w:val="0"/>
          <w:sz w:val="28"/>
          <w:szCs w:val="28"/>
          <w:lang w:val="uk-UA"/>
        </w:rPr>
      </w:pPr>
      <w:r>
        <w:rPr>
          <w:b w:val="0"/>
          <w:sz w:val="28"/>
          <w:szCs w:val="28"/>
          <w:lang w:val="uk-UA"/>
        </w:rPr>
        <w:t>6.</w:t>
      </w:r>
      <w:r>
        <w:rPr>
          <w:sz w:val="28"/>
          <w:szCs w:val="28"/>
          <w:lang w:val="uk-UA"/>
        </w:rPr>
        <w:t xml:space="preserve"> </w:t>
      </w:r>
      <w:r>
        <w:rPr>
          <w:b w:val="0"/>
          <w:sz w:val="28"/>
          <w:szCs w:val="28"/>
          <w:lang w:val="uk-UA"/>
        </w:rPr>
        <w:t>Серед хворих на ГХ в поєднанні із ЦД 2 типу вкорочені теломери виявлено в переважної більшості незалежно від функціонального стану ЩЗ. У разі поєднаного перебігу ГХ та ЦД 2 типу коротші теломери клітин букального епітелію порівняно з довшими теломерами асоціюються з вищими рівнями тригліцеридів (р=0,002), ХС ЛПДНЩ (р=0,012), глюкози крові (р=0,008), глікозильованого гемоглобіну (р=0,003), ТТГ (р&lt;0,001), ВЕФР (р=0,008), ФНП-α (р&lt;0,001), 8-OH-dG (р=0,001), МДА (р=0,027), ПАТ (р=0,001) та ТКІМ (р=0,009), а за умови поєднаного перебігу ГХ, ЦД 2 типу та субклінічного гіпотиреозу – з  вищими рівнями інсуліну (р=0,008). Наявність укорочених теломер крові асоціюється звищими рівнями Т3 вільного (р=0,023) і ПАТ (р=0,005) у пацієнтів з ГХ та ЦД 2 типу і вищими рівнями ВЕФР (р=0,006), ТКІМ (р=0,037) і більшою активністю ГПО (р=0,041) у разі поєднаного перебігу ГХ, ЦД 2 типу та субклінічного гіпотиреозу.</w:t>
      </w:r>
    </w:p>
    <w:p w:rsidR="00E3259F" w:rsidRDefault="00E3259F" w:rsidP="00E3259F">
      <w:pPr>
        <w:pStyle w:val="1"/>
        <w:spacing w:before="0" w:beforeAutospacing="0" w:after="0" w:afterAutospacing="0" w:line="360" w:lineRule="auto"/>
        <w:jc w:val="both"/>
        <w:rPr>
          <w:b w:val="0"/>
          <w:sz w:val="28"/>
          <w:szCs w:val="28"/>
          <w:lang w:val="uk-UA"/>
        </w:rPr>
      </w:pPr>
      <w:r>
        <w:rPr>
          <w:b w:val="0"/>
          <w:sz w:val="28"/>
          <w:szCs w:val="28"/>
          <w:lang w:val="uk-UA"/>
        </w:rPr>
        <w:t xml:space="preserve">7. Статинотерапія характеризується достовірним впливом на рівні СРП (р=0,001), ФНП-α (р=0,001), </w:t>
      </w:r>
      <w:r>
        <w:rPr>
          <w:b w:val="0"/>
          <w:sz w:val="28"/>
          <w:szCs w:val="28"/>
        </w:rPr>
        <w:t>SH</w:t>
      </w:r>
      <w:r>
        <w:rPr>
          <w:b w:val="0"/>
          <w:sz w:val="28"/>
          <w:szCs w:val="28"/>
          <w:lang w:val="uk-UA"/>
        </w:rPr>
        <w:t>-груп (р&lt;0,001), ЦДЕК (р&lt;0,001). Визначена протизапальна, антиоксидантна та ендотелій-протекторна дія поряд зі збільшенням довжини теломер (крові - у 94 пацієнтів (60,3±3,9%), клітин букального епітелію  - у 76 пацієнтів (48,7±4,0%)) підтверджує припущення щодо антиейджингових властивостей статинів. Погіршення інсулінорезистентності, незначне посилення процесів окиснення робить ці властивості менш суттєвими, ніж очікували.</w:t>
      </w:r>
    </w:p>
    <w:p w:rsidR="00E3259F" w:rsidRDefault="00E3259F" w:rsidP="00E3259F">
      <w:pPr>
        <w:pStyle w:val="1"/>
        <w:spacing w:before="0" w:beforeAutospacing="0" w:after="0" w:afterAutospacing="0" w:line="360" w:lineRule="auto"/>
        <w:jc w:val="both"/>
        <w:rPr>
          <w:b w:val="0"/>
          <w:sz w:val="28"/>
          <w:szCs w:val="28"/>
          <w:lang w:val="uk-UA"/>
        </w:rPr>
      </w:pPr>
      <w:r>
        <w:rPr>
          <w:b w:val="0"/>
          <w:sz w:val="28"/>
          <w:szCs w:val="28"/>
          <w:lang w:val="uk-UA"/>
        </w:rPr>
        <w:t xml:space="preserve">8. Додаткове призначення замісної терапії левотироксином у комплексі лікувальних заходів, що включає статинотерапію, пацієнтам з </w:t>
      </w:r>
      <w:r>
        <w:rPr>
          <w:b w:val="0"/>
          <w:color w:val="000000"/>
          <w:sz w:val="28"/>
          <w:szCs w:val="28"/>
          <w:lang w:val="uk-UA"/>
        </w:rPr>
        <w:t>поєднаним перебігом гіпертонічної хвороби, цукрового діабету 2 типу</w:t>
      </w:r>
      <w:r>
        <w:rPr>
          <w:b w:val="0"/>
          <w:bCs w:val="0"/>
          <w:color w:val="000000"/>
          <w:sz w:val="28"/>
          <w:szCs w:val="28"/>
          <w:lang w:val="uk-UA"/>
        </w:rPr>
        <w:t> </w:t>
      </w:r>
      <w:r>
        <w:rPr>
          <w:b w:val="0"/>
          <w:color w:val="000000"/>
          <w:sz w:val="28"/>
          <w:szCs w:val="28"/>
          <w:lang w:val="uk-UA"/>
        </w:rPr>
        <w:t>та субклінічним гіпотиреозом</w:t>
      </w:r>
      <w:r>
        <w:rPr>
          <w:b w:val="0"/>
          <w:sz w:val="28"/>
          <w:szCs w:val="28"/>
          <w:lang w:val="uk-UA"/>
        </w:rPr>
        <w:t xml:space="preserve"> спричиняє достовірне покращення тиреоїдного, ліпідного, вуглеводного обміну, індексу інсулінорезистентності - </w:t>
      </w:r>
      <w:r>
        <w:rPr>
          <w:b w:val="0"/>
          <w:sz w:val="28"/>
          <w:szCs w:val="28"/>
        </w:rPr>
        <w:t>HOMA</w:t>
      </w:r>
      <w:r>
        <w:rPr>
          <w:b w:val="0"/>
          <w:sz w:val="28"/>
          <w:szCs w:val="28"/>
          <w:lang w:val="uk-UA"/>
        </w:rPr>
        <w:t>-</w:t>
      </w:r>
      <w:r>
        <w:rPr>
          <w:b w:val="0"/>
          <w:sz w:val="28"/>
          <w:szCs w:val="28"/>
        </w:rPr>
        <w:t>IR</w:t>
      </w:r>
      <w:r>
        <w:rPr>
          <w:b w:val="0"/>
          <w:sz w:val="28"/>
          <w:szCs w:val="28"/>
          <w:lang w:val="uk-UA"/>
        </w:rPr>
        <w:t xml:space="preserve"> (</w:t>
      </w:r>
      <w:r>
        <w:rPr>
          <w:rStyle w:val="tlid-translation"/>
          <w:rFonts w:eastAsiaTheme="majorEastAsia"/>
          <w:b w:val="0"/>
          <w:sz w:val="28"/>
          <w:szCs w:val="28"/>
          <w:lang w:val="uk-UA"/>
        </w:rPr>
        <w:t>р=0,001),</w:t>
      </w:r>
      <w:r>
        <w:rPr>
          <w:b w:val="0"/>
          <w:sz w:val="28"/>
          <w:szCs w:val="28"/>
          <w:lang w:val="uk-UA"/>
        </w:rPr>
        <w:t xml:space="preserve">  функціонального стану ендотелію (</w:t>
      </w:r>
      <w:r>
        <w:rPr>
          <w:rStyle w:val="tlid-translation"/>
          <w:rFonts w:eastAsiaTheme="majorEastAsia"/>
          <w:b w:val="0"/>
          <w:sz w:val="28"/>
          <w:szCs w:val="28"/>
          <w:lang w:val="uk-UA"/>
        </w:rPr>
        <w:t>р&lt;0,001</w:t>
      </w:r>
      <w:r>
        <w:rPr>
          <w:b w:val="0"/>
          <w:sz w:val="28"/>
          <w:szCs w:val="28"/>
          <w:lang w:val="uk-UA"/>
        </w:rPr>
        <w:t>),</w:t>
      </w:r>
      <w:r>
        <w:rPr>
          <w:b w:val="0"/>
          <w:sz w:val="28"/>
          <w:szCs w:val="28"/>
        </w:rPr>
        <w:t> </w:t>
      </w:r>
      <w:r>
        <w:rPr>
          <w:b w:val="0"/>
          <w:sz w:val="28"/>
          <w:szCs w:val="28"/>
          <w:lang w:val="uk-UA"/>
        </w:rPr>
        <w:t xml:space="preserve"> процесів хронічного системного запалення (</w:t>
      </w:r>
      <w:r>
        <w:rPr>
          <w:rStyle w:val="tlid-translation"/>
          <w:rFonts w:eastAsiaTheme="majorEastAsia"/>
          <w:b w:val="0"/>
          <w:sz w:val="28"/>
          <w:szCs w:val="28"/>
          <w:lang w:val="uk-UA"/>
        </w:rPr>
        <w:t>р&lt;0,001)</w:t>
      </w:r>
      <w:r>
        <w:rPr>
          <w:b w:val="0"/>
          <w:sz w:val="28"/>
          <w:szCs w:val="28"/>
          <w:lang w:val="uk-UA"/>
        </w:rPr>
        <w:t>, антиоксидантної системи (</w:t>
      </w:r>
      <w:r>
        <w:rPr>
          <w:rStyle w:val="tlid-translation"/>
          <w:rFonts w:eastAsiaTheme="majorEastAsia"/>
          <w:b w:val="0"/>
          <w:sz w:val="28"/>
          <w:szCs w:val="28"/>
          <w:lang w:val="uk-UA"/>
        </w:rPr>
        <w:t>р&lt;0,001</w:t>
      </w:r>
      <w:r>
        <w:rPr>
          <w:b w:val="0"/>
          <w:sz w:val="28"/>
          <w:szCs w:val="28"/>
          <w:lang w:val="uk-UA"/>
        </w:rPr>
        <w:t>), зниження артеріального тиску (</w:t>
      </w:r>
      <w:r>
        <w:rPr>
          <w:rStyle w:val="tlid-translation"/>
          <w:rFonts w:eastAsiaTheme="majorEastAsia"/>
          <w:b w:val="0"/>
          <w:sz w:val="28"/>
          <w:szCs w:val="28"/>
          <w:lang w:val="uk-UA"/>
        </w:rPr>
        <w:t>р&lt;0,001</w:t>
      </w:r>
      <w:r>
        <w:rPr>
          <w:b w:val="0"/>
          <w:sz w:val="28"/>
          <w:szCs w:val="28"/>
          <w:lang w:val="uk-UA"/>
        </w:rPr>
        <w:t xml:space="preserve">) та </w:t>
      </w:r>
      <w:r>
        <w:rPr>
          <w:b w:val="0"/>
          <w:color w:val="000000"/>
          <w:sz w:val="28"/>
          <w:szCs w:val="28"/>
          <w:shd w:val="clear" w:color="auto" w:fill="FFFFFF"/>
          <w:lang w:val="uk-UA"/>
        </w:rPr>
        <w:t>збільшення відносної довжини теломер у значної кількості хворих</w:t>
      </w:r>
      <w:r>
        <w:rPr>
          <w:rStyle w:val="tlid-translation"/>
          <w:rFonts w:eastAsiaTheme="majorEastAsia"/>
          <w:b w:val="0"/>
          <w:sz w:val="28"/>
          <w:szCs w:val="28"/>
          <w:lang w:val="uk-UA"/>
        </w:rPr>
        <w:t>.</w:t>
      </w:r>
      <w:r>
        <w:rPr>
          <w:b w:val="0"/>
          <w:sz w:val="28"/>
          <w:szCs w:val="28"/>
          <w:lang w:val="uk-UA"/>
        </w:rPr>
        <w:t xml:space="preserve"> </w:t>
      </w:r>
    </w:p>
    <w:p w:rsidR="00E3259F" w:rsidRDefault="00E3259F" w:rsidP="00E3259F">
      <w:pPr>
        <w:pStyle w:val="1"/>
        <w:spacing w:before="0" w:beforeAutospacing="0" w:after="0" w:afterAutospacing="0" w:line="360" w:lineRule="auto"/>
        <w:jc w:val="both"/>
        <w:rPr>
          <w:b w:val="0"/>
          <w:sz w:val="28"/>
          <w:szCs w:val="28"/>
          <w:lang w:val="uk-UA"/>
        </w:rPr>
      </w:pPr>
      <w:r>
        <w:rPr>
          <w:b w:val="0"/>
          <w:sz w:val="28"/>
          <w:szCs w:val="28"/>
          <w:lang w:val="uk-UA"/>
        </w:rPr>
        <w:t>9. Застосування значущих чинників прогнозування розвитку серцево-судинних ускладнень у хворих з поєднаним перебігом гіпертонічної хвороби та цукрового діабету 2-го типу без порушення функції щитовидної залози: рівні ХСЛПВЩ, глюкози натще, індексу НОМА -</w:t>
      </w:r>
      <w:r>
        <w:rPr>
          <w:b w:val="0"/>
          <w:sz w:val="28"/>
          <w:szCs w:val="28"/>
        </w:rPr>
        <w:t>IR</w:t>
      </w:r>
      <w:r>
        <w:rPr>
          <w:b w:val="0"/>
          <w:sz w:val="28"/>
          <w:szCs w:val="28"/>
          <w:lang w:val="uk-UA"/>
        </w:rPr>
        <w:t>, 8-OH-dG плазми, кількість ЦДЕК, відносна довжина теломер крові, а за наявності субклінічного гіпотиреозу: рівні систолічного артеріального тиску, пульсового артеріального тиску, 8-OH-dG плазми, ВЕФР,  відносна довжина теломер крові та клітин букального епітелію дозволяє стратифікувати хворих за  ступеням ризику розвитку ускладнень.</w:t>
      </w:r>
    </w:p>
    <w:p w:rsidR="00E3259F" w:rsidRDefault="00E3259F" w:rsidP="00E3259F">
      <w:pPr>
        <w:pStyle w:val="1"/>
        <w:spacing w:before="0" w:beforeAutospacing="0" w:after="0" w:afterAutospacing="0" w:line="360" w:lineRule="auto"/>
        <w:ind w:firstLine="709"/>
        <w:jc w:val="both"/>
        <w:rPr>
          <w:b w:val="0"/>
          <w:bCs w:val="0"/>
          <w:sz w:val="28"/>
          <w:szCs w:val="28"/>
          <w:lang w:val="uk-UA"/>
        </w:rPr>
      </w:pPr>
    </w:p>
    <w:p w:rsidR="00E3259F" w:rsidRDefault="00E3259F" w:rsidP="00E3259F">
      <w:pPr>
        <w:pStyle w:val="1"/>
        <w:spacing w:before="0" w:beforeAutospacing="0" w:after="0" w:afterAutospacing="0" w:line="360" w:lineRule="auto"/>
        <w:ind w:firstLine="709"/>
        <w:jc w:val="both"/>
        <w:rPr>
          <w:b w:val="0"/>
          <w:bCs w:val="0"/>
          <w:sz w:val="28"/>
          <w:szCs w:val="28"/>
          <w:lang w:val="uk-UA"/>
        </w:rPr>
      </w:pPr>
    </w:p>
    <w:p w:rsidR="00E3259F" w:rsidRDefault="00E3259F" w:rsidP="00E3259F">
      <w:pPr>
        <w:pStyle w:val="1"/>
        <w:spacing w:before="0" w:beforeAutospacing="0" w:after="0" w:afterAutospacing="0" w:line="360" w:lineRule="auto"/>
        <w:ind w:firstLine="709"/>
        <w:jc w:val="center"/>
        <w:rPr>
          <w:sz w:val="28"/>
          <w:szCs w:val="28"/>
          <w:lang w:val="uk-UA"/>
        </w:rPr>
      </w:pPr>
      <w:r>
        <w:rPr>
          <w:sz w:val="28"/>
          <w:szCs w:val="28"/>
          <w:lang w:val="uk-UA"/>
        </w:rPr>
        <w:t>ПРАКТИЧНІ РЕКОМЕНДАЦІЇ</w:t>
      </w:r>
    </w:p>
    <w:p w:rsidR="00E3259F" w:rsidRDefault="00E3259F" w:rsidP="00E3259F">
      <w:pPr>
        <w:pStyle w:val="1"/>
        <w:spacing w:before="0" w:beforeAutospacing="0" w:after="0" w:afterAutospacing="0" w:line="360" w:lineRule="auto"/>
        <w:ind w:firstLine="709"/>
        <w:rPr>
          <w:sz w:val="28"/>
          <w:szCs w:val="28"/>
          <w:lang w:val="uk-UA"/>
        </w:rPr>
      </w:pPr>
    </w:p>
    <w:p w:rsidR="00E3259F" w:rsidRDefault="00E3259F" w:rsidP="00E3259F">
      <w:pPr>
        <w:tabs>
          <w:tab w:val="left" w:pos="1276"/>
        </w:tabs>
        <w:autoSpaceDE w:val="0"/>
        <w:autoSpaceDN w:val="0"/>
        <w:spacing w:line="360" w:lineRule="auto"/>
        <w:jc w:val="both"/>
        <w:rPr>
          <w:sz w:val="28"/>
          <w:szCs w:val="28"/>
          <w:lang w:val="uk-UA"/>
        </w:rPr>
      </w:pPr>
      <w:r>
        <w:rPr>
          <w:bCs/>
          <w:sz w:val="28"/>
          <w:szCs w:val="28"/>
          <w:lang w:val="uk-UA" w:eastAsia="uk-UA"/>
        </w:rPr>
        <w:t xml:space="preserve">1. Лікарям первинної ланки медичної допомоги рекомендується активізувати роботу з метою виявлення СГТ у хворих на ГХ та ЦД 2 типу середнього й похилого віку за допомогою опитувальника HRQ. За наявності високого ризику розвитку СГТ відповідно до даних опитувальника HRQ рекомендується щорічно контролювати рівень тиреотропного гормона, а за наявності коморбідного перебігу ГХ та ЦД 2 типу якомога раніше починати моніторинг за чинниками, що обумовлюють його прогресування й несприятливий перебіг, а саме: артеріальним тиском, дисліпідемією, порушенням вуглеводного обміну. </w:t>
      </w:r>
    </w:p>
    <w:p w:rsidR="00E3259F" w:rsidRDefault="00E3259F" w:rsidP="00E3259F">
      <w:pPr>
        <w:spacing w:line="360" w:lineRule="auto"/>
        <w:jc w:val="both"/>
        <w:rPr>
          <w:sz w:val="28"/>
          <w:szCs w:val="28"/>
          <w:lang w:val="uk-UA"/>
        </w:rPr>
      </w:pPr>
      <w:r>
        <w:rPr>
          <w:sz w:val="28"/>
          <w:szCs w:val="28"/>
          <w:lang w:val="uk-UA"/>
        </w:rPr>
        <w:t xml:space="preserve">2. Пацієнтам з коморбідним перебігом гіпертонічної хвороби, цукрового діабету 2-го типу та субклінічного гіпотиреозу  при рівнях ТТГ&gt;6,0 мкМО/мл рекомендовано призначати левотироксин в індивідуально дібраному дозуванні, а при рівнях ТТГ&lt;6,0 мкМО/мл рішення про призначення замісної терапії левотироксином повинно базуватися на визначенні ступеня ризику розвитку серцево-судинних ускладнень. </w:t>
      </w:r>
    </w:p>
    <w:p w:rsidR="00E3259F" w:rsidRDefault="00E3259F" w:rsidP="00E3259F">
      <w:pPr>
        <w:spacing w:line="360" w:lineRule="auto"/>
        <w:jc w:val="both"/>
        <w:rPr>
          <w:sz w:val="28"/>
          <w:szCs w:val="28"/>
          <w:lang w:val="uk-UA"/>
        </w:rPr>
      </w:pPr>
      <w:r>
        <w:rPr>
          <w:sz w:val="28"/>
          <w:szCs w:val="28"/>
          <w:lang w:val="uk-UA"/>
        </w:rPr>
        <w:t xml:space="preserve">3. З метою прискорити редукцію кардіометаболічного ризику та сприяти профілактиці розвитку серцево-судинних подій у хворих на ГХ у поєднанні з ЦД 2 типу та СГТ рекомендовано застосувати комбіновану терапію, ураховуючи основні патогенетичні чинники, з обов’язковим призначенням статинів і левотироксину в індивідуально дібраному дозуванні - 25-75 мкг/добу, залежно від рівня ТТГ, тривалістю 12 місяців. </w:t>
      </w:r>
    </w:p>
    <w:p w:rsidR="00E3259F" w:rsidRDefault="00E3259F" w:rsidP="00E3259F">
      <w:pPr>
        <w:tabs>
          <w:tab w:val="left" w:pos="1276"/>
        </w:tabs>
        <w:autoSpaceDE w:val="0"/>
        <w:autoSpaceDN w:val="0"/>
        <w:spacing w:line="360" w:lineRule="auto"/>
        <w:jc w:val="both"/>
        <w:rPr>
          <w:bCs/>
          <w:sz w:val="28"/>
          <w:szCs w:val="28"/>
          <w:lang w:val="uk-UA" w:eastAsia="uk-UA"/>
        </w:rPr>
      </w:pPr>
      <w:r>
        <w:rPr>
          <w:bCs/>
          <w:sz w:val="28"/>
          <w:szCs w:val="28"/>
          <w:lang w:val="uk-UA" w:eastAsia="uk-UA"/>
        </w:rPr>
        <w:t xml:space="preserve">4. Хворим з поєднаним перебігом </w:t>
      </w:r>
      <w:r>
        <w:rPr>
          <w:sz w:val="28"/>
          <w:szCs w:val="28"/>
          <w:lang w:val="uk-UA"/>
        </w:rPr>
        <w:t>гіпертонічної хвороби та цукрового діабету 2 типу рекомендується застосовувати аторвастатин (20 мг/добу) або розувастатин (10 мг/добу) з моніторингом індексу інсулінорезистентності, рівня МДА та активності ГПО 1 раз на 12 місяців.</w:t>
      </w:r>
    </w:p>
    <w:p w:rsidR="00E3259F" w:rsidRDefault="00E3259F" w:rsidP="00E3259F">
      <w:pPr>
        <w:tabs>
          <w:tab w:val="left" w:pos="1276"/>
        </w:tabs>
        <w:autoSpaceDE w:val="0"/>
        <w:autoSpaceDN w:val="0"/>
        <w:spacing w:line="360" w:lineRule="auto"/>
        <w:jc w:val="both"/>
        <w:rPr>
          <w:sz w:val="28"/>
          <w:szCs w:val="28"/>
          <w:lang w:val="uk-UA" w:eastAsia="en-US"/>
        </w:rPr>
      </w:pPr>
    </w:p>
    <w:p w:rsidR="00E3259F" w:rsidRDefault="00E3259F" w:rsidP="00E3259F">
      <w:pPr>
        <w:spacing w:line="360" w:lineRule="auto"/>
        <w:rPr>
          <w:sz w:val="28"/>
          <w:szCs w:val="28"/>
          <w:lang w:val="uk-UA"/>
        </w:rPr>
      </w:pPr>
    </w:p>
    <w:p w:rsidR="00E3259F" w:rsidRDefault="00E3259F" w:rsidP="00E3259F">
      <w:pPr>
        <w:spacing w:line="360" w:lineRule="auto"/>
        <w:jc w:val="both"/>
        <w:rPr>
          <w:sz w:val="28"/>
          <w:szCs w:val="28"/>
          <w:lang w:val="uk-UA"/>
        </w:rPr>
      </w:pPr>
    </w:p>
    <w:p w:rsidR="00E3259F" w:rsidRPr="00D83BD4" w:rsidRDefault="00E3259F" w:rsidP="00E3259F">
      <w:pPr>
        <w:spacing w:after="200" w:line="276" w:lineRule="auto"/>
        <w:jc w:val="center"/>
        <w:rPr>
          <w:bCs/>
          <w:sz w:val="28"/>
          <w:szCs w:val="28"/>
          <w:lang w:val="uk-UA"/>
        </w:rPr>
      </w:pPr>
      <w:r w:rsidRPr="00D83BD4">
        <w:rPr>
          <w:bCs/>
          <w:sz w:val="28"/>
          <w:szCs w:val="28"/>
          <w:lang w:val="uk-UA"/>
        </w:rPr>
        <w:t>СПИСОК ВИКОРИСТАНИХ ДЖЕРЕЛ</w:t>
      </w:r>
    </w:p>
    <w:p w:rsidR="00E3259F" w:rsidRPr="00D83BD4" w:rsidRDefault="00E3259F" w:rsidP="00E3259F">
      <w:pPr>
        <w:tabs>
          <w:tab w:val="left" w:pos="0"/>
        </w:tabs>
        <w:rPr>
          <w:bCs/>
          <w:sz w:val="28"/>
          <w:szCs w:val="28"/>
        </w:rPr>
      </w:pPr>
    </w:p>
    <w:p w:rsidR="00E3259F" w:rsidRPr="00D83BD4" w:rsidRDefault="00E3259F" w:rsidP="00D83BD4">
      <w:pPr>
        <w:pStyle w:val="bigtext"/>
        <w:numPr>
          <w:ilvl w:val="0"/>
          <w:numId w:val="26"/>
        </w:numPr>
        <w:tabs>
          <w:tab w:val="left" w:pos="0"/>
        </w:tabs>
        <w:spacing w:before="0" w:beforeAutospacing="0" w:after="0" w:afterAutospacing="0" w:line="360" w:lineRule="auto"/>
        <w:ind w:left="0" w:firstLine="0"/>
        <w:jc w:val="both"/>
        <w:rPr>
          <w:sz w:val="28"/>
          <w:szCs w:val="28"/>
          <w:shd w:val="clear" w:color="auto" w:fill="FFFFFF"/>
        </w:rPr>
      </w:pPr>
      <w:r w:rsidRPr="00D83BD4">
        <w:rPr>
          <w:sz w:val="28"/>
          <w:szCs w:val="28"/>
          <w:lang w:val="uk-UA"/>
        </w:rPr>
        <w:t xml:space="preserve">Агеев ФТ, Бланкова ЗН, Свирида ОН, Кулебов ВД.  Гипотиреоз и сердечно-сосудистые заболевания: </w:t>
      </w:r>
      <w:r w:rsidRPr="00D83BD4">
        <w:rPr>
          <w:sz w:val="28"/>
          <w:szCs w:val="28"/>
        </w:rPr>
        <w:t xml:space="preserve">вопросы патогенеза, клиники и заместительной терапии </w:t>
      </w:r>
      <w:r w:rsidRPr="00D83BD4">
        <w:rPr>
          <w:sz w:val="28"/>
          <w:szCs w:val="28"/>
          <w:lang w:val="uk-UA"/>
        </w:rPr>
        <w:t xml:space="preserve">. </w:t>
      </w:r>
      <w:r w:rsidRPr="00D83BD4">
        <w:rPr>
          <w:sz w:val="28"/>
          <w:szCs w:val="28"/>
        </w:rPr>
        <w:t>Кардиология</w:t>
      </w:r>
      <w:r w:rsidRPr="00D83BD4">
        <w:rPr>
          <w:sz w:val="28"/>
          <w:szCs w:val="28"/>
          <w:lang w:val="uk-UA"/>
        </w:rPr>
        <w:t>.  2014</w:t>
      </w:r>
      <w:r w:rsidRPr="00D83BD4">
        <w:rPr>
          <w:sz w:val="28"/>
          <w:szCs w:val="28"/>
          <w:lang w:val="en-US"/>
        </w:rPr>
        <w:t>;</w:t>
      </w:r>
      <w:r w:rsidRPr="00D83BD4">
        <w:rPr>
          <w:sz w:val="28"/>
          <w:szCs w:val="28"/>
        </w:rPr>
        <w:t>54</w:t>
      </w:r>
      <w:r w:rsidRPr="00D83BD4">
        <w:rPr>
          <w:sz w:val="28"/>
          <w:szCs w:val="28"/>
          <w:lang w:val="en-US"/>
        </w:rPr>
        <w:t>(</w:t>
      </w:r>
      <w:r w:rsidRPr="00D83BD4">
        <w:rPr>
          <w:sz w:val="28"/>
          <w:szCs w:val="28"/>
          <w:lang w:val="uk-UA"/>
        </w:rPr>
        <w:t>12</w:t>
      </w:r>
      <w:r w:rsidRPr="00D83BD4">
        <w:rPr>
          <w:sz w:val="28"/>
          <w:szCs w:val="28"/>
          <w:lang w:val="en-US"/>
        </w:rPr>
        <w:t>):</w:t>
      </w:r>
      <w:r w:rsidRPr="00D83BD4">
        <w:rPr>
          <w:sz w:val="28"/>
          <w:szCs w:val="28"/>
          <w:lang w:val="uk-UA"/>
        </w:rPr>
        <w:t>72-79.</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rPr>
        <w:t>Аронов ДМ. Плейотропные эффекты статинов на современном этапе их изучения: фокус на аторвастатин.</w:t>
      </w:r>
      <w:r w:rsidRPr="00D83BD4">
        <w:rPr>
          <w:sz w:val="28"/>
          <w:szCs w:val="28"/>
          <w:lang w:val="uk-UA"/>
        </w:rPr>
        <w:t xml:space="preserve"> </w:t>
      </w:r>
      <w:r w:rsidRPr="00D83BD4">
        <w:rPr>
          <w:sz w:val="28"/>
          <w:szCs w:val="28"/>
        </w:rPr>
        <w:t xml:space="preserve">Часть III. Механизмы плейотропии статинов. </w:t>
      </w:r>
      <w:r w:rsidRPr="00D83BD4">
        <w:rPr>
          <w:sz w:val="28"/>
          <w:szCs w:val="28"/>
          <w:lang w:val="uk-UA"/>
        </w:rPr>
        <w:t xml:space="preserve"> </w:t>
      </w:r>
      <w:r w:rsidRPr="00D83BD4">
        <w:rPr>
          <w:sz w:val="28"/>
          <w:szCs w:val="28"/>
        </w:rPr>
        <w:t>Кардиосоматика. 2013;2:20-26.</w:t>
      </w:r>
    </w:p>
    <w:p w:rsidR="00E3259F" w:rsidRPr="00D83BD4" w:rsidRDefault="00E3259F" w:rsidP="00D83BD4">
      <w:pPr>
        <w:numPr>
          <w:ilvl w:val="0"/>
          <w:numId w:val="26"/>
        </w:numPr>
        <w:tabs>
          <w:tab w:val="left" w:pos="0"/>
        </w:tabs>
        <w:spacing w:line="360" w:lineRule="auto"/>
        <w:ind w:left="0" w:firstLine="0"/>
        <w:jc w:val="both"/>
        <w:rPr>
          <w:sz w:val="28"/>
          <w:szCs w:val="28"/>
          <w:shd w:val="clear" w:color="auto" w:fill="FFFFFF"/>
        </w:rPr>
      </w:pPr>
      <w:r w:rsidRPr="00D83BD4">
        <w:rPr>
          <w:sz w:val="28"/>
          <w:szCs w:val="28"/>
          <w:lang w:val="uk-UA"/>
        </w:rPr>
        <w:t>Арутюнян АВ, Дубинина ЕЕ, Зыбина НН. Методы оценки свободнорадикального окисления и антиоксидантной системы организма: методические рекомендации.  СПб: ИКФ « Фолиант»; 2000.104с.</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lang w:val="en-US"/>
        </w:rPr>
      </w:pPr>
      <w:r w:rsidRPr="00D83BD4">
        <w:rPr>
          <w:sz w:val="28"/>
          <w:szCs w:val="28"/>
        </w:rPr>
        <w:t xml:space="preserve">Ахаладзе НГ,  Ена ЛМ.  </w:t>
      </w:r>
      <w:r w:rsidRPr="00D83BD4">
        <w:rPr>
          <w:rStyle w:val="afa"/>
          <w:rFonts w:eastAsiaTheme="majorEastAsia"/>
          <w:b w:val="0"/>
          <w:sz w:val="28"/>
          <w:szCs w:val="28"/>
        </w:rPr>
        <w:t>Биологический возраст человека. Оценка темпа старения. Оценка состояния здоровья и жизнеспособности</w:t>
      </w:r>
      <w:r w:rsidRPr="00D83BD4">
        <w:rPr>
          <w:sz w:val="28"/>
          <w:szCs w:val="28"/>
        </w:rPr>
        <w:t xml:space="preserve">.  </w:t>
      </w:r>
      <w:r w:rsidRPr="00D83BD4">
        <w:rPr>
          <w:sz w:val="28"/>
          <w:szCs w:val="28"/>
          <w:lang w:val="en-US"/>
        </w:rPr>
        <w:t>LAP LAMBERT Academic Publishing, OmniScriptum GmbH&amp;Co.R.G., Deutschland; 2015.</w:t>
      </w:r>
      <w:r w:rsidRPr="00D83BD4">
        <w:rPr>
          <w:sz w:val="28"/>
          <w:szCs w:val="28"/>
          <w:lang w:val="uk-UA"/>
        </w:rPr>
        <w:t>232с.</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rPr>
        <w:t>Бархударян МС, Саркисян ГТ, Коган ВЮ. Сравнительная оценка темпа старения и биологического возраста работников умственного и физического труда</w:t>
      </w:r>
      <w:r w:rsidRPr="00D83BD4">
        <w:rPr>
          <w:sz w:val="28"/>
          <w:szCs w:val="28"/>
          <w:lang w:val="uk-UA"/>
        </w:rPr>
        <w:t>.</w:t>
      </w:r>
      <w:r w:rsidRPr="00D83BD4">
        <w:rPr>
          <w:sz w:val="28"/>
          <w:szCs w:val="28"/>
        </w:rPr>
        <w:t xml:space="preserve"> Медицинская наука Армении НАН РА</w:t>
      </w:r>
      <w:r w:rsidRPr="00D83BD4">
        <w:rPr>
          <w:sz w:val="28"/>
          <w:szCs w:val="28"/>
          <w:lang w:val="uk-UA"/>
        </w:rPr>
        <w:t>.</w:t>
      </w:r>
      <w:r w:rsidRPr="00D83BD4">
        <w:rPr>
          <w:sz w:val="28"/>
          <w:szCs w:val="28"/>
        </w:rPr>
        <w:t xml:space="preserve"> 2014</w:t>
      </w:r>
      <w:r w:rsidRPr="00D83BD4">
        <w:rPr>
          <w:sz w:val="28"/>
          <w:szCs w:val="28"/>
          <w:lang w:val="en-US"/>
        </w:rPr>
        <w:t>;</w:t>
      </w:r>
      <w:r w:rsidRPr="00D83BD4">
        <w:rPr>
          <w:sz w:val="28"/>
          <w:szCs w:val="28"/>
        </w:rPr>
        <w:t xml:space="preserve"> LIV</w:t>
      </w:r>
      <w:r w:rsidRPr="00D83BD4">
        <w:rPr>
          <w:sz w:val="28"/>
          <w:szCs w:val="28"/>
          <w:lang w:val="en-US"/>
        </w:rPr>
        <w:t>(</w:t>
      </w:r>
      <w:r w:rsidRPr="00D83BD4">
        <w:rPr>
          <w:sz w:val="28"/>
          <w:szCs w:val="28"/>
          <w:lang w:val="uk-UA"/>
        </w:rPr>
        <w:t>2</w:t>
      </w:r>
      <w:r w:rsidRPr="00D83BD4">
        <w:rPr>
          <w:sz w:val="28"/>
          <w:szCs w:val="28"/>
          <w:lang w:val="en-US"/>
        </w:rPr>
        <w:t>):</w:t>
      </w:r>
      <w:r w:rsidRPr="00D83BD4">
        <w:rPr>
          <w:sz w:val="28"/>
          <w:szCs w:val="28"/>
          <w:lang w:val="uk-UA"/>
        </w:rPr>
        <w:t>81-87.</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lang w:val="uk-UA"/>
        </w:rPr>
        <w:t>Біловол ОМ, Немцова ВД, Златкіна ВВ, Ільченко ІА</w:t>
      </w:r>
      <w:r w:rsidRPr="00D83BD4">
        <w:rPr>
          <w:sz w:val="28"/>
          <w:szCs w:val="28"/>
        </w:rPr>
        <w:t>, винахідники</w:t>
      </w:r>
      <w:r w:rsidRPr="00D83BD4">
        <w:rPr>
          <w:sz w:val="28"/>
          <w:szCs w:val="28"/>
          <w:lang w:val="uk-UA"/>
        </w:rPr>
        <w:t>; Спосіб діагностики порушень антиоксидантної системи у хворих при поєднаному перебігу артеріальної гіпертензії, цукрового діабету 2 типу та гіпотиреозу. Патент на корисну модель Україна № 125567. МПК G01N 33/50 (2006.01). Номер заявки   u201712993. Дата  публ.  10.05.2018. Бюл. № 9.</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shd w:val="clear" w:color="auto" w:fill="FFFFFF"/>
          <w:lang w:val="uk-UA"/>
        </w:rPr>
        <w:t>Біловол ОМ, Немцова ВД, Златкіна ВВ,  Ільченко ІА, Штереб ОІ. Вплив гіпофункції щитоподібної залози на ступінь оксидативного стресу у хворих похилого віку з коморбідною та поліморбідною патологією. В: Новітні тенденції в діагностиці та лікуванні внутрішніх хвороб: матеріали науково-практичної конференції з міжнародною участю, присвяченої 100-річчю від дня народження академіка Л.Т. Малої; 2019 жовт. 15-16;</w:t>
      </w:r>
      <w:r w:rsidRPr="00D83BD4">
        <w:rPr>
          <w:sz w:val="28"/>
          <w:szCs w:val="28"/>
          <w:shd w:val="clear" w:color="auto" w:fill="FFFFFF"/>
        </w:rPr>
        <w:t> </w:t>
      </w:r>
      <w:r w:rsidRPr="00D83BD4">
        <w:rPr>
          <w:sz w:val="28"/>
          <w:szCs w:val="28"/>
          <w:shd w:val="clear" w:color="auto" w:fill="FFFFFF"/>
          <w:lang w:val="uk-UA"/>
        </w:rPr>
        <w:t xml:space="preserve"> Харків,</w:t>
      </w:r>
      <w:r w:rsidRPr="00D83BD4">
        <w:rPr>
          <w:sz w:val="28"/>
          <w:szCs w:val="28"/>
          <w:shd w:val="clear" w:color="auto" w:fill="FFFFFF"/>
        </w:rPr>
        <w:t> </w:t>
      </w:r>
      <w:r w:rsidRPr="00D83BD4">
        <w:rPr>
          <w:sz w:val="28"/>
          <w:szCs w:val="28"/>
          <w:shd w:val="clear" w:color="auto" w:fill="FFFFFF"/>
          <w:lang w:val="uk-UA"/>
        </w:rPr>
        <w:t>Україна. Харків; 2019. с. 25.</w:t>
      </w:r>
    </w:p>
    <w:p w:rsidR="00E3259F" w:rsidRPr="00D83BD4" w:rsidRDefault="00E3259F" w:rsidP="00D83BD4">
      <w:pPr>
        <w:pStyle w:val="a4"/>
        <w:numPr>
          <w:ilvl w:val="0"/>
          <w:numId w:val="26"/>
        </w:numPr>
        <w:tabs>
          <w:tab w:val="left" w:pos="1134"/>
          <w:tab w:val="left" w:pos="8931"/>
        </w:tabs>
        <w:spacing w:line="360" w:lineRule="auto"/>
        <w:ind w:left="0" w:firstLine="0"/>
        <w:jc w:val="both"/>
        <w:rPr>
          <w:sz w:val="28"/>
          <w:szCs w:val="28"/>
          <w:shd w:val="clear" w:color="auto" w:fill="FFFFFF"/>
          <w:lang w:val="uk-UA"/>
        </w:rPr>
      </w:pPr>
      <w:r w:rsidRPr="00D83BD4">
        <w:rPr>
          <w:bCs/>
          <w:sz w:val="28"/>
          <w:szCs w:val="28"/>
          <w:shd w:val="clear" w:color="auto" w:fill="FFFFFF"/>
          <w:lang w:val="uk-UA"/>
        </w:rPr>
        <w:t>Біловол ОМ, Немцова ВД, Златкіна ВВ, Ільченко ІА. Вплив середньо-терапевтичних доз статинів на показники окислювального стресу у пацієнтів з артеріальною гіпертензією та цукровим діабетом 2 типу. В:  Матеріали</w:t>
      </w:r>
      <w:r w:rsidRPr="00D83BD4">
        <w:rPr>
          <w:b/>
          <w:bCs/>
          <w:sz w:val="28"/>
          <w:szCs w:val="28"/>
          <w:shd w:val="clear" w:color="auto" w:fill="FFFFFF"/>
          <w:lang w:val="uk-UA"/>
        </w:rPr>
        <w:t xml:space="preserve"> </w:t>
      </w:r>
      <w:r w:rsidRPr="00D83BD4">
        <w:rPr>
          <w:b/>
          <w:bCs/>
          <w:sz w:val="28"/>
          <w:szCs w:val="28"/>
          <w:shd w:val="clear" w:color="auto" w:fill="FFFFFF"/>
        </w:rPr>
        <w:t> </w:t>
      </w:r>
      <w:r w:rsidRPr="00D83BD4">
        <w:rPr>
          <w:sz w:val="28"/>
          <w:szCs w:val="28"/>
          <w:shd w:val="clear" w:color="auto" w:fill="FFFFFF"/>
          <w:lang w:val="uk-UA"/>
        </w:rPr>
        <w:t>ХІХ Національного Конгресу кардіологів України; 2018</w:t>
      </w:r>
      <w:r w:rsidRPr="00D83BD4">
        <w:rPr>
          <w:b/>
          <w:bCs/>
          <w:sz w:val="28"/>
          <w:szCs w:val="28"/>
          <w:shd w:val="clear" w:color="auto" w:fill="FFFFFF"/>
        </w:rPr>
        <w:t> </w:t>
      </w:r>
      <w:r w:rsidRPr="00D83BD4">
        <w:rPr>
          <w:sz w:val="28"/>
          <w:szCs w:val="28"/>
          <w:shd w:val="clear" w:color="auto" w:fill="FFFFFF"/>
          <w:lang w:val="uk-UA"/>
        </w:rPr>
        <w:t>вер. 26-28; Київ, Україна.</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rPr>
        <w:t xml:space="preserve">Біловол ОМ, Немцова ВД, Златкіна ВВ, Ільченко ІА. Зміни метаболічних показників під впливом комбінованої терапії у хворих на гіпертонічну хворобу поєднану з цукровим діабетом 2 типу та субклінічним гіпотиреозом. </w:t>
      </w:r>
      <w:r w:rsidRPr="00D83BD4">
        <w:rPr>
          <w:sz w:val="28"/>
          <w:szCs w:val="28"/>
          <w:lang w:val="en-US"/>
        </w:rPr>
        <w:t>B</w:t>
      </w:r>
      <w:r w:rsidRPr="00D83BD4">
        <w:rPr>
          <w:sz w:val="28"/>
          <w:szCs w:val="28"/>
        </w:rPr>
        <w:t xml:space="preserve">: ІХ з’їзд ендокринологів України, що присвячений 100-річному ювілею ДУ «Інститут проблем ендокринної патології ім. В.Я. Данилевського НАМН України»; 2019 лист. 19-22;  Харків,Україна. Харків; 2019. </w:t>
      </w:r>
      <w:r w:rsidRPr="00D83BD4">
        <w:rPr>
          <w:sz w:val="28"/>
          <w:szCs w:val="28"/>
          <w:lang w:val="en-US"/>
        </w:rPr>
        <w:t>c</w:t>
      </w:r>
      <w:r w:rsidRPr="00D83BD4">
        <w:rPr>
          <w:sz w:val="28"/>
          <w:szCs w:val="28"/>
        </w:rPr>
        <w:t>.136-138.</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lang w:val="uk-UA"/>
        </w:rPr>
        <w:t xml:space="preserve"> Біловол ОМ, Немцова ВД, Ільченко ІА, Златкіна ВВ. Особливості впливу метаболічних змін на біологічний вік і темпи старіння в осіб похилого віку з артеріальною гіпертензією та цукровим діабетом 2 типу.  Одеський медичний журнал. 2019</w:t>
      </w:r>
      <w:r w:rsidRPr="00D83BD4">
        <w:rPr>
          <w:sz w:val="28"/>
          <w:szCs w:val="28"/>
        </w:rPr>
        <w:t>;</w:t>
      </w:r>
      <w:r w:rsidRPr="00D83BD4">
        <w:rPr>
          <w:sz w:val="28"/>
          <w:szCs w:val="28"/>
          <w:lang w:val="uk-UA"/>
        </w:rPr>
        <w:t>2/3(172/173)</w:t>
      </w:r>
      <w:r w:rsidRPr="00D83BD4">
        <w:rPr>
          <w:sz w:val="28"/>
          <w:szCs w:val="28"/>
        </w:rPr>
        <w:t>:</w:t>
      </w:r>
      <w:r w:rsidRPr="00D83BD4">
        <w:rPr>
          <w:sz w:val="28"/>
          <w:szCs w:val="28"/>
          <w:lang w:val="uk-UA"/>
        </w:rPr>
        <w:t>8-12.</w:t>
      </w:r>
      <w:r w:rsidRPr="00D83BD4">
        <w:rPr>
          <w:sz w:val="28"/>
          <w:szCs w:val="28"/>
          <w:shd w:val="clear" w:color="auto" w:fill="FFFFFF"/>
          <w:lang w:val="uk-UA"/>
        </w:rPr>
        <w:t xml:space="preserve"> </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lang w:val="uk-UA"/>
        </w:rPr>
        <w:t>Біловол ОМ, Немцова ВД, Ільченко ІА. Значення фактора росту ендотелію судин як маркеру ендотеліальної дисфункції у хворих з поєднаним перебігом артеріальної гіпертензії, цукрового діабету та субклінічного гіпотиреозу. В: Досягнення та перспективи експериментальної і клінічної ендокринології» (Сімнадцяті Данилевскі читання): матеріали науково-практичної конференції з міжнародною участю; 2018 бер. 1-2; Харків,Україна. Харків; 2018. с.32-33.</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lang w:val="en-US"/>
        </w:rPr>
      </w:pPr>
      <w:r w:rsidRPr="00D83BD4">
        <w:rPr>
          <w:sz w:val="28"/>
          <w:szCs w:val="28"/>
        </w:rPr>
        <w:t xml:space="preserve">Біловол ОМ, Немцова ВД,  Ільченко ІА. Окислювальний стрес і старіння. Роль гіпофункції щитовидної залози в ґенезі вік-асоційованих захворювань. </w:t>
      </w:r>
      <w:r w:rsidRPr="00D83BD4">
        <w:rPr>
          <w:sz w:val="28"/>
          <w:szCs w:val="28"/>
          <w:lang w:val="en-US"/>
        </w:rPr>
        <w:t>In</w:t>
      </w:r>
      <w:r w:rsidRPr="00D83BD4">
        <w:rPr>
          <w:sz w:val="28"/>
          <w:szCs w:val="28"/>
        </w:rPr>
        <w:t xml:space="preserve">: </w:t>
      </w:r>
      <w:r w:rsidRPr="00D83BD4">
        <w:rPr>
          <w:sz w:val="28"/>
          <w:szCs w:val="28"/>
          <w:lang w:val="en-US"/>
        </w:rPr>
        <w:t>The</w:t>
      </w:r>
      <w:r w:rsidRPr="00D83BD4">
        <w:rPr>
          <w:sz w:val="28"/>
          <w:szCs w:val="28"/>
        </w:rPr>
        <w:t xml:space="preserve"> </w:t>
      </w:r>
      <w:r w:rsidRPr="00D83BD4">
        <w:rPr>
          <w:sz w:val="28"/>
          <w:szCs w:val="28"/>
          <w:lang w:val="en-US"/>
        </w:rPr>
        <w:t>third</w:t>
      </w:r>
      <w:r w:rsidRPr="00D83BD4">
        <w:rPr>
          <w:sz w:val="28"/>
          <w:szCs w:val="28"/>
        </w:rPr>
        <w:t xml:space="preserve"> </w:t>
      </w:r>
      <w:r w:rsidRPr="00D83BD4">
        <w:rPr>
          <w:sz w:val="28"/>
          <w:szCs w:val="28"/>
          <w:lang w:val="en-US"/>
        </w:rPr>
        <w:t>International</w:t>
      </w:r>
      <w:r w:rsidRPr="00D83BD4">
        <w:rPr>
          <w:sz w:val="28"/>
          <w:szCs w:val="28"/>
        </w:rPr>
        <w:t xml:space="preserve"> </w:t>
      </w:r>
      <w:r w:rsidRPr="00D83BD4">
        <w:rPr>
          <w:sz w:val="28"/>
          <w:szCs w:val="28"/>
          <w:lang w:val="en-US"/>
        </w:rPr>
        <w:t>scientific</w:t>
      </w:r>
      <w:r w:rsidRPr="00D83BD4">
        <w:rPr>
          <w:sz w:val="28"/>
          <w:szCs w:val="28"/>
        </w:rPr>
        <w:t xml:space="preserve"> </w:t>
      </w:r>
      <w:r w:rsidRPr="00D83BD4">
        <w:rPr>
          <w:sz w:val="28"/>
          <w:szCs w:val="28"/>
          <w:lang w:val="en-US"/>
        </w:rPr>
        <w:t>congress</w:t>
      </w:r>
      <w:r w:rsidRPr="00D83BD4">
        <w:rPr>
          <w:sz w:val="28"/>
          <w:szCs w:val="28"/>
        </w:rPr>
        <w:t xml:space="preserve"> </w:t>
      </w:r>
      <w:r w:rsidRPr="00D83BD4">
        <w:rPr>
          <w:sz w:val="28"/>
          <w:szCs w:val="28"/>
          <w:lang w:val="en-US"/>
        </w:rPr>
        <w:t>of</w:t>
      </w:r>
      <w:r w:rsidRPr="00D83BD4">
        <w:rPr>
          <w:sz w:val="28"/>
          <w:szCs w:val="28"/>
        </w:rPr>
        <w:t xml:space="preserve"> </w:t>
      </w:r>
      <w:r w:rsidRPr="00D83BD4">
        <w:rPr>
          <w:sz w:val="28"/>
          <w:szCs w:val="28"/>
          <w:lang w:val="en-US"/>
        </w:rPr>
        <w:t>scientists</w:t>
      </w:r>
      <w:r w:rsidRPr="00D83BD4">
        <w:rPr>
          <w:sz w:val="28"/>
          <w:szCs w:val="28"/>
        </w:rPr>
        <w:t xml:space="preserve"> </w:t>
      </w:r>
      <w:r w:rsidRPr="00D83BD4">
        <w:rPr>
          <w:sz w:val="28"/>
          <w:szCs w:val="28"/>
          <w:lang w:val="en-US"/>
        </w:rPr>
        <w:t>of</w:t>
      </w:r>
      <w:r w:rsidRPr="00D83BD4">
        <w:rPr>
          <w:sz w:val="28"/>
          <w:szCs w:val="28"/>
        </w:rPr>
        <w:t xml:space="preserve"> </w:t>
      </w:r>
      <w:r w:rsidRPr="00D83BD4">
        <w:rPr>
          <w:sz w:val="28"/>
          <w:szCs w:val="28"/>
          <w:lang w:val="en-US"/>
        </w:rPr>
        <w:t>Europe</w:t>
      </w:r>
      <w:r w:rsidRPr="00D83BD4">
        <w:rPr>
          <w:sz w:val="28"/>
          <w:szCs w:val="28"/>
        </w:rPr>
        <w:t xml:space="preserve"> </w:t>
      </w:r>
      <w:r w:rsidRPr="00D83BD4">
        <w:rPr>
          <w:sz w:val="28"/>
          <w:szCs w:val="28"/>
          <w:lang w:val="en-US"/>
        </w:rPr>
        <w:t>and</w:t>
      </w:r>
      <w:r w:rsidRPr="00D83BD4">
        <w:rPr>
          <w:sz w:val="28"/>
          <w:szCs w:val="28"/>
        </w:rPr>
        <w:t xml:space="preserve"> </w:t>
      </w:r>
      <w:r w:rsidRPr="00D83BD4">
        <w:rPr>
          <w:sz w:val="28"/>
          <w:szCs w:val="28"/>
          <w:lang w:val="en-US"/>
        </w:rPr>
        <w:t>Asia</w:t>
      </w:r>
      <w:r w:rsidRPr="00D83BD4">
        <w:rPr>
          <w:sz w:val="28"/>
          <w:szCs w:val="28"/>
        </w:rPr>
        <w:t xml:space="preserve">; 2018 </w:t>
      </w:r>
      <w:r w:rsidRPr="00D83BD4">
        <w:rPr>
          <w:sz w:val="28"/>
          <w:szCs w:val="28"/>
          <w:lang w:val="en-US"/>
        </w:rPr>
        <w:t>Apr</w:t>
      </w:r>
      <w:r w:rsidRPr="00D83BD4">
        <w:rPr>
          <w:sz w:val="28"/>
          <w:szCs w:val="28"/>
        </w:rPr>
        <w:t xml:space="preserve">. 19-20;  </w:t>
      </w:r>
      <w:r w:rsidRPr="00D83BD4">
        <w:rPr>
          <w:sz w:val="28"/>
          <w:szCs w:val="28"/>
          <w:lang w:val="en-US"/>
        </w:rPr>
        <w:t>Vienna</w:t>
      </w:r>
      <w:r w:rsidRPr="00D83BD4">
        <w:rPr>
          <w:sz w:val="28"/>
          <w:szCs w:val="28"/>
        </w:rPr>
        <w:t xml:space="preserve">, </w:t>
      </w:r>
      <w:r w:rsidRPr="00D83BD4">
        <w:rPr>
          <w:sz w:val="28"/>
          <w:szCs w:val="28"/>
          <w:lang w:val="en-US"/>
        </w:rPr>
        <w:t>Austria</w:t>
      </w:r>
      <w:r w:rsidRPr="00D83BD4">
        <w:rPr>
          <w:sz w:val="28"/>
          <w:szCs w:val="28"/>
        </w:rPr>
        <w:t xml:space="preserve">. </w:t>
      </w:r>
      <w:r w:rsidRPr="00D83BD4">
        <w:rPr>
          <w:sz w:val="28"/>
          <w:szCs w:val="28"/>
          <w:lang w:val="en-US"/>
        </w:rPr>
        <w:t xml:space="preserve">Vienna; 2018. </w:t>
      </w:r>
      <w:r w:rsidRPr="00D83BD4">
        <w:rPr>
          <w:sz w:val="28"/>
          <w:szCs w:val="28"/>
        </w:rPr>
        <w:t>с</w:t>
      </w:r>
      <w:r w:rsidRPr="00D83BD4">
        <w:rPr>
          <w:sz w:val="28"/>
          <w:szCs w:val="28"/>
          <w:lang w:val="en-US"/>
        </w:rPr>
        <w:t>.117-132.</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lang w:val="uk-UA"/>
        </w:rPr>
        <w:t xml:space="preserve">Беловол АН, Немцова ВД, Ильченко ИА. Влияние функционального состояния щитовидной железы на эндотелиальную дисфункцию у больных с артериальной гипертензией и эндокринопатиями. В: </w:t>
      </w:r>
      <w:r w:rsidRPr="00D83BD4">
        <w:rPr>
          <w:sz w:val="28"/>
          <w:szCs w:val="28"/>
        </w:rPr>
        <w:t xml:space="preserve">Дисфункция эндотелия. Экспериментальные и клинические исследования: </w:t>
      </w:r>
      <w:r w:rsidRPr="00D83BD4">
        <w:rPr>
          <w:sz w:val="28"/>
          <w:szCs w:val="28"/>
          <w:lang w:val="uk-UA"/>
        </w:rPr>
        <w:t xml:space="preserve">матеріали </w:t>
      </w:r>
      <w:r w:rsidRPr="00D83BD4">
        <w:rPr>
          <w:sz w:val="28"/>
          <w:szCs w:val="28"/>
        </w:rPr>
        <w:t>10–й юбилейной Международной конференции; 2018 июнь 1; Витебск, Белорусь. Витебск; 2018. с.146-151.</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lang w:val="uk-UA"/>
        </w:rPr>
        <w:t>Беловол АН, Немцова ВД, Потапенко АВ. Факторы кардиоваскулярного риска в зависимости от  состояния сосудистого эндотелия у пациентов с артериальной гипертензией в сочетании с гипотериозом. Вісник Української медичної стоматологічної академії. 2016</w:t>
      </w:r>
      <w:r w:rsidRPr="00D83BD4">
        <w:rPr>
          <w:sz w:val="28"/>
          <w:szCs w:val="28"/>
        </w:rPr>
        <w:t>;</w:t>
      </w:r>
      <w:r w:rsidRPr="00D83BD4">
        <w:rPr>
          <w:sz w:val="28"/>
          <w:szCs w:val="28"/>
          <w:lang w:val="uk-UA"/>
        </w:rPr>
        <w:t>16(56</w:t>
      </w:r>
      <w:r w:rsidRPr="00D83BD4">
        <w:rPr>
          <w:sz w:val="28"/>
          <w:szCs w:val="28"/>
        </w:rPr>
        <w:t>.</w:t>
      </w:r>
      <w:r w:rsidRPr="00D83BD4">
        <w:rPr>
          <w:sz w:val="28"/>
          <w:szCs w:val="28"/>
          <w:lang w:val="uk-UA"/>
        </w:rPr>
        <w:t>ч.1.)</w:t>
      </w:r>
      <w:r w:rsidRPr="00D83BD4">
        <w:rPr>
          <w:sz w:val="28"/>
          <w:szCs w:val="28"/>
        </w:rPr>
        <w:t>:</w:t>
      </w:r>
      <w:r w:rsidRPr="00D83BD4">
        <w:rPr>
          <w:sz w:val="28"/>
          <w:szCs w:val="28"/>
          <w:lang w:val="uk-UA"/>
        </w:rPr>
        <w:t>67-71.</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shd w:val="clear" w:color="auto" w:fill="FFFFFF"/>
          <w:lang w:val="uk-UA"/>
        </w:rPr>
        <w:t xml:space="preserve"> Беловол АН, Немцова ВД. Сравнительная оценка фармакотерапевтического влияния статинотерапии на состояние эндотелия </w:t>
      </w:r>
      <w:r w:rsidRPr="00D83BD4">
        <w:rPr>
          <w:sz w:val="28"/>
          <w:szCs w:val="28"/>
          <w:shd w:val="clear" w:color="auto" w:fill="FFFFFF"/>
        </w:rPr>
        <w:t xml:space="preserve">у болльных артериальной гипертензией в сочетании с гипотиреозом. </w:t>
      </w:r>
      <w:r w:rsidRPr="00D83BD4">
        <w:rPr>
          <w:sz w:val="28"/>
          <w:szCs w:val="28"/>
          <w:shd w:val="clear" w:color="auto" w:fill="FFFFFF"/>
          <w:lang w:val="uk-UA"/>
        </w:rPr>
        <w:t xml:space="preserve">В: </w:t>
      </w:r>
      <w:r w:rsidRPr="00D83BD4">
        <w:rPr>
          <w:sz w:val="28"/>
          <w:szCs w:val="28"/>
          <w:shd w:val="clear" w:color="auto" w:fill="FFFFFF"/>
        </w:rPr>
        <w:t xml:space="preserve">Науковий симпозіум «Соціальна фармація: стан, проблеми, перспективи» у рамках VIII Національного з'їзду фармацевтів України; 2016 вер. 15-16,  Харків, Україна.  Харків; </w:t>
      </w:r>
      <w:r w:rsidRPr="00D83BD4">
        <w:rPr>
          <w:sz w:val="28"/>
          <w:szCs w:val="28"/>
          <w:shd w:val="clear" w:color="auto" w:fill="FFFFFF"/>
          <w:lang w:val="uk-UA"/>
        </w:rPr>
        <w:t>2016.</w:t>
      </w:r>
      <w:r w:rsidRPr="00D83BD4">
        <w:rPr>
          <w:sz w:val="28"/>
          <w:szCs w:val="28"/>
          <w:shd w:val="clear" w:color="auto" w:fill="FFFFFF"/>
        </w:rPr>
        <w:t xml:space="preserve"> с.226.</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bCs/>
          <w:sz w:val="28"/>
          <w:szCs w:val="28"/>
          <w:shd w:val="clear" w:color="auto" w:fill="FFFFFF"/>
          <w:lang w:val="uk-UA"/>
        </w:rPr>
        <w:t xml:space="preserve">Бланкова ЗН, Агеев ФТ, Середенина ЕМ, Рябцева ОЮ, Свирида ОН, Иртуганов НЩ. Гипотиреоз и сердечно-сосудистые заболевания. </w:t>
      </w:r>
      <w:r w:rsidRPr="00D83BD4">
        <w:rPr>
          <w:sz w:val="28"/>
          <w:szCs w:val="28"/>
        </w:rPr>
        <w:t>Русский медицинский журнал</w:t>
      </w:r>
      <w:r w:rsidRPr="00D83BD4">
        <w:rPr>
          <w:sz w:val="28"/>
          <w:szCs w:val="28"/>
          <w:lang w:val="uk-UA"/>
        </w:rPr>
        <w:t>. 2014;13:980</w:t>
      </w:r>
      <w:r w:rsidRPr="00D83BD4">
        <w:rPr>
          <w:sz w:val="28"/>
          <w:szCs w:val="28"/>
        </w:rPr>
        <w:t>-986.</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rPr>
        <w:t>Бобрик МИ.</w:t>
      </w:r>
      <w:r w:rsidRPr="00D83BD4">
        <w:rPr>
          <w:caps/>
          <w:sz w:val="28"/>
          <w:szCs w:val="28"/>
        </w:rPr>
        <w:t xml:space="preserve"> В</w:t>
      </w:r>
      <w:r w:rsidRPr="00D83BD4">
        <w:rPr>
          <w:sz w:val="28"/>
          <w:szCs w:val="28"/>
        </w:rPr>
        <w:t xml:space="preserve">заимное влияние тиреоидного и углеводного обмена. Парадигмы и парадоксы. </w:t>
      </w:r>
      <w:r w:rsidRPr="00D83BD4">
        <w:rPr>
          <w:caps/>
          <w:sz w:val="28"/>
          <w:szCs w:val="28"/>
        </w:rPr>
        <w:t>М</w:t>
      </w:r>
      <w:r w:rsidRPr="00D83BD4">
        <w:rPr>
          <w:sz w:val="28"/>
          <w:szCs w:val="28"/>
        </w:rPr>
        <w:t xml:space="preserve">еждународный эндокринологический журнал.  </w:t>
      </w:r>
      <w:r w:rsidRPr="00D83BD4">
        <w:rPr>
          <w:caps/>
          <w:sz w:val="28"/>
          <w:szCs w:val="28"/>
        </w:rPr>
        <w:t xml:space="preserve"> 2015</w:t>
      </w:r>
      <w:r w:rsidRPr="00D83BD4">
        <w:rPr>
          <w:caps/>
          <w:sz w:val="28"/>
          <w:szCs w:val="28"/>
          <w:lang w:val="en-US"/>
        </w:rPr>
        <w:t>;</w:t>
      </w:r>
      <w:r w:rsidRPr="00D83BD4">
        <w:rPr>
          <w:caps/>
          <w:sz w:val="28"/>
          <w:szCs w:val="28"/>
        </w:rPr>
        <w:t>(67)</w:t>
      </w:r>
      <w:r w:rsidRPr="00D83BD4">
        <w:rPr>
          <w:caps/>
          <w:sz w:val="28"/>
          <w:szCs w:val="28"/>
          <w:lang w:val="en-US"/>
        </w:rPr>
        <w:t>:</w:t>
      </w:r>
      <w:r w:rsidRPr="00D83BD4">
        <w:rPr>
          <w:rStyle w:val="afa"/>
          <w:rFonts w:eastAsiaTheme="majorEastAsia"/>
          <w:b w:val="0"/>
          <w:bCs w:val="0"/>
          <w:sz w:val="28"/>
          <w:szCs w:val="28"/>
          <w:bdr w:val="none" w:sz="0" w:space="0" w:color="auto" w:frame="1"/>
        </w:rPr>
        <w:t>127-132.</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bCs/>
          <w:sz w:val="28"/>
          <w:szCs w:val="28"/>
          <w:lang w:val="uk-UA"/>
        </w:rPr>
        <w:t>Будневский АВ</w:t>
      </w:r>
      <w:r w:rsidRPr="00D83BD4">
        <w:rPr>
          <w:bCs/>
          <w:sz w:val="28"/>
          <w:szCs w:val="28"/>
        </w:rPr>
        <w:t>,</w:t>
      </w:r>
      <w:r w:rsidRPr="00D83BD4">
        <w:rPr>
          <w:bCs/>
          <w:sz w:val="28"/>
          <w:szCs w:val="28"/>
          <w:lang w:val="uk-UA"/>
        </w:rPr>
        <w:t xml:space="preserve"> Кравченко АЯ</w:t>
      </w:r>
      <w:r w:rsidRPr="00D83BD4">
        <w:rPr>
          <w:bCs/>
          <w:sz w:val="28"/>
          <w:szCs w:val="28"/>
        </w:rPr>
        <w:t>,</w:t>
      </w:r>
      <w:r w:rsidRPr="00D83BD4">
        <w:rPr>
          <w:bCs/>
          <w:sz w:val="28"/>
          <w:szCs w:val="28"/>
          <w:lang w:val="uk-UA"/>
        </w:rPr>
        <w:t xml:space="preserve"> Дробышева ЕС</w:t>
      </w:r>
      <w:r w:rsidRPr="00D83BD4">
        <w:rPr>
          <w:bCs/>
          <w:sz w:val="28"/>
          <w:szCs w:val="28"/>
        </w:rPr>
        <w:t>,</w:t>
      </w:r>
      <w:r w:rsidRPr="00D83BD4">
        <w:rPr>
          <w:bCs/>
          <w:sz w:val="28"/>
          <w:szCs w:val="28"/>
          <w:lang w:val="uk-UA"/>
        </w:rPr>
        <w:t xml:space="preserve"> Феськова АА. </w:t>
      </w:r>
      <w:r w:rsidRPr="00D83BD4">
        <w:rPr>
          <w:bCs/>
          <w:iCs/>
          <w:sz w:val="28"/>
          <w:szCs w:val="28"/>
          <w:lang w:val="uk-UA"/>
        </w:rPr>
        <w:t>Субклинический гипотиреоз как одно из причин дислипидемии.</w:t>
      </w:r>
      <w:r w:rsidRPr="00D83BD4">
        <w:rPr>
          <w:bCs/>
          <w:sz w:val="28"/>
          <w:szCs w:val="28"/>
          <w:lang w:val="uk-UA"/>
        </w:rPr>
        <w:t xml:space="preserve"> </w:t>
      </w:r>
      <w:r w:rsidRPr="00D83BD4">
        <w:rPr>
          <w:bCs/>
          <w:sz w:val="28"/>
          <w:szCs w:val="28"/>
        </w:rPr>
        <w:t>Клиническая медицина.</w:t>
      </w:r>
      <w:r w:rsidRPr="00D83BD4">
        <w:rPr>
          <w:bCs/>
          <w:sz w:val="28"/>
          <w:szCs w:val="28"/>
          <w:lang w:val="en-US"/>
        </w:rPr>
        <w:t xml:space="preserve"> </w:t>
      </w:r>
      <w:r w:rsidRPr="00D83BD4">
        <w:rPr>
          <w:bCs/>
          <w:sz w:val="28"/>
          <w:szCs w:val="28"/>
        </w:rPr>
        <w:t>2015</w:t>
      </w:r>
      <w:r w:rsidRPr="00D83BD4">
        <w:rPr>
          <w:bCs/>
          <w:sz w:val="28"/>
          <w:szCs w:val="28"/>
          <w:lang w:val="uk-UA"/>
        </w:rPr>
        <w:t>;</w:t>
      </w:r>
      <w:r w:rsidRPr="00D83BD4">
        <w:rPr>
          <w:bCs/>
          <w:sz w:val="28"/>
          <w:szCs w:val="28"/>
          <w:lang w:val="en-US"/>
        </w:rPr>
        <w:t>(</w:t>
      </w:r>
      <w:r w:rsidRPr="00D83BD4">
        <w:rPr>
          <w:bCs/>
          <w:sz w:val="28"/>
          <w:szCs w:val="28"/>
          <w:lang w:val="uk-UA"/>
        </w:rPr>
        <w:t>1</w:t>
      </w:r>
      <w:r w:rsidRPr="00D83BD4">
        <w:rPr>
          <w:bCs/>
          <w:sz w:val="28"/>
          <w:szCs w:val="28"/>
          <w:lang w:val="en-US"/>
        </w:rPr>
        <w:t>)</w:t>
      </w:r>
      <w:r w:rsidRPr="00D83BD4">
        <w:rPr>
          <w:bCs/>
          <w:sz w:val="28"/>
          <w:szCs w:val="28"/>
        </w:rPr>
        <w:t>:13-17.</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rPr>
        <w:t xml:space="preserve">Будневский АВ, Кравченко АЯ, Феськова АА, Дробышева ЕС. Дислипидемия при субклинической гипофункции щитовидной железы и эффективность её коррекции заместительной терапией L-тироксином.  Молодой ученый. </w:t>
      </w:r>
      <w:r w:rsidRPr="00D83BD4">
        <w:rPr>
          <w:sz w:val="28"/>
          <w:szCs w:val="28"/>
          <w:lang w:val="en-US"/>
        </w:rPr>
        <w:t xml:space="preserve"> </w:t>
      </w:r>
      <w:r w:rsidRPr="00D83BD4">
        <w:rPr>
          <w:sz w:val="28"/>
          <w:szCs w:val="28"/>
        </w:rPr>
        <w:t xml:space="preserve"> 2014</w:t>
      </w:r>
      <w:r w:rsidRPr="00D83BD4">
        <w:rPr>
          <w:sz w:val="28"/>
          <w:szCs w:val="28"/>
          <w:lang w:val="en-US"/>
        </w:rPr>
        <w:t>;(</w:t>
      </w:r>
      <w:r w:rsidRPr="00D83BD4">
        <w:rPr>
          <w:sz w:val="28"/>
          <w:szCs w:val="28"/>
        </w:rPr>
        <w:t>17</w:t>
      </w:r>
      <w:r w:rsidRPr="00D83BD4">
        <w:rPr>
          <w:sz w:val="28"/>
          <w:szCs w:val="28"/>
          <w:lang w:val="en-US"/>
        </w:rPr>
        <w:t>):</w:t>
      </w:r>
      <w:r w:rsidRPr="00D83BD4">
        <w:rPr>
          <w:sz w:val="28"/>
          <w:szCs w:val="28"/>
        </w:rPr>
        <w:t xml:space="preserve">138-141.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lang w:val="uk-UA"/>
        </w:rPr>
        <w:t>Бутаева СГ, Аметов АС, Бугров АВ, Долгов ВВ. Вариабельность уровня глюкозы в крови и окислительный стресс у больных сахарным диабетом 2-го типа на фоне комбинированной сахароснижающей терапии. Терапевтический архив.</w:t>
      </w:r>
      <w:r w:rsidRPr="00D83BD4">
        <w:rPr>
          <w:sz w:val="28"/>
          <w:szCs w:val="28"/>
          <w:lang w:val="en-US"/>
        </w:rPr>
        <w:t xml:space="preserve"> </w:t>
      </w:r>
      <w:r w:rsidRPr="00D83BD4">
        <w:rPr>
          <w:sz w:val="28"/>
          <w:szCs w:val="28"/>
          <w:lang w:val="uk-UA"/>
        </w:rPr>
        <w:t xml:space="preserve"> 2017</w:t>
      </w:r>
      <w:r w:rsidRPr="00D83BD4">
        <w:rPr>
          <w:sz w:val="28"/>
          <w:szCs w:val="28"/>
          <w:lang w:val="en-US"/>
        </w:rPr>
        <w:t>;(</w:t>
      </w:r>
      <w:r w:rsidRPr="00D83BD4">
        <w:rPr>
          <w:sz w:val="28"/>
          <w:szCs w:val="28"/>
          <w:lang w:val="uk-UA"/>
        </w:rPr>
        <w:t>10</w:t>
      </w:r>
      <w:r w:rsidRPr="00D83BD4">
        <w:rPr>
          <w:sz w:val="28"/>
          <w:szCs w:val="28"/>
          <w:lang w:val="en-US"/>
        </w:rPr>
        <w:t>):</w:t>
      </w:r>
      <w:r w:rsidRPr="00D83BD4">
        <w:rPr>
          <w:sz w:val="28"/>
          <w:szCs w:val="28"/>
          <w:lang w:val="uk-UA"/>
        </w:rPr>
        <w:t>36-39</w:t>
      </w:r>
      <w:r w:rsidRPr="00D83BD4">
        <w:rPr>
          <w:sz w:val="28"/>
          <w:szCs w:val="28"/>
          <w:lang w:val="en-US"/>
        </w:rPr>
        <w:t>.</w:t>
      </w:r>
      <w:r w:rsidRPr="00D83BD4">
        <w:rPr>
          <w:rStyle w:val="10"/>
          <w:rFonts w:eastAsiaTheme="majorEastAsia"/>
          <w:sz w:val="28"/>
          <w:szCs w:val="28"/>
          <w:shd w:val="clear" w:color="auto" w:fill="FFFFFF"/>
          <w:lang w:val="en-US"/>
        </w:rPr>
        <w:t xml:space="preserve"> </w:t>
      </w:r>
      <w:r w:rsidRPr="00D83BD4">
        <w:rPr>
          <w:rStyle w:val="small-text"/>
          <w:sz w:val="28"/>
          <w:szCs w:val="28"/>
          <w:shd w:val="clear" w:color="auto" w:fill="FFFFFF"/>
        </w:rPr>
        <w:t>DOI:</w:t>
      </w:r>
      <w:hyperlink r:id="rId130" w:history="1">
        <w:r w:rsidRPr="00D83BD4">
          <w:rPr>
            <w:rStyle w:val="a3"/>
            <w:rFonts w:eastAsiaTheme="majorEastAsia"/>
            <w:color w:val="auto"/>
            <w:sz w:val="28"/>
            <w:szCs w:val="28"/>
            <w:shd w:val="clear" w:color="auto" w:fill="FFFFFF"/>
          </w:rPr>
          <w:t>10.17116/terarkh2017891036-39</w:t>
        </w:r>
      </w:hyperlink>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bCs/>
          <w:sz w:val="28"/>
          <w:szCs w:val="28"/>
          <w:lang w:val="uk-UA"/>
        </w:rPr>
        <w:t>Вдовіченко ВІ, Кульчицький ВВ. Гіпертонічна хвороба в поєднанні з цукровим діабетом 2 типу: суперечливість поглядів на тактику ведення. Український терапевтичний журнал.</w:t>
      </w:r>
      <w:r w:rsidRPr="00D83BD4">
        <w:rPr>
          <w:bCs/>
          <w:sz w:val="28"/>
          <w:szCs w:val="28"/>
          <w:lang w:val="en-US"/>
        </w:rPr>
        <w:t xml:space="preserve"> </w:t>
      </w:r>
      <w:r w:rsidRPr="00D83BD4">
        <w:rPr>
          <w:bCs/>
          <w:sz w:val="28"/>
          <w:szCs w:val="28"/>
          <w:lang w:val="uk-UA"/>
        </w:rPr>
        <w:t>2015</w:t>
      </w:r>
      <w:r w:rsidRPr="00D83BD4">
        <w:rPr>
          <w:bCs/>
          <w:sz w:val="28"/>
          <w:szCs w:val="28"/>
          <w:lang w:val="en-US"/>
        </w:rPr>
        <w:t>;(</w:t>
      </w:r>
      <w:r w:rsidRPr="00D83BD4">
        <w:rPr>
          <w:bCs/>
          <w:sz w:val="28"/>
          <w:szCs w:val="28"/>
          <w:lang w:val="uk-UA"/>
        </w:rPr>
        <w:t>1</w:t>
      </w:r>
      <w:r w:rsidRPr="00D83BD4">
        <w:rPr>
          <w:bCs/>
          <w:sz w:val="28"/>
          <w:szCs w:val="28"/>
          <w:lang w:val="en-US"/>
        </w:rPr>
        <w:t>):</w:t>
      </w:r>
      <w:r w:rsidRPr="00D83BD4">
        <w:rPr>
          <w:bCs/>
          <w:sz w:val="28"/>
          <w:szCs w:val="28"/>
          <w:lang w:val="uk-UA"/>
        </w:rPr>
        <w:t>63-68.</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lang w:val="uk-UA"/>
        </w:rPr>
        <w:t>Висоцька ОВ, Немцова ВД, Страшненко ГМ</w:t>
      </w:r>
      <w:r w:rsidRPr="00D83BD4">
        <w:rPr>
          <w:sz w:val="28"/>
          <w:szCs w:val="28"/>
        </w:rPr>
        <w:t>, винахідники;</w:t>
      </w:r>
      <w:r w:rsidRPr="00D83BD4">
        <w:rPr>
          <w:sz w:val="28"/>
          <w:szCs w:val="28"/>
          <w:lang w:val="uk-UA"/>
        </w:rPr>
        <w:t xml:space="preserve"> Спосіб прогнозування розвитку та ступеня оксидативного стресу.  Патент на винахід Україна № 120486. МПК G01N 33/50 (2006.01). Номер заявки   а201812781. Дата  публ. 10.19.2019. Бюл. № 23.</w:t>
      </w:r>
      <w:r w:rsidRPr="00D83BD4">
        <w:rPr>
          <w:rFonts w:eastAsia="NSimSun"/>
          <w:bCs/>
          <w:sz w:val="28"/>
          <w:szCs w:val="28"/>
          <w:lang w:val="uk-UA" w:eastAsia="zh-CN" w:bidi="hi-IN"/>
        </w:rPr>
        <w:t xml:space="preserve"> </w:t>
      </w:r>
    </w:p>
    <w:p w:rsidR="00E3259F" w:rsidRPr="00964B26"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lang w:val="en-US"/>
        </w:rPr>
      </w:pPr>
      <w:r w:rsidRPr="00D83BD4">
        <w:rPr>
          <w:sz w:val="28"/>
          <w:szCs w:val="28"/>
        </w:rPr>
        <w:t xml:space="preserve">Возрастная классификация Всемирной организации здравоохранения. </w:t>
      </w:r>
      <w:r w:rsidRPr="00D83BD4">
        <w:rPr>
          <w:sz w:val="28"/>
          <w:szCs w:val="28"/>
          <w:lang w:val="en-US"/>
        </w:rPr>
        <w:t xml:space="preserve">URL: </w:t>
      </w:r>
      <w:r w:rsidRPr="00964B26">
        <w:rPr>
          <w:rStyle w:val="a3"/>
          <w:color w:val="auto"/>
          <w:sz w:val="28"/>
          <w:szCs w:val="28"/>
          <w:u w:val="none"/>
          <w:lang w:val="en-US"/>
        </w:rPr>
        <w:t>https</w:t>
      </w:r>
      <w:r w:rsidRPr="00964B26">
        <w:rPr>
          <w:rStyle w:val="a3"/>
          <w:color w:val="auto"/>
          <w:sz w:val="28"/>
          <w:szCs w:val="28"/>
          <w:u w:val="none"/>
          <w:lang w:val="uk-UA"/>
        </w:rPr>
        <w:t>://</w:t>
      </w:r>
      <w:r w:rsidRPr="00964B26">
        <w:rPr>
          <w:rStyle w:val="a3"/>
          <w:color w:val="auto"/>
          <w:sz w:val="28"/>
          <w:szCs w:val="28"/>
          <w:u w:val="none"/>
          <w:lang w:val="en-US"/>
        </w:rPr>
        <w:t>citifox</w:t>
      </w:r>
      <w:r w:rsidRPr="00964B26">
        <w:rPr>
          <w:rStyle w:val="a3"/>
          <w:color w:val="auto"/>
          <w:sz w:val="28"/>
          <w:szCs w:val="28"/>
          <w:u w:val="none"/>
          <w:lang w:val="uk-UA"/>
        </w:rPr>
        <w:t>.</w:t>
      </w:r>
      <w:r w:rsidRPr="00964B26">
        <w:rPr>
          <w:rStyle w:val="a3"/>
          <w:color w:val="auto"/>
          <w:sz w:val="28"/>
          <w:szCs w:val="28"/>
          <w:u w:val="none"/>
          <w:lang w:val="en-US"/>
        </w:rPr>
        <w:t>ru</w:t>
      </w:r>
      <w:r w:rsidRPr="00964B26">
        <w:rPr>
          <w:rStyle w:val="a3"/>
          <w:color w:val="auto"/>
          <w:sz w:val="28"/>
          <w:szCs w:val="28"/>
          <w:u w:val="none"/>
          <w:lang w:val="uk-UA"/>
        </w:rPr>
        <w:t>/2016/05/05/</w:t>
      </w:r>
      <w:r w:rsidRPr="00964B26">
        <w:rPr>
          <w:rStyle w:val="a3"/>
          <w:color w:val="auto"/>
          <w:sz w:val="28"/>
          <w:szCs w:val="28"/>
          <w:u w:val="none"/>
          <w:lang w:val="en-US"/>
        </w:rPr>
        <w:t>vozrastnaya</w:t>
      </w:r>
      <w:r w:rsidRPr="00964B26">
        <w:rPr>
          <w:rStyle w:val="a3"/>
          <w:color w:val="auto"/>
          <w:sz w:val="28"/>
          <w:szCs w:val="28"/>
          <w:u w:val="none"/>
          <w:lang w:val="uk-UA"/>
        </w:rPr>
        <w:t>-</w:t>
      </w:r>
      <w:r w:rsidRPr="00964B26">
        <w:rPr>
          <w:rStyle w:val="a3"/>
          <w:color w:val="auto"/>
          <w:sz w:val="28"/>
          <w:szCs w:val="28"/>
          <w:u w:val="none"/>
          <w:lang w:val="en-US"/>
        </w:rPr>
        <w:t>klassifikaciya</w:t>
      </w:r>
      <w:r w:rsidRPr="00964B26">
        <w:rPr>
          <w:rStyle w:val="a3"/>
          <w:color w:val="auto"/>
          <w:sz w:val="28"/>
          <w:szCs w:val="28"/>
          <w:u w:val="none"/>
          <w:lang w:val="uk-UA"/>
        </w:rPr>
        <w:t>-</w:t>
      </w:r>
      <w:r w:rsidRPr="00964B26">
        <w:rPr>
          <w:rStyle w:val="a3"/>
          <w:color w:val="auto"/>
          <w:sz w:val="28"/>
          <w:szCs w:val="28"/>
          <w:u w:val="none"/>
          <w:lang w:val="en-US"/>
        </w:rPr>
        <w:t>vsemirnoy</w:t>
      </w:r>
      <w:r w:rsidRPr="00964B26">
        <w:rPr>
          <w:rStyle w:val="a3"/>
          <w:color w:val="auto"/>
          <w:sz w:val="28"/>
          <w:szCs w:val="28"/>
          <w:u w:val="none"/>
          <w:lang w:val="uk-UA"/>
        </w:rPr>
        <w:t>/</w:t>
      </w:r>
    </w:p>
    <w:p w:rsidR="00E3259F" w:rsidRPr="00D83BD4" w:rsidRDefault="00E3259F" w:rsidP="00D83BD4">
      <w:pPr>
        <w:numPr>
          <w:ilvl w:val="0"/>
          <w:numId w:val="26"/>
        </w:numPr>
        <w:tabs>
          <w:tab w:val="clear" w:pos="360"/>
          <w:tab w:val="num" w:pos="-180"/>
          <w:tab w:val="left" w:pos="0"/>
          <w:tab w:val="num" w:pos="540"/>
        </w:tabs>
        <w:spacing w:line="360" w:lineRule="auto"/>
        <w:ind w:left="0" w:firstLine="0"/>
        <w:jc w:val="both"/>
        <w:rPr>
          <w:sz w:val="28"/>
          <w:szCs w:val="28"/>
        </w:rPr>
      </w:pPr>
      <w:r w:rsidRPr="00D83BD4">
        <w:rPr>
          <w:sz w:val="28"/>
          <w:szCs w:val="28"/>
        </w:rPr>
        <w:t>Волкова АР. Субклинический гипотиреоз как фактор сердечно-сосудистого риска у больных ишемической болезнью сердца: диссертация ... доктора медицинских наук: 14.01.02.  Санкт-Петербург</w:t>
      </w:r>
      <w:r w:rsidRPr="00D83BD4">
        <w:rPr>
          <w:sz w:val="28"/>
          <w:szCs w:val="28"/>
          <w:lang w:val="en-US"/>
        </w:rPr>
        <w:t xml:space="preserve">; </w:t>
      </w:r>
      <w:r w:rsidRPr="00D83BD4">
        <w:rPr>
          <w:sz w:val="28"/>
          <w:szCs w:val="28"/>
        </w:rPr>
        <w:t>2016</w:t>
      </w:r>
      <w:r w:rsidRPr="00D83BD4">
        <w:rPr>
          <w:sz w:val="28"/>
          <w:szCs w:val="28"/>
          <w:lang w:val="en-US"/>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rPr>
        <w:t>Волкова АР, Беркович ОА, Дора СВ, Дыгун ОД. Субклинический гипотиреоз и риск артериальной гипертензии у больных ишемической болезнью сердца. Артериальная гипертензия. 2015;21(4):409-415.</w:t>
      </w:r>
      <w:r w:rsidRPr="00D83BD4">
        <w:rPr>
          <w:sz w:val="28"/>
          <w:szCs w:val="28"/>
          <w:shd w:val="clear" w:color="auto" w:fill="FFFFFF"/>
        </w:rPr>
        <w:t> </w:t>
      </w:r>
      <w:r w:rsidRPr="00964B26">
        <w:rPr>
          <w:sz w:val="28"/>
          <w:szCs w:val="28"/>
          <w:shd w:val="clear" w:color="auto" w:fill="FFFFFF"/>
        </w:rPr>
        <w:t>doi.org/10.18705/1607-419X-2015-21-4-409-415</w:t>
      </w:r>
    </w:p>
    <w:p w:rsidR="00E3259F" w:rsidRPr="00D83BD4" w:rsidRDefault="00E3259F" w:rsidP="00D83BD4">
      <w:pPr>
        <w:numPr>
          <w:ilvl w:val="0"/>
          <w:numId w:val="26"/>
        </w:numPr>
        <w:tabs>
          <w:tab w:val="left" w:pos="0"/>
          <w:tab w:val="num" w:pos="142"/>
        </w:tabs>
        <w:spacing w:line="360" w:lineRule="auto"/>
        <w:ind w:left="0" w:firstLine="0"/>
        <w:jc w:val="both"/>
        <w:rPr>
          <w:b/>
          <w:sz w:val="28"/>
          <w:szCs w:val="28"/>
        </w:rPr>
      </w:pPr>
      <w:r w:rsidRPr="00D83BD4">
        <w:rPr>
          <w:rStyle w:val="afa"/>
          <w:rFonts w:eastAsiaTheme="majorEastAsia"/>
          <w:b w:val="0"/>
          <w:sz w:val="28"/>
          <w:szCs w:val="28"/>
          <w:shd w:val="clear" w:color="auto" w:fill="FFFFFF"/>
          <w:lang w:val="uk-UA"/>
        </w:rPr>
        <w:t xml:space="preserve"> </w:t>
      </w:r>
      <w:r w:rsidRPr="00D83BD4">
        <w:rPr>
          <w:rStyle w:val="afa"/>
          <w:rFonts w:eastAsiaTheme="majorEastAsia"/>
          <w:b w:val="0"/>
          <w:sz w:val="28"/>
          <w:szCs w:val="28"/>
          <w:shd w:val="clear" w:color="auto" w:fill="FFFFFF"/>
        </w:rPr>
        <w:t>Воробьев РВ, Короткова АВ.</w:t>
      </w:r>
      <w:r w:rsidRPr="00D83BD4">
        <w:rPr>
          <w:b/>
          <w:iCs/>
          <w:sz w:val="28"/>
          <w:szCs w:val="28"/>
          <w:bdr w:val="none" w:sz="0" w:space="0" w:color="auto" w:frame="1"/>
          <w:lang w:val="uk-UA"/>
        </w:rPr>
        <w:t xml:space="preserve"> </w:t>
      </w:r>
      <w:r w:rsidRPr="00D83BD4">
        <w:rPr>
          <w:iCs/>
          <w:sz w:val="28"/>
          <w:szCs w:val="28"/>
          <w:bdr w:val="none" w:sz="0" w:space="0" w:color="auto" w:frame="1"/>
          <w:lang w:val="uk-UA"/>
        </w:rPr>
        <w:t>Ан</w:t>
      </w:r>
      <w:r w:rsidRPr="00D83BD4">
        <w:rPr>
          <w:iCs/>
          <w:sz w:val="28"/>
          <w:szCs w:val="28"/>
          <w:bdr w:val="none" w:sz="0" w:space="0" w:color="auto" w:frame="1"/>
        </w:rPr>
        <w:t xml:space="preserve">алитический обзор проблемы здорового старения в странах европейского региона ВОЗ и </w:t>
      </w:r>
      <w:r w:rsidRPr="00D83BD4">
        <w:rPr>
          <w:iCs/>
          <w:sz w:val="28"/>
          <w:szCs w:val="28"/>
          <w:bdr w:val="none" w:sz="0" w:space="0" w:color="auto" w:frame="1"/>
          <w:lang w:val="uk-UA"/>
        </w:rPr>
        <w:t>Р</w:t>
      </w:r>
      <w:r w:rsidRPr="00D83BD4">
        <w:rPr>
          <w:iCs/>
          <w:sz w:val="28"/>
          <w:szCs w:val="28"/>
          <w:bdr w:val="none" w:sz="0" w:space="0" w:color="auto" w:frame="1"/>
        </w:rPr>
        <w:t xml:space="preserve">оссийской </w:t>
      </w:r>
      <w:r w:rsidRPr="00D83BD4">
        <w:rPr>
          <w:iCs/>
          <w:sz w:val="28"/>
          <w:szCs w:val="28"/>
          <w:bdr w:val="none" w:sz="0" w:space="0" w:color="auto" w:frame="1"/>
          <w:lang w:val="uk-UA"/>
        </w:rPr>
        <w:t>Ф</w:t>
      </w:r>
      <w:r w:rsidRPr="00D83BD4">
        <w:rPr>
          <w:iCs/>
          <w:sz w:val="28"/>
          <w:szCs w:val="28"/>
          <w:bdr w:val="none" w:sz="0" w:space="0" w:color="auto" w:frame="1"/>
        </w:rPr>
        <w:t>едерации</w:t>
      </w:r>
      <w:r w:rsidRPr="00D83BD4">
        <w:rPr>
          <w:iCs/>
          <w:sz w:val="28"/>
          <w:szCs w:val="28"/>
          <w:bdr w:val="none" w:sz="0" w:space="0" w:color="auto" w:frame="1"/>
          <w:lang w:val="uk-UA"/>
        </w:rPr>
        <w:t>.</w:t>
      </w:r>
      <w:r w:rsidRPr="00D83BD4">
        <w:rPr>
          <w:caps/>
          <w:sz w:val="28"/>
          <w:szCs w:val="28"/>
          <w:lang w:val="uk-UA"/>
        </w:rPr>
        <w:t xml:space="preserve"> </w:t>
      </w:r>
      <w:r w:rsidRPr="00964B26">
        <w:rPr>
          <w:rStyle w:val="a3"/>
          <w:iCs/>
          <w:color w:val="auto"/>
          <w:sz w:val="28"/>
          <w:szCs w:val="28"/>
          <w:u w:val="none"/>
          <w:bdr w:val="none" w:sz="0" w:space="0" w:color="auto" w:frame="1"/>
        </w:rPr>
        <w:t>Социальные аспекты здоровья населения</w:t>
      </w:r>
      <w:r w:rsidRPr="00964B26">
        <w:rPr>
          <w:sz w:val="28"/>
          <w:szCs w:val="28"/>
          <w:bdr w:val="none" w:sz="0" w:space="0" w:color="auto" w:frame="1"/>
          <w:lang w:val="uk-UA"/>
        </w:rPr>
        <w:t>.</w:t>
      </w:r>
      <w:r w:rsidRPr="00D83BD4">
        <w:rPr>
          <w:sz w:val="28"/>
          <w:szCs w:val="28"/>
          <w:bdr w:val="none" w:sz="0" w:space="0" w:color="auto" w:frame="1"/>
          <w:lang w:val="uk-UA"/>
        </w:rPr>
        <w:t xml:space="preserve"> 2016</w:t>
      </w:r>
      <w:r w:rsidRPr="00D83BD4">
        <w:rPr>
          <w:sz w:val="28"/>
          <w:szCs w:val="28"/>
          <w:bdr w:val="none" w:sz="0" w:space="0" w:color="auto" w:frame="1"/>
        </w:rPr>
        <w:t>;</w:t>
      </w:r>
      <w:r w:rsidRPr="00D83BD4">
        <w:rPr>
          <w:sz w:val="28"/>
          <w:szCs w:val="28"/>
          <w:bdr w:val="none" w:sz="0" w:space="0" w:color="auto" w:frame="1"/>
          <w:lang w:val="uk-UA"/>
        </w:rPr>
        <w:t xml:space="preserve">5(51). </w:t>
      </w:r>
      <w:r w:rsidRPr="00D83BD4">
        <w:rPr>
          <w:sz w:val="28"/>
          <w:szCs w:val="28"/>
          <w:bdr w:val="none" w:sz="0" w:space="0" w:color="auto" w:frame="1"/>
          <w:lang w:val="en-US"/>
        </w:rPr>
        <w:t>URL</w:t>
      </w:r>
      <w:r w:rsidRPr="00D83BD4">
        <w:rPr>
          <w:sz w:val="28"/>
          <w:szCs w:val="28"/>
          <w:bdr w:val="none" w:sz="0" w:space="0" w:color="auto" w:frame="1"/>
          <w:lang w:val="uk-UA"/>
        </w:rPr>
        <w:t xml:space="preserve">: </w:t>
      </w:r>
      <w:r w:rsidRPr="00D83BD4">
        <w:rPr>
          <w:sz w:val="28"/>
          <w:szCs w:val="28"/>
          <w:lang w:val="en-US"/>
        </w:rPr>
        <w:t>http</w:t>
      </w:r>
      <w:r w:rsidRPr="00D83BD4">
        <w:rPr>
          <w:sz w:val="28"/>
          <w:szCs w:val="28"/>
        </w:rPr>
        <w:t>://</w:t>
      </w:r>
      <w:r w:rsidRPr="00D83BD4">
        <w:rPr>
          <w:sz w:val="28"/>
          <w:szCs w:val="28"/>
          <w:lang w:val="en-US"/>
        </w:rPr>
        <w:t>vestnik</w:t>
      </w:r>
      <w:r w:rsidRPr="00D83BD4">
        <w:rPr>
          <w:sz w:val="28"/>
          <w:szCs w:val="28"/>
        </w:rPr>
        <w:t>.</w:t>
      </w:r>
      <w:r w:rsidRPr="00D83BD4">
        <w:rPr>
          <w:sz w:val="28"/>
          <w:szCs w:val="28"/>
          <w:lang w:val="en-US"/>
        </w:rPr>
        <w:t>mednet</w:t>
      </w:r>
      <w:r w:rsidRPr="00D83BD4">
        <w:rPr>
          <w:sz w:val="28"/>
          <w:szCs w:val="28"/>
        </w:rPr>
        <w:t>.</w:t>
      </w:r>
      <w:r w:rsidRPr="00D83BD4">
        <w:rPr>
          <w:sz w:val="28"/>
          <w:szCs w:val="28"/>
          <w:lang w:val="en-US"/>
        </w:rPr>
        <w:t>ru</w:t>
      </w:r>
      <w:r w:rsidRPr="00D83BD4">
        <w:rPr>
          <w:sz w:val="28"/>
          <w:szCs w:val="28"/>
        </w:rPr>
        <w:t>/</w:t>
      </w:r>
      <w:r w:rsidRPr="00D83BD4">
        <w:rPr>
          <w:sz w:val="28"/>
          <w:szCs w:val="28"/>
          <w:lang w:val="en-US"/>
        </w:rPr>
        <w:t>content</w:t>
      </w:r>
      <w:r w:rsidRPr="00D83BD4">
        <w:rPr>
          <w:sz w:val="28"/>
          <w:szCs w:val="28"/>
        </w:rPr>
        <w:t>/</w:t>
      </w:r>
      <w:r w:rsidRPr="00D83BD4">
        <w:rPr>
          <w:sz w:val="28"/>
          <w:szCs w:val="28"/>
          <w:lang w:val="en-US"/>
        </w:rPr>
        <w:t>view</w:t>
      </w:r>
      <w:r w:rsidRPr="00D83BD4">
        <w:rPr>
          <w:sz w:val="28"/>
          <w:szCs w:val="28"/>
        </w:rPr>
        <w:t>/774/30/</w:t>
      </w:r>
      <w:r w:rsidRPr="00D83BD4">
        <w:rPr>
          <w:sz w:val="28"/>
          <w:szCs w:val="28"/>
          <w:lang w:val="en-US"/>
        </w:rPr>
        <w:t>lang</w:t>
      </w:r>
      <w:r w:rsidRPr="00D83BD4">
        <w:rPr>
          <w:sz w:val="28"/>
          <w:szCs w:val="28"/>
        </w:rPr>
        <w:t>,</w:t>
      </w:r>
      <w:r w:rsidRPr="00D83BD4">
        <w:rPr>
          <w:sz w:val="28"/>
          <w:szCs w:val="28"/>
          <w:lang w:val="en-US"/>
        </w:rPr>
        <w:t>ru</w:t>
      </w:r>
      <w:r w:rsidRPr="00D83BD4">
        <w:rPr>
          <w:sz w:val="28"/>
          <w:szCs w:val="28"/>
        </w:rPr>
        <w:t>/</w:t>
      </w:r>
      <w:r w:rsidRPr="00D83BD4">
        <w:rPr>
          <w:b/>
          <w:sz w:val="28"/>
          <w:szCs w:val="28"/>
          <w:lang w:val="uk-UA"/>
        </w:rPr>
        <w:t xml:space="preserve"> </w:t>
      </w:r>
      <w:r w:rsidRPr="00D83BD4">
        <w:rPr>
          <w:rStyle w:val="afa"/>
          <w:b w:val="0"/>
          <w:sz w:val="28"/>
          <w:szCs w:val="28"/>
          <w:shd w:val="clear" w:color="auto" w:fill="FFFFFF"/>
          <w:lang w:val="en-US"/>
        </w:rPr>
        <w:t>DOI</w:t>
      </w:r>
      <w:r w:rsidRPr="00D83BD4">
        <w:rPr>
          <w:rStyle w:val="afa"/>
          <w:b w:val="0"/>
          <w:sz w:val="28"/>
          <w:szCs w:val="28"/>
          <w:shd w:val="clear" w:color="auto" w:fill="FFFFFF"/>
        </w:rPr>
        <w:t>: 10.21045/2071-5021-2016-51-5-3</w:t>
      </w:r>
    </w:p>
    <w:p w:rsidR="00E3259F" w:rsidRPr="00D83BD4" w:rsidRDefault="00E3259F" w:rsidP="00D83BD4">
      <w:pPr>
        <w:numPr>
          <w:ilvl w:val="0"/>
          <w:numId w:val="26"/>
        </w:numPr>
        <w:tabs>
          <w:tab w:val="clear" w:pos="360"/>
          <w:tab w:val="left" w:pos="0"/>
          <w:tab w:val="num" w:pos="540"/>
        </w:tabs>
        <w:spacing w:line="360" w:lineRule="auto"/>
        <w:ind w:left="0" w:firstLine="0"/>
        <w:rPr>
          <w:sz w:val="28"/>
          <w:szCs w:val="28"/>
        </w:rPr>
      </w:pPr>
      <w:r w:rsidRPr="00D83BD4">
        <w:rPr>
          <w:sz w:val="28"/>
          <w:szCs w:val="28"/>
        </w:rPr>
        <w:t>Всемирный доклад о старении и здоровье / ВОЗ. Женева: ВОЗ; 2016. URL: https://apps.who.int/iris/bitstream/handle/10665/186463/9789244565049_rus.pdf?sequence=10</w:t>
      </w:r>
    </w:p>
    <w:p w:rsidR="00E3259F" w:rsidRPr="00D83BD4" w:rsidRDefault="00E3259F" w:rsidP="00D83BD4">
      <w:pPr>
        <w:numPr>
          <w:ilvl w:val="0"/>
          <w:numId w:val="26"/>
        </w:numPr>
        <w:tabs>
          <w:tab w:val="left" w:pos="0"/>
        </w:tabs>
        <w:spacing w:line="360" w:lineRule="auto"/>
        <w:ind w:left="0" w:firstLine="0"/>
        <w:jc w:val="both"/>
        <w:rPr>
          <w:bCs/>
          <w:sz w:val="28"/>
          <w:szCs w:val="28"/>
          <w:shd w:val="clear" w:color="auto" w:fill="FFFFFF"/>
        </w:rPr>
      </w:pPr>
      <w:r w:rsidRPr="00D83BD4">
        <w:rPr>
          <w:sz w:val="28"/>
          <w:szCs w:val="28"/>
        </w:rPr>
        <w:t xml:space="preserve">   Вьюницкая ЛВ. Маркеры дисфункции эндотелия. Лабораторная диагностика Восточная Европа.</w:t>
      </w:r>
      <w:r w:rsidRPr="00D83BD4">
        <w:rPr>
          <w:i/>
          <w:sz w:val="28"/>
          <w:szCs w:val="28"/>
        </w:rPr>
        <w:t xml:space="preserve"> </w:t>
      </w:r>
      <w:r w:rsidRPr="00D83BD4">
        <w:rPr>
          <w:sz w:val="28"/>
          <w:szCs w:val="28"/>
        </w:rPr>
        <w:t>2015; 3–4(15-16):37-51.</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sz w:val="28"/>
          <w:szCs w:val="28"/>
        </w:rPr>
        <w:t>Городінска ОЮ. Регіональні особливості гіпотиреозу в Полтавській області. Сімейна медицина. 2015;(59)</w:t>
      </w:r>
      <w:r w:rsidRPr="00D83BD4">
        <w:rPr>
          <w:sz w:val="28"/>
          <w:szCs w:val="28"/>
          <w:lang w:val="en-US"/>
        </w:rPr>
        <w:t>:</w:t>
      </w:r>
      <w:r w:rsidRPr="00D83BD4">
        <w:rPr>
          <w:sz w:val="28"/>
          <w:szCs w:val="28"/>
        </w:rPr>
        <w:t xml:space="preserve">186-188 . </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sz w:val="28"/>
          <w:szCs w:val="28"/>
        </w:rPr>
        <w:t>Давыдова ИВ.  Назначение статинов пациентам с артериальной гипертензией: истинные цели и доказанные преимущества. Здоров’я України. 2016</w:t>
      </w:r>
      <w:r w:rsidRPr="00D83BD4">
        <w:rPr>
          <w:sz w:val="28"/>
          <w:szCs w:val="28"/>
          <w:lang w:val="en-US"/>
        </w:rPr>
        <w:t>;</w:t>
      </w:r>
      <w:r w:rsidRPr="00D83BD4">
        <w:rPr>
          <w:sz w:val="28"/>
          <w:szCs w:val="28"/>
        </w:rPr>
        <w:t xml:space="preserve"> (375):3-4.</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lang w:val="uk-UA"/>
        </w:rPr>
        <w:t>Дидушко ОН. Уровни васкулоэндотелиального фактора роста у больных гипотиреозом. Международный эндокринологический журнал. 2015</w:t>
      </w:r>
      <w:r w:rsidRPr="00D83BD4">
        <w:rPr>
          <w:sz w:val="28"/>
          <w:szCs w:val="28"/>
          <w:lang w:val="en-US"/>
        </w:rPr>
        <w:t>;</w:t>
      </w:r>
      <w:r w:rsidRPr="00D83BD4">
        <w:rPr>
          <w:sz w:val="28"/>
          <w:szCs w:val="28"/>
          <w:lang w:val="uk-UA"/>
        </w:rPr>
        <w:t xml:space="preserve"> (72)</w:t>
      </w:r>
      <w:r w:rsidRPr="00D83BD4">
        <w:rPr>
          <w:sz w:val="28"/>
          <w:szCs w:val="28"/>
          <w:lang w:val="en-US"/>
        </w:rPr>
        <w:t>:</w:t>
      </w:r>
      <w:r w:rsidRPr="00D83BD4">
        <w:rPr>
          <w:rStyle w:val="afa"/>
          <w:rFonts w:eastAsiaTheme="majorEastAsia"/>
          <w:b w:val="0"/>
          <w:sz w:val="28"/>
          <w:szCs w:val="28"/>
          <w:bdr w:val="none" w:sz="0" w:space="0" w:color="auto" w:frame="1"/>
          <w:lang w:val="uk-UA"/>
        </w:rPr>
        <w:t>102-106.</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lang w:val="uk-UA"/>
        </w:rPr>
        <w:t xml:space="preserve">Дисліпідемії: діагностика, профілактика та лікування: методичні рекомендації Асоціації кардіологів України. </w:t>
      </w:r>
      <w:r w:rsidRPr="00D83BD4">
        <w:rPr>
          <w:sz w:val="28"/>
          <w:szCs w:val="28"/>
        </w:rPr>
        <w:t xml:space="preserve">Київ; 2018. </w:t>
      </w:r>
      <w:r w:rsidRPr="00D83BD4">
        <w:rPr>
          <w:sz w:val="28"/>
          <w:szCs w:val="28"/>
          <w:lang w:val="uk-UA"/>
        </w:rPr>
        <w:t xml:space="preserve">47с.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sz w:val="28"/>
          <w:szCs w:val="28"/>
        </w:rPr>
        <w:t>Долбин  ИВ, Екимовских АЮ. Влияние заместительной терапии левотироксином на маркеры системного воспаления у больных с первичным субклиническим гипотиреозом и ишемической болезнью сердца. Вестник современной клинической медицины. 2017;10( 2):18</w:t>
      </w:r>
      <w:r w:rsidRPr="00D83BD4">
        <w:rPr>
          <w:sz w:val="28"/>
          <w:szCs w:val="28"/>
          <w:lang w:val="en-US"/>
        </w:rPr>
        <w:t>-</w:t>
      </w:r>
      <w:r w:rsidRPr="00D83BD4">
        <w:rPr>
          <w:sz w:val="28"/>
          <w:szCs w:val="28"/>
        </w:rPr>
        <w:t>24.</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shd w:val="clear" w:color="auto" w:fill="FFFFFF"/>
        </w:rPr>
      </w:pPr>
      <w:r w:rsidRPr="00D83BD4">
        <w:rPr>
          <w:bCs/>
          <w:sz w:val="28"/>
          <w:szCs w:val="28"/>
        </w:rPr>
        <w:t>Дроздова ІВ, Бабець АА, Степанова ЛГ, Омельницька ЛВ. Захворюваність, поширеність та інвалідність унаслідок гіпертонічної хвороби: підходи до аналізу й прогнозування</w:t>
      </w:r>
      <w:r w:rsidRPr="00D83BD4">
        <w:rPr>
          <w:bCs/>
          <w:sz w:val="28"/>
          <w:szCs w:val="28"/>
          <w:lang w:val="uk-UA"/>
        </w:rPr>
        <w:t>. Український кардіологічний журнал</w:t>
      </w:r>
      <w:r w:rsidRPr="00D83BD4">
        <w:rPr>
          <w:bCs/>
          <w:sz w:val="28"/>
          <w:szCs w:val="28"/>
          <w:lang w:val="en-US"/>
        </w:rPr>
        <w:t>.</w:t>
      </w:r>
      <w:r w:rsidRPr="00D83BD4">
        <w:rPr>
          <w:bCs/>
          <w:sz w:val="28"/>
          <w:szCs w:val="28"/>
          <w:lang w:val="uk-UA"/>
        </w:rPr>
        <w:t xml:space="preserve"> 2017</w:t>
      </w:r>
      <w:r w:rsidRPr="00D83BD4">
        <w:rPr>
          <w:bCs/>
          <w:sz w:val="28"/>
          <w:szCs w:val="28"/>
          <w:lang w:val="en-US"/>
        </w:rPr>
        <w:t>;(</w:t>
      </w:r>
      <w:r w:rsidRPr="00D83BD4">
        <w:rPr>
          <w:bCs/>
          <w:sz w:val="28"/>
          <w:szCs w:val="28"/>
          <w:lang w:val="uk-UA"/>
        </w:rPr>
        <w:t>1</w:t>
      </w:r>
      <w:r w:rsidRPr="00D83BD4">
        <w:rPr>
          <w:bCs/>
          <w:sz w:val="28"/>
          <w:szCs w:val="28"/>
          <w:lang w:val="en-US"/>
        </w:rPr>
        <w:t>):</w:t>
      </w:r>
      <w:r w:rsidRPr="00D83BD4">
        <w:rPr>
          <w:bCs/>
          <w:sz w:val="28"/>
          <w:szCs w:val="28"/>
          <w:lang w:val="uk-UA"/>
        </w:rPr>
        <w:t>85-93</w:t>
      </w:r>
      <w:r w:rsidRPr="00D83BD4">
        <w:rPr>
          <w:bCs/>
          <w:sz w:val="28"/>
          <w:szCs w:val="28"/>
          <w:lang w:val="en-US"/>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lang w:val="uk-UA"/>
        </w:rPr>
        <w:t>Д</w:t>
      </w:r>
      <w:r w:rsidRPr="00D83BD4">
        <w:rPr>
          <w:sz w:val="28"/>
          <w:szCs w:val="28"/>
        </w:rPr>
        <w:t xml:space="preserve">убашевский РА. </w:t>
      </w:r>
      <w:r w:rsidRPr="00D83BD4">
        <w:rPr>
          <w:sz w:val="28"/>
          <w:szCs w:val="28"/>
          <w:lang w:val="uk-UA"/>
        </w:rPr>
        <w:t>Б</w:t>
      </w:r>
      <w:r w:rsidRPr="00D83BD4">
        <w:rPr>
          <w:sz w:val="28"/>
          <w:szCs w:val="28"/>
        </w:rPr>
        <w:t xml:space="preserve">иологический возраст и темпы старения людей старческой группы и долгожителей с полиморбидностью. Научное обозрение. Педагогические науки. </w:t>
      </w:r>
      <w:r w:rsidRPr="00D83BD4">
        <w:rPr>
          <w:sz w:val="28"/>
          <w:szCs w:val="28"/>
          <w:lang w:val="en-US"/>
        </w:rPr>
        <w:t xml:space="preserve"> </w:t>
      </w:r>
      <w:r w:rsidRPr="00D83BD4">
        <w:rPr>
          <w:sz w:val="28"/>
          <w:szCs w:val="28"/>
        </w:rPr>
        <w:t xml:space="preserve"> 2019</w:t>
      </w:r>
      <w:r w:rsidRPr="00D83BD4">
        <w:rPr>
          <w:sz w:val="28"/>
          <w:szCs w:val="28"/>
          <w:lang w:val="en-US"/>
        </w:rPr>
        <w:t>;(</w:t>
      </w:r>
      <w:r w:rsidRPr="00D83BD4">
        <w:rPr>
          <w:sz w:val="28"/>
          <w:szCs w:val="28"/>
        </w:rPr>
        <w:t xml:space="preserve"> 5-4</w:t>
      </w:r>
      <w:r w:rsidRPr="00D83BD4">
        <w:rPr>
          <w:sz w:val="28"/>
          <w:szCs w:val="28"/>
          <w:lang w:val="en-US"/>
        </w:rPr>
        <w:t>):</w:t>
      </w:r>
      <w:r w:rsidRPr="00D83BD4">
        <w:rPr>
          <w:sz w:val="28"/>
          <w:szCs w:val="28"/>
        </w:rPr>
        <w:t xml:space="preserve"> 49-52</w:t>
      </w:r>
      <w:r w:rsidRPr="00D83BD4">
        <w:rPr>
          <w:sz w:val="28"/>
          <w:szCs w:val="28"/>
          <w:lang w:val="uk-UA"/>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lang w:val="uk-UA"/>
        </w:rPr>
        <w:t>Дубинина ИИ, Урясьев ОМ, Берстнева СВ, Никифоров АА. А</w:t>
      </w:r>
      <w:r w:rsidRPr="00D83BD4">
        <w:rPr>
          <w:bCs/>
          <w:sz w:val="28"/>
          <w:szCs w:val="28"/>
        </w:rPr>
        <w:t>ртериальная гипертензия и дисфункция эндотелия при коморбидной патологии: сахарный диабет и первичный гипотиреоз</w:t>
      </w:r>
      <w:r w:rsidRPr="00D83BD4">
        <w:rPr>
          <w:bCs/>
          <w:sz w:val="28"/>
          <w:szCs w:val="28"/>
          <w:lang w:val="uk-UA"/>
        </w:rPr>
        <w:t>.</w:t>
      </w:r>
      <w:r w:rsidRPr="00D83BD4">
        <w:rPr>
          <w:bCs/>
          <w:caps/>
          <w:sz w:val="28"/>
          <w:szCs w:val="28"/>
          <w:lang w:val="uk-UA"/>
        </w:rPr>
        <w:t xml:space="preserve"> </w:t>
      </w:r>
      <w:r w:rsidRPr="00964B26">
        <w:rPr>
          <w:rStyle w:val="a3"/>
          <w:bCs/>
          <w:color w:val="auto"/>
          <w:sz w:val="28"/>
          <w:szCs w:val="28"/>
          <w:u w:val="none"/>
          <w:bdr w:val="none" w:sz="0" w:space="0" w:color="auto" w:frame="1"/>
        </w:rPr>
        <w:t>Российский медико-биологический вестник имени академика И.П. Павлова</w:t>
      </w:r>
      <w:r w:rsidRPr="00964B26">
        <w:rPr>
          <w:b/>
          <w:sz w:val="28"/>
          <w:szCs w:val="28"/>
          <w:bdr w:val="none" w:sz="0" w:space="0" w:color="auto" w:frame="1"/>
          <w:lang w:val="uk-UA"/>
        </w:rPr>
        <w:t>.</w:t>
      </w:r>
      <w:r w:rsidRPr="00D83BD4">
        <w:rPr>
          <w:b/>
          <w:sz w:val="28"/>
          <w:szCs w:val="28"/>
          <w:bdr w:val="none" w:sz="0" w:space="0" w:color="auto" w:frame="1"/>
          <w:lang w:val="uk-UA"/>
        </w:rPr>
        <w:t xml:space="preserve"> </w:t>
      </w:r>
      <w:r w:rsidRPr="00D83BD4">
        <w:rPr>
          <w:bCs/>
          <w:sz w:val="28"/>
          <w:szCs w:val="28"/>
          <w:bdr w:val="none" w:sz="0" w:space="0" w:color="auto" w:frame="1"/>
          <w:lang w:val="uk-UA"/>
        </w:rPr>
        <w:t>2016</w:t>
      </w:r>
      <w:r w:rsidRPr="00D83BD4">
        <w:rPr>
          <w:bCs/>
          <w:sz w:val="28"/>
          <w:szCs w:val="28"/>
          <w:bdr w:val="none" w:sz="0" w:space="0" w:color="auto" w:frame="1"/>
        </w:rPr>
        <w:t>;</w:t>
      </w:r>
      <w:r w:rsidRPr="00D83BD4">
        <w:rPr>
          <w:bCs/>
          <w:sz w:val="28"/>
          <w:szCs w:val="28"/>
          <w:bdr w:val="none" w:sz="0" w:space="0" w:color="auto" w:frame="1"/>
          <w:lang w:val="uk-UA"/>
        </w:rPr>
        <w:t>24</w:t>
      </w:r>
      <w:r w:rsidRPr="00D83BD4">
        <w:rPr>
          <w:bCs/>
          <w:sz w:val="28"/>
          <w:szCs w:val="28"/>
          <w:bdr w:val="none" w:sz="0" w:space="0" w:color="auto" w:frame="1"/>
        </w:rPr>
        <w:t>(</w:t>
      </w:r>
      <w:r w:rsidRPr="00D83BD4">
        <w:rPr>
          <w:bCs/>
          <w:sz w:val="28"/>
          <w:szCs w:val="28"/>
          <w:bdr w:val="none" w:sz="0" w:space="0" w:color="auto" w:frame="1"/>
          <w:lang w:val="uk-UA"/>
        </w:rPr>
        <w:t>4</w:t>
      </w:r>
      <w:r w:rsidRPr="00D83BD4">
        <w:rPr>
          <w:bCs/>
          <w:sz w:val="28"/>
          <w:szCs w:val="28"/>
          <w:bdr w:val="none" w:sz="0" w:space="0" w:color="auto" w:frame="1"/>
        </w:rPr>
        <w:t>):</w:t>
      </w:r>
      <w:r w:rsidRPr="00D83BD4">
        <w:rPr>
          <w:bCs/>
          <w:sz w:val="28"/>
          <w:szCs w:val="28"/>
          <w:bdr w:val="none" w:sz="0" w:space="0" w:color="auto" w:frame="1"/>
          <w:lang w:val="uk-UA"/>
        </w:rPr>
        <w:t xml:space="preserve">42-55. </w:t>
      </w:r>
      <w:r w:rsidRPr="00D83BD4">
        <w:rPr>
          <w:bCs/>
          <w:sz w:val="28"/>
          <w:szCs w:val="28"/>
        </w:rPr>
        <w:t xml:space="preserve">doi:10.23888/PAVLOVJ2016442-55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shd w:val="clear" w:color="auto" w:fill="FFFFFF"/>
          <w:lang w:val="uk-UA"/>
        </w:rPr>
        <w:t>Дудинская ЕН, Браилова НВ, Стражеско ИД, Акашева ДУ, Ткачева ОН, Шестакова МВ. Роль инсулинорезистентности в процессах сосудистого старения (обзор литературы).</w:t>
      </w:r>
      <w:r w:rsidRPr="00D83BD4">
        <w:rPr>
          <w:sz w:val="28"/>
          <w:szCs w:val="28"/>
          <w:shd w:val="clear" w:color="auto" w:fill="FFFFFF"/>
        </w:rPr>
        <w:t> Профилактическая медицина. 2014;17(2):35-41.</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Ермакова ЕА, Аметов АС, Черникова НА. Сахарный диабет и артериальная гипертензия. Артериальная гипертензия. 2015;12:12-17</w:t>
      </w:r>
      <w:r w:rsidRPr="00D83BD4">
        <w:rPr>
          <w:bCs/>
          <w:sz w:val="28"/>
          <w:szCs w:val="28"/>
          <w:lang w:val="uk-UA"/>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shd w:val="clear" w:color="auto" w:fill="FFFFFF"/>
        </w:rPr>
        <w:t xml:space="preserve">Желтова ИН, Сукманова ИА. </w:t>
      </w:r>
      <w:r w:rsidRPr="00D83BD4">
        <w:rPr>
          <w:sz w:val="28"/>
          <w:szCs w:val="28"/>
          <w:shd w:val="clear" w:color="auto" w:fill="FFFFFF"/>
          <w:lang w:val="uk-UA"/>
        </w:rPr>
        <w:t>Г</w:t>
      </w:r>
      <w:r w:rsidRPr="00D83BD4">
        <w:rPr>
          <w:sz w:val="28"/>
          <w:szCs w:val="28"/>
          <w:shd w:val="clear" w:color="auto" w:fill="FFFFFF"/>
        </w:rPr>
        <w:t xml:space="preserve">ендерные особенности факторов риска и клинико-гемодинамические характеристики у пациентов с инфарктом миокарда пожилого возраста.  Современные проблемы науки и образования.  2015;( 2-1). URL:http://www.science-education.ru/ru/article/view?id=17483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shd w:val="clear" w:color="auto" w:fill="FFFFFF"/>
          <w:lang w:val="uk-UA"/>
        </w:rPr>
        <w:t xml:space="preserve">Захарова НБ, Дурнов ДА, Михайлов ВЮ, Понукалин АН, Никитина ВВ, Занкина ОВ. и др. </w:t>
      </w:r>
      <w:r w:rsidRPr="00D83BD4">
        <w:rPr>
          <w:bCs/>
          <w:sz w:val="28"/>
          <w:szCs w:val="28"/>
          <w:shd w:val="clear" w:color="auto" w:fill="FFFFFF"/>
        </w:rPr>
        <w:t xml:space="preserve">Диагностическое значение исследования фактора роста эндотелия сосудов в сыворотке крови. Фундаментальные исследования. </w:t>
      </w:r>
      <w:r w:rsidRPr="00D83BD4">
        <w:rPr>
          <w:bCs/>
          <w:sz w:val="28"/>
          <w:szCs w:val="28"/>
          <w:shd w:val="clear" w:color="auto" w:fill="FFFFFF"/>
          <w:lang w:val="en-US"/>
        </w:rPr>
        <w:t xml:space="preserve"> </w:t>
      </w:r>
      <w:r w:rsidRPr="00D83BD4">
        <w:rPr>
          <w:bCs/>
          <w:sz w:val="28"/>
          <w:szCs w:val="28"/>
          <w:shd w:val="clear" w:color="auto" w:fill="FFFFFF"/>
        </w:rPr>
        <w:t xml:space="preserve"> 2011;11(1):215-220.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lang w:val="uk-UA"/>
        </w:rPr>
        <w:t>Ілляш МГ, Базика ОЄ, Довганич НВ, Яринкіна ОА, Старшова ОС. Артеріальна гіпертензія та цукровий діабет: сучасні аспекти лікування. Практикуючий лікар.</w:t>
      </w:r>
      <w:r w:rsidRPr="00D83BD4">
        <w:rPr>
          <w:bCs/>
          <w:sz w:val="28"/>
          <w:szCs w:val="28"/>
          <w:lang w:val="en-US"/>
        </w:rPr>
        <w:t xml:space="preserve"> </w:t>
      </w:r>
      <w:r w:rsidRPr="00D83BD4">
        <w:rPr>
          <w:bCs/>
          <w:sz w:val="28"/>
          <w:szCs w:val="28"/>
          <w:lang w:val="uk-UA"/>
        </w:rPr>
        <w:t xml:space="preserve"> 2016</w:t>
      </w:r>
      <w:r w:rsidRPr="00D83BD4">
        <w:rPr>
          <w:bCs/>
          <w:sz w:val="28"/>
          <w:szCs w:val="28"/>
          <w:lang w:val="en-US"/>
        </w:rPr>
        <w:t>;</w:t>
      </w:r>
      <w:r w:rsidRPr="00D83BD4">
        <w:rPr>
          <w:bCs/>
          <w:sz w:val="28"/>
          <w:szCs w:val="28"/>
          <w:lang w:val="uk-UA"/>
        </w:rPr>
        <w:t xml:space="preserve"> 5</w:t>
      </w:r>
      <w:r w:rsidRPr="00D83BD4">
        <w:rPr>
          <w:bCs/>
          <w:sz w:val="28"/>
          <w:szCs w:val="28"/>
          <w:lang w:val="en-US"/>
        </w:rPr>
        <w:t>(</w:t>
      </w:r>
      <w:r w:rsidRPr="00D83BD4">
        <w:rPr>
          <w:bCs/>
          <w:sz w:val="28"/>
          <w:szCs w:val="28"/>
          <w:lang w:val="uk-UA"/>
        </w:rPr>
        <w:t>2</w:t>
      </w:r>
      <w:r w:rsidRPr="00D83BD4">
        <w:rPr>
          <w:bCs/>
          <w:sz w:val="28"/>
          <w:szCs w:val="28"/>
          <w:lang w:val="en-US"/>
        </w:rPr>
        <w:t>):</w:t>
      </w:r>
      <w:r w:rsidRPr="00D83BD4">
        <w:rPr>
          <w:bCs/>
          <w:sz w:val="28"/>
          <w:szCs w:val="28"/>
          <w:lang w:val="uk-UA"/>
        </w:rPr>
        <w:t xml:space="preserve">5-9.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lang w:val="uk-UA"/>
        </w:rPr>
        <w:t>Исмаилов СИ, Гулямова ХР, Ахмедова ШУ, Максутова НН. Взаимосвязь сахарного диабета и тиреоидной патологии (обзор литературы)</w:t>
      </w:r>
      <w:r w:rsidRPr="00D83BD4">
        <w:rPr>
          <w:sz w:val="28"/>
          <w:szCs w:val="28"/>
        </w:rPr>
        <w:t xml:space="preserve">. </w:t>
      </w:r>
      <w:r w:rsidRPr="00D83BD4">
        <w:rPr>
          <w:sz w:val="28"/>
          <w:szCs w:val="28"/>
          <w:lang w:val="uk-UA"/>
        </w:rPr>
        <w:t>Международный эндокринологический журнал.</w:t>
      </w:r>
      <w:r w:rsidRPr="00D83BD4">
        <w:rPr>
          <w:sz w:val="28"/>
          <w:szCs w:val="28"/>
          <w:lang w:val="en-US"/>
        </w:rPr>
        <w:t xml:space="preserve"> </w:t>
      </w:r>
      <w:r w:rsidRPr="00D83BD4">
        <w:rPr>
          <w:sz w:val="28"/>
          <w:szCs w:val="28"/>
          <w:lang w:val="uk-UA"/>
        </w:rPr>
        <w:t xml:space="preserve"> 2015</w:t>
      </w:r>
      <w:r w:rsidRPr="00D83BD4">
        <w:rPr>
          <w:sz w:val="28"/>
          <w:szCs w:val="28"/>
          <w:lang w:val="en-US"/>
        </w:rPr>
        <w:t>;</w:t>
      </w:r>
      <w:r w:rsidRPr="00D83BD4">
        <w:rPr>
          <w:sz w:val="28"/>
          <w:szCs w:val="28"/>
          <w:lang w:val="uk-UA"/>
        </w:rPr>
        <w:t>(67)</w:t>
      </w:r>
      <w:r w:rsidRPr="00D83BD4">
        <w:rPr>
          <w:sz w:val="28"/>
          <w:szCs w:val="28"/>
          <w:lang w:val="en-US"/>
        </w:rPr>
        <w:t>:</w:t>
      </w:r>
      <w:r w:rsidRPr="00D83BD4">
        <w:rPr>
          <w:sz w:val="28"/>
          <w:szCs w:val="28"/>
          <w:lang w:val="uk-UA"/>
        </w:rPr>
        <w:t>148-152.</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 xml:space="preserve">Калиниченко СЮ, Воралов ЛО, Тюзиков ИА, Тишова ЮА. Окислительный стресс как причина системного старения. Роль препаратов липоевой кислоты (эспа-липон) в лечении и профилактике возраст-ассоциированных заболеваний. Фарматека. </w:t>
      </w:r>
      <w:r w:rsidRPr="00D83BD4">
        <w:rPr>
          <w:sz w:val="28"/>
          <w:szCs w:val="28"/>
          <w:lang w:val="en-US"/>
        </w:rPr>
        <w:t xml:space="preserve"> </w:t>
      </w:r>
      <w:r w:rsidRPr="00D83BD4">
        <w:rPr>
          <w:sz w:val="28"/>
          <w:szCs w:val="28"/>
        </w:rPr>
        <w:t xml:space="preserve"> 2014</w:t>
      </w:r>
      <w:r w:rsidRPr="00D83BD4">
        <w:rPr>
          <w:sz w:val="28"/>
          <w:szCs w:val="28"/>
          <w:lang w:val="en-US"/>
        </w:rPr>
        <w:t xml:space="preserve">; </w:t>
      </w:r>
      <w:r w:rsidRPr="00D83BD4">
        <w:rPr>
          <w:sz w:val="28"/>
          <w:szCs w:val="28"/>
        </w:rPr>
        <w:t>(279)</w:t>
      </w:r>
      <w:r w:rsidRPr="00D83BD4">
        <w:rPr>
          <w:sz w:val="28"/>
          <w:szCs w:val="28"/>
          <w:lang w:val="en-US"/>
        </w:rPr>
        <w:t>:</w:t>
      </w:r>
      <w:r w:rsidRPr="00D83BD4">
        <w:rPr>
          <w:sz w:val="28"/>
          <w:szCs w:val="28"/>
        </w:rPr>
        <w:t xml:space="preserve">43-54. </w:t>
      </w:r>
      <w:r w:rsidRPr="00D83BD4">
        <w:rPr>
          <w:sz w:val="28"/>
          <w:szCs w:val="28"/>
          <w:shd w:val="clear" w:color="auto" w:fill="FFFFFF"/>
          <w:lang w:val="en-US"/>
        </w:rPr>
        <w:t> </w:t>
      </w:r>
      <w:r w:rsidRPr="00D83BD4">
        <w:rPr>
          <w:sz w:val="28"/>
          <w:szCs w:val="28"/>
          <w:lang w:val="en-US"/>
        </w:rPr>
        <w:t xml:space="preserve">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lang w:val="uk-UA"/>
        </w:rPr>
        <w:t>Калинченко СЮ, Гусакова ДА, Ворслов ЛО, Тишова ЮА, Тюзиков ИА, Нижник АН. Окислительный стресс и</w:t>
      </w:r>
      <w:r w:rsidRPr="00D83BD4">
        <w:rPr>
          <w:sz w:val="28"/>
          <w:szCs w:val="28"/>
        </w:rPr>
        <w:t> </w:t>
      </w:r>
      <w:r w:rsidRPr="00D83BD4">
        <w:rPr>
          <w:sz w:val="28"/>
          <w:szCs w:val="28"/>
          <w:lang w:val="uk-UA"/>
        </w:rPr>
        <w:t xml:space="preserve">старение. </w:t>
      </w:r>
      <w:r w:rsidRPr="00D83BD4">
        <w:rPr>
          <w:sz w:val="28"/>
          <w:szCs w:val="28"/>
        </w:rPr>
        <w:t>Роль витамина D в генезе ассоциированных с возрастом заболеваний</w:t>
      </w:r>
      <w:r w:rsidRPr="00D83BD4">
        <w:rPr>
          <w:sz w:val="28"/>
          <w:szCs w:val="28"/>
          <w:lang w:val="uk-UA"/>
        </w:rPr>
        <w:t>. Эффективная фармакотерапия.</w:t>
      </w:r>
      <w:r w:rsidRPr="00D83BD4">
        <w:rPr>
          <w:sz w:val="28"/>
          <w:szCs w:val="28"/>
          <w:lang w:val="en-US"/>
        </w:rPr>
        <w:t xml:space="preserve"> </w:t>
      </w:r>
      <w:r w:rsidRPr="00D83BD4">
        <w:rPr>
          <w:sz w:val="28"/>
          <w:szCs w:val="28"/>
          <w:lang w:val="uk-UA"/>
        </w:rPr>
        <w:t>2016;(2):8-14.</w:t>
      </w:r>
    </w:p>
    <w:p w:rsidR="00E3259F" w:rsidRPr="00D83BD4" w:rsidRDefault="00E3259F" w:rsidP="00D83BD4">
      <w:pPr>
        <w:numPr>
          <w:ilvl w:val="0"/>
          <w:numId w:val="26"/>
        </w:numPr>
        <w:tabs>
          <w:tab w:val="clear" w:pos="360"/>
          <w:tab w:val="left" w:pos="0"/>
          <w:tab w:val="num" w:pos="540"/>
        </w:tabs>
        <w:spacing w:line="360" w:lineRule="auto"/>
        <w:ind w:left="0" w:firstLine="0"/>
        <w:jc w:val="both"/>
        <w:rPr>
          <w:rFonts w:eastAsiaTheme="majorEastAsia"/>
          <w:bCs/>
          <w:sz w:val="28"/>
          <w:szCs w:val="28"/>
        </w:rPr>
      </w:pPr>
      <w:r w:rsidRPr="00D83BD4">
        <w:rPr>
          <w:sz w:val="28"/>
          <w:szCs w:val="28"/>
        </w:rPr>
        <w:t xml:space="preserve">Карамова РФ, Хасанов АГ, Нафикова РА. </w:t>
      </w:r>
      <w:r w:rsidRPr="00D83BD4">
        <w:rPr>
          <w:sz w:val="28"/>
          <w:szCs w:val="28"/>
          <w:lang w:val="uk-UA"/>
        </w:rPr>
        <w:t>Н</w:t>
      </w:r>
      <w:r w:rsidRPr="00D83BD4">
        <w:rPr>
          <w:sz w:val="28"/>
          <w:szCs w:val="28"/>
        </w:rPr>
        <w:t xml:space="preserve">овый взгляд на возрастной критерий больных хирургического профиля. Научное обозрение. Медицинские науки.   2016;(5):57-62. </w:t>
      </w:r>
    </w:p>
    <w:p w:rsidR="00E3259F" w:rsidRPr="00D83BD4" w:rsidRDefault="00E3259F" w:rsidP="00D83BD4">
      <w:pPr>
        <w:numPr>
          <w:ilvl w:val="0"/>
          <w:numId w:val="26"/>
        </w:numPr>
        <w:tabs>
          <w:tab w:val="clear" w:pos="360"/>
          <w:tab w:val="left" w:pos="0"/>
          <w:tab w:val="num" w:pos="540"/>
        </w:tabs>
        <w:spacing w:line="360" w:lineRule="auto"/>
        <w:ind w:left="0" w:firstLine="0"/>
        <w:jc w:val="both"/>
        <w:rPr>
          <w:rStyle w:val="afa"/>
          <w:rFonts w:eastAsiaTheme="majorEastAsia"/>
          <w:b w:val="0"/>
          <w:sz w:val="28"/>
          <w:szCs w:val="28"/>
        </w:rPr>
      </w:pPr>
      <w:r w:rsidRPr="00D83BD4">
        <w:rPr>
          <w:bCs/>
          <w:sz w:val="28"/>
          <w:szCs w:val="28"/>
        </w:rPr>
        <w:t>Князькова ИИ.</w:t>
      </w:r>
      <w:r w:rsidRPr="00D83BD4">
        <w:rPr>
          <w:bCs/>
          <w:sz w:val="28"/>
          <w:szCs w:val="28"/>
          <w:lang w:val="uk-UA"/>
        </w:rPr>
        <w:t xml:space="preserve"> </w:t>
      </w:r>
      <w:r w:rsidRPr="00D83BD4">
        <w:rPr>
          <w:bCs/>
          <w:sz w:val="28"/>
          <w:szCs w:val="28"/>
        </w:rPr>
        <w:t>Контроль артериального давления у больных артериальной гипертензией с сахарным диабетом</w:t>
      </w:r>
      <w:r w:rsidRPr="00D83BD4">
        <w:rPr>
          <w:bCs/>
          <w:sz w:val="28"/>
          <w:szCs w:val="28"/>
          <w:lang w:val="uk-UA"/>
        </w:rPr>
        <w:t>. Ліки України.</w:t>
      </w:r>
      <w:r w:rsidRPr="00D83BD4">
        <w:rPr>
          <w:bCs/>
          <w:sz w:val="28"/>
          <w:szCs w:val="28"/>
          <w:lang w:val="en-US"/>
        </w:rPr>
        <w:t xml:space="preserve"> </w:t>
      </w:r>
      <w:r w:rsidRPr="00D83BD4">
        <w:rPr>
          <w:bCs/>
          <w:sz w:val="28"/>
          <w:szCs w:val="28"/>
          <w:lang w:val="uk-UA"/>
        </w:rPr>
        <w:t>2014</w:t>
      </w:r>
      <w:r w:rsidRPr="00D83BD4">
        <w:rPr>
          <w:bCs/>
          <w:sz w:val="28"/>
          <w:szCs w:val="28"/>
          <w:lang w:val="en-US"/>
        </w:rPr>
        <w:t>;(</w:t>
      </w:r>
      <w:r w:rsidRPr="00D83BD4">
        <w:rPr>
          <w:bCs/>
          <w:sz w:val="28"/>
          <w:szCs w:val="28"/>
          <w:lang w:val="uk-UA"/>
        </w:rPr>
        <w:t>178</w:t>
      </w:r>
      <w:r w:rsidRPr="00D83BD4">
        <w:rPr>
          <w:bCs/>
          <w:sz w:val="28"/>
          <w:szCs w:val="28"/>
          <w:lang w:val="en-US"/>
        </w:rPr>
        <w:t>):</w:t>
      </w:r>
      <w:r w:rsidRPr="00D83BD4">
        <w:rPr>
          <w:bCs/>
          <w:sz w:val="28"/>
          <w:szCs w:val="28"/>
          <w:lang w:val="uk-UA"/>
        </w:rPr>
        <w:t>67-62.</w:t>
      </w:r>
    </w:p>
    <w:p w:rsidR="00E3259F" w:rsidRPr="00D83BD4" w:rsidRDefault="00E3259F" w:rsidP="00D83BD4">
      <w:pPr>
        <w:numPr>
          <w:ilvl w:val="0"/>
          <w:numId w:val="26"/>
        </w:numPr>
        <w:tabs>
          <w:tab w:val="clear" w:pos="360"/>
          <w:tab w:val="left" w:pos="0"/>
          <w:tab w:val="num" w:pos="540"/>
        </w:tabs>
        <w:spacing w:line="360" w:lineRule="auto"/>
        <w:ind w:left="0" w:firstLine="0"/>
        <w:jc w:val="both"/>
        <w:rPr>
          <w:rFonts w:eastAsiaTheme="majorEastAsia"/>
          <w:sz w:val="28"/>
          <w:szCs w:val="28"/>
        </w:rPr>
      </w:pPr>
      <w:r w:rsidRPr="00D83BD4">
        <w:rPr>
          <w:sz w:val="28"/>
          <w:szCs w:val="28"/>
        </w:rPr>
        <w:t xml:space="preserve"> </w:t>
      </w:r>
      <w:bookmarkStart w:id="28" w:name="_Hlk43326510"/>
      <w:r w:rsidRPr="00D83BD4">
        <w:rPr>
          <w:sz w:val="28"/>
          <w:szCs w:val="28"/>
        </w:rPr>
        <w:t>Коваленко ВМ</w:t>
      </w:r>
      <w:bookmarkEnd w:id="28"/>
      <w:r w:rsidRPr="00D83BD4">
        <w:rPr>
          <w:sz w:val="28"/>
          <w:szCs w:val="28"/>
        </w:rPr>
        <w:t xml:space="preserve">, Корнацький ВМ. Хвороби системи кровообігу як медико-соціальна і суспільно-політична проблема:  аналіт.-стат. посіб. Київ: ДУ </w:t>
      </w:r>
      <w:r w:rsidRPr="00D83BD4">
        <w:rPr>
          <w:sz w:val="28"/>
          <w:szCs w:val="28"/>
          <w:lang w:val="uk-UA"/>
        </w:rPr>
        <w:t>«</w:t>
      </w:r>
      <w:r w:rsidRPr="00D83BD4">
        <w:rPr>
          <w:sz w:val="28"/>
          <w:szCs w:val="28"/>
        </w:rPr>
        <w:t xml:space="preserve">ННЦ </w:t>
      </w:r>
      <w:r w:rsidRPr="00D83BD4">
        <w:rPr>
          <w:sz w:val="28"/>
          <w:szCs w:val="28"/>
          <w:lang w:val="uk-UA"/>
        </w:rPr>
        <w:t>«</w:t>
      </w:r>
      <w:r w:rsidRPr="00D83BD4">
        <w:rPr>
          <w:sz w:val="28"/>
          <w:szCs w:val="28"/>
        </w:rPr>
        <w:t>Ін-т кардіології ім. М. Д. Стражеска</w:t>
      </w:r>
      <w:r w:rsidRPr="00D83BD4">
        <w:rPr>
          <w:sz w:val="28"/>
          <w:szCs w:val="28"/>
          <w:lang w:val="uk-UA"/>
        </w:rPr>
        <w:t>»</w:t>
      </w:r>
      <w:r w:rsidRPr="00D83BD4">
        <w:rPr>
          <w:sz w:val="28"/>
          <w:szCs w:val="28"/>
        </w:rPr>
        <w:t xml:space="preserve">; 2014. </w:t>
      </w:r>
      <w:r w:rsidRPr="00D83BD4">
        <w:rPr>
          <w:sz w:val="28"/>
          <w:szCs w:val="28"/>
          <w:lang w:val="uk-UA"/>
        </w:rPr>
        <w:t>280с.</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rStyle w:val="afa"/>
          <w:rFonts w:eastAsiaTheme="majorEastAsia"/>
          <w:b w:val="0"/>
          <w:iCs/>
          <w:sz w:val="28"/>
          <w:szCs w:val="28"/>
          <w:lang w:val="uk-UA"/>
        </w:rPr>
        <w:t>Коваль СМ</w:t>
      </w:r>
      <w:r w:rsidRPr="00D83BD4">
        <w:rPr>
          <w:bCs/>
          <w:sz w:val="28"/>
          <w:szCs w:val="28"/>
          <w:lang w:val="uk-UA"/>
        </w:rPr>
        <w:t xml:space="preserve">, </w:t>
      </w:r>
      <w:r w:rsidRPr="00D83BD4">
        <w:rPr>
          <w:rStyle w:val="afa"/>
          <w:rFonts w:eastAsiaTheme="majorEastAsia"/>
          <w:b w:val="0"/>
          <w:iCs/>
          <w:sz w:val="28"/>
          <w:szCs w:val="28"/>
          <w:lang w:val="uk-UA"/>
        </w:rPr>
        <w:t>Снігурська ІО, Пенькова МЮ, Мисниченко ОВ, Літвінова ОМ,</w:t>
      </w:r>
      <w:r w:rsidRPr="00D83BD4">
        <w:rPr>
          <w:bCs/>
          <w:sz w:val="28"/>
          <w:szCs w:val="28"/>
          <w:lang w:val="uk-UA"/>
        </w:rPr>
        <w:t xml:space="preserve"> </w:t>
      </w:r>
      <w:r w:rsidRPr="00D83BD4">
        <w:rPr>
          <w:rStyle w:val="afa"/>
          <w:rFonts w:eastAsiaTheme="majorEastAsia"/>
          <w:b w:val="0"/>
          <w:iCs/>
          <w:sz w:val="28"/>
          <w:szCs w:val="28"/>
          <w:lang w:val="uk-UA"/>
        </w:rPr>
        <w:t>Юшко КО.</w:t>
      </w:r>
      <w:r w:rsidRPr="00D83BD4">
        <w:rPr>
          <w:bCs/>
          <w:sz w:val="28"/>
          <w:szCs w:val="28"/>
          <w:lang w:val="uk-UA"/>
        </w:rPr>
        <w:t xml:space="preserve"> Сучасні підходи до медикаментозного контролю артеріальної гіпертензії у хворих на цукровий діабет. Раціональна фармакотерапія. 2018</w:t>
      </w:r>
      <w:r w:rsidRPr="00D83BD4">
        <w:rPr>
          <w:bCs/>
          <w:sz w:val="28"/>
          <w:szCs w:val="28"/>
          <w:lang w:val="en-US"/>
        </w:rPr>
        <w:t>;</w:t>
      </w:r>
      <w:r w:rsidRPr="00D83BD4">
        <w:rPr>
          <w:bCs/>
          <w:sz w:val="28"/>
          <w:szCs w:val="28"/>
          <w:lang w:val="uk-UA"/>
        </w:rPr>
        <w:t>(47)</w:t>
      </w:r>
      <w:r w:rsidRPr="00D83BD4">
        <w:rPr>
          <w:bCs/>
          <w:sz w:val="28"/>
          <w:szCs w:val="28"/>
          <w:lang w:val="en-US"/>
        </w:rPr>
        <w:t>:</w:t>
      </w:r>
      <w:r w:rsidRPr="00D83BD4">
        <w:rPr>
          <w:bCs/>
          <w:sz w:val="28"/>
          <w:szCs w:val="28"/>
          <w:lang w:val="uk-UA"/>
        </w:rPr>
        <w:t>24-33.</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Коляда АК, Вайсерман АМ, Красненков ДС, Карабань ИН.  Исследование длины теломер у пациентов с болезнью Паркинсона. Журнал Неврологии и Психиатрии</w:t>
      </w:r>
      <w:r w:rsidRPr="00D83BD4">
        <w:rPr>
          <w:sz w:val="28"/>
          <w:szCs w:val="28"/>
          <w:lang w:val="en-US"/>
        </w:rPr>
        <w:t>.</w:t>
      </w:r>
      <w:r w:rsidRPr="00D83BD4">
        <w:rPr>
          <w:sz w:val="28"/>
          <w:szCs w:val="28"/>
        </w:rPr>
        <w:t xml:space="preserve"> 2014;8:59-62</w:t>
      </w:r>
      <w:r w:rsidRPr="00D83BD4">
        <w:rPr>
          <w:sz w:val="28"/>
          <w:szCs w:val="28"/>
          <w:lang w:val="uk-UA"/>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Кондрацкая ИН</w:t>
      </w:r>
      <w:r w:rsidRPr="00D83BD4">
        <w:rPr>
          <w:sz w:val="28"/>
          <w:szCs w:val="28"/>
          <w:lang w:val="uk-UA"/>
        </w:rPr>
        <w:t xml:space="preserve">. </w:t>
      </w:r>
      <w:r w:rsidRPr="00D83BD4">
        <w:rPr>
          <w:sz w:val="28"/>
          <w:szCs w:val="28"/>
        </w:rPr>
        <w:t xml:space="preserve">Сахарный диабет 2 типа. </w:t>
      </w:r>
      <w:r w:rsidRPr="00D83BD4">
        <w:rPr>
          <w:sz w:val="28"/>
          <w:szCs w:val="28"/>
          <w:lang w:val="uk-UA"/>
        </w:rPr>
        <w:t>К</w:t>
      </w:r>
      <w:r w:rsidRPr="00D83BD4">
        <w:rPr>
          <w:sz w:val="28"/>
          <w:szCs w:val="28"/>
        </w:rPr>
        <w:t xml:space="preserve">ритерии постановки диагноза. </w:t>
      </w:r>
      <w:r w:rsidRPr="00D83BD4">
        <w:rPr>
          <w:sz w:val="28"/>
          <w:szCs w:val="28"/>
          <w:lang w:val="uk-UA"/>
        </w:rPr>
        <w:t>П</w:t>
      </w:r>
      <w:r w:rsidRPr="00D83BD4">
        <w:rPr>
          <w:sz w:val="28"/>
          <w:szCs w:val="28"/>
        </w:rPr>
        <w:t>ринципы первичной антигипергликемической терапии</w:t>
      </w:r>
      <w:r w:rsidRPr="00D83BD4">
        <w:rPr>
          <w:sz w:val="28"/>
          <w:szCs w:val="28"/>
          <w:lang w:val="uk-UA"/>
        </w:rPr>
        <w:t>.</w:t>
      </w:r>
      <w:r w:rsidRPr="00D83BD4">
        <w:rPr>
          <w:sz w:val="28"/>
          <w:szCs w:val="28"/>
        </w:rPr>
        <w:t xml:space="preserve"> Проблеми ендокринної патологiї</w:t>
      </w:r>
      <w:r w:rsidRPr="00D83BD4">
        <w:rPr>
          <w:sz w:val="28"/>
          <w:szCs w:val="28"/>
          <w:lang w:val="uk-UA"/>
        </w:rPr>
        <w:t>.</w:t>
      </w:r>
      <w:r w:rsidRPr="00D83BD4">
        <w:rPr>
          <w:sz w:val="28"/>
          <w:szCs w:val="28"/>
        </w:rPr>
        <w:t xml:space="preserve"> 2015;(2):</w:t>
      </w:r>
      <w:r w:rsidRPr="00D83BD4">
        <w:rPr>
          <w:sz w:val="28"/>
          <w:szCs w:val="28"/>
          <w:lang w:val="uk-UA"/>
        </w:rPr>
        <w:t>119-122.</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rPr>
        <w:t xml:space="preserve">   Кононов СИ, Маль ГС. Влияние розувастатина на толщину комплекса интимамедиа сонных артерий у пациентов с ИБС различного пола и профиля сердечно- сосудистого риска. Фармация и фармакология</w:t>
      </w:r>
      <w:r w:rsidRPr="00D83BD4">
        <w:rPr>
          <w:sz w:val="28"/>
          <w:szCs w:val="28"/>
          <w:lang w:val="en-US"/>
        </w:rPr>
        <w:t xml:space="preserve">. </w:t>
      </w:r>
      <w:r w:rsidRPr="00D83BD4">
        <w:rPr>
          <w:sz w:val="28"/>
          <w:szCs w:val="28"/>
        </w:rPr>
        <w:t>2018</w:t>
      </w:r>
      <w:r w:rsidRPr="00D83BD4">
        <w:rPr>
          <w:sz w:val="28"/>
          <w:szCs w:val="28"/>
          <w:lang w:val="en-US"/>
        </w:rPr>
        <w:t xml:space="preserve">; </w:t>
      </w:r>
      <w:r w:rsidRPr="00D83BD4">
        <w:rPr>
          <w:sz w:val="28"/>
          <w:szCs w:val="28"/>
        </w:rPr>
        <w:t>6</w:t>
      </w:r>
      <w:r w:rsidRPr="00D83BD4">
        <w:rPr>
          <w:sz w:val="28"/>
          <w:szCs w:val="28"/>
          <w:lang w:val="en-US"/>
        </w:rPr>
        <w:t>(</w:t>
      </w:r>
      <w:r w:rsidRPr="00D83BD4">
        <w:rPr>
          <w:sz w:val="28"/>
          <w:szCs w:val="28"/>
        </w:rPr>
        <w:t>2</w:t>
      </w:r>
      <w:r w:rsidRPr="00D83BD4">
        <w:rPr>
          <w:sz w:val="28"/>
          <w:szCs w:val="28"/>
          <w:lang w:val="en-US"/>
        </w:rPr>
        <w:t>):</w:t>
      </w:r>
      <w:r w:rsidRPr="00D83BD4">
        <w:rPr>
          <w:sz w:val="28"/>
          <w:szCs w:val="28"/>
          <w:lang w:val="uk-UA"/>
        </w:rPr>
        <w:t>182-196</w:t>
      </w:r>
      <w:r w:rsidRPr="00D83BD4">
        <w:rPr>
          <w:sz w:val="28"/>
          <w:szCs w:val="28"/>
          <w:lang w:val="en-US"/>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kern w:val="36"/>
          <w:sz w:val="28"/>
          <w:szCs w:val="28"/>
        </w:rPr>
        <w:t>Кононова НЮ,</w:t>
      </w:r>
      <w:r w:rsidRPr="00D83BD4">
        <w:rPr>
          <w:bCs/>
          <w:kern w:val="36"/>
          <w:sz w:val="28"/>
          <w:szCs w:val="28"/>
          <w:lang w:val="uk-UA"/>
        </w:rPr>
        <w:t xml:space="preserve"> </w:t>
      </w:r>
      <w:r w:rsidRPr="00D83BD4">
        <w:rPr>
          <w:bCs/>
          <w:kern w:val="36"/>
          <w:sz w:val="28"/>
          <w:szCs w:val="28"/>
        </w:rPr>
        <w:t>Чернышова ТЕ, Загртдинова РМ. Оценка биологического возраста и темпа старения пациенток с недифференцированной дисплазией соединительной ткани. Архивъ внутренней медицины.</w:t>
      </w:r>
      <w:r w:rsidRPr="00D83BD4">
        <w:rPr>
          <w:sz w:val="28"/>
          <w:szCs w:val="28"/>
          <w:shd w:val="clear" w:color="auto" w:fill="FFFFFF"/>
        </w:rPr>
        <w:t xml:space="preserve"> 2017;7(4):287-291.  </w:t>
      </w:r>
      <w:r w:rsidRPr="00964B26">
        <w:rPr>
          <w:sz w:val="28"/>
          <w:szCs w:val="28"/>
          <w:shd w:val="clear" w:color="auto" w:fill="FFFFFF"/>
        </w:rPr>
        <w:t>https://doi.org/10.20514/2226-6704-2017-7-4-287-291</w:t>
      </w:r>
      <w:r w:rsidRPr="00964B26">
        <w:rPr>
          <w:sz w:val="28"/>
          <w:szCs w:val="28"/>
        </w:rPr>
        <w:t xml:space="preserve"> </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Корякина ЛБ</w:t>
      </w:r>
      <w:r w:rsidRPr="00D83BD4">
        <w:rPr>
          <w:sz w:val="28"/>
          <w:szCs w:val="28"/>
          <w:lang w:val="uk-UA"/>
        </w:rPr>
        <w:t xml:space="preserve">, </w:t>
      </w:r>
      <w:r w:rsidRPr="00D83BD4">
        <w:rPr>
          <w:sz w:val="28"/>
          <w:szCs w:val="28"/>
        </w:rPr>
        <w:t>Пивоваров ЮИ, Курильская ТЕ, Сергеева АС, Бабушкина ИВ.  Дисфункция сосудистого эндотелия при артериальной гипертонии и ишемической болезни сердца (обзор литературы)</w:t>
      </w:r>
      <w:r w:rsidRPr="00D83BD4">
        <w:rPr>
          <w:sz w:val="28"/>
          <w:szCs w:val="28"/>
          <w:lang w:val="uk-UA"/>
        </w:rPr>
        <w:t xml:space="preserve">. </w:t>
      </w:r>
      <w:r w:rsidRPr="00D83BD4">
        <w:rPr>
          <w:sz w:val="28"/>
          <w:szCs w:val="28"/>
        </w:rPr>
        <w:t>Бюллетень ВСНЦ СО РАМН. 2013</w:t>
      </w:r>
      <w:r w:rsidRPr="00D83BD4">
        <w:rPr>
          <w:sz w:val="28"/>
          <w:szCs w:val="28"/>
          <w:lang w:val="en-US"/>
        </w:rPr>
        <w:t>;(</w:t>
      </w:r>
      <w:r w:rsidRPr="00D83BD4">
        <w:rPr>
          <w:sz w:val="28"/>
          <w:szCs w:val="28"/>
        </w:rPr>
        <w:t>2</w:t>
      </w:r>
      <w:r w:rsidRPr="00D83BD4">
        <w:rPr>
          <w:sz w:val="28"/>
          <w:szCs w:val="28"/>
          <w:lang w:val="en-US"/>
        </w:rPr>
        <w:t>):</w:t>
      </w:r>
      <w:r w:rsidRPr="00D83BD4">
        <w:rPr>
          <w:sz w:val="28"/>
          <w:szCs w:val="28"/>
        </w:rPr>
        <w:t>165-170.</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Кособян ЕП, Ярек-Мартынова ИР, Ясаманова АН, Колесникова ТИ, Мартынов МЮ. Роль эндотелиальной дисфункции в развитии цереброваскулярного поражения у пациентов с сахарным диабетом. Сахарный диабет. 2012;(1):42-48.</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 xml:space="preserve">Красненков ДС, Лосева ДА, Коляда АК, Кухарский ВМ, Махний ТИ, Вайсерман АМ, Ивасюк МР. </w:t>
      </w:r>
      <w:r w:rsidRPr="00D83BD4">
        <w:rPr>
          <w:sz w:val="28"/>
          <w:szCs w:val="28"/>
          <w:lang w:val="uk-UA"/>
        </w:rPr>
        <w:t>Д</w:t>
      </w:r>
      <w:r w:rsidRPr="00D83BD4">
        <w:rPr>
          <w:sz w:val="28"/>
          <w:szCs w:val="28"/>
        </w:rPr>
        <w:t>лина теломер в буккальном эпителии у жителей разного возраста киевской области.  Пробл. старения и долголетия.</w:t>
      </w:r>
      <w:r w:rsidRPr="00D83BD4">
        <w:rPr>
          <w:sz w:val="28"/>
          <w:szCs w:val="28"/>
          <w:lang w:val="en-US"/>
        </w:rPr>
        <w:t xml:space="preserve"> </w:t>
      </w:r>
      <w:r w:rsidRPr="00D83BD4">
        <w:rPr>
          <w:sz w:val="28"/>
          <w:szCs w:val="28"/>
        </w:rPr>
        <w:t>2015; 24( 2):111</w:t>
      </w:r>
      <w:r w:rsidRPr="00D83BD4">
        <w:rPr>
          <w:sz w:val="28"/>
          <w:szCs w:val="28"/>
          <w:lang w:val="en-US"/>
        </w:rPr>
        <w:t>-</w:t>
      </w:r>
      <w:r w:rsidRPr="00D83BD4">
        <w:rPr>
          <w:sz w:val="28"/>
          <w:szCs w:val="28"/>
        </w:rPr>
        <w:t>119.</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sz w:val="28"/>
          <w:szCs w:val="28"/>
        </w:rPr>
        <w:t>Крутько ВН, Донцов ВИ, Мамиконова ОА, Пырву ВВ, Розенблит СИ. Диагностика старения и биологический возраст в медицине антистарения. Международные обзоры: Клиническая практика и здоровье.  2017</w:t>
      </w:r>
      <w:r w:rsidRPr="00D83BD4">
        <w:rPr>
          <w:sz w:val="28"/>
          <w:szCs w:val="28"/>
          <w:lang w:val="en-US"/>
        </w:rPr>
        <w:t>;(</w:t>
      </w:r>
      <w:r w:rsidRPr="00D83BD4">
        <w:rPr>
          <w:sz w:val="28"/>
          <w:szCs w:val="28"/>
        </w:rPr>
        <w:t>3</w:t>
      </w:r>
      <w:r w:rsidRPr="00D83BD4">
        <w:rPr>
          <w:sz w:val="28"/>
          <w:szCs w:val="28"/>
          <w:lang w:val="en-US"/>
        </w:rPr>
        <w:t>):</w:t>
      </w:r>
      <w:r w:rsidRPr="00D83BD4">
        <w:rPr>
          <w:sz w:val="28"/>
          <w:szCs w:val="28"/>
        </w:rPr>
        <w:t>82-98.</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Курята АВ, Гречаник ММ. Функциональное состояния эндотелия сосудов у пациентов с ишемической болезнью сердца в сочетании с неалкогольной жировой болезнью печени в зависимости от массы тела и влияния статинотерапии</w:t>
      </w:r>
      <w:r w:rsidRPr="00D83BD4">
        <w:rPr>
          <w:sz w:val="28"/>
          <w:szCs w:val="28"/>
          <w:lang w:val="uk-UA"/>
        </w:rPr>
        <w:t xml:space="preserve">. </w:t>
      </w:r>
      <w:r w:rsidRPr="00D83BD4">
        <w:rPr>
          <w:sz w:val="28"/>
          <w:szCs w:val="28"/>
        </w:rPr>
        <w:t xml:space="preserve">Запорожский медицинский журнал. </w:t>
      </w:r>
      <w:r w:rsidRPr="00D83BD4">
        <w:rPr>
          <w:sz w:val="28"/>
          <w:szCs w:val="28"/>
          <w:lang w:val="en-US"/>
        </w:rPr>
        <w:t xml:space="preserve"> </w:t>
      </w:r>
      <w:r w:rsidRPr="00D83BD4">
        <w:rPr>
          <w:sz w:val="28"/>
          <w:szCs w:val="28"/>
        </w:rPr>
        <w:t xml:space="preserve"> 2015</w:t>
      </w:r>
      <w:r w:rsidRPr="00D83BD4">
        <w:rPr>
          <w:sz w:val="28"/>
          <w:szCs w:val="28"/>
          <w:lang w:val="en-US"/>
        </w:rPr>
        <w:t>;(</w:t>
      </w:r>
      <w:r w:rsidRPr="00D83BD4">
        <w:rPr>
          <w:sz w:val="28"/>
          <w:szCs w:val="28"/>
        </w:rPr>
        <w:t>1</w:t>
      </w:r>
      <w:r w:rsidRPr="00D83BD4">
        <w:rPr>
          <w:sz w:val="28"/>
          <w:szCs w:val="28"/>
          <w:lang w:val="en-US"/>
        </w:rPr>
        <w:t>):</w:t>
      </w:r>
      <w:r w:rsidRPr="00D83BD4">
        <w:rPr>
          <w:sz w:val="28"/>
          <w:szCs w:val="28"/>
        </w:rPr>
        <w:t>14-19.</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Кутакова НС, Шушкова ТС, Юдина ТВ. Методология оценки темпов биологического старения в гигиенических исследованиях. Весник РГМУ.</w:t>
      </w:r>
      <w:r w:rsidRPr="00D83BD4">
        <w:rPr>
          <w:sz w:val="28"/>
          <w:szCs w:val="28"/>
          <w:lang w:val="en-US"/>
        </w:rPr>
        <w:t xml:space="preserve"> </w:t>
      </w:r>
      <w:r w:rsidRPr="00D83BD4">
        <w:rPr>
          <w:sz w:val="28"/>
          <w:szCs w:val="28"/>
        </w:rPr>
        <w:t>2013</w:t>
      </w:r>
      <w:r w:rsidRPr="00D83BD4">
        <w:rPr>
          <w:sz w:val="28"/>
          <w:szCs w:val="28"/>
          <w:lang w:val="en-US"/>
        </w:rPr>
        <w:t>;(</w:t>
      </w:r>
      <w:r w:rsidRPr="00D83BD4">
        <w:rPr>
          <w:sz w:val="28"/>
          <w:szCs w:val="28"/>
        </w:rPr>
        <w:t>5-6</w:t>
      </w:r>
      <w:r w:rsidRPr="00D83BD4">
        <w:rPr>
          <w:sz w:val="28"/>
          <w:szCs w:val="28"/>
          <w:lang w:val="en-US"/>
        </w:rPr>
        <w:t>):</w:t>
      </w:r>
      <w:r w:rsidRPr="00D83BD4">
        <w:rPr>
          <w:sz w:val="28"/>
          <w:szCs w:val="28"/>
        </w:rPr>
        <w:t>59-63.</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rStyle w:val="hl"/>
          <w:sz w:val="28"/>
          <w:szCs w:val="28"/>
          <w:lang w:val="uk-UA"/>
        </w:rPr>
        <w:t>Ленг О, Разви С.</w:t>
      </w:r>
      <w:r w:rsidRPr="00D83BD4">
        <w:rPr>
          <w:i/>
          <w:iCs/>
          <w:sz w:val="28"/>
          <w:szCs w:val="28"/>
          <w:lang w:val="uk-UA"/>
        </w:rPr>
        <w:t xml:space="preserve"> </w:t>
      </w:r>
      <w:r w:rsidRPr="00D83BD4">
        <w:rPr>
          <w:sz w:val="28"/>
          <w:szCs w:val="28"/>
          <w:lang w:val="uk-UA"/>
        </w:rPr>
        <w:t>Гипотиреоз у пожилых людей</w:t>
      </w:r>
      <w:r w:rsidRPr="00D83BD4">
        <w:rPr>
          <w:i/>
          <w:iCs/>
          <w:sz w:val="28"/>
          <w:szCs w:val="28"/>
          <w:lang w:val="uk-UA"/>
        </w:rPr>
        <w:t>.</w:t>
      </w:r>
      <w:r w:rsidRPr="00D83BD4">
        <w:rPr>
          <w:sz w:val="28"/>
          <w:szCs w:val="28"/>
          <w:lang w:val="uk-UA"/>
        </w:rPr>
        <w:t xml:space="preserve"> </w:t>
      </w:r>
      <w:r w:rsidRPr="00964B26">
        <w:rPr>
          <w:rStyle w:val="a3"/>
          <w:color w:val="auto"/>
          <w:sz w:val="28"/>
          <w:szCs w:val="28"/>
          <w:u w:val="none"/>
          <w:lang w:val="uk-UA"/>
        </w:rPr>
        <w:t>Эндокринология: Новости. Мнения. Обучение</w:t>
      </w:r>
      <w:r w:rsidRPr="00964B26">
        <w:rPr>
          <w:sz w:val="28"/>
          <w:szCs w:val="28"/>
          <w:lang w:val="uk-UA"/>
        </w:rPr>
        <w:t>.</w:t>
      </w:r>
      <w:r w:rsidRPr="00D83BD4">
        <w:rPr>
          <w:sz w:val="28"/>
          <w:szCs w:val="28"/>
          <w:lang w:val="en-US"/>
        </w:rPr>
        <w:t xml:space="preserve"> </w:t>
      </w:r>
      <w:r w:rsidRPr="00D83BD4">
        <w:rPr>
          <w:sz w:val="28"/>
          <w:szCs w:val="28"/>
          <w:lang w:val="uk-UA"/>
        </w:rPr>
        <w:t>2019</w:t>
      </w:r>
      <w:r w:rsidRPr="00D83BD4">
        <w:rPr>
          <w:sz w:val="28"/>
          <w:szCs w:val="28"/>
          <w:lang w:val="en-US"/>
        </w:rPr>
        <w:t>;</w:t>
      </w:r>
      <w:r w:rsidRPr="00D83BD4">
        <w:rPr>
          <w:sz w:val="28"/>
          <w:szCs w:val="28"/>
          <w:lang w:val="uk-UA"/>
        </w:rPr>
        <w:t>8</w:t>
      </w:r>
      <w:r w:rsidRPr="00D83BD4">
        <w:rPr>
          <w:sz w:val="28"/>
          <w:szCs w:val="28"/>
          <w:lang w:val="en-US"/>
        </w:rPr>
        <w:t>(</w:t>
      </w:r>
      <w:r w:rsidRPr="00D83BD4">
        <w:rPr>
          <w:sz w:val="28"/>
          <w:szCs w:val="28"/>
          <w:lang w:val="uk-UA"/>
        </w:rPr>
        <w:t>2</w:t>
      </w:r>
      <w:r w:rsidRPr="00D83BD4">
        <w:rPr>
          <w:sz w:val="28"/>
          <w:szCs w:val="28"/>
          <w:lang w:val="en-US"/>
        </w:rPr>
        <w:t>):</w:t>
      </w:r>
      <w:r w:rsidRPr="00D83BD4">
        <w:rPr>
          <w:sz w:val="28"/>
          <w:szCs w:val="28"/>
          <w:lang w:val="uk-UA"/>
        </w:rPr>
        <w:t>118-1129</w:t>
      </w:r>
      <w:r w:rsidRPr="00D83BD4">
        <w:rPr>
          <w:sz w:val="28"/>
          <w:szCs w:val="28"/>
          <w:lang w:val="en-US"/>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Лифшиц ВМ, Сидельникова ВИ. Медицинские лабораторные анализы. Москва: «Триада-Х»</w:t>
      </w:r>
      <w:r w:rsidRPr="00D83BD4">
        <w:rPr>
          <w:sz w:val="28"/>
          <w:szCs w:val="28"/>
          <w:lang w:val="en-US"/>
        </w:rPr>
        <w:t xml:space="preserve">; </w:t>
      </w:r>
      <w:r w:rsidRPr="00D83BD4">
        <w:rPr>
          <w:sz w:val="28"/>
          <w:szCs w:val="28"/>
        </w:rPr>
        <w:t xml:space="preserve">2003. </w:t>
      </w:r>
      <w:r w:rsidRPr="00D83BD4">
        <w:rPr>
          <w:sz w:val="28"/>
          <w:szCs w:val="28"/>
          <w:lang w:val="uk-UA"/>
        </w:rPr>
        <w:t>312с.</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sz w:val="28"/>
          <w:szCs w:val="28"/>
          <w:shd w:val="clear" w:color="auto" w:fill="FFFFFF"/>
        </w:rPr>
        <w:t>Лучихина ЛВ, Мендель ОИ, Мендель В, Голухов ГН. Остеоартрит и возраст. Роль старения в этиологии и патогенезе заболевания. Современная ревматология. 2017;11(1):4-11. </w:t>
      </w:r>
      <w:r w:rsidRPr="00D83BD4">
        <w:rPr>
          <w:sz w:val="28"/>
          <w:szCs w:val="28"/>
        </w:rPr>
        <w:t>doi</w:t>
      </w:r>
      <w:r w:rsidRPr="00D83BD4">
        <w:rPr>
          <w:sz w:val="28"/>
          <w:szCs w:val="28"/>
          <w:lang w:val="en-US"/>
        </w:rPr>
        <w:t>:</w:t>
      </w:r>
      <w:r w:rsidRPr="00D83BD4">
        <w:rPr>
          <w:sz w:val="28"/>
          <w:szCs w:val="28"/>
        </w:rPr>
        <w:t>10.14412/1996-7012-2017-1-4-11</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lang w:val="uk-UA"/>
        </w:rPr>
        <w:t xml:space="preserve">Макурина ГИ. Изучение механизмов активации васкулярного эндотелия у больных псориазом и артериальной гипертензией. </w:t>
      </w:r>
      <w:r w:rsidRPr="00D83BD4">
        <w:rPr>
          <w:sz w:val="28"/>
          <w:szCs w:val="28"/>
        </w:rPr>
        <w:t>Запорожский медицинский журнал.  2016</w:t>
      </w:r>
      <w:r w:rsidRPr="00D83BD4">
        <w:rPr>
          <w:sz w:val="28"/>
          <w:szCs w:val="28"/>
          <w:lang w:val="en-US"/>
        </w:rPr>
        <w:t>;</w:t>
      </w:r>
      <w:r w:rsidRPr="00D83BD4">
        <w:rPr>
          <w:sz w:val="28"/>
          <w:szCs w:val="28"/>
        </w:rPr>
        <w:t>(94)</w:t>
      </w:r>
      <w:r w:rsidRPr="00D83BD4">
        <w:rPr>
          <w:sz w:val="28"/>
          <w:szCs w:val="28"/>
          <w:lang w:val="en-US"/>
        </w:rPr>
        <w:t>:</w:t>
      </w:r>
      <w:r w:rsidRPr="00D83BD4">
        <w:rPr>
          <w:sz w:val="28"/>
          <w:szCs w:val="28"/>
        </w:rPr>
        <w:t>19-24.</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Мармий НВ, Есипов ДС. Биологическая роль 8-оксо-2’-дезоксигуанозина.</w:t>
      </w:r>
      <w:r w:rsidRPr="00D83BD4">
        <w:rPr>
          <w:sz w:val="28"/>
          <w:szCs w:val="28"/>
          <w:lang w:val="uk-UA"/>
        </w:rPr>
        <w:t xml:space="preserve"> </w:t>
      </w:r>
      <w:r w:rsidRPr="00D83BD4">
        <w:rPr>
          <w:sz w:val="28"/>
          <w:szCs w:val="28"/>
        </w:rPr>
        <w:t>Вестник Московского университета. Серия 16. Биология. 2015;(4):19-23.</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Медзиновский ЮФ, Плотникова АА, Мурсалов АУ. Молекулярные взаимодействия при гипогликемических состояниях, ассоциированных с сахарным диабетом второго типа, в пожилом возрасте. Современные проблемы науки и образования.  2017;(2). URL: http://www.science-education.ru/ru/article/view?id=26313 (дата обращения: 10.03.2020).</w:t>
      </w:r>
    </w:p>
    <w:p w:rsidR="00E3259F" w:rsidRPr="00D83BD4" w:rsidRDefault="00E3259F" w:rsidP="00D83BD4">
      <w:pPr>
        <w:numPr>
          <w:ilvl w:val="0"/>
          <w:numId w:val="26"/>
        </w:numPr>
        <w:tabs>
          <w:tab w:val="clear" w:pos="360"/>
          <w:tab w:val="left" w:pos="0"/>
          <w:tab w:val="num" w:pos="540"/>
        </w:tabs>
        <w:spacing w:line="360" w:lineRule="auto"/>
        <w:ind w:left="0" w:firstLine="0"/>
        <w:jc w:val="both"/>
        <w:rPr>
          <w:rStyle w:val="hl"/>
          <w:sz w:val="28"/>
          <w:szCs w:val="28"/>
        </w:rPr>
      </w:pPr>
      <w:r w:rsidRPr="00D83BD4">
        <w:rPr>
          <w:sz w:val="28"/>
          <w:szCs w:val="28"/>
          <w:lang w:val="uk-UA"/>
        </w:rPr>
        <w:t xml:space="preserve">Мельник АВ. Статеві відмінності показників про-антиоксидантної системи в міокарді щурів за умов гіпергомоцистеїнемії. Здобутки клінічної і експериментальної медицини. </w:t>
      </w:r>
      <w:r w:rsidRPr="00D83BD4">
        <w:rPr>
          <w:sz w:val="28"/>
          <w:szCs w:val="28"/>
        </w:rPr>
        <w:t>2017</w:t>
      </w:r>
      <w:r w:rsidRPr="00D83BD4">
        <w:rPr>
          <w:sz w:val="28"/>
          <w:szCs w:val="28"/>
          <w:lang w:val="en-US"/>
        </w:rPr>
        <w:t>;(</w:t>
      </w:r>
      <w:r w:rsidRPr="00D83BD4">
        <w:rPr>
          <w:sz w:val="28"/>
          <w:szCs w:val="28"/>
        </w:rPr>
        <w:t>1</w:t>
      </w:r>
      <w:r w:rsidRPr="00D83BD4">
        <w:rPr>
          <w:sz w:val="28"/>
          <w:szCs w:val="28"/>
          <w:lang w:val="en-US"/>
        </w:rPr>
        <w:t>):</w:t>
      </w:r>
      <w:r w:rsidRPr="00D83BD4">
        <w:rPr>
          <w:sz w:val="28"/>
          <w:szCs w:val="28"/>
          <w:lang w:val="uk-UA"/>
        </w:rPr>
        <w:t xml:space="preserve">47-51. </w:t>
      </w:r>
      <w:r w:rsidRPr="00D83BD4">
        <w:rPr>
          <w:sz w:val="28"/>
          <w:szCs w:val="28"/>
        </w:rPr>
        <w:t>doi</w:t>
      </w:r>
      <w:r w:rsidRPr="00D83BD4">
        <w:rPr>
          <w:sz w:val="28"/>
          <w:szCs w:val="28"/>
          <w:lang w:val="en-US"/>
        </w:rPr>
        <w:t>:</w:t>
      </w:r>
      <w:r w:rsidRPr="00D83BD4">
        <w:rPr>
          <w:sz w:val="28"/>
          <w:szCs w:val="28"/>
          <w:lang w:val="uk-UA"/>
        </w:rPr>
        <w:t xml:space="preserve"> 10.11603/1811-2471.2017.</w:t>
      </w:r>
      <w:r w:rsidRPr="00D83BD4">
        <w:rPr>
          <w:sz w:val="28"/>
          <w:szCs w:val="28"/>
        </w:rPr>
        <w:t>v</w:t>
      </w:r>
      <w:r w:rsidRPr="00D83BD4">
        <w:rPr>
          <w:sz w:val="28"/>
          <w:szCs w:val="28"/>
          <w:lang w:val="uk-UA"/>
        </w:rPr>
        <w:t>0.</w:t>
      </w:r>
      <w:r w:rsidRPr="00D83BD4">
        <w:rPr>
          <w:sz w:val="28"/>
          <w:szCs w:val="28"/>
        </w:rPr>
        <w:t>i</w:t>
      </w:r>
      <w:r w:rsidRPr="00D83BD4">
        <w:rPr>
          <w:sz w:val="28"/>
          <w:szCs w:val="28"/>
          <w:lang w:val="uk-UA"/>
        </w:rPr>
        <w:t>1.7558</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rStyle w:val="hl"/>
          <w:sz w:val="28"/>
          <w:szCs w:val="28"/>
          <w:bdr w:val="none" w:sz="0" w:space="0" w:color="auto" w:frame="1"/>
        </w:rPr>
        <w:t>Мухетдинова</w:t>
      </w:r>
      <w:r w:rsidRPr="00D83BD4">
        <w:rPr>
          <w:rStyle w:val="hl"/>
          <w:sz w:val="28"/>
          <w:szCs w:val="28"/>
          <w:bdr w:val="none" w:sz="0" w:space="0" w:color="auto" w:frame="1"/>
          <w:lang w:val="uk-UA"/>
        </w:rPr>
        <w:t xml:space="preserve"> ГА, </w:t>
      </w:r>
      <w:r w:rsidRPr="00D83BD4">
        <w:rPr>
          <w:rStyle w:val="hl"/>
          <w:sz w:val="28"/>
          <w:szCs w:val="28"/>
          <w:bdr w:val="none" w:sz="0" w:space="0" w:color="auto" w:frame="1"/>
        </w:rPr>
        <w:t>Вахитова ЗР</w:t>
      </w:r>
      <w:r w:rsidRPr="00D83BD4">
        <w:rPr>
          <w:rStyle w:val="hl"/>
          <w:sz w:val="28"/>
          <w:szCs w:val="28"/>
          <w:bdr w:val="none" w:sz="0" w:space="0" w:color="auto" w:frame="1"/>
          <w:lang w:val="uk-UA"/>
        </w:rPr>
        <w:t xml:space="preserve">, </w:t>
      </w:r>
      <w:r w:rsidRPr="00D83BD4">
        <w:rPr>
          <w:rStyle w:val="hl"/>
          <w:sz w:val="28"/>
          <w:szCs w:val="28"/>
          <w:bdr w:val="none" w:sz="0" w:space="0" w:color="auto" w:frame="1"/>
        </w:rPr>
        <w:t>Фазлыева</w:t>
      </w:r>
      <w:r w:rsidRPr="00D83BD4">
        <w:rPr>
          <w:rStyle w:val="hl"/>
          <w:sz w:val="28"/>
          <w:szCs w:val="28"/>
          <w:bdr w:val="none" w:sz="0" w:space="0" w:color="auto" w:frame="1"/>
          <w:lang w:val="uk-UA"/>
        </w:rPr>
        <w:t xml:space="preserve"> РМ, </w:t>
      </w:r>
      <w:r w:rsidRPr="00D83BD4">
        <w:rPr>
          <w:rStyle w:val="hl"/>
          <w:sz w:val="28"/>
          <w:szCs w:val="28"/>
          <w:bdr w:val="none" w:sz="0" w:space="0" w:color="auto" w:frame="1"/>
        </w:rPr>
        <w:t>Ибрагимова ЛА</w:t>
      </w:r>
      <w:r w:rsidRPr="00D83BD4">
        <w:rPr>
          <w:rStyle w:val="hl"/>
          <w:sz w:val="28"/>
          <w:szCs w:val="28"/>
          <w:bdr w:val="none" w:sz="0" w:space="0" w:color="auto" w:frame="1"/>
          <w:lang w:val="uk-UA"/>
        </w:rPr>
        <w:t xml:space="preserve">. </w:t>
      </w:r>
      <w:r w:rsidRPr="00D83BD4">
        <w:rPr>
          <w:sz w:val="28"/>
          <w:szCs w:val="28"/>
          <w:bdr w:val="none" w:sz="0" w:space="0" w:color="auto" w:frame="1"/>
        </w:rPr>
        <w:t>Сравнительная оценка сердечно-сосудистого риска при артериальной гипертензии и коморбидной патологии</w:t>
      </w:r>
      <w:r w:rsidRPr="00D83BD4">
        <w:rPr>
          <w:i/>
          <w:iCs/>
          <w:caps/>
          <w:sz w:val="28"/>
          <w:szCs w:val="28"/>
          <w:bdr w:val="none" w:sz="0" w:space="0" w:color="auto" w:frame="1"/>
          <w:lang w:val="uk-UA"/>
        </w:rPr>
        <w:t>.</w:t>
      </w:r>
      <w:r w:rsidRPr="00D83BD4">
        <w:rPr>
          <w:sz w:val="28"/>
          <w:szCs w:val="28"/>
          <w:lang w:val="uk-UA"/>
        </w:rPr>
        <w:t xml:space="preserve"> Вестник современной клинической медицины. 2015</w:t>
      </w:r>
      <w:r w:rsidRPr="00D83BD4">
        <w:rPr>
          <w:sz w:val="28"/>
          <w:szCs w:val="28"/>
          <w:lang w:val="en-US"/>
        </w:rPr>
        <w:t>;</w:t>
      </w:r>
      <w:r w:rsidRPr="00D83BD4">
        <w:rPr>
          <w:sz w:val="28"/>
          <w:szCs w:val="28"/>
          <w:lang w:val="uk-UA"/>
        </w:rPr>
        <w:t xml:space="preserve"> 8</w:t>
      </w:r>
      <w:r w:rsidRPr="00D83BD4">
        <w:rPr>
          <w:sz w:val="28"/>
          <w:szCs w:val="28"/>
          <w:lang w:val="en-US"/>
        </w:rPr>
        <w:t>(</w:t>
      </w:r>
      <w:r w:rsidRPr="00D83BD4">
        <w:rPr>
          <w:sz w:val="28"/>
          <w:szCs w:val="28"/>
          <w:lang w:val="uk-UA"/>
        </w:rPr>
        <w:t>1</w:t>
      </w:r>
      <w:r w:rsidRPr="00D83BD4">
        <w:rPr>
          <w:sz w:val="28"/>
          <w:szCs w:val="28"/>
          <w:lang w:val="en-US"/>
        </w:rPr>
        <w:t>):</w:t>
      </w:r>
      <w:r w:rsidRPr="00D83BD4">
        <w:rPr>
          <w:sz w:val="28"/>
          <w:szCs w:val="28"/>
          <w:lang w:val="uk-UA"/>
        </w:rPr>
        <w:t>27-30.</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Нажева МИ, Демидов ИА. Диагностическое значение определения базовых концентраций С-реактивного белка и интерлейкина-6 в крови для оценки риска сердечно-сосудистых заболеваний. Медицинский вестник Юга России.</w:t>
      </w:r>
      <w:r w:rsidRPr="00D83BD4">
        <w:rPr>
          <w:bCs/>
          <w:sz w:val="28"/>
          <w:szCs w:val="28"/>
          <w:lang w:val="en-US"/>
        </w:rPr>
        <w:t xml:space="preserve"> </w:t>
      </w:r>
      <w:r w:rsidRPr="00D83BD4">
        <w:rPr>
          <w:bCs/>
          <w:sz w:val="28"/>
          <w:szCs w:val="28"/>
        </w:rPr>
        <w:t>2015</w:t>
      </w:r>
      <w:r w:rsidRPr="00D83BD4">
        <w:rPr>
          <w:bCs/>
          <w:sz w:val="28"/>
          <w:szCs w:val="28"/>
          <w:lang w:val="en-US"/>
        </w:rPr>
        <w:t>;(</w:t>
      </w:r>
      <w:r w:rsidRPr="00D83BD4">
        <w:rPr>
          <w:bCs/>
          <w:sz w:val="28"/>
          <w:szCs w:val="28"/>
        </w:rPr>
        <w:t>1</w:t>
      </w:r>
      <w:r w:rsidRPr="00D83BD4">
        <w:rPr>
          <w:bCs/>
          <w:sz w:val="28"/>
          <w:szCs w:val="28"/>
          <w:lang w:val="en-US"/>
        </w:rPr>
        <w:t>):</w:t>
      </w:r>
      <w:r w:rsidRPr="00D83BD4">
        <w:rPr>
          <w:bCs/>
          <w:sz w:val="28"/>
          <w:szCs w:val="28"/>
        </w:rPr>
        <w:t>86-91</w:t>
      </w:r>
      <w:r w:rsidRPr="00D83BD4">
        <w:rPr>
          <w:bCs/>
          <w:sz w:val="28"/>
          <w:szCs w:val="28"/>
          <w:lang w:val="uk-UA"/>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Некрасова ТА, Стронгин ЛГ, Морозова ЕП, Дурыгина ЕМ, Казакова ЛВ.</w:t>
      </w:r>
      <w:r w:rsidRPr="00D83BD4">
        <w:rPr>
          <w:bCs/>
          <w:sz w:val="28"/>
          <w:szCs w:val="28"/>
          <w:lang w:val="uk-UA"/>
        </w:rPr>
        <w:t xml:space="preserve"> </w:t>
      </w:r>
      <w:r w:rsidRPr="00D83BD4">
        <w:rPr>
          <w:bCs/>
          <w:sz w:val="28"/>
          <w:szCs w:val="28"/>
        </w:rPr>
        <w:t xml:space="preserve">Модифицирующее влияние субклинического гипотиреоза на течение артериальной гипертензии: взаимосвязи со скрытой неэффективностью лечения, суточным профилем артериального давления и состоянием органов-мишеней.  </w:t>
      </w:r>
      <w:r w:rsidRPr="00D83BD4">
        <w:rPr>
          <w:bCs/>
          <w:sz w:val="28"/>
          <w:szCs w:val="28"/>
          <w:lang w:val="uk-UA"/>
        </w:rPr>
        <w:t>К</w:t>
      </w:r>
      <w:r w:rsidRPr="00D83BD4">
        <w:rPr>
          <w:bCs/>
          <w:sz w:val="28"/>
          <w:szCs w:val="28"/>
        </w:rPr>
        <w:t xml:space="preserve">линическая </w:t>
      </w:r>
      <w:r w:rsidRPr="00D83BD4">
        <w:rPr>
          <w:bCs/>
          <w:sz w:val="28"/>
          <w:szCs w:val="28"/>
          <w:lang w:val="en-US"/>
        </w:rPr>
        <w:t xml:space="preserve"> </w:t>
      </w:r>
      <w:r w:rsidRPr="00D83BD4">
        <w:rPr>
          <w:bCs/>
          <w:sz w:val="28"/>
          <w:szCs w:val="28"/>
        </w:rPr>
        <w:t xml:space="preserve">и </w:t>
      </w:r>
      <w:r w:rsidRPr="00D83BD4">
        <w:rPr>
          <w:bCs/>
          <w:sz w:val="28"/>
          <w:szCs w:val="28"/>
          <w:lang w:val="en-US"/>
        </w:rPr>
        <w:t xml:space="preserve"> </w:t>
      </w:r>
      <w:r w:rsidRPr="00D83BD4">
        <w:rPr>
          <w:bCs/>
          <w:sz w:val="28"/>
          <w:szCs w:val="28"/>
        </w:rPr>
        <w:t xml:space="preserve">экспериментальная </w:t>
      </w:r>
      <w:r w:rsidRPr="00D83BD4">
        <w:rPr>
          <w:bCs/>
          <w:sz w:val="28"/>
          <w:szCs w:val="28"/>
          <w:lang w:val="en-US"/>
        </w:rPr>
        <w:t xml:space="preserve"> </w:t>
      </w:r>
      <w:r w:rsidRPr="00D83BD4">
        <w:rPr>
          <w:bCs/>
          <w:sz w:val="28"/>
          <w:szCs w:val="28"/>
        </w:rPr>
        <w:t>тиреоидология</w:t>
      </w:r>
      <w:r w:rsidRPr="00D83BD4">
        <w:rPr>
          <w:bCs/>
          <w:sz w:val="28"/>
          <w:szCs w:val="28"/>
          <w:lang w:val="uk-UA"/>
        </w:rPr>
        <w:t>.</w:t>
      </w:r>
      <w:r w:rsidRPr="00D83BD4">
        <w:rPr>
          <w:bCs/>
          <w:sz w:val="28"/>
          <w:szCs w:val="28"/>
        </w:rPr>
        <w:t xml:space="preserve"> 2015</w:t>
      </w:r>
      <w:r w:rsidRPr="00D83BD4">
        <w:rPr>
          <w:bCs/>
          <w:sz w:val="28"/>
          <w:szCs w:val="28"/>
          <w:lang w:val="en-US"/>
        </w:rPr>
        <w:t>;</w:t>
      </w:r>
      <w:r w:rsidRPr="00D83BD4">
        <w:rPr>
          <w:bCs/>
          <w:sz w:val="28"/>
          <w:szCs w:val="28"/>
        </w:rPr>
        <w:t>11</w:t>
      </w:r>
      <w:r w:rsidRPr="00D83BD4">
        <w:rPr>
          <w:bCs/>
          <w:sz w:val="28"/>
          <w:szCs w:val="28"/>
          <w:lang w:val="en-US"/>
        </w:rPr>
        <w:t>(</w:t>
      </w:r>
      <w:r w:rsidRPr="00D83BD4">
        <w:rPr>
          <w:bCs/>
          <w:sz w:val="28"/>
          <w:szCs w:val="28"/>
        </w:rPr>
        <w:t>2</w:t>
      </w:r>
      <w:r w:rsidRPr="00D83BD4">
        <w:rPr>
          <w:bCs/>
          <w:sz w:val="28"/>
          <w:szCs w:val="28"/>
          <w:lang w:val="en-US"/>
        </w:rPr>
        <w:t>):</w:t>
      </w:r>
      <w:r w:rsidRPr="00D83BD4">
        <w:rPr>
          <w:bCs/>
          <w:sz w:val="28"/>
          <w:szCs w:val="28"/>
          <w:lang w:val="uk-UA"/>
        </w:rPr>
        <w:t>55-62.</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shd w:val="clear" w:color="auto" w:fill="FFFFFF"/>
        </w:rPr>
        <w:t>Некрасова ТА</w:t>
      </w:r>
      <w:r w:rsidRPr="00D83BD4">
        <w:rPr>
          <w:sz w:val="28"/>
          <w:szCs w:val="28"/>
          <w:shd w:val="clear" w:color="auto" w:fill="FFFFFF"/>
          <w:lang w:val="uk-UA"/>
        </w:rPr>
        <w:t xml:space="preserve">, </w:t>
      </w:r>
      <w:r w:rsidRPr="00D83BD4">
        <w:rPr>
          <w:sz w:val="28"/>
          <w:szCs w:val="28"/>
          <w:shd w:val="clear" w:color="auto" w:fill="FFFFFF"/>
        </w:rPr>
        <w:t xml:space="preserve"> Щербатюк</w:t>
      </w:r>
      <w:r w:rsidRPr="00D83BD4">
        <w:rPr>
          <w:sz w:val="28"/>
          <w:szCs w:val="28"/>
          <w:shd w:val="clear" w:color="auto" w:fill="FFFFFF"/>
          <w:lang w:val="uk-UA"/>
        </w:rPr>
        <w:t xml:space="preserve"> </w:t>
      </w:r>
      <w:r w:rsidRPr="00D83BD4">
        <w:rPr>
          <w:sz w:val="28"/>
          <w:szCs w:val="28"/>
          <w:shd w:val="clear" w:color="auto" w:fill="FFFFFF"/>
        </w:rPr>
        <w:t>ТГ, Давыденко ДВ, Леденцова ОВ</w:t>
      </w:r>
      <w:r w:rsidRPr="00D83BD4">
        <w:rPr>
          <w:sz w:val="28"/>
          <w:szCs w:val="28"/>
          <w:shd w:val="clear" w:color="auto" w:fill="FFFFFF"/>
          <w:lang w:val="uk-UA"/>
        </w:rPr>
        <w:t>,</w:t>
      </w:r>
      <w:r w:rsidRPr="00D83BD4">
        <w:rPr>
          <w:sz w:val="28"/>
          <w:szCs w:val="28"/>
          <w:shd w:val="clear" w:color="auto" w:fill="FFFFFF"/>
        </w:rPr>
        <w:t> Стронгин</w:t>
      </w:r>
      <w:r w:rsidRPr="00D83BD4">
        <w:rPr>
          <w:sz w:val="28"/>
          <w:szCs w:val="28"/>
          <w:shd w:val="clear" w:color="auto" w:fill="FFFFFF"/>
          <w:lang w:val="uk-UA"/>
        </w:rPr>
        <w:t xml:space="preserve"> </w:t>
      </w:r>
      <w:r w:rsidRPr="00D83BD4">
        <w:rPr>
          <w:sz w:val="28"/>
          <w:szCs w:val="28"/>
          <w:shd w:val="clear" w:color="auto" w:fill="FFFFFF"/>
        </w:rPr>
        <w:t>ЛГ.</w:t>
      </w:r>
      <w:r w:rsidRPr="00D83BD4">
        <w:rPr>
          <w:sz w:val="28"/>
          <w:szCs w:val="28"/>
          <w:shd w:val="clear" w:color="auto" w:fill="FFFFFF"/>
          <w:lang w:val="uk-UA"/>
        </w:rPr>
        <w:t xml:space="preserve"> О</w:t>
      </w:r>
      <w:r w:rsidRPr="00D83BD4">
        <w:rPr>
          <w:sz w:val="28"/>
          <w:szCs w:val="28"/>
          <w:shd w:val="clear" w:color="auto" w:fill="FFFFFF"/>
        </w:rPr>
        <w:t>собенности перекисного окисления липидов и белков при аутоиммунном тиреоидите без и с минимальной тиреоидной дисфункцией</w:t>
      </w:r>
      <w:r w:rsidRPr="00D83BD4">
        <w:rPr>
          <w:sz w:val="28"/>
          <w:szCs w:val="28"/>
          <w:shd w:val="clear" w:color="auto" w:fill="FFFFFF"/>
          <w:lang w:val="uk-UA"/>
        </w:rPr>
        <w:t>. Кл</w:t>
      </w:r>
      <w:r w:rsidRPr="00D83BD4">
        <w:rPr>
          <w:sz w:val="28"/>
          <w:szCs w:val="28"/>
          <w:shd w:val="clear" w:color="auto" w:fill="FFFFFF"/>
        </w:rPr>
        <w:t>иническая и экспериментальная тиреоидология</w:t>
      </w:r>
      <w:r w:rsidRPr="00D83BD4">
        <w:rPr>
          <w:caps/>
          <w:sz w:val="28"/>
          <w:szCs w:val="28"/>
          <w:shd w:val="clear" w:color="auto" w:fill="FFFFFF"/>
          <w:lang w:val="uk-UA"/>
        </w:rPr>
        <w:t>.</w:t>
      </w:r>
      <w:r w:rsidRPr="00D83BD4">
        <w:rPr>
          <w:caps/>
          <w:sz w:val="28"/>
          <w:szCs w:val="28"/>
          <w:shd w:val="clear" w:color="auto" w:fill="FFFFFF"/>
          <w:lang w:val="en-US"/>
        </w:rPr>
        <w:t xml:space="preserve"> </w:t>
      </w:r>
      <w:r w:rsidRPr="00D83BD4">
        <w:rPr>
          <w:caps/>
          <w:sz w:val="28"/>
          <w:szCs w:val="28"/>
          <w:shd w:val="clear" w:color="auto" w:fill="FFFFFF"/>
          <w:lang w:val="uk-UA"/>
        </w:rPr>
        <w:t>2011</w:t>
      </w:r>
      <w:r w:rsidRPr="00D83BD4">
        <w:rPr>
          <w:caps/>
          <w:sz w:val="28"/>
          <w:szCs w:val="28"/>
          <w:shd w:val="clear" w:color="auto" w:fill="FFFFFF"/>
          <w:lang w:val="en-US"/>
        </w:rPr>
        <w:t>;7(</w:t>
      </w:r>
      <w:r w:rsidRPr="00D83BD4">
        <w:rPr>
          <w:caps/>
          <w:sz w:val="28"/>
          <w:szCs w:val="28"/>
          <w:shd w:val="clear" w:color="auto" w:fill="FFFFFF"/>
          <w:lang w:val="uk-UA"/>
        </w:rPr>
        <w:t>4</w:t>
      </w:r>
      <w:r w:rsidRPr="00D83BD4">
        <w:rPr>
          <w:caps/>
          <w:sz w:val="28"/>
          <w:szCs w:val="28"/>
          <w:shd w:val="clear" w:color="auto" w:fill="FFFFFF"/>
          <w:lang w:val="en-US"/>
        </w:rPr>
        <w:t>):</w:t>
      </w:r>
      <w:r w:rsidRPr="00D83BD4">
        <w:rPr>
          <w:caps/>
          <w:sz w:val="28"/>
          <w:szCs w:val="28"/>
          <w:shd w:val="clear" w:color="auto" w:fill="FFFFFF"/>
          <w:lang w:val="uk-UA"/>
        </w:rPr>
        <w:t>38-43.</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Вплив гіпофункції щитовидної залози на рівень 8-гідрокси-2-дезоксигуанозину як біомаркера окислювального ушкодження при коморбідних станах. Український терапевтичний журнал. 2018</w:t>
      </w:r>
      <w:r w:rsidRPr="00D83BD4">
        <w:rPr>
          <w:sz w:val="28"/>
          <w:szCs w:val="28"/>
          <w:lang w:val="en-US"/>
        </w:rPr>
        <w:t>;(</w:t>
      </w:r>
      <w:r w:rsidRPr="00D83BD4">
        <w:rPr>
          <w:sz w:val="28"/>
          <w:szCs w:val="28"/>
          <w:lang w:val="uk-UA"/>
        </w:rPr>
        <w:t>3-4</w:t>
      </w:r>
      <w:r w:rsidRPr="00D83BD4">
        <w:rPr>
          <w:sz w:val="28"/>
          <w:szCs w:val="28"/>
          <w:lang w:val="en-US"/>
        </w:rPr>
        <w:t>):</w:t>
      </w:r>
      <w:r w:rsidRPr="00D83BD4">
        <w:rPr>
          <w:sz w:val="28"/>
          <w:szCs w:val="28"/>
          <w:lang w:val="uk-UA"/>
        </w:rPr>
        <w:t>56-61.</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Вплив левотироксину на стан ендотеліальної дисфункції у пацієнтів з поєднаним перебігом артеріальної гіпертензії, цукрового діабету 2 типу та субклінічного гіпотиреозу. Український журнал медицини, біології та спорту.  2020</w:t>
      </w:r>
      <w:r w:rsidRPr="00D83BD4">
        <w:rPr>
          <w:sz w:val="28"/>
          <w:szCs w:val="28"/>
          <w:lang w:val="en-US"/>
        </w:rPr>
        <w:t>;</w:t>
      </w:r>
      <w:r w:rsidRPr="00D83BD4">
        <w:rPr>
          <w:sz w:val="28"/>
          <w:szCs w:val="28"/>
          <w:lang w:val="uk-UA"/>
        </w:rPr>
        <w:t>3,(</w:t>
      </w:r>
      <w:r w:rsidRPr="00D83BD4">
        <w:rPr>
          <w:sz w:val="28"/>
          <w:szCs w:val="28"/>
          <w:lang w:val="en-US"/>
        </w:rPr>
        <w:t>1</w:t>
      </w:r>
      <w:r w:rsidRPr="00D83BD4">
        <w:rPr>
          <w:sz w:val="28"/>
          <w:szCs w:val="28"/>
          <w:lang w:val="uk-UA"/>
        </w:rPr>
        <w:t>)</w:t>
      </w:r>
      <w:r w:rsidRPr="00D83BD4">
        <w:rPr>
          <w:sz w:val="28"/>
          <w:szCs w:val="28"/>
          <w:lang w:val="en-US"/>
        </w:rPr>
        <w:t>:</w:t>
      </w:r>
      <w:r w:rsidRPr="00D83BD4">
        <w:rPr>
          <w:sz w:val="28"/>
          <w:szCs w:val="28"/>
          <w:lang w:val="uk-UA"/>
        </w:rPr>
        <w:t>161-167.</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Вплив левотироксину на стан оксидантно-антиоксидантного балансу у пацієнтів з поєднаним перебігом артеріальної гіпертензії, цукрового діабету 2 типу та субклінічного гіпотиреозу. Вісник проблем біології і медицини. 2019</w:t>
      </w:r>
      <w:r w:rsidRPr="00D83BD4">
        <w:rPr>
          <w:sz w:val="28"/>
          <w:szCs w:val="28"/>
          <w:lang w:val="en-US"/>
        </w:rPr>
        <w:t>;</w:t>
      </w:r>
      <w:r w:rsidRPr="00D83BD4">
        <w:rPr>
          <w:sz w:val="28"/>
          <w:szCs w:val="28"/>
          <w:lang w:val="uk-UA"/>
        </w:rPr>
        <w:t>4(153)</w:t>
      </w:r>
      <w:r w:rsidRPr="00D83BD4">
        <w:rPr>
          <w:sz w:val="28"/>
          <w:szCs w:val="28"/>
          <w:lang w:val="en-US"/>
        </w:rPr>
        <w:t>:</w:t>
      </w:r>
      <w:r w:rsidRPr="00D83BD4">
        <w:rPr>
          <w:sz w:val="28"/>
          <w:szCs w:val="28"/>
          <w:lang w:val="uk-UA"/>
        </w:rPr>
        <w:t>126-130.</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Вплив субклінічної гіпофункції щитовидної залози на ступінь інсулінорезистентності в пацієнтів з коморбідною патологією. Медицина сьогодні і завтра.2018</w:t>
      </w:r>
      <w:r w:rsidRPr="00D83BD4">
        <w:rPr>
          <w:sz w:val="28"/>
          <w:szCs w:val="28"/>
          <w:lang w:val="en-US"/>
        </w:rPr>
        <w:t>;</w:t>
      </w:r>
      <w:r w:rsidRPr="00D83BD4">
        <w:rPr>
          <w:sz w:val="28"/>
          <w:szCs w:val="28"/>
          <w:lang w:val="uk-UA"/>
        </w:rPr>
        <w:t>(80)</w:t>
      </w:r>
      <w:r w:rsidRPr="00D83BD4">
        <w:rPr>
          <w:sz w:val="28"/>
          <w:szCs w:val="28"/>
          <w:lang w:val="en-US"/>
        </w:rPr>
        <w:t>:</w:t>
      </w:r>
      <w:r w:rsidRPr="00D83BD4">
        <w:rPr>
          <w:sz w:val="28"/>
          <w:szCs w:val="28"/>
          <w:lang w:val="uk-UA"/>
        </w:rPr>
        <w:t xml:space="preserve">26-32. </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Гендерні особливості порушень ліпидного обміну у осіб похилого віку з субклінічним гіпотиреозом на тлі артеріальній гіпертензії та цукрового діабету 2 типу. Буковинський медичний вісник. 2019</w:t>
      </w:r>
      <w:r w:rsidRPr="00D83BD4">
        <w:rPr>
          <w:sz w:val="28"/>
          <w:szCs w:val="28"/>
          <w:lang w:val="en-US"/>
        </w:rPr>
        <w:t>;</w:t>
      </w:r>
      <w:r w:rsidRPr="00D83BD4">
        <w:rPr>
          <w:sz w:val="28"/>
          <w:szCs w:val="28"/>
          <w:lang w:val="uk-UA"/>
        </w:rPr>
        <w:t>23</w:t>
      </w:r>
      <w:r w:rsidRPr="00D83BD4">
        <w:rPr>
          <w:sz w:val="28"/>
          <w:szCs w:val="28"/>
          <w:lang w:val="en-US"/>
        </w:rPr>
        <w:t>(</w:t>
      </w:r>
      <w:r w:rsidRPr="00D83BD4">
        <w:rPr>
          <w:sz w:val="28"/>
          <w:szCs w:val="28"/>
          <w:lang w:val="uk-UA"/>
        </w:rPr>
        <w:t>3)</w:t>
      </w:r>
      <w:r w:rsidRPr="00D83BD4">
        <w:rPr>
          <w:sz w:val="28"/>
          <w:szCs w:val="28"/>
          <w:lang w:val="en-US"/>
        </w:rPr>
        <w:t>:</w:t>
      </w:r>
      <w:r w:rsidRPr="00D83BD4">
        <w:rPr>
          <w:sz w:val="28"/>
          <w:szCs w:val="28"/>
          <w:lang w:val="uk-UA"/>
        </w:rPr>
        <w:t>72-78.</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Стан оксидантної та антиоксидантної систем у хворих при поєднаному перебігу артеріальної гіпертензії, цукрового діабету 2 типу та гіпотиреозу. Український терапевтичний журнал. 2017</w:t>
      </w:r>
      <w:r w:rsidRPr="00D83BD4">
        <w:rPr>
          <w:sz w:val="28"/>
          <w:szCs w:val="28"/>
          <w:lang w:val="en-US"/>
        </w:rPr>
        <w:t>;(</w:t>
      </w:r>
      <w:r w:rsidRPr="00D83BD4">
        <w:rPr>
          <w:sz w:val="28"/>
          <w:szCs w:val="28"/>
          <w:lang w:val="uk-UA"/>
        </w:rPr>
        <w:t>2</w:t>
      </w:r>
      <w:r w:rsidRPr="00D83BD4">
        <w:rPr>
          <w:sz w:val="28"/>
          <w:szCs w:val="28"/>
          <w:lang w:val="en-US"/>
        </w:rPr>
        <w:t>):</w:t>
      </w:r>
      <w:r w:rsidRPr="00D83BD4">
        <w:rPr>
          <w:sz w:val="28"/>
          <w:szCs w:val="28"/>
          <w:lang w:val="uk-UA"/>
        </w:rPr>
        <w:t>67-72.</w:t>
      </w:r>
    </w:p>
    <w:p w:rsidR="00E3259F" w:rsidRPr="00D83BD4" w:rsidRDefault="00E3259F" w:rsidP="00D83BD4">
      <w:pPr>
        <w:pStyle w:val="a4"/>
        <w:numPr>
          <w:ilvl w:val="0"/>
          <w:numId w:val="26"/>
        </w:numPr>
        <w:tabs>
          <w:tab w:val="left" w:pos="0"/>
          <w:tab w:val="num" w:pos="142"/>
        </w:tabs>
        <w:spacing w:line="360" w:lineRule="auto"/>
        <w:ind w:left="0" w:firstLine="0"/>
        <w:jc w:val="both"/>
        <w:rPr>
          <w:rFonts w:eastAsia="NSimSun"/>
          <w:sz w:val="28"/>
          <w:szCs w:val="28"/>
          <w:lang w:val="uk-UA" w:eastAsia="zh-CN" w:bidi="hi-IN"/>
        </w:rPr>
      </w:pPr>
      <w:r w:rsidRPr="00D83BD4">
        <w:rPr>
          <w:sz w:val="28"/>
          <w:szCs w:val="28"/>
          <w:lang w:val="uk-UA"/>
        </w:rPr>
        <w:t xml:space="preserve"> Немцова ВД. Вплив гіпофункції щитовидної залози на маркери судинного старіння у пацієнтів з коморбідною патологією. В: Інформаційні системи та технології в медицині» </w:t>
      </w:r>
      <w:r w:rsidRPr="00D83BD4">
        <w:rPr>
          <w:sz w:val="28"/>
          <w:szCs w:val="28"/>
        </w:rPr>
        <w:t>ISM</w:t>
      </w:r>
      <w:r w:rsidRPr="00D83BD4">
        <w:rPr>
          <w:sz w:val="28"/>
          <w:szCs w:val="28"/>
          <w:lang w:val="uk-UA"/>
        </w:rPr>
        <w:t>-2018. Матеріали І міжнародної наук.-практ. конф.;  2018 лист. 28-30;  Харків, Україна. Харків; 2018. с.166-167.</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 xml:space="preserve">Немцова ВД, Беловол АН, Высоцкая ЕВ, Фалева ЕЕ. Влияние липидного контроля на относительную длину теломер при изолированной артериальной гипертензии и в сочетании с сахарным диабетом типа 2. </w:t>
      </w:r>
      <w:r w:rsidRPr="00D83BD4">
        <w:rPr>
          <w:sz w:val="28"/>
          <w:szCs w:val="28"/>
          <w:lang w:val="en-US"/>
        </w:rPr>
        <w:t xml:space="preserve">Georgian Medical News. 2019; (291):58-63. </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 xml:space="preserve">Немцова ВД, Біловол ОМ, Ільченко ІА. Особливості змін антиоксидантного захисту в залежності від функціонального стану щитоподібної залози у пацієнтів різного віку з коморбідною патологією. </w:t>
      </w:r>
      <w:r w:rsidRPr="00D83BD4">
        <w:rPr>
          <w:sz w:val="28"/>
          <w:szCs w:val="28"/>
          <w:lang w:val="en-US"/>
        </w:rPr>
        <w:t xml:space="preserve">Український журнал медицини, біології та спорту.  2018; 3(7):129-135. </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Євтушенко ОМ, Чайковська ВВ. Вплив комбінованої терапії статинами та левотироксином на динаміку ліпідного профілю у пацієнтів з поєднаним перебігом артеріальної гіпертензії, цукрового діабету 2 типу та субклінічного гіпотиреозу. Клінічна фармація. 2019</w:t>
      </w:r>
      <w:r w:rsidRPr="00D83BD4">
        <w:rPr>
          <w:sz w:val="28"/>
          <w:szCs w:val="28"/>
          <w:lang w:val="en-US"/>
        </w:rPr>
        <w:t>;(</w:t>
      </w:r>
      <w:r w:rsidRPr="00D83BD4">
        <w:rPr>
          <w:sz w:val="28"/>
          <w:szCs w:val="28"/>
          <w:lang w:val="uk-UA"/>
        </w:rPr>
        <w:t>3)</w:t>
      </w:r>
      <w:r w:rsidRPr="00D83BD4">
        <w:rPr>
          <w:sz w:val="28"/>
          <w:szCs w:val="28"/>
          <w:lang w:val="en-US"/>
        </w:rPr>
        <w:t>:</w:t>
      </w:r>
      <w:r w:rsidRPr="00D83BD4">
        <w:rPr>
          <w:sz w:val="28"/>
          <w:szCs w:val="28"/>
          <w:lang w:val="uk-UA"/>
        </w:rPr>
        <w:t>57-61.</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shd w:val="clear" w:color="auto" w:fill="FFFFFF"/>
          <w:lang w:val="uk-UA"/>
        </w:rPr>
        <w:t>Немцова ВД, Жантуриев БМ, Чайковская ВВ, Евтушенко ЕН, Абуов ДЖ, Толганбаева КА. Влияние субклинического гипотиреоза на относительную длину теломер у пациентов высокого кардиоваскулярного риска: фокус на артериальную гипертензию в сочетании с сахарным диабетом 2 типа. Вестник Казахского национального университета. 2019;(4):285-289.</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 xml:space="preserve">Немцова ВД, Златкіна ВВ, Ільченко ІА. Дінамічні зміни метаболічних показників під впливом комбінованої терапії у хворих на гіпертонічну хворобу, що протікає на тлі супутнього цукрового діабету 2 типу та субклінічного гіпотиреозу. Український терапевтичний журнал. 2019;(4):28-34. </w:t>
      </w:r>
      <w:r w:rsidRPr="00964B26">
        <w:rPr>
          <w:sz w:val="28"/>
          <w:szCs w:val="28"/>
          <w:shd w:val="clear" w:color="auto" w:fill="FFFFFF"/>
        </w:rPr>
        <w:t>doi.org/10.30978/UTJ2019-4-28</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Ільченко ІА, Златкіна ВВ. Вплив гормонального дисбалансу на зміну швидкості старіння у хворих на артеріальну гіпертензію і коморбідні ендокринопатії. Вісник Вінницького національного медичного університету. 2019</w:t>
      </w:r>
      <w:r w:rsidRPr="00D83BD4">
        <w:rPr>
          <w:sz w:val="28"/>
          <w:szCs w:val="28"/>
          <w:lang w:val="en-US"/>
        </w:rPr>
        <w:t>;23(</w:t>
      </w:r>
      <w:r w:rsidRPr="00D83BD4">
        <w:rPr>
          <w:sz w:val="28"/>
          <w:szCs w:val="28"/>
          <w:lang w:val="uk-UA"/>
        </w:rPr>
        <w:t>2)</w:t>
      </w:r>
      <w:r w:rsidRPr="00D83BD4">
        <w:rPr>
          <w:sz w:val="28"/>
          <w:szCs w:val="28"/>
          <w:lang w:val="en-US"/>
        </w:rPr>
        <w:t>:</w:t>
      </w:r>
      <w:r w:rsidRPr="00D83BD4">
        <w:rPr>
          <w:sz w:val="28"/>
          <w:szCs w:val="28"/>
          <w:lang w:val="uk-UA"/>
        </w:rPr>
        <w:t>277-282.</w:t>
      </w:r>
      <w:r w:rsidRPr="00D83BD4">
        <w:rPr>
          <w:rFonts w:eastAsia="NSimSun"/>
          <w:bCs/>
          <w:sz w:val="28"/>
          <w:szCs w:val="28"/>
          <w:lang w:val="uk-UA" w:eastAsia="zh-CN" w:bidi="hi-IN"/>
        </w:rPr>
        <w:t xml:space="preserve"> </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shd w:val="clear" w:color="auto" w:fill="FFFFFF"/>
          <w:lang w:val="uk-UA"/>
        </w:rPr>
        <w:t>Немцова ВД, Ільченко ІА, Євтушенко ОМ. Вік-асоційовані особливості оксидативного стресу при різному перебігу артеріальної гіпертензії та цукрового діабету 2 типу. В: Актуальні питання геронтології і геріатрії», присвяченої 95-річчю з дня народження видатного вченого Академіка В. В. Фролькіса: збірник тез матеріалів науково-практичної конференції з міжнародною участю; 2019 січ. 28; Київ, Україна. Київ; 2019. с.36-37.</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Немцова ВД, Ільченко ІА, Златкіна ВВ, Запровальна ОЄ. Прогностична роль і особливості впливу артеріальної гіпертензії, метаболічного і ендокринного дисбалансу на зміни темпів старіння у пацієнтів з коморбідною патологією різних вікових груп. Вісник проблем біології і медицини. 2019</w:t>
      </w:r>
      <w:r w:rsidRPr="00D83BD4">
        <w:rPr>
          <w:sz w:val="28"/>
          <w:szCs w:val="28"/>
          <w:lang w:val="en-US"/>
        </w:rPr>
        <w:t>;</w:t>
      </w:r>
      <w:r w:rsidRPr="00D83BD4">
        <w:rPr>
          <w:sz w:val="28"/>
          <w:szCs w:val="28"/>
          <w:lang w:val="uk-UA"/>
        </w:rPr>
        <w:t>2(151)</w:t>
      </w:r>
      <w:r w:rsidRPr="00D83BD4">
        <w:rPr>
          <w:sz w:val="28"/>
          <w:szCs w:val="28"/>
          <w:lang w:val="en-US"/>
        </w:rPr>
        <w:t>:</w:t>
      </w:r>
      <w:r w:rsidRPr="00D83BD4">
        <w:rPr>
          <w:sz w:val="28"/>
          <w:szCs w:val="28"/>
          <w:lang w:val="uk-UA"/>
        </w:rPr>
        <w:t xml:space="preserve">139-143. </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shd w:val="clear" w:color="auto" w:fill="FFFFFF"/>
        </w:rPr>
        <w:t>Немцова ВД, Олейник ОВ.</w:t>
      </w:r>
      <w:r w:rsidRPr="00D83BD4">
        <w:rPr>
          <w:sz w:val="28"/>
          <w:szCs w:val="28"/>
          <w:shd w:val="clear" w:color="auto" w:fill="FFFFFF"/>
          <w:lang w:val="uk-UA"/>
        </w:rPr>
        <w:t xml:space="preserve"> </w:t>
      </w:r>
      <w:r w:rsidRPr="00D83BD4">
        <w:rPr>
          <w:sz w:val="28"/>
          <w:szCs w:val="28"/>
          <w:shd w:val="clear" w:color="auto" w:fill="FFFFFF"/>
        </w:rPr>
        <w:t xml:space="preserve">Факторы кардио-васкулярного риска в зависимости от состояния эндотелия у пациентов с артериальной гипертензией в сочетании с гипотиреозом. В: </w:t>
      </w:r>
      <w:r w:rsidRPr="00D83BD4">
        <w:rPr>
          <w:sz w:val="28"/>
          <w:szCs w:val="28"/>
          <w:shd w:val="clear" w:color="auto" w:fill="FFFFFF"/>
          <w:lang w:val="uk-UA"/>
        </w:rPr>
        <w:t xml:space="preserve">Щорічні терапевтичні читання: медикаментозна та не медикаментозна профілактика неінфекційних захворювань: погляд в майбутнє: </w:t>
      </w:r>
      <w:r w:rsidRPr="00D83BD4">
        <w:rPr>
          <w:sz w:val="28"/>
          <w:szCs w:val="28"/>
          <w:shd w:val="clear" w:color="auto" w:fill="FFFFFF"/>
        </w:rPr>
        <w:t>матер</w:t>
      </w:r>
      <w:r w:rsidRPr="00D83BD4">
        <w:rPr>
          <w:sz w:val="28"/>
          <w:szCs w:val="28"/>
          <w:shd w:val="clear" w:color="auto" w:fill="FFFFFF"/>
          <w:lang w:val="uk-UA"/>
        </w:rPr>
        <w:t>іали науково-практичної конференції з міжнародною участю  присвячена пам’яті академіка Л.Т.Малої; 2017 квіт. 20;  Харків, Україна. Харків; 2017. с.206.</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lang w:val="uk-UA"/>
        </w:rPr>
        <w:t xml:space="preserve">Немцова ВД, Сємятічко ГЕ. Вплив замісної терапії на маркери судинного старіння у пацієнтів з коморбідною патологією. </w:t>
      </w:r>
      <w:r w:rsidRPr="00D83BD4">
        <w:rPr>
          <w:sz w:val="28"/>
          <w:szCs w:val="28"/>
        </w:rPr>
        <w:t xml:space="preserve">B: </w:t>
      </w:r>
      <w:r w:rsidRPr="00D83BD4">
        <w:rPr>
          <w:sz w:val="28"/>
          <w:szCs w:val="28"/>
          <w:lang w:val="uk-UA"/>
        </w:rPr>
        <w:t xml:space="preserve">Інформаційні системи та технології в медицині» </w:t>
      </w:r>
      <w:r w:rsidRPr="00D83BD4">
        <w:rPr>
          <w:sz w:val="28"/>
          <w:szCs w:val="28"/>
        </w:rPr>
        <w:t>ISM</w:t>
      </w:r>
      <w:r w:rsidRPr="00D83BD4">
        <w:rPr>
          <w:sz w:val="28"/>
          <w:szCs w:val="28"/>
          <w:lang w:val="uk-UA"/>
        </w:rPr>
        <w:t>-2018. Матеріали І міжнародної наук.-практ. конф.;  2018 лист. 28-30;  Харків, Україна. Харків; 2018. с.145-146.</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lang w:val="uk-UA"/>
        </w:rPr>
        <w:t>Николаева АВ, Пименов ЛТ, Дударев МВ</w:t>
      </w:r>
      <w:r w:rsidRPr="00D83BD4">
        <w:rPr>
          <w:bCs/>
          <w:sz w:val="28"/>
          <w:szCs w:val="28"/>
        </w:rPr>
        <w:t xml:space="preserve">, </w:t>
      </w:r>
      <w:r w:rsidRPr="00D83BD4">
        <w:rPr>
          <w:sz w:val="28"/>
          <w:szCs w:val="28"/>
        </w:rPr>
        <w:t>Мельников</w:t>
      </w:r>
      <w:r w:rsidRPr="00D83BD4">
        <w:rPr>
          <w:bCs/>
          <w:sz w:val="28"/>
          <w:szCs w:val="28"/>
          <w:lang w:val="uk-UA"/>
        </w:rPr>
        <w:t xml:space="preserve"> </w:t>
      </w:r>
      <w:r w:rsidRPr="00D83BD4">
        <w:rPr>
          <w:sz w:val="28"/>
          <w:szCs w:val="28"/>
        </w:rPr>
        <w:t xml:space="preserve">АВ. </w:t>
      </w:r>
      <w:r w:rsidRPr="00D83BD4">
        <w:rPr>
          <w:bCs/>
          <w:sz w:val="28"/>
          <w:szCs w:val="28"/>
        </w:rPr>
        <w:t>Факторы риска сердечно-сосудистых заболеваний у больных первичным гипотиреозом в зависимости от степени тиреоидной недостаточности</w:t>
      </w:r>
      <w:r w:rsidRPr="00D83BD4">
        <w:rPr>
          <w:bCs/>
          <w:sz w:val="28"/>
          <w:szCs w:val="28"/>
          <w:lang w:val="uk-UA"/>
        </w:rPr>
        <w:t xml:space="preserve">. Практическая медицина. </w:t>
      </w:r>
      <w:r w:rsidRPr="00D83BD4">
        <w:rPr>
          <w:bCs/>
          <w:sz w:val="28"/>
          <w:szCs w:val="28"/>
          <w:lang w:val="en-US"/>
        </w:rPr>
        <w:t xml:space="preserve"> </w:t>
      </w:r>
      <w:r w:rsidRPr="00D83BD4">
        <w:rPr>
          <w:bCs/>
          <w:sz w:val="28"/>
          <w:szCs w:val="28"/>
          <w:lang w:val="uk-UA"/>
        </w:rPr>
        <w:t>2017</w:t>
      </w:r>
      <w:r w:rsidRPr="00D83BD4">
        <w:rPr>
          <w:bCs/>
          <w:sz w:val="28"/>
          <w:szCs w:val="28"/>
          <w:lang w:val="en-US"/>
        </w:rPr>
        <w:t>;2(</w:t>
      </w:r>
      <w:r w:rsidRPr="00D83BD4">
        <w:rPr>
          <w:bCs/>
          <w:sz w:val="28"/>
          <w:szCs w:val="28"/>
          <w:lang w:val="uk-UA"/>
        </w:rPr>
        <w:t>1</w:t>
      </w:r>
      <w:r w:rsidRPr="00D83BD4">
        <w:rPr>
          <w:bCs/>
          <w:sz w:val="28"/>
          <w:szCs w:val="28"/>
          <w:lang w:val="en-US"/>
        </w:rPr>
        <w:t>):</w:t>
      </w:r>
      <w:r w:rsidRPr="00D83BD4">
        <w:rPr>
          <w:bCs/>
          <w:sz w:val="28"/>
          <w:szCs w:val="28"/>
          <w:lang w:val="uk-UA"/>
        </w:rPr>
        <w:t>84-88</w:t>
      </w:r>
      <w:r w:rsidRPr="00D83BD4">
        <w:rPr>
          <w:bCs/>
          <w:sz w:val="28"/>
          <w:szCs w:val="28"/>
          <w:lang w:val="en-US"/>
        </w:rPr>
        <w:t>.</w:t>
      </w:r>
    </w:p>
    <w:p w:rsidR="00E3259F" w:rsidRPr="00D83BD4" w:rsidRDefault="00E3259F" w:rsidP="00D83BD4">
      <w:pPr>
        <w:pStyle w:val="a4"/>
        <w:numPr>
          <w:ilvl w:val="0"/>
          <w:numId w:val="26"/>
        </w:numPr>
        <w:spacing w:line="360" w:lineRule="auto"/>
        <w:ind w:left="0" w:firstLine="0"/>
        <w:jc w:val="both"/>
        <w:rPr>
          <w:sz w:val="28"/>
          <w:szCs w:val="28"/>
        </w:rPr>
      </w:pPr>
      <w:r w:rsidRPr="00D83BD4">
        <w:rPr>
          <w:rStyle w:val="hl"/>
          <w:rFonts w:eastAsiaTheme="majorEastAsia"/>
          <w:sz w:val="28"/>
          <w:szCs w:val="28"/>
          <w:lang w:val="uk-UA"/>
        </w:rPr>
        <w:t xml:space="preserve">  </w:t>
      </w:r>
      <w:r w:rsidRPr="00D83BD4">
        <w:rPr>
          <w:rStyle w:val="hl"/>
          <w:rFonts w:eastAsiaTheme="majorEastAsia"/>
          <w:sz w:val="28"/>
          <w:szCs w:val="28"/>
        </w:rPr>
        <w:t>Остроумова ОД</w:t>
      </w:r>
      <w:r w:rsidRPr="00D83BD4">
        <w:rPr>
          <w:rStyle w:val="hl"/>
          <w:rFonts w:eastAsiaTheme="majorEastAsia"/>
          <w:sz w:val="28"/>
          <w:szCs w:val="28"/>
          <w:lang w:val="uk-UA"/>
        </w:rPr>
        <w:t>.</w:t>
      </w:r>
      <w:r w:rsidRPr="00D83BD4">
        <w:rPr>
          <w:i/>
          <w:iCs/>
          <w:sz w:val="28"/>
          <w:szCs w:val="28"/>
          <w:lang w:val="uk-UA"/>
        </w:rPr>
        <w:t xml:space="preserve"> </w:t>
      </w:r>
      <w:r w:rsidRPr="00D83BD4">
        <w:rPr>
          <w:sz w:val="28"/>
          <w:szCs w:val="28"/>
        </w:rPr>
        <w:t>Статины и сахарный диабет: взгляд кардиолога. Consilium Medicum  2018;20(1):38-44.</w:t>
      </w:r>
      <w:r w:rsidRPr="00D83BD4">
        <w:rPr>
          <w:sz w:val="28"/>
          <w:szCs w:val="28"/>
          <w:lang w:val="uk-UA"/>
        </w:rPr>
        <w:t xml:space="preserve"> </w:t>
      </w:r>
      <w:r w:rsidRPr="00D83BD4">
        <w:rPr>
          <w:sz w:val="28"/>
          <w:szCs w:val="28"/>
        </w:rPr>
        <w:t>DOI: </w:t>
      </w:r>
      <w:r w:rsidRPr="00964B26">
        <w:rPr>
          <w:sz w:val="28"/>
          <w:szCs w:val="28"/>
        </w:rPr>
        <w:t>10.26442/2075-1753_2018.1.38-44</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Остроумова ОД, Кочетков АИ, Черняева МС. Артериальная гипертензия у пациентов пожилого и старческого возраста в свете новых Европейских рекомендаций 2018 года. Рациональная Фармакотерапия в Кардиологии 2018;14(5):774-784. doi: 10.20996/1819-6446-2018-14-5-774-784</w:t>
      </w:r>
    </w:p>
    <w:p w:rsidR="00E3259F" w:rsidRPr="00964B26" w:rsidRDefault="00E3259F" w:rsidP="00D83BD4">
      <w:pPr>
        <w:numPr>
          <w:ilvl w:val="0"/>
          <w:numId w:val="26"/>
        </w:numPr>
        <w:tabs>
          <w:tab w:val="clear" w:pos="360"/>
          <w:tab w:val="left" w:pos="0"/>
          <w:tab w:val="num" w:pos="540"/>
        </w:tabs>
        <w:spacing w:line="360" w:lineRule="auto"/>
        <w:ind w:left="0" w:firstLine="0"/>
        <w:jc w:val="both"/>
        <w:rPr>
          <w:bCs/>
          <w:sz w:val="28"/>
          <w:szCs w:val="28"/>
        </w:rPr>
      </w:pPr>
      <w:bookmarkStart w:id="29" w:name="_Hlk43674998"/>
      <w:r w:rsidRPr="00D83BD4">
        <w:rPr>
          <w:sz w:val="28"/>
          <w:szCs w:val="28"/>
        </w:rPr>
        <w:t xml:space="preserve">Панкратова ЮВ. </w:t>
      </w:r>
      <w:bookmarkEnd w:id="29"/>
      <w:r w:rsidRPr="00D83BD4">
        <w:rPr>
          <w:sz w:val="28"/>
          <w:szCs w:val="28"/>
        </w:rPr>
        <w:t>Рандомизированное клиническое исследование: влияние метформина на маркеры оксидативного стресса и антиоксидантные резервы у больных с впервые выявленным сахарным диабетом 2 типа. Ожирение и метаболизм</w:t>
      </w:r>
      <w:r w:rsidRPr="00D83BD4">
        <w:rPr>
          <w:sz w:val="28"/>
          <w:szCs w:val="28"/>
          <w:lang w:val="en-US"/>
        </w:rPr>
        <w:t xml:space="preserve">. </w:t>
      </w:r>
      <w:r w:rsidRPr="00D83BD4">
        <w:rPr>
          <w:sz w:val="28"/>
          <w:szCs w:val="28"/>
        </w:rPr>
        <w:t>2012</w:t>
      </w:r>
      <w:r w:rsidRPr="00D83BD4">
        <w:rPr>
          <w:sz w:val="28"/>
          <w:szCs w:val="28"/>
          <w:lang w:val="en-US"/>
        </w:rPr>
        <w:t>;(</w:t>
      </w:r>
      <w:r w:rsidRPr="00D83BD4">
        <w:rPr>
          <w:sz w:val="28"/>
          <w:szCs w:val="28"/>
        </w:rPr>
        <w:t>3</w:t>
      </w:r>
      <w:r w:rsidRPr="00D83BD4">
        <w:rPr>
          <w:sz w:val="28"/>
          <w:szCs w:val="28"/>
          <w:lang w:val="en-US"/>
        </w:rPr>
        <w:t>):</w:t>
      </w:r>
      <w:r w:rsidRPr="00D83BD4">
        <w:rPr>
          <w:sz w:val="28"/>
          <w:szCs w:val="28"/>
        </w:rPr>
        <w:t xml:space="preserve">41-42. </w:t>
      </w:r>
      <w:r w:rsidRPr="00D83BD4">
        <w:rPr>
          <w:sz w:val="28"/>
          <w:szCs w:val="28"/>
          <w:shd w:val="clear" w:color="auto" w:fill="FFFFFF"/>
        </w:rPr>
        <w:t>doi: </w:t>
      </w:r>
      <w:r w:rsidRPr="00964B26">
        <w:rPr>
          <w:rStyle w:val="a3"/>
          <w:color w:val="auto"/>
          <w:sz w:val="28"/>
          <w:szCs w:val="28"/>
          <w:u w:val="none"/>
          <w:shd w:val="clear" w:color="auto" w:fill="FFFFFF"/>
        </w:rPr>
        <w:t>10.14341/2071-8713-4974</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Паньків ВІ, Юзвенко ТЮ, Паньків ІВ. Особливості артеріального тиску та дисфункції ендотелію у хворих на цукровий діабет 2 типу і первинний гіпотиреоз.</w:t>
      </w:r>
      <w:r w:rsidRPr="00D83BD4">
        <w:rPr>
          <w:sz w:val="28"/>
          <w:szCs w:val="28"/>
          <w:lang w:val="uk-UA"/>
        </w:rPr>
        <w:t xml:space="preserve"> Клінічна ендокринологія та ендокринна хірургія.  </w:t>
      </w:r>
      <w:r w:rsidRPr="00D83BD4">
        <w:rPr>
          <w:sz w:val="28"/>
          <w:szCs w:val="28"/>
        </w:rPr>
        <w:t>2018</w:t>
      </w:r>
      <w:r w:rsidRPr="00D83BD4">
        <w:rPr>
          <w:sz w:val="28"/>
          <w:szCs w:val="28"/>
          <w:lang w:val="en-US"/>
        </w:rPr>
        <w:t>;</w:t>
      </w:r>
      <w:r w:rsidRPr="00D83BD4">
        <w:rPr>
          <w:sz w:val="28"/>
          <w:szCs w:val="28"/>
        </w:rPr>
        <w:t>(62)</w:t>
      </w:r>
      <w:r w:rsidRPr="00D83BD4">
        <w:rPr>
          <w:sz w:val="28"/>
          <w:szCs w:val="28"/>
          <w:lang w:val="en-US"/>
        </w:rPr>
        <w:t>:</w:t>
      </w:r>
      <w:r w:rsidRPr="00D83BD4">
        <w:rPr>
          <w:sz w:val="28"/>
          <w:szCs w:val="28"/>
        </w:rPr>
        <w:t>28-33</w:t>
      </w:r>
      <w:r w:rsidRPr="00D83BD4">
        <w:rPr>
          <w:sz w:val="28"/>
          <w:szCs w:val="28"/>
          <w:lang w:val="en-US"/>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lang w:val="uk-UA"/>
        </w:rPr>
        <w:t>Пашковська НВ. Лікування гіпотиреозу згідно із сучасними клінічними настановами. Международный эндокринологический журнал. 2016</w:t>
      </w:r>
      <w:r w:rsidRPr="00D83BD4">
        <w:rPr>
          <w:sz w:val="28"/>
          <w:szCs w:val="28"/>
          <w:lang w:val="en-US"/>
        </w:rPr>
        <w:t>;</w:t>
      </w:r>
      <w:r w:rsidRPr="00D83BD4">
        <w:rPr>
          <w:sz w:val="28"/>
          <w:szCs w:val="28"/>
          <w:lang w:val="uk-UA"/>
        </w:rPr>
        <w:t>(78)</w:t>
      </w:r>
      <w:r w:rsidRPr="00D83BD4">
        <w:rPr>
          <w:sz w:val="28"/>
          <w:szCs w:val="28"/>
          <w:lang w:val="en-US"/>
        </w:rPr>
        <w:t>:</w:t>
      </w:r>
      <w:r w:rsidRPr="00D83BD4">
        <w:rPr>
          <w:sz w:val="28"/>
          <w:szCs w:val="28"/>
          <w:lang w:val="uk-UA"/>
        </w:rPr>
        <w:t>48-58. doi: 10.22141/2224-0721.6.78.2016.81860</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Плакуев АН, Юрьева МЮ, Юрьев ЮЮ. Современные концепции старения и оценка биологического возраста человека. Экология человека.</w:t>
      </w:r>
      <w:r w:rsidRPr="00D83BD4">
        <w:rPr>
          <w:sz w:val="28"/>
          <w:szCs w:val="28"/>
          <w:lang w:val="en-US"/>
        </w:rPr>
        <w:t xml:space="preserve"> </w:t>
      </w:r>
      <w:r w:rsidRPr="00D83BD4">
        <w:rPr>
          <w:sz w:val="28"/>
          <w:szCs w:val="28"/>
        </w:rPr>
        <w:t>2011;4:17-25</w:t>
      </w:r>
      <w:r w:rsidRPr="00D83BD4">
        <w:rPr>
          <w:sz w:val="28"/>
          <w:szCs w:val="28"/>
          <w:lang w:val="uk-UA"/>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Починська МВ, Волков ДЄ, Лопін ДО, Яблучанський МІ.  Класи пульсового артеріального тиску та параметри електрокардіостимуляції у пацієнтів на річному етапі після імплантації. Міжнародний медичний журнал. 2017</w:t>
      </w:r>
      <w:r w:rsidRPr="00D83BD4">
        <w:rPr>
          <w:sz w:val="28"/>
          <w:szCs w:val="28"/>
          <w:lang w:val="en-US"/>
        </w:rPr>
        <w:t>;(</w:t>
      </w:r>
      <w:r w:rsidRPr="00D83BD4">
        <w:rPr>
          <w:sz w:val="28"/>
          <w:szCs w:val="28"/>
        </w:rPr>
        <w:t>3</w:t>
      </w:r>
      <w:r w:rsidRPr="00D83BD4">
        <w:rPr>
          <w:sz w:val="28"/>
          <w:szCs w:val="28"/>
          <w:lang w:val="en-US"/>
        </w:rPr>
        <w:t>):</w:t>
      </w:r>
      <w:r w:rsidRPr="00D83BD4">
        <w:rPr>
          <w:sz w:val="28"/>
          <w:szCs w:val="28"/>
        </w:rPr>
        <w:t>11-17.</w:t>
      </w:r>
    </w:p>
    <w:p w:rsidR="00E3259F" w:rsidRPr="00D83BD4" w:rsidRDefault="00E3259F" w:rsidP="00D83BD4">
      <w:pPr>
        <w:numPr>
          <w:ilvl w:val="0"/>
          <w:numId w:val="26"/>
        </w:numPr>
        <w:tabs>
          <w:tab w:val="clear" w:pos="360"/>
          <w:tab w:val="left" w:pos="0"/>
          <w:tab w:val="num" w:pos="540"/>
        </w:tabs>
        <w:spacing w:line="360" w:lineRule="auto"/>
        <w:ind w:left="0" w:firstLine="0"/>
        <w:jc w:val="both"/>
        <w:rPr>
          <w:rStyle w:val="longtext10"/>
          <w:sz w:val="28"/>
          <w:szCs w:val="28"/>
        </w:rPr>
      </w:pPr>
      <w:r w:rsidRPr="00D83BD4">
        <w:rPr>
          <w:sz w:val="28"/>
          <w:szCs w:val="28"/>
        </w:rPr>
        <w:t>Пристром МС, Пристром СЛ, Семененков ИИ. Старение физиологическое и преждевременное. Современный взгляд на проблему</w:t>
      </w:r>
      <w:r w:rsidRPr="00D83BD4">
        <w:rPr>
          <w:sz w:val="28"/>
          <w:szCs w:val="28"/>
          <w:lang w:val="uk-UA"/>
        </w:rPr>
        <w:t>.</w:t>
      </w:r>
      <w:r w:rsidRPr="00D83BD4">
        <w:rPr>
          <w:caps/>
          <w:sz w:val="28"/>
          <w:szCs w:val="28"/>
          <w:lang w:val="uk-UA"/>
        </w:rPr>
        <w:t xml:space="preserve"> </w:t>
      </w:r>
      <w:r w:rsidRPr="00964B26">
        <w:rPr>
          <w:rStyle w:val="a3"/>
          <w:color w:val="auto"/>
          <w:sz w:val="28"/>
          <w:szCs w:val="28"/>
          <w:u w:val="none"/>
          <w:bdr w:val="none" w:sz="0" w:space="0" w:color="auto" w:frame="1"/>
        </w:rPr>
        <w:t xml:space="preserve">Международные </w:t>
      </w:r>
      <w:r w:rsidRPr="00964B26">
        <w:rPr>
          <w:rStyle w:val="a3"/>
          <w:color w:val="auto"/>
          <w:sz w:val="28"/>
          <w:szCs w:val="28"/>
          <w:u w:val="none"/>
          <w:bdr w:val="none" w:sz="0" w:space="0" w:color="auto" w:frame="1"/>
          <w:lang w:val="en-US"/>
        </w:rPr>
        <w:t xml:space="preserve"> </w:t>
      </w:r>
      <w:r w:rsidRPr="00964B26">
        <w:rPr>
          <w:rStyle w:val="a3"/>
          <w:color w:val="auto"/>
          <w:sz w:val="28"/>
          <w:szCs w:val="28"/>
          <w:u w:val="none"/>
          <w:bdr w:val="none" w:sz="0" w:space="0" w:color="auto" w:frame="1"/>
        </w:rPr>
        <w:t>обзоры: клиническая</w:t>
      </w:r>
      <w:r w:rsidRPr="00964B26">
        <w:rPr>
          <w:rStyle w:val="a3"/>
          <w:color w:val="auto"/>
          <w:sz w:val="28"/>
          <w:szCs w:val="28"/>
          <w:u w:val="none"/>
          <w:bdr w:val="none" w:sz="0" w:space="0" w:color="auto" w:frame="1"/>
          <w:lang w:val="en-US"/>
        </w:rPr>
        <w:t xml:space="preserve"> </w:t>
      </w:r>
      <w:r w:rsidRPr="00964B26">
        <w:rPr>
          <w:rStyle w:val="a3"/>
          <w:color w:val="auto"/>
          <w:sz w:val="28"/>
          <w:szCs w:val="28"/>
          <w:u w:val="none"/>
          <w:bdr w:val="none" w:sz="0" w:space="0" w:color="auto" w:frame="1"/>
        </w:rPr>
        <w:t xml:space="preserve"> практика</w:t>
      </w:r>
      <w:r w:rsidRPr="00964B26">
        <w:rPr>
          <w:rStyle w:val="a3"/>
          <w:color w:val="auto"/>
          <w:sz w:val="28"/>
          <w:szCs w:val="28"/>
          <w:u w:val="none"/>
          <w:bdr w:val="none" w:sz="0" w:space="0" w:color="auto" w:frame="1"/>
          <w:lang w:val="en-US"/>
        </w:rPr>
        <w:t xml:space="preserve"> </w:t>
      </w:r>
      <w:r w:rsidRPr="00964B26">
        <w:rPr>
          <w:rStyle w:val="a3"/>
          <w:color w:val="auto"/>
          <w:sz w:val="28"/>
          <w:szCs w:val="28"/>
          <w:u w:val="none"/>
          <w:bdr w:val="none" w:sz="0" w:space="0" w:color="auto" w:frame="1"/>
        </w:rPr>
        <w:t xml:space="preserve"> и здоровье</w:t>
      </w:r>
      <w:r w:rsidRPr="00D83BD4">
        <w:rPr>
          <w:sz w:val="28"/>
          <w:szCs w:val="28"/>
          <w:bdr w:val="none" w:sz="0" w:space="0" w:color="auto" w:frame="1"/>
          <w:lang w:val="uk-UA"/>
        </w:rPr>
        <w:t>.</w:t>
      </w:r>
      <w:r w:rsidRPr="00D83BD4">
        <w:rPr>
          <w:sz w:val="28"/>
          <w:szCs w:val="28"/>
          <w:bdr w:val="none" w:sz="0" w:space="0" w:color="auto" w:frame="1"/>
          <w:lang w:val="en-US"/>
        </w:rPr>
        <w:t xml:space="preserve"> </w:t>
      </w:r>
      <w:r w:rsidRPr="00D83BD4">
        <w:rPr>
          <w:sz w:val="28"/>
          <w:szCs w:val="28"/>
          <w:bdr w:val="none" w:sz="0" w:space="0" w:color="auto" w:frame="1"/>
          <w:lang w:val="uk-UA"/>
        </w:rPr>
        <w:t>2017</w:t>
      </w:r>
      <w:r w:rsidRPr="00D83BD4">
        <w:rPr>
          <w:sz w:val="28"/>
          <w:szCs w:val="28"/>
          <w:bdr w:val="none" w:sz="0" w:space="0" w:color="auto" w:frame="1"/>
          <w:lang w:val="en-US"/>
        </w:rPr>
        <w:t>;(</w:t>
      </w:r>
      <w:r w:rsidRPr="00D83BD4">
        <w:rPr>
          <w:sz w:val="28"/>
          <w:szCs w:val="28"/>
          <w:bdr w:val="none" w:sz="0" w:space="0" w:color="auto" w:frame="1"/>
          <w:lang w:val="uk-UA"/>
        </w:rPr>
        <w:t>№5-6</w:t>
      </w:r>
      <w:r w:rsidRPr="00D83BD4">
        <w:rPr>
          <w:sz w:val="28"/>
          <w:szCs w:val="28"/>
          <w:bdr w:val="none" w:sz="0" w:space="0" w:color="auto" w:frame="1"/>
          <w:lang w:val="en-US"/>
        </w:rPr>
        <w:t>):</w:t>
      </w:r>
      <w:r w:rsidRPr="00D83BD4">
        <w:rPr>
          <w:sz w:val="28"/>
          <w:szCs w:val="28"/>
          <w:bdr w:val="none" w:sz="0" w:space="0" w:color="auto" w:frame="1"/>
          <w:lang w:val="uk-UA"/>
        </w:rPr>
        <w:t>40-64.</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rStyle w:val="longtext10"/>
          <w:sz w:val="28"/>
          <w:szCs w:val="28"/>
          <w:lang w:val="uk-UA"/>
        </w:rPr>
        <w:t>Про затвердження протоколів надання медичної допомоги пацієнтам з ендокринними захворюваннями</w:t>
      </w:r>
      <w:r w:rsidRPr="00D83BD4">
        <w:rPr>
          <w:rStyle w:val="longtext10"/>
          <w:sz w:val="28"/>
          <w:szCs w:val="28"/>
        </w:rPr>
        <w:t xml:space="preserve">: </w:t>
      </w:r>
      <w:bookmarkStart w:id="30" w:name="_Hlk43578331"/>
      <w:r w:rsidRPr="00D83BD4">
        <w:rPr>
          <w:rStyle w:val="longtext10"/>
          <w:sz w:val="28"/>
          <w:szCs w:val="28"/>
          <w:lang w:val="uk-UA"/>
        </w:rPr>
        <w:t xml:space="preserve">наказ  МОЗ України </w:t>
      </w:r>
      <w:r w:rsidRPr="00D83BD4">
        <w:rPr>
          <w:sz w:val="28"/>
          <w:szCs w:val="28"/>
          <w:lang w:val="uk-UA"/>
        </w:rPr>
        <w:t xml:space="preserve">№574 </w:t>
      </w:r>
      <w:r w:rsidRPr="00D83BD4">
        <w:rPr>
          <w:rStyle w:val="longtext10"/>
          <w:sz w:val="28"/>
          <w:szCs w:val="28"/>
          <w:lang w:val="uk-UA"/>
        </w:rPr>
        <w:t>від 5.09.2009</w:t>
      </w:r>
      <w:bookmarkEnd w:id="30"/>
      <w:r w:rsidRPr="00D83BD4">
        <w:rPr>
          <w:rStyle w:val="longtext10"/>
          <w:sz w:val="28"/>
          <w:szCs w:val="28"/>
          <w:lang w:val="uk-UA"/>
        </w:rPr>
        <w:t xml:space="preserve">. </w:t>
      </w:r>
      <w:r w:rsidRPr="00D83BD4">
        <w:rPr>
          <w:rStyle w:val="longtext10"/>
          <w:sz w:val="28"/>
          <w:szCs w:val="28"/>
          <w:lang w:val="en-US"/>
        </w:rPr>
        <w:t>URL</w:t>
      </w:r>
      <w:r w:rsidRPr="00D83BD4">
        <w:rPr>
          <w:sz w:val="28"/>
          <w:szCs w:val="28"/>
        </w:rPr>
        <w:t>: https://zakononline.com.ua/documents/show/48894___48894</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Прохорович</w:t>
      </w:r>
      <w:r w:rsidRPr="00D83BD4">
        <w:rPr>
          <w:bCs/>
          <w:sz w:val="28"/>
          <w:szCs w:val="28"/>
          <w:lang w:val="uk-UA"/>
        </w:rPr>
        <w:t xml:space="preserve"> </w:t>
      </w:r>
      <w:r w:rsidRPr="00D83BD4">
        <w:rPr>
          <w:bCs/>
          <w:sz w:val="28"/>
          <w:szCs w:val="28"/>
        </w:rPr>
        <w:t>ЕА. Гипотензивная терапия: новая комбинация и новые возможности. Consilium Medicum. 2013;10:121-125</w:t>
      </w:r>
      <w:r w:rsidRPr="00D83BD4">
        <w:rPr>
          <w:bCs/>
          <w:sz w:val="28"/>
          <w:szCs w:val="28"/>
          <w:lang w:val="uk-UA"/>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lang w:val="uk-UA"/>
        </w:rPr>
        <w:t>Ройтман АП. Лабораторные маркеры сердечно-сосудистых заболеваний. значение в оценке эффективности терапии</w:t>
      </w:r>
      <w:r w:rsidRPr="00D83BD4">
        <w:rPr>
          <w:sz w:val="28"/>
          <w:szCs w:val="28"/>
        </w:rPr>
        <w:t xml:space="preserve">: диссертационная работа. Москва; 2011. </w:t>
      </w:r>
      <w:r w:rsidRPr="00D83BD4">
        <w:rPr>
          <w:sz w:val="28"/>
          <w:szCs w:val="28"/>
          <w:lang w:val="en-US"/>
        </w:rPr>
        <w:t>URL</w:t>
      </w:r>
      <w:r w:rsidRPr="00D83BD4">
        <w:rPr>
          <w:sz w:val="28"/>
          <w:szCs w:val="28"/>
        </w:rPr>
        <w:t xml:space="preserve">: </w:t>
      </w:r>
      <w:r w:rsidRPr="00D83BD4">
        <w:rPr>
          <w:sz w:val="28"/>
          <w:szCs w:val="28"/>
          <w:lang w:val="en-US"/>
        </w:rPr>
        <w:t>https</w:t>
      </w:r>
      <w:r w:rsidRPr="00D83BD4">
        <w:rPr>
          <w:sz w:val="28"/>
          <w:szCs w:val="28"/>
        </w:rPr>
        <w:t>://</w:t>
      </w:r>
      <w:r w:rsidRPr="00D83BD4">
        <w:rPr>
          <w:sz w:val="28"/>
          <w:szCs w:val="28"/>
          <w:lang w:val="en-US"/>
        </w:rPr>
        <w:t>www</w:t>
      </w:r>
      <w:r w:rsidRPr="00D83BD4">
        <w:rPr>
          <w:sz w:val="28"/>
          <w:szCs w:val="28"/>
        </w:rPr>
        <w:t>.</w:t>
      </w:r>
      <w:r w:rsidRPr="00D83BD4">
        <w:rPr>
          <w:sz w:val="28"/>
          <w:szCs w:val="28"/>
          <w:lang w:val="en-US"/>
        </w:rPr>
        <w:t>dissercat</w:t>
      </w:r>
      <w:r w:rsidRPr="00D83BD4">
        <w:rPr>
          <w:sz w:val="28"/>
          <w:szCs w:val="28"/>
        </w:rPr>
        <w:t>.</w:t>
      </w:r>
      <w:r w:rsidRPr="00D83BD4">
        <w:rPr>
          <w:sz w:val="28"/>
          <w:szCs w:val="28"/>
          <w:lang w:val="en-US"/>
        </w:rPr>
        <w:t>com</w:t>
      </w:r>
      <w:r w:rsidRPr="00D83BD4">
        <w:rPr>
          <w:sz w:val="28"/>
          <w:szCs w:val="28"/>
        </w:rPr>
        <w:t>/</w:t>
      </w:r>
      <w:r w:rsidRPr="00D83BD4">
        <w:rPr>
          <w:sz w:val="28"/>
          <w:szCs w:val="28"/>
          <w:lang w:val="en-US"/>
        </w:rPr>
        <w:t>content</w:t>
      </w:r>
      <w:r w:rsidRPr="00D83BD4">
        <w:rPr>
          <w:sz w:val="28"/>
          <w:szCs w:val="28"/>
        </w:rPr>
        <w:t>/</w:t>
      </w:r>
      <w:r w:rsidRPr="00D83BD4">
        <w:rPr>
          <w:sz w:val="28"/>
          <w:szCs w:val="28"/>
          <w:lang w:val="en-US"/>
        </w:rPr>
        <w:t>laboratornye</w:t>
      </w:r>
      <w:r w:rsidRPr="00D83BD4">
        <w:rPr>
          <w:sz w:val="28"/>
          <w:szCs w:val="28"/>
        </w:rPr>
        <w:t>-</w:t>
      </w:r>
      <w:r w:rsidRPr="00D83BD4">
        <w:rPr>
          <w:sz w:val="28"/>
          <w:szCs w:val="28"/>
          <w:lang w:val="en-US"/>
        </w:rPr>
        <w:t>markery</w:t>
      </w:r>
      <w:r w:rsidRPr="00D83BD4">
        <w:rPr>
          <w:sz w:val="28"/>
          <w:szCs w:val="28"/>
        </w:rPr>
        <w:t>-</w:t>
      </w:r>
      <w:r w:rsidRPr="00D83BD4">
        <w:rPr>
          <w:sz w:val="28"/>
          <w:szCs w:val="28"/>
          <w:lang w:val="en-US"/>
        </w:rPr>
        <w:t>serdechno</w:t>
      </w:r>
      <w:r w:rsidRPr="00D83BD4">
        <w:rPr>
          <w:sz w:val="28"/>
          <w:szCs w:val="28"/>
        </w:rPr>
        <w:t>-</w:t>
      </w:r>
      <w:r w:rsidRPr="00D83BD4">
        <w:rPr>
          <w:sz w:val="28"/>
          <w:szCs w:val="28"/>
          <w:lang w:val="en-US"/>
        </w:rPr>
        <w:t>sosudistykh</w:t>
      </w:r>
      <w:r w:rsidRPr="00D83BD4">
        <w:rPr>
          <w:sz w:val="28"/>
          <w:szCs w:val="28"/>
        </w:rPr>
        <w:t>-</w:t>
      </w:r>
      <w:r w:rsidRPr="00D83BD4">
        <w:rPr>
          <w:sz w:val="28"/>
          <w:szCs w:val="28"/>
          <w:lang w:val="en-US"/>
        </w:rPr>
        <w:t>zabolevanii</w:t>
      </w:r>
      <w:r w:rsidRPr="00D83BD4">
        <w:rPr>
          <w:sz w:val="28"/>
          <w:szCs w:val="28"/>
        </w:rPr>
        <w:t>-</w:t>
      </w:r>
      <w:r w:rsidRPr="00D83BD4">
        <w:rPr>
          <w:sz w:val="28"/>
          <w:szCs w:val="28"/>
          <w:lang w:val="en-US"/>
        </w:rPr>
        <w:t>znachenie</w:t>
      </w:r>
      <w:r w:rsidRPr="00D83BD4">
        <w:rPr>
          <w:sz w:val="28"/>
          <w:szCs w:val="28"/>
        </w:rPr>
        <w:t>-</w:t>
      </w:r>
      <w:r w:rsidRPr="00D83BD4">
        <w:rPr>
          <w:sz w:val="28"/>
          <w:szCs w:val="28"/>
          <w:lang w:val="en-US"/>
        </w:rPr>
        <w:t>v</w:t>
      </w:r>
      <w:r w:rsidRPr="00D83BD4">
        <w:rPr>
          <w:sz w:val="28"/>
          <w:szCs w:val="28"/>
        </w:rPr>
        <w:t>-</w:t>
      </w:r>
      <w:r w:rsidRPr="00D83BD4">
        <w:rPr>
          <w:sz w:val="28"/>
          <w:szCs w:val="28"/>
          <w:lang w:val="en-US"/>
        </w:rPr>
        <w:t>otsenke</w:t>
      </w:r>
      <w:r w:rsidRPr="00D83BD4">
        <w:rPr>
          <w:sz w:val="28"/>
          <w:szCs w:val="28"/>
        </w:rPr>
        <w:t>-</w:t>
      </w:r>
      <w:r w:rsidRPr="00D83BD4">
        <w:rPr>
          <w:sz w:val="28"/>
          <w:szCs w:val="28"/>
          <w:lang w:val="en-US"/>
        </w:rPr>
        <w:t>effektivnosti</w:t>
      </w:r>
      <w:r w:rsidRPr="00D83BD4">
        <w:rPr>
          <w:sz w:val="28"/>
          <w:szCs w:val="28"/>
        </w:rPr>
        <w:t>-</w:t>
      </w:r>
      <w:r w:rsidRPr="00D83BD4">
        <w:rPr>
          <w:sz w:val="28"/>
          <w:szCs w:val="28"/>
          <w:lang w:val="en-US"/>
        </w:rPr>
        <w:t>ter</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lang w:val="uk-UA"/>
        </w:rPr>
        <w:t>Романова ІП, Козаков ОВ, Ільїна ІМ, Місюра КВ, Кравчун НО. Артеріальна гіпертензія як фактор ризику розвитку цукрового діабету. Международный эндокринологический журнал. 2013</w:t>
      </w:r>
      <w:r w:rsidRPr="00D83BD4">
        <w:rPr>
          <w:bCs/>
          <w:sz w:val="28"/>
          <w:szCs w:val="28"/>
          <w:lang w:val="en-US"/>
        </w:rPr>
        <w:t>;</w:t>
      </w:r>
      <w:r w:rsidRPr="00D83BD4">
        <w:rPr>
          <w:bCs/>
          <w:sz w:val="28"/>
          <w:szCs w:val="28"/>
          <w:lang w:val="uk-UA"/>
        </w:rPr>
        <w:t>(55)</w:t>
      </w:r>
      <w:r w:rsidRPr="00D83BD4">
        <w:rPr>
          <w:bCs/>
          <w:sz w:val="28"/>
          <w:szCs w:val="28"/>
          <w:lang w:val="en-US"/>
        </w:rPr>
        <w:t>:</w:t>
      </w:r>
      <w:r w:rsidRPr="00D83BD4">
        <w:rPr>
          <w:bCs/>
          <w:sz w:val="28"/>
          <w:szCs w:val="28"/>
          <w:lang w:val="uk-UA"/>
        </w:rPr>
        <w:t>14-19</w:t>
      </w:r>
      <w:r w:rsidRPr="00D83BD4">
        <w:rPr>
          <w:bCs/>
          <w:sz w:val="28"/>
          <w:szCs w:val="28"/>
          <w:lang w:val="en-US"/>
        </w:rPr>
        <w:t>.</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Самитин</w:t>
      </w:r>
      <w:r w:rsidRPr="00D83BD4">
        <w:rPr>
          <w:rStyle w:val="hdesc"/>
          <w:rFonts w:eastAsiaTheme="majorEastAsia"/>
          <w:sz w:val="28"/>
          <w:szCs w:val="28"/>
        </w:rPr>
        <w:t xml:space="preserve"> ВВ. </w:t>
      </w:r>
      <w:r w:rsidRPr="00D83BD4">
        <w:rPr>
          <w:bCs/>
          <w:sz w:val="28"/>
          <w:szCs w:val="28"/>
        </w:rPr>
        <w:t>Комплексная оценка функции эндотелия при субклиническом гипотиреозе</w:t>
      </w:r>
      <w:r w:rsidRPr="00D83BD4">
        <w:rPr>
          <w:sz w:val="28"/>
          <w:szCs w:val="28"/>
        </w:rPr>
        <w:t xml:space="preserve">: диссертационная работа. </w:t>
      </w:r>
      <w:r w:rsidRPr="00D83BD4">
        <w:rPr>
          <w:rStyle w:val="hdesc"/>
          <w:rFonts w:eastAsiaTheme="majorEastAsia"/>
          <w:sz w:val="28"/>
          <w:szCs w:val="28"/>
        </w:rPr>
        <w:t>Самара</w:t>
      </w:r>
      <w:r w:rsidRPr="00D83BD4">
        <w:rPr>
          <w:sz w:val="28"/>
          <w:szCs w:val="28"/>
          <w:lang w:val="en-US"/>
        </w:rPr>
        <w:t xml:space="preserve">; </w:t>
      </w:r>
      <w:r w:rsidRPr="00D83BD4">
        <w:rPr>
          <w:sz w:val="28"/>
          <w:szCs w:val="28"/>
        </w:rPr>
        <w:t>2010.</w:t>
      </w:r>
    </w:p>
    <w:p w:rsidR="00964B26" w:rsidRPr="00964B26"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sz w:val="28"/>
          <w:szCs w:val="28"/>
        </w:rPr>
        <w:t>Самородская ИВ, Старинская МА. Биологический возраст и скорость старения как фактор развития неинфекционных заболеваний и смертности</w:t>
      </w:r>
      <w:r w:rsidRPr="00D83BD4">
        <w:rPr>
          <w:sz w:val="28"/>
          <w:szCs w:val="28"/>
          <w:lang w:val="uk-UA"/>
        </w:rPr>
        <w:t>.</w:t>
      </w:r>
      <w:r w:rsidRPr="00D83BD4">
        <w:rPr>
          <w:sz w:val="28"/>
          <w:szCs w:val="28"/>
        </w:rPr>
        <w:t xml:space="preserve"> Профилактическая медицина</w:t>
      </w:r>
      <w:r w:rsidRPr="00D83BD4">
        <w:rPr>
          <w:sz w:val="28"/>
          <w:szCs w:val="28"/>
          <w:lang w:val="uk-UA"/>
        </w:rPr>
        <w:t>.</w:t>
      </w:r>
      <w:r w:rsidRPr="00D83BD4">
        <w:rPr>
          <w:sz w:val="28"/>
          <w:szCs w:val="28"/>
        </w:rPr>
        <w:t xml:space="preserve"> 2016</w:t>
      </w:r>
      <w:r w:rsidRPr="00D83BD4">
        <w:rPr>
          <w:sz w:val="28"/>
          <w:szCs w:val="28"/>
          <w:lang w:val="en-US"/>
        </w:rPr>
        <w:t>;(</w:t>
      </w:r>
      <w:r w:rsidRPr="00D83BD4">
        <w:rPr>
          <w:sz w:val="28"/>
          <w:szCs w:val="28"/>
        </w:rPr>
        <w:t>5</w:t>
      </w:r>
      <w:r w:rsidRPr="00D83BD4">
        <w:rPr>
          <w:sz w:val="28"/>
          <w:szCs w:val="28"/>
          <w:lang w:val="en-US"/>
        </w:rPr>
        <w:t>):</w:t>
      </w:r>
      <w:r w:rsidRPr="00D83BD4">
        <w:rPr>
          <w:sz w:val="28"/>
          <w:szCs w:val="28"/>
          <w:lang w:val="uk-UA"/>
        </w:rPr>
        <w:t>41-46.</w:t>
      </w:r>
    </w:p>
    <w:p w:rsidR="00E3259F" w:rsidRPr="00D83BD4" w:rsidRDefault="00E3259F" w:rsidP="00964B26">
      <w:pPr>
        <w:tabs>
          <w:tab w:val="left" w:pos="0"/>
        </w:tabs>
        <w:spacing w:line="360" w:lineRule="auto"/>
        <w:jc w:val="both"/>
        <w:rPr>
          <w:bCs/>
          <w:sz w:val="28"/>
          <w:szCs w:val="28"/>
        </w:rPr>
      </w:pPr>
      <w:r w:rsidRPr="00D83BD4">
        <w:rPr>
          <w:rStyle w:val="10"/>
          <w:rFonts w:eastAsiaTheme="majorEastAsia"/>
          <w:sz w:val="28"/>
          <w:szCs w:val="28"/>
          <w:shd w:val="clear" w:color="auto" w:fill="FFFFFF"/>
          <w:lang w:val="uk-UA"/>
        </w:rPr>
        <w:t xml:space="preserve"> </w:t>
      </w:r>
      <w:r w:rsidRPr="00D83BD4">
        <w:rPr>
          <w:rStyle w:val="small-text"/>
          <w:sz w:val="28"/>
          <w:szCs w:val="28"/>
          <w:shd w:val="clear" w:color="auto" w:fill="FFFFFF"/>
        </w:rPr>
        <w:t>DOI:</w:t>
      </w:r>
      <w:r w:rsidRPr="00964B26">
        <w:rPr>
          <w:rFonts w:eastAsiaTheme="majorEastAsia"/>
          <w:sz w:val="28"/>
          <w:szCs w:val="28"/>
          <w:shd w:val="clear" w:color="auto" w:fill="FFFFFF"/>
        </w:rPr>
        <w:t>10.17116/profmed201619541-46</w:t>
      </w:r>
    </w:p>
    <w:p w:rsidR="00E3259F" w:rsidRPr="00D83BD4" w:rsidRDefault="00E3259F" w:rsidP="00D83BD4">
      <w:pPr>
        <w:numPr>
          <w:ilvl w:val="0"/>
          <w:numId w:val="26"/>
        </w:numPr>
        <w:tabs>
          <w:tab w:val="clear" w:pos="360"/>
          <w:tab w:val="left" w:pos="0"/>
          <w:tab w:val="num" w:pos="540"/>
        </w:tabs>
        <w:spacing w:line="360" w:lineRule="auto"/>
        <w:ind w:left="0" w:firstLine="0"/>
        <w:jc w:val="both"/>
        <w:rPr>
          <w:bCs/>
          <w:sz w:val="28"/>
          <w:szCs w:val="28"/>
        </w:rPr>
      </w:pPr>
      <w:r w:rsidRPr="00D83BD4">
        <w:rPr>
          <w:bCs/>
          <w:sz w:val="28"/>
          <w:szCs w:val="28"/>
        </w:rPr>
        <w:t xml:space="preserve">Саприна ТВ, Файзулина НМ. Сахарный диабет 2 типа у лиц пожилого возраста – решенные и нерешенные вопросы.  Сахарный диабет. </w:t>
      </w:r>
      <w:r w:rsidRPr="00D83BD4">
        <w:rPr>
          <w:bCs/>
          <w:sz w:val="28"/>
          <w:szCs w:val="28"/>
          <w:lang w:val="en-US"/>
        </w:rPr>
        <w:t xml:space="preserve"> </w:t>
      </w:r>
      <w:r w:rsidRPr="00D83BD4">
        <w:rPr>
          <w:bCs/>
          <w:sz w:val="28"/>
          <w:szCs w:val="28"/>
        </w:rPr>
        <w:t xml:space="preserve"> 2016</w:t>
      </w:r>
      <w:r w:rsidRPr="00D83BD4">
        <w:rPr>
          <w:bCs/>
          <w:sz w:val="28"/>
          <w:szCs w:val="28"/>
          <w:lang w:val="en-US"/>
        </w:rPr>
        <w:t>;</w:t>
      </w:r>
      <w:r w:rsidRPr="00D83BD4">
        <w:rPr>
          <w:bCs/>
          <w:sz w:val="28"/>
          <w:szCs w:val="28"/>
        </w:rPr>
        <w:t>19</w:t>
      </w:r>
      <w:r w:rsidRPr="00D83BD4">
        <w:rPr>
          <w:bCs/>
          <w:sz w:val="28"/>
          <w:szCs w:val="28"/>
          <w:lang w:val="en-US"/>
        </w:rPr>
        <w:t>(</w:t>
      </w:r>
      <w:r w:rsidRPr="00D83BD4">
        <w:rPr>
          <w:bCs/>
          <w:sz w:val="28"/>
          <w:szCs w:val="28"/>
        </w:rPr>
        <w:t>4</w:t>
      </w:r>
      <w:r w:rsidRPr="00D83BD4">
        <w:rPr>
          <w:bCs/>
          <w:sz w:val="28"/>
          <w:szCs w:val="28"/>
          <w:lang w:val="en-US"/>
        </w:rPr>
        <w:t>):</w:t>
      </w:r>
      <w:r w:rsidRPr="00D83BD4">
        <w:rPr>
          <w:bCs/>
          <w:sz w:val="28"/>
          <w:szCs w:val="28"/>
        </w:rPr>
        <w:t xml:space="preserve"> 322-330. doi: 10.14341/DM7884</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lang w:val="uk-UA"/>
        </w:rPr>
      </w:pPr>
      <w:bookmarkStart w:id="31" w:name="_Hlk43406473"/>
      <w:r w:rsidRPr="00D83BD4">
        <w:rPr>
          <w:sz w:val="28"/>
          <w:szCs w:val="28"/>
        </w:rPr>
        <w:t>Саркисян ГТ, Бархударян МС, Коган ВЮ. Темп старения и биологический возраст как критерии для использования труда лиц старших возрастных групп в различных отраслях промышленности Армении</w:t>
      </w:r>
      <w:r w:rsidRPr="00D83BD4">
        <w:rPr>
          <w:sz w:val="28"/>
          <w:szCs w:val="28"/>
          <w:lang w:val="uk-UA"/>
        </w:rPr>
        <w:t xml:space="preserve">. </w:t>
      </w:r>
      <w:r w:rsidRPr="00D83BD4">
        <w:rPr>
          <w:sz w:val="28"/>
          <w:szCs w:val="28"/>
        </w:rPr>
        <w:t>Медицинская наука Армении НАН РА</w:t>
      </w:r>
      <w:r w:rsidRPr="00D83BD4">
        <w:rPr>
          <w:sz w:val="28"/>
          <w:szCs w:val="28"/>
          <w:lang w:val="uk-UA"/>
        </w:rPr>
        <w:t xml:space="preserve">. </w:t>
      </w:r>
      <w:r w:rsidRPr="00D83BD4">
        <w:rPr>
          <w:sz w:val="28"/>
          <w:szCs w:val="28"/>
        </w:rPr>
        <w:t>2014</w:t>
      </w:r>
      <w:r w:rsidRPr="00D83BD4">
        <w:rPr>
          <w:sz w:val="28"/>
          <w:szCs w:val="28"/>
          <w:lang w:val="en-US"/>
        </w:rPr>
        <w:t>;</w:t>
      </w:r>
      <w:r w:rsidRPr="00D83BD4">
        <w:rPr>
          <w:sz w:val="28"/>
          <w:szCs w:val="28"/>
        </w:rPr>
        <w:t xml:space="preserve"> LIV</w:t>
      </w:r>
      <w:r w:rsidRPr="00D83BD4">
        <w:rPr>
          <w:sz w:val="28"/>
          <w:szCs w:val="28"/>
          <w:lang w:val="en-US"/>
        </w:rPr>
        <w:t>(</w:t>
      </w:r>
      <w:r w:rsidRPr="00D83BD4">
        <w:rPr>
          <w:sz w:val="28"/>
          <w:szCs w:val="28"/>
          <w:lang w:val="uk-UA"/>
        </w:rPr>
        <w:t>1</w:t>
      </w:r>
      <w:r w:rsidRPr="00D83BD4">
        <w:rPr>
          <w:sz w:val="28"/>
          <w:szCs w:val="28"/>
          <w:lang w:val="en-US"/>
        </w:rPr>
        <w:t>):</w:t>
      </w:r>
      <w:r w:rsidRPr="00D83BD4">
        <w:rPr>
          <w:sz w:val="28"/>
          <w:szCs w:val="28"/>
          <w:lang w:val="uk-UA"/>
        </w:rPr>
        <w:t>91-98.</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lang w:val="uk-UA"/>
        </w:rPr>
      </w:pPr>
      <w:r w:rsidRPr="00D83BD4">
        <w:rPr>
          <w:sz w:val="28"/>
          <w:szCs w:val="28"/>
        </w:rPr>
        <w:t xml:space="preserve">Синкевич ДА, </w:t>
      </w:r>
      <w:bookmarkEnd w:id="31"/>
      <w:r w:rsidRPr="00D83BD4">
        <w:rPr>
          <w:sz w:val="28"/>
          <w:szCs w:val="28"/>
        </w:rPr>
        <w:t>Протасов КВ, Дзизинский АА.</w:t>
      </w:r>
      <w:r w:rsidRPr="00D83BD4">
        <w:rPr>
          <w:sz w:val="28"/>
          <w:szCs w:val="28"/>
          <w:lang w:val="uk-UA"/>
        </w:rPr>
        <w:t xml:space="preserve"> К</w:t>
      </w:r>
      <w:r w:rsidRPr="00D83BD4">
        <w:rPr>
          <w:sz w:val="28"/>
          <w:szCs w:val="28"/>
        </w:rPr>
        <w:t>онцепция «сосудистого возраста» как новый подход к оценке сердечно-сосудистого риска</w:t>
      </w:r>
      <w:r w:rsidRPr="00D83BD4">
        <w:rPr>
          <w:sz w:val="28"/>
          <w:szCs w:val="28"/>
          <w:lang w:val="uk-UA"/>
        </w:rPr>
        <w:t xml:space="preserve">. </w:t>
      </w:r>
      <w:r w:rsidRPr="00D83BD4">
        <w:rPr>
          <w:sz w:val="28"/>
          <w:szCs w:val="28"/>
        </w:rPr>
        <w:t>Сибирский медицинский журнал</w:t>
      </w:r>
      <w:r w:rsidRPr="00D83BD4">
        <w:rPr>
          <w:sz w:val="28"/>
          <w:szCs w:val="28"/>
          <w:lang w:val="uk-UA"/>
        </w:rPr>
        <w:t>.</w:t>
      </w:r>
      <w:r w:rsidRPr="00D83BD4">
        <w:rPr>
          <w:sz w:val="28"/>
          <w:szCs w:val="28"/>
        </w:rPr>
        <w:t xml:space="preserve"> 2011</w:t>
      </w:r>
      <w:r w:rsidRPr="00D83BD4">
        <w:rPr>
          <w:sz w:val="28"/>
          <w:szCs w:val="28"/>
          <w:lang w:val="en-US"/>
        </w:rPr>
        <w:t>;(</w:t>
      </w:r>
      <w:r w:rsidRPr="00D83BD4">
        <w:rPr>
          <w:sz w:val="28"/>
          <w:szCs w:val="28"/>
        </w:rPr>
        <w:t>6</w:t>
      </w:r>
      <w:r w:rsidRPr="00D83BD4">
        <w:rPr>
          <w:sz w:val="28"/>
          <w:szCs w:val="28"/>
          <w:lang w:val="en-US"/>
        </w:rPr>
        <w:t>):</w:t>
      </w:r>
      <w:r w:rsidRPr="00D83BD4">
        <w:rPr>
          <w:sz w:val="28"/>
          <w:szCs w:val="28"/>
          <w:lang w:val="uk-UA"/>
        </w:rPr>
        <w:t xml:space="preserve"> 9-13.</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textAlignment w:val="top"/>
        <w:rPr>
          <w:rFonts w:eastAsia="Calibri"/>
          <w:sz w:val="28"/>
          <w:szCs w:val="28"/>
          <w:lang w:eastAsia="en-US"/>
        </w:rPr>
      </w:pPr>
      <w:r w:rsidRPr="00D83BD4">
        <w:rPr>
          <w:rFonts w:eastAsia="Calibri"/>
          <w:bCs/>
          <w:sz w:val="28"/>
          <w:szCs w:val="28"/>
          <w:shd w:val="clear" w:color="auto" w:fill="FFFFFF"/>
          <w:lang w:val="uk-UA" w:eastAsia="en-US"/>
        </w:rPr>
        <w:t xml:space="preserve">Смирнова ЕН, Шулькина СГ, Смирнова ЕН, Шулькина СГ, Щекотов ВВ, Антипова АА. </w:t>
      </w:r>
      <w:r w:rsidRPr="00D83BD4">
        <w:rPr>
          <w:rFonts w:eastAsia="Calibri"/>
          <w:bCs/>
          <w:sz w:val="28"/>
          <w:szCs w:val="28"/>
          <w:shd w:val="clear" w:color="auto" w:fill="FFFFFF"/>
          <w:lang w:eastAsia="en-US"/>
        </w:rPr>
        <w:t xml:space="preserve">Васкулоэндотелиальный фактор роста как маркер эндотелиальной дисфункции и раннего повреждения почек у больных метаболическим синдромом. Современные проблемы науки и образования. </w:t>
      </w:r>
      <w:r w:rsidRPr="00D83BD4">
        <w:rPr>
          <w:rFonts w:eastAsia="Calibri"/>
          <w:bCs/>
          <w:sz w:val="28"/>
          <w:szCs w:val="28"/>
          <w:lang w:eastAsia="en-US"/>
        </w:rPr>
        <w:t>[Internet].</w:t>
      </w:r>
      <w:r w:rsidRPr="00D83BD4">
        <w:rPr>
          <w:rFonts w:eastAsia="Calibri"/>
          <w:bCs/>
          <w:sz w:val="28"/>
          <w:szCs w:val="28"/>
          <w:shd w:val="clear" w:color="auto" w:fill="FFFFFF"/>
          <w:lang w:eastAsia="en-US"/>
        </w:rPr>
        <w:t xml:space="preserve"> 2015;5 </w:t>
      </w:r>
      <w:r w:rsidRPr="00D83BD4">
        <w:rPr>
          <w:rFonts w:eastAsia="Calibri"/>
          <w:bCs/>
          <w:sz w:val="28"/>
          <w:szCs w:val="28"/>
          <w:lang w:eastAsia="en-US"/>
        </w:rPr>
        <w:t>[</w:t>
      </w:r>
      <w:r w:rsidRPr="00D83BD4">
        <w:rPr>
          <w:rFonts w:eastAsia="Calibri"/>
          <w:bCs/>
          <w:sz w:val="28"/>
          <w:szCs w:val="28"/>
          <w:lang w:val="en-US" w:eastAsia="en-US"/>
        </w:rPr>
        <w:t>cited</w:t>
      </w:r>
      <w:r w:rsidRPr="00D83BD4">
        <w:rPr>
          <w:rFonts w:eastAsia="Calibri"/>
          <w:bCs/>
          <w:sz w:val="28"/>
          <w:szCs w:val="28"/>
          <w:lang w:eastAsia="en-US"/>
        </w:rPr>
        <w:t xml:space="preserve"> 2019 </w:t>
      </w:r>
      <w:r w:rsidRPr="00D83BD4">
        <w:rPr>
          <w:rFonts w:eastAsia="Calibri"/>
          <w:bCs/>
          <w:sz w:val="28"/>
          <w:szCs w:val="28"/>
          <w:lang w:val="en-US" w:eastAsia="en-US"/>
        </w:rPr>
        <w:t>September</w:t>
      </w:r>
      <w:r w:rsidRPr="00D83BD4">
        <w:rPr>
          <w:rFonts w:eastAsia="Calibri"/>
          <w:bCs/>
          <w:sz w:val="28"/>
          <w:szCs w:val="28"/>
          <w:lang w:eastAsia="en-US"/>
        </w:rPr>
        <w:t xml:space="preserve"> 11</w:t>
      </w:r>
      <w:r w:rsidRPr="00D83BD4">
        <w:rPr>
          <w:rFonts w:eastAsia="Calibri"/>
          <w:bCs/>
          <w:sz w:val="28"/>
          <w:szCs w:val="28"/>
          <w:shd w:val="clear" w:color="auto" w:fill="FFFFFF"/>
          <w:lang w:eastAsia="en-US"/>
        </w:rPr>
        <w:t xml:space="preserve"> </w:t>
      </w:r>
      <w:r w:rsidRPr="00D83BD4">
        <w:rPr>
          <w:rFonts w:eastAsia="Calibri"/>
          <w:bCs/>
          <w:sz w:val="28"/>
          <w:szCs w:val="28"/>
          <w:shd w:val="clear" w:color="auto" w:fill="FFFFFF"/>
          <w:lang w:val="en-US" w:eastAsia="en-US"/>
        </w:rPr>
        <w:t>URL</w:t>
      </w:r>
      <w:r w:rsidRPr="00D83BD4">
        <w:rPr>
          <w:rFonts w:eastAsia="Calibri"/>
          <w:bCs/>
          <w:sz w:val="28"/>
          <w:szCs w:val="28"/>
          <w:shd w:val="clear" w:color="auto" w:fill="FFFFFF"/>
          <w:lang w:eastAsia="en-US"/>
        </w:rPr>
        <w:t xml:space="preserve">: </w:t>
      </w:r>
      <w:r w:rsidRPr="00D83BD4">
        <w:rPr>
          <w:rFonts w:eastAsia="Calibri"/>
          <w:sz w:val="28"/>
          <w:szCs w:val="28"/>
          <w:lang w:eastAsia="en-US"/>
        </w:rPr>
        <w:t>https://www.science-education.ru/ru/article/view?id=21800</w:t>
      </w:r>
    </w:p>
    <w:p w:rsidR="00E3259F" w:rsidRPr="00D83BD4" w:rsidRDefault="00E3259F" w:rsidP="00D83BD4">
      <w:pPr>
        <w:numPr>
          <w:ilvl w:val="0"/>
          <w:numId w:val="26"/>
        </w:numPr>
        <w:tabs>
          <w:tab w:val="clear" w:pos="360"/>
          <w:tab w:val="left" w:pos="0"/>
          <w:tab w:val="num" w:pos="540"/>
        </w:tabs>
        <w:spacing w:line="360" w:lineRule="auto"/>
        <w:ind w:left="0" w:firstLine="0"/>
        <w:jc w:val="both"/>
        <w:rPr>
          <w:sz w:val="28"/>
          <w:szCs w:val="28"/>
        </w:rPr>
      </w:pPr>
      <w:r w:rsidRPr="00D83BD4">
        <w:rPr>
          <w:sz w:val="28"/>
          <w:szCs w:val="28"/>
        </w:rPr>
        <w:t>Соколова ЛА, Иевская ЕВ. Инсулинорезистентность как фактор риска сердечно-сосудистых заболеваний. Трансляционная медицина.</w:t>
      </w:r>
      <w:r w:rsidRPr="00D83BD4">
        <w:rPr>
          <w:sz w:val="28"/>
          <w:szCs w:val="28"/>
          <w:lang w:val="en-US"/>
        </w:rPr>
        <w:t xml:space="preserve"> </w:t>
      </w:r>
      <w:r w:rsidRPr="00D83BD4">
        <w:rPr>
          <w:sz w:val="28"/>
          <w:szCs w:val="28"/>
        </w:rPr>
        <w:t>2015</w:t>
      </w:r>
      <w:r w:rsidRPr="00D83BD4">
        <w:rPr>
          <w:sz w:val="28"/>
          <w:szCs w:val="28"/>
          <w:lang w:val="en-US"/>
        </w:rPr>
        <w:t>;(</w:t>
      </w:r>
      <w:r w:rsidRPr="00D83BD4">
        <w:rPr>
          <w:sz w:val="28"/>
          <w:szCs w:val="28"/>
        </w:rPr>
        <w:t>2)</w:t>
      </w:r>
      <w:r w:rsidRPr="00D83BD4">
        <w:rPr>
          <w:sz w:val="28"/>
          <w:szCs w:val="28"/>
          <w:lang w:val="en-US"/>
        </w:rPr>
        <w:t>:</w:t>
      </w:r>
      <w:r w:rsidRPr="00D83BD4">
        <w:rPr>
          <w:sz w:val="28"/>
          <w:szCs w:val="28"/>
        </w:rPr>
        <w:t>32–38.</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textAlignment w:val="top"/>
        <w:rPr>
          <w:rFonts w:eastAsia="Calibri"/>
          <w:bCs/>
          <w:caps/>
          <w:sz w:val="28"/>
          <w:szCs w:val="28"/>
          <w:bdr w:val="none" w:sz="0" w:space="0" w:color="auto" w:frame="1"/>
          <w:lang w:val="uk-UA" w:eastAsia="en-US"/>
        </w:rPr>
      </w:pPr>
      <w:r w:rsidRPr="00D83BD4">
        <w:rPr>
          <w:rFonts w:eastAsia="Calibri"/>
          <w:sz w:val="28"/>
          <w:szCs w:val="28"/>
          <w:lang w:eastAsia="en-US"/>
        </w:rPr>
        <w:t xml:space="preserve">Стражеско ИД, Ткачева ОН, Акашева ДУ, Дудинская ЕВ, Агальцов МВ, Кругликова АС, и др. </w:t>
      </w:r>
      <w:r w:rsidRPr="00D83BD4">
        <w:rPr>
          <w:rFonts w:eastAsia="Calibri"/>
          <w:sz w:val="28"/>
          <w:szCs w:val="28"/>
          <w:lang w:val="en-US" w:eastAsia="en-US"/>
        </w:rPr>
        <w:t>B</w:t>
      </w:r>
      <w:r w:rsidRPr="00D83BD4">
        <w:rPr>
          <w:rFonts w:eastAsia="Calibri"/>
          <w:sz w:val="28"/>
          <w:szCs w:val="28"/>
          <w:lang w:eastAsia="en-US"/>
        </w:rPr>
        <w:t>заимосвязь между различными структурно-функциональными характеристиками состояния артериальной стенки и традиционными факторами кардиоваскулярного риска у здоровых людей разного возраста. Часть 2. Рациональная Фармакотерапия в Кардиологии. 2016;12(3):244-252.  doi.: 10.20996/1819-6446-2016-12-3-244-252</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textAlignment w:val="top"/>
        <w:rPr>
          <w:rFonts w:eastAsia="Calibri"/>
          <w:bCs/>
          <w:caps/>
          <w:sz w:val="28"/>
          <w:szCs w:val="28"/>
          <w:bdr w:val="none" w:sz="0" w:space="0" w:color="auto" w:frame="1"/>
          <w:lang w:val="uk-UA" w:eastAsia="en-US"/>
        </w:rPr>
      </w:pPr>
      <w:r w:rsidRPr="00D83BD4">
        <w:rPr>
          <w:rFonts w:eastAsia="Calibri"/>
          <w:sz w:val="28"/>
          <w:szCs w:val="28"/>
          <w:lang w:val="uk-UA" w:eastAsia="en-US"/>
        </w:rPr>
        <w:t xml:space="preserve">Стражеско ИД, Ткачева ОН, Акашева ДУ, Дудинская ЕВ, Агальцов МВ, Кругликова АС, </w:t>
      </w:r>
      <w:r w:rsidRPr="00D83BD4">
        <w:rPr>
          <w:rFonts w:eastAsia="Calibri"/>
          <w:sz w:val="28"/>
          <w:szCs w:val="28"/>
          <w:lang w:eastAsia="en-US"/>
        </w:rPr>
        <w:t xml:space="preserve">и др. </w:t>
      </w:r>
      <w:r w:rsidRPr="00D83BD4">
        <w:rPr>
          <w:rFonts w:eastAsia="Calibri"/>
          <w:sz w:val="28"/>
          <w:szCs w:val="28"/>
          <w:lang w:val="uk-UA" w:eastAsia="en-US"/>
        </w:rPr>
        <w:t xml:space="preserve"> Взаимосвязь между факторами риска сердечно-сосудистых заболеваний и длиной теломер лейкоцитов. Кардиоваскулярная терапия и профілактика. 2016; 15(3): 52–57</w:t>
      </w:r>
      <w:r w:rsidRPr="00D83BD4">
        <w:rPr>
          <w:rFonts w:eastAsia="Calibri"/>
          <w:sz w:val="28"/>
          <w:szCs w:val="28"/>
          <w:lang w:val="en-US" w:eastAsia="en-US"/>
        </w:rPr>
        <w:t xml:space="preserve">. </w:t>
      </w:r>
      <w:r w:rsidRPr="00D83BD4">
        <w:rPr>
          <w:rFonts w:eastAsia="Calibri"/>
          <w:sz w:val="28"/>
          <w:szCs w:val="28"/>
          <w:lang w:val="uk-UA" w:eastAsia="en-US"/>
        </w:rPr>
        <w:t xml:space="preserve"> </w:t>
      </w:r>
      <w:r w:rsidRPr="00D83BD4">
        <w:rPr>
          <w:rFonts w:eastAsia="Calibri"/>
          <w:sz w:val="28"/>
          <w:szCs w:val="28"/>
          <w:lang w:val="en-US" w:eastAsia="en-US"/>
        </w:rPr>
        <w:t>d</w:t>
      </w:r>
      <w:r w:rsidRPr="00D83BD4">
        <w:rPr>
          <w:rFonts w:eastAsia="Calibri"/>
          <w:sz w:val="28"/>
          <w:szCs w:val="28"/>
          <w:lang w:eastAsia="en-US"/>
        </w:rPr>
        <w:t>oi</w:t>
      </w:r>
      <w:r w:rsidRPr="00D83BD4">
        <w:rPr>
          <w:rFonts w:eastAsia="Calibri"/>
          <w:sz w:val="28"/>
          <w:szCs w:val="28"/>
          <w:lang w:val="en-US" w:eastAsia="en-US"/>
        </w:rPr>
        <w:t xml:space="preserve">: </w:t>
      </w:r>
      <w:r w:rsidRPr="00D83BD4">
        <w:rPr>
          <w:rFonts w:eastAsia="Calibri"/>
          <w:sz w:val="28"/>
          <w:szCs w:val="28"/>
          <w:lang w:val="uk-UA" w:eastAsia="en-US"/>
        </w:rPr>
        <w:t>10.15829/1728-8800-2016-3-52-57</w:t>
      </w:r>
    </w:p>
    <w:p w:rsidR="00E3259F" w:rsidRPr="00D83BD4" w:rsidRDefault="00E3259F" w:rsidP="00D83BD4">
      <w:pPr>
        <w:pStyle w:val="a4"/>
        <w:numPr>
          <w:ilvl w:val="0"/>
          <w:numId w:val="26"/>
        </w:numPr>
        <w:tabs>
          <w:tab w:val="clear" w:pos="360"/>
          <w:tab w:val="left" w:pos="0"/>
          <w:tab w:val="num" w:pos="540"/>
        </w:tabs>
        <w:spacing w:line="360" w:lineRule="auto"/>
        <w:ind w:left="0" w:firstLine="0"/>
        <w:jc w:val="both"/>
        <w:textAlignment w:val="top"/>
        <w:rPr>
          <w:rFonts w:eastAsia="Calibri"/>
          <w:bCs/>
          <w:caps/>
          <w:sz w:val="28"/>
          <w:szCs w:val="28"/>
          <w:bdr w:val="none" w:sz="0" w:space="0" w:color="auto" w:frame="1"/>
          <w:lang w:val="uk-UA" w:eastAsia="en-US"/>
        </w:rPr>
      </w:pPr>
      <w:r w:rsidRPr="00D83BD4">
        <w:rPr>
          <w:rFonts w:eastAsia="Calibri"/>
          <w:sz w:val="28"/>
          <w:szCs w:val="28"/>
          <w:lang w:val="uk-UA" w:eastAsia="en-US"/>
        </w:rPr>
        <w:t xml:space="preserve">Стратегія державної політики з питань здорового та активного довголіття населення на період до 2022 року. розпорядження Кабінету Міністрів України від 11 січня 2018 р. № 10-р. </w:t>
      </w:r>
      <w:r w:rsidRPr="00D83BD4">
        <w:rPr>
          <w:rFonts w:eastAsia="Calibri"/>
          <w:sz w:val="28"/>
          <w:szCs w:val="28"/>
          <w:lang w:eastAsia="en-US"/>
        </w:rPr>
        <w:t>URL</w:t>
      </w:r>
      <w:r w:rsidRPr="00D83BD4">
        <w:rPr>
          <w:rFonts w:eastAsia="Calibri"/>
          <w:sz w:val="28"/>
          <w:szCs w:val="28"/>
          <w:lang w:val="uk-UA" w:eastAsia="en-US"/>
        </w:rPr>
        <w:t xml:space="preserve">: </w:t>
      </w:r>
      <w:r w:rsidRPr="00D83BD4">
        <w:rPr>
          <w:rFonts w:eastAsia="Calibri"/>
          <w:sz w:val="28"/>
          <w:szCs w:val="28"/>
          <w:lang w:eastAsia="en-US"/>
        </w:rPr>
        <w:t>https</w:t>
      </w:r>
      <w:r w:rsidRPr="00D83BD4">
        <w:rPr>
          <w:rFonts w:eastAsia="Calibri"/>
          <w:sz w:val="28"/>
          <w:szCs w:val="28"/>
          <w:lang w:val="uk-UA" w:eastAsia="en-US"/>
        </w:rPr>
        <w:t>://zakon.rada.gov.ua/laws/show/10-2018-%D1%80</w:t>
      </w:r>
    </w:p>
    <w:p w:rsidR="00E3259F" w:rsidRPr="00D83BD4" w:rsidRDefault="00E3259F" w:rsidP="00D83BD4">
      <w:pPr>
        <w:pStyle w:val="a4"/>
        <w:numPr>
          <w:ilvl w:val="0"/>
          <w:numId w:val="26"/>
        </w:numPr>
        <w:tabs>
          <w:tab w:val="left" w:pos="0"/>
        </w:tabs>
        <w:spacing w:line="360" w:lineRule="auto"/>
        <w:ind w:left="0" w:firstLine="0"/>
        <w:jc w:val="both"/>
        <w:textAlignment w:val="top"/>
        <w:rPr>
          <w:rFonts w:eastAsia="Calibri"/>
          <w:bCs/>
          <w:caps/>
          <w:sz w:val="28"/>
          <w:szCs w:val="28"/>
          <w:bdr w:val="none" w:sz="0" w:space="0" w:color="auto" w:frame="1"/>
          <w:lang w:val="uk-UA" w:eastAsia="en-US"/>
        </w:rPr>
      </w:pPr>
      <w:r w:rsidRPr="00D83BD4">
        <w:rPr>
          <w:rFonts w:eastAsia="Calibri"/>
          <w:sz w:val="28"/>
          <w:szCs w:val="28"/>
          <w:lang w:eastAsia="en-US"/>
        </w:rPr>
        <w:t>Стрюк РИ, Свиридова МИ, Мкртумян АМ, Голикова АА. С-реактивный белок как показатель риска сердечно-сосудистых осложнений у больных сахарным диабетом 2-го типа и его коррекция. Клиническая медицина. 2016</w:t>
      </w:r>
      <w:r w:rsidRPr="00D83BD4">
        <w:rPr>
          <w:rFonts w:eastAsia="Calibri"/>
          <w:sz w:val="28"/>
          <w:szCs w:val="28"/>
          <w:lang w:val="uk-UA" w:eastAsia="en-US"/>
        </w:rPr>
        <w:t>;</w:t>
      </w:r>
      <w:r w:rsidRPr="00D83BD4">
        <w:rPr>
          <w:rFonts w:eastAsia="Calibri"/>
          <w:sz w:val="28"/>
          <w:szCs w:val="28"/>
          <w:lang w:eastAsia="en-US"/>
        </w:rPr>
        <w:t>94 (9)</w:t>
      </w:r>
      <w:r w:rsidRPr="00D83BD4">
        <w:rPr>
          <w:rFonts w:eastAsia="Calibri"/>
          <w:sz w:val="28"/>
          <w:szCs w:val="28"/>
          <w:lang w:val="uk-UA" w:eastAsia="en-US"/>
        </w:rPr>
        <w:t>:</w:t>
      </w:r>
      <w:r w:rsidRPr="00D83BD4">
        <w:rPr>
          <w:rFonts w:eastAsia="Calibri"/>
          <w:sz w:val="28"/>
          <w:szCs w:val="28"/>
          <w:lang w:eastAsia="en-US"/>
        </w:rPr>
        <w:t>683-687</w:t>
      </w:r>
      <w:r w:rsidRPr="00D83BD4">
        <w:rPr>
          <w:rFonts w:eastAsia="Calibri"/>
          <w:sz w:val="28"/>
          <w:szCs w:val="28"/>
          <w:lang w:val="uk-UA" w:eastAsia="en-US"/>
        </w:rPr>
        <w:t>.</w:t>
      </w:r>
    </w:p>
    <w:p w:rsidR="00E3259F" w:rsidRPr="00D83BD4" w:rsidRDefault="00E3259F" w:rsidP="00D83BD4">
      <w:pPr>
        <w:pStyle w:val="a4"/>
        <w:numPr>
          <w:ilvl w:val="0"/>
          <w:numId w:val="26"/>
        </w:numPr>
        <w:tabs>
          <w:tab w:val="left" w:pos="0"/>
        </w:tabs>
        <w:spacing w:line="360" w:lineRule="auto"/>
        <w:ind w:left="0" w:firstLine="0"/>
        <w:jc w:val="both"/>
        <w:textAlignment w:val="top"/>
        <w:rPr>
          <w:rFonts w:eastAsia="Calibri"/>
          <w:bCs/>
          <w:caps/>
          <w:sz w:val="28"/>
          <w:szCs w:val="28"/>
          <w:bdr w:val="none" w:sz="0" w:space="0" w:color="auto" w:frame="1"/>
          <w:lang w:val="uk-UA" w:eastAsia="en-US"/>
        </w:rPr>
      </w:pPr>
      <w:r w:rsidRPr="00D83BD4">
        <w:rPr>
          <w:rFonts w:eastAsia="Calibri"/>
          <w:bCs/>
          <w:sz w:val="28"/>
          <w:szCs w:val="28"/>
          <w:lang w:val="uk-UA" w:eastAsia="en-US"/>
        </w:rPr>
        <w:t>Ткаченко ВІ, Максимець ЯА, Видиборець НВ, Коваленко ОФ. Аналіз поширеності тиреоїдної патології та захворюваності на неї серед населення Київської області та України за 2007–2017 рр. Міжнародний ендокринологічний журнал. 2018</w:t>
      </w:r>
      <w:r w:rsidRPr="00D83BD4">
        <w:rPr>
          <w:rFonts w:eastAsia="Calibri"/>
          <w:bCs/>
          <w:sz w:val="28"/>
          <w:szCs w:val="28"/>
          <w:lang w:val="en-US" w:eastAsia="en-US"/>
        </w:rPr>
        <w:t>;</w:t>
      </w:r>
      <w:r w:rsidRPr="00D83BD4">
        <w:rPr>
          <w:rFonts w:eastAsia="Calibri"/>
          <w:bCs/>
          <w:sz w:val="28"/>
          <w:szCs w:val="28"/>
          <w:lang w:val="uk-UA" w:eastAsia="en-US"/>
        </w:rPr>
        <w:t>14</w:t>
      </w:r>
      <w:r w:rsidRPr="00D83BD4">
        <w:rPr>
          <w:rFonts w:eastAsia="Calibri"/>
          <w:bCs/>
          <w:sz w:val="28"/>
          <w:szCs w:val="28"/>
          <w:lang w:val="en-US" w:eastAsia="en-US"/>
        </w:rPr>
        <w:t>(</w:t>
      </w:r>
      <w:r w:rsidRPr="00D83BD4">
        <w:rPr>
          <w:rFonts w:eastAsia="Calibri"/>
          <w:bCs/>
          <w:sz w:val="28"/>
          <w:szCs w:val="28"/>
          <w:lang w:val="uk-UA" w:eastAsia="en-US"/>
        </w:rPr>
        <w:t>3</w:t>
      </w:r>
      <w:r w:rsidRPr="00D83BD4">
        <w:rPr>
          <w:rFonts w:eastAsia="Calibri"/>
          <w:bCs/>
          <w:sz w:val="28"/>
          <w:szCs w:val="28"/>
          <w:lang w:val="en-US" w:eastAsia="en-US"/>
        </w:rPr>
        <w:t>):</w:t>
      </w:r>
      <w:r w:rsidRPr="00D83BD4">
        <w:rPr>
          <w:rFonts w:eastAsia="Calibri"/>
          <w:bCs/>
          <w:sz w:val="28"/>
          <w:szCs w:val="28"/>
          <w:lang w:val="uk-UA" w:eastAsia="en-US"/>
        </w:rPr>
        <w:t xml:space="preserve">272-277.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rPr>
        <w:t xml:space="preserve">Торба ОВ. Показники системи глутатіону у хворих з гострим абдомінальним ішемічним синдромом. Проблеми екологічної та медичної генетики і клінічної імунології. </w:t>
      </w:r>
      <w:r w:rsidRPr="00D83BD4">
        <w:rPr>
          <w:sz w:val="28"/>
          <w:szCs w:val="28"/>
          <w:lang w:val="en-US"/>
        </w:rPr>
        <w:t xml:space="preserve"> </w:t>
      </w:r>
      <w:r w:rsidRPr="00D83BD4">
        <w:rPr>
          <w:sz w:val="28"/>
          <w:szCs w:val="28"/>
        </w:rPr>
        <w:t xml:space="preserve"> 2012</w:t>
      </w:r>
      <w:r w:rsidRPr="00D83BD4">
        <w:rPr>
          <w:sz w:val="28"/>
          <w:szCs w:val="28"/>
          <w:lang w:val="en-US"/>
        </w:rPr>
        <w:t>;(</w:t>
      </w:r>
      <w:r w:rsidRPr="00D83BD4">
        <w:rPr>
          <w:sz w:val="28"/>
          <w:szCs w:val="28"/>
        </w:rPr>
        <w:t>5</w:t>
      </w:r>
      <w:r w:rsidRPr="00D83BD4">
        <w:rPr>
          <w:sz w:val="28"/>
          <w:szCs w:val="28"/>
          <w:lang w:val="en-US"/>
        </w:rPr>
        <w:t>):</w:t>
      </w:r>
      <w:r w:rsidRPr="00D83BD4">
        <w:rPr>
          <w:sz w:val="28"/>
          <w:szCs w:val="28"/>
        </w:rPr>
        <w:t xml:space="preserve"> 392-398.</w:t>
      </w:r>
    </w:p>
    <w:p w:rsidR="00E3259F" w:rsidRPr="00D83BD4" w:rsidRDefault="00E3259F" w:rsidP="00D83BD4">
      <w:pPr>
        <w:numPr>
          <w:ilvl w:val="0"/>
          <w:numId w:val="26"/>
        </w:numPr>
        <w:tabs>
          <w:tab w:val="left" w:pos="0"/>
        </w:tabs>
        <w:spacing w:line="360" w:lineRule="auto"/>
        <w:ind w:left="0" w:firstLine="0"/>
        <w:jc w:val="both"/>
        <w:rPr>
          <w:sz w:val="28"/>
          <w:szCs w:val="28"/>
          <w:lang w:val="uk-UA"/>
        </w:rPr>
      </w:pPr>
      <w:r w:rsidRPr="00D83BD4">
        <w:rPr>
          <w:sz w:val="28"/>
          <w:szCs w:val="28"/>
        </w:rPr>
        <w:t>Умнягина ИА, Страхова ЛА, Блинова ТВ.</w:t>
      </w:r>
      <w:r w:rsidRPr="00D83BD4">
        <w:rPr>
          <w:rStyle w:val="afa"/>
          <w:rFonts w:eastAsiaTheme="majorEastAsia"/>
          <w:b w:val="0"/>
          <w:sz w:val="28"/>
          <w:szCs w:val="28"/>
          <w:lang w:val="uk-UA"/>
        </w:rPr>
        <w:t xml:space="preserve"> </w:t>
      </w:r>
      <w:r w:rsidRPr="00D83BD4">
        <w:rPr>
          <w:rStyle w:val="afa"/>
          <w:rFonts w:eastAsiaTheme="majorEastAsia"/>
          <w:b w:val="0"/>
          <w:sz w:val="28"/>
          <w:szCs w:val="28"/>
        </w:rPr>
        <w:t>Гендерные различия биохимических показателей, отражающих состояние свободнорадикального окисления и атиоксидантной защиты у работающих металлургического производства</w:t>
      </w:r>
      <w:r w:rsidRPr="00D83BD4">
        <w:rPr>
          <w:rStyle w:val="afa"/>
          <w:rFonts w:eastAsiaTheme="majorEastAsia"/>
          <w:b w:val="0"/>
          <w:sz w:val="28"/>
          <w:szCs w:val="28"/>
          <w:lang w:val="uk-UA"/>
        </w:rPr>
        <w:t>.</w:t>
      </w:r>
      <w:r w:rsidRPr="00D83BD4">
        <w:rPr>
          <w:rStyle w:val="10"/>
          <w:rFonts w:eastAsiaTheme="majorEastAsia"/>
          <w:b w:val="0"/>
          <w:bCs w:val="0"/>
          <w:sz w:val="28"/>
          <w:szCs w:val="28"/>
          <w:lang w:val="uk-UA"/>
        </w:rPr>
        <w:t xml:space="preserve"> </w:t>
      </w:r>
      <w:r w:rsidRPr="00D83BD4">
        <w:rPr>
          <w:sz w:val="28"/>
          <w:szCs w:val="28"/>
          <w:lang w:val="uk-UA"/>
        </w:rPr>
        <w:t>Медицина труда и промышленная экология. 2019</w:t>
      </w:r>
      <w:r w:rsidRPr="00D83BD4">
        <w:rPr>
          <w:sz w:val="28"/>
          <w:szCs w:val="28"/>
          <w:lang w:val="en-US"/>
        </w:rPr>
        <w:t>;(</w:t>
      </w:r>
      <w:r w:rsidRPr="00D83BD4">
        <w:rPr>
          <w:sz w:val="28"/>
          <w:szCs w:val="28"/>
          <w:lang w:val="uk-UA"/>
        </w:rPr>
        <w:t>10</w:t>
      </w:r>
      <w:r w:rsidRPr="00D83BD4">
        <w:rPr>
          <w:sz w:val="28"/>
          <w:szCs w:val="28"/>
          <w:lang w:val="en-US"/>
        </w:rPr>
        <w:t>):</w:t>
      </w:r>
      <w:r w:rsidRPr="00D83BD4">
        <w:rPr>
          <w:sz w:val="28"/>
          <w:szCs w:val="28"/>
          <w:lang w:val="uk-UA"/>
        </w:rPr>
        <w:t>877-881</w:t>
      </w:r>
      <w:r w:rsidRPr="00D83BD4">
        <w:rPr>
          <w:sz w:val="28"/>
          <w:szCs w:val="28"/>
          <w:lang w:val="en-US"/>
        </w:rPr>
        <w:t xml:space="preserve">. </w:t>
      </w:r>
      <w:r w:rsidRPr="00964B26">
        <w:rPr>
          <w:sz w:val="28"/>
          <w:szCs w:val="28"/>
          <w:shd w:val="clear" w:color="auto" w:fill="FFFFFF"/>
        </w:rPr>
        <w:t>doi.org/10.31089/1026-9428-2019-59-10-877-881</w:t>
      </w:r>
    </w:p>
    <w:p w:rsidR="00E3259F" w:rsidRPr="00D83BD4" w:rsidRDefault="00E3259F" w:rsidP="00D83BD4">
      <w:pPr>
        <w:pStyle w:val="a4"/>
        <w:numPr>
          <w:ilvl w:val="0"/>
          <w:numId w:val="26"/>
        </w:numPr>
        <w:shd w:val="clear" w:color="auto" w:fill="FFFFFF"/>
        <w:tabs>
          <w:tab w:val="left" w:pos="0"/>
        </w:tabs>
        <w:spacing w:line="360" w:lineRule="auto"/>
        <w:ind w:left="0" w:firstLine="0"/>
        <w:jc w:val="both"/>
        <w:outlineLvl w:val="0"/>
        <w:rPr>
          <w:sz w:val="28"/>
          <w:szCs w:val="28"/>
          <w:lang w:val="uk-UA"/>
        </w:rPr>
      </w:pPr>
      <w:r w:rsidRPr="00D83BD4">
        <w:rPr>
          <w:rFonts w:eastAsia="Calibri"/>
          <w:sz w:val="28"/>
          <w:szCs w:val="28"/>
          <w:lang w:val="uk-UA" w:eastAsia="en-US"/>
        </w:rPr>
        <w:t xml:space="preserve">Уніфікований клінічний протокол первинної, екстреної та вторинної (спеціалізованої) медичної допомоги «Артеріальна гіпертензія»: Наказ МОЗ України  від 24 травня 2012 року № 384. Артеріальна гіпертензія. 2012.  № 1. </w:t>
      </w:r>
      <w:r w:rsidRPr="00D83BD4">
        <w:rPr>
          <w:rFonts w:eastAsia="Calibri"/>
          <w:sz w:val="28"/>
          <w:szCs w:val="28"/>
          <w:lang w:val="en-US" w:eastAsia="en-US"/>
        </w:rPr>
        <w:t>URL</w:t>
      </w:r>
      <w:r w:rsidRPr="00D83BD4">
        <w:rPr>
          <w:rFonts w:eastAsia="Calibri"/>
          <w:sz w:val="28"/>
          <w:szCs w:val="28"/>
          <w:lang w:val="uk-UA" w:eastAsia="en-US"/>
        </w:rPr>
        <w:t xml:space="preserve">: </w:t>
      </w:r>
      <w:r w:rsidRPr="00D83BD4">
        <w:rPr>
          <w:rFonts w:eastAsia="Calibri"/>
          <w:sz w:val="28"/>
          <w:szCs w:val="28"/>
          <w:lang w:eastAsia="en-US"/>
        </w:rPr>
        <w:t>http</w:t>
      </w:r>
      <w:r w:rsidRPr="00D83BD4">
        <w:rPr>
          <w:rFonts w:eastAsia="Calibri"/>
          <w:sz w:val="28"/>
          <w:szCs w:val="28"/>
          <w:lang w:val="uk-UA" w:eastAsia="en-US"/>
        </w:rPr>
        <w:t>://</w:t>
      </w:r>
      <w:r w:rsidRPr="00D83BD4">
        <w:rPr>
          <w:rFonts w:eastAsia="Calibri"/>
          <w:sz w:val="28"/>
          <w:szCs w:val="28"/>
          <w:lang w:eastAsia="en-US"/>
        </w:rPr>
        <w:t>www</w:t>
      </w:r>
      <w:r w:rsidRPr="00D83BD4">
        <w:rPr>
          <w:rFonts w:eastAsia="Calibri"/>
          <w:sz w:val="28"/>
          <w:szCs w:val="28"/>
          <w:lang w:val="uk-UA" w:eastAsia="en-US"/>
        </w:rPr>
        <w:t>.</w:t>
      </w:r>
      <w:r w:rsidRPr="00D83BD4">
        <w:rPr>
          <w:rFonts w:eastAsia="Calibri"/>
          <w:sz w:val="28"/>
          <w:szCs w:val="28"/>
          <w:lang w:eastAsia="en-US"/>
        </w:rPr>
        <w:t>mif</w:t>
      </w:r>
      <w:r w:rsidRPr="00D83BD4">
        <w:rPr>
          <w:rFonts w:eastAsia="Calibri"/>
          <w:sz w:val="28"/>
          <w:szCs w:val="28"/>
          <w:lang w:val="uk-UA" w:eastAsia="en-US"/>
        </w:rPr>
        <w:t>-</w:t>
      </w:r>
      <w:r w:rsidRPr="00D83BD4">
        <w:rPr>
          <w:rFonts w:eastAsia="Calibri"/>
          <w:sz w:val="28"/>
          <w:szCs w:val="28"/>
          <w:lang w:eastAsia="en-US"/>
        </w:rPr>
        <w:t>ua</w:t>
      </w:r>
      <w:r w:rsidRPr="00D83BD4">
        <w:rPr>
          <w:rFonts w:eastAsia="Calibri"/>
          <w:sz w:val="28"/>
          <w:szCs w:val="28"/>
          <w:lang w:val="uk-UA" w:eastAsia="en-US"/>
        </w:rPr>
        <w:t>.</w:t>
      </w:r>
      <w:r w:rsidRPr="00D83BD4">
        <w:rPr>
          <w:rFonts w:eastAsia="Calibri"/>
          <w:sz w:val="28"/>
          <w:szCs w:val="28"/>
          <w:lang w:eastAsia="en-US"/>
        </w:rPr>
        <w:t>com</w:t>
      </w:r>
      <w:r w:rsidRPr="00D83BD4">
        <w:rPr>
          <w:rFonts w:eastAsia="Calibri"/>
          <w:sz w:val="28"/>
          <w:szCs w:val="28"/>
          <w:lang w:val="uk-UA" w:eastAsia="en-US"/>
        </w:rPr>
        <w:t>/</w:t>
      </w:r>
      <w:r w:rsidRPr="00D83BD4">
        <w:rPr>
          <w:rFonts w:eastAsia="Calibri"/>
          <w:sz w:val="28"/>
          <w:szCs w:val="28"/>
          <w:lang w:eastAsia="en-US"/>
        </w:rPr>
        <w:t>archive</w:t>
      </w:r>
      <w:r w:rsidRPr="00D83BD4">
        <w:rPr>
          <w:rFonts w:eastAsia="Calibri"/>
          <w:sz w:val="28"/>
          <w:szCs w:val="28"/>
          <w:lang w:val="uk-UA" w:eastAsia="en-US"/>
        </w:rPr>
        <w:t>/</w:t>
      </w:r>
      <w:r w:rsidRPr="00D83BD4">
        <w:rPr>
          <w:rFonts w:eastAsia="Calibri"/>
          <w:sz w:val="28"/>
          <w:szCs w:val="28"/>
          <w:lang w:eastAsia="en-US"/>
        </w:rPr>
        <w:t>article</w:t>
      </w:r>
      <w:r w:rsidRPr="00D83BD4">
        <w:rPr>
          <w:rFonts w:eastAsia="Calibri"/>
          <w:sz w:val="28"/>
          <w:szCs w:val="28"/>
          <w:lang w:val="uk-UA" w:eastAsia="en-US"/>
        </w:rPr>
        <w:t>/26382</w:t>
      </w:r>
    </w:p>
    <w:p w:rsidR="00E3259F" w:rsidRPr="00D83BD4" w:rsidRDefault="00E3259F" w:rsidP="00D83BD4">
      <w:pPr>
        <w:numPr>
          <w:ilvl w:val="0"/>
          <w:numId w:val="26"/>
        </w:numPr>
        <w:tabs>
          <w:tab w:val="left" w:pos="0"/>
          <w:tab w:val="left" w:pos="720"/>
        </w:tabs>
        <w:spacing w:line="360" w:lineRule="auto"/>
        <w:ind w:left="0" w:firstLine="0"/>
        <w:jc w:val="both"/>
        <w:rPr>
          <w:sz w:val="28"/>
          <w:szCs w:val="28"/>
        </w:rPr>
      </w:pPr>
      <w:r w:rsidRPr="00D83BD4">
        <w:rPr>
          <w:sz w:val="28"/>
          <w:szCs w:val="28"/>
          <w:lang w:val="uk-UA"/>
        </w:rPr>
        <w:t xml:space="preserve"> Уніфікований клінічний протокол первинної, вторинної (спеціалізованої) та третинної (високоспеціалізованої) медичної допомоги. Профілактика серцево-судинних захворювань</w:t>
      </w:r>
      <w:r w:rsidRPr="00D83BD4">
        <w:rPr>
          <w:sz w:val="28"/>
          <w:szCs w:val="28"/>
        </w:rPr>
        <w:t xml:space="preserve">: </w:t>
      </w:r>
      <w:r w:rsidRPr="00D83BD4">
        <w:rPr>
          <w:sz w:val="28"/>
          <w:szCs w:val="28"/>
          <w:lang w:val="uk-UA"/>
        </w:rPr>
        <w:t>Наказ МОЗ України 13.06.2016 № 564</w:t>
      </w:r>
      <w:r w:rsidRPr="00D83BD4">
        <w:rPr>
          <w:sz w:val="28"/>
          <w:szCs w:val="28"/>
        </w:rPr>
        <w:t xml:space="preserve">. </w:t>
      </w:r>
      <w:r w:rsidRPr="00D83BD4">
        <w:rPr>
          <w:sz w:val="28"/>
          <w:szCs w:val="28"/>
          <w:lang w:val="en-US"/>
        </w:rPr>
        <w:t>URL</w:t>
      </w:r>
      <w:r w:rsidRPr="00D83BD4">
        <w:rPr>
          <w:sz w:val="28"/>
          <w:szCs w:val="28"/>
        </w:rPr>
        <w:t>: https://dec.gov.ua/wp-content/uploads/images/dodatki/2016_564_PSSZ/2016_564_YKPMD_PSSZ.pdf</w:t>
      </w:r>
    </w:p>
    <w:p w:rsidR="00E3259F" w:rsidRPr="00964B26" w:rsidRDefault="00E3259F" w:rsidP="00D83BD4">
      <w:pPr>
        <w:numPr>
          <w:ilvl w:val="0"/>
          <w:numId w:val="26"/>
        </w:numPr>
        <w:tabs>
          <w:tab w:val="left" w:pos="0"/>
        </w:tabs>
        <w:spacing w:line="360" w:lineRule="auto"/>
        <w:ind w:left="0" w:firstLine="0"/>
        <w:jc w:val="both"/>
        <w:rPr>
          <w:sz w:val="28"/>
          <w:szCs w:val="28"/>
          <w:lang w:val="uk-UA"/>
        </w:rPr>
      </w:pPr>
      <w:bookmarkStart w:id="32" w:name="_Hlk43499777"/>
      <w:r w:rsidRPr="00D83BD4">
        <w:rPr>
          <w:sz w:val="28"/>
          <w:szCs w:val="28"/>
          <w:lang w:val="uk-UA"/>
        </w:rPr>
        <w:t>Уніфікований клінічний протокол первинної та вторинної (спеціалізованої) медичної допомоги цукровий діабет 2 типу</w:t>
      </w:r>
      <w:bookmarkEnd w:id="32"/>
      <w:r w:rsidRPr="00D83BD4">
        <w:rPr>
          <w:sz w:val="28"/>
          <w:szCs w:val="28"/>
          <w:lang w:val="uk-UA"/>
        </w:rPr>
        <w:t xml:space="preserve">: Наказ Міністерства охорони здоров'я 21 грудня 2012 року № 1118. </w:t>
      </w:r>
      <w:r w:rsidRPr="00D83BD4">
        <w:rPr>
          <w:sz w:val="28"/>
          <w:szCs w:val="28"/>
          <w:lang w:val="en-US"/>
        </w:rPr>
        <w:t>URL</w:t>
      </w:r>
      <w:r w:rsidRPr="00964B26">
        <w:rPr>
          <w:sz w:val="28"/>
          <w:szCs w:val="28"/>
          <w:lang w:val="uk-UA"/>
        </w:rPr>
        <w:t xml:space="preserve">: </w:t>
      </w:r>
      <w:r w:rsidR="00964B26" w:rsidRPr="00964B26">
        <w:rPr>
          <w:sz w:val="28"/>
          <w:szCs w:val="28"/>
          <w:lang w:val="en-US"/>
        </w:rPr>
        <w:t>https</w:t>
      </w:r>
      <w:r w:rsidR="00964B26" w:rsidRPr="00964B26">
        <w:rPr>
          <w:sz w:val="28"/>
          <w:szCs w:val="28"/>
          <w:lang w:val="uk-UA"/>
        </w:rPr>
        <w:t>://</w:t>
      </w:r>
      <w:r w:rsidR="00964B26" w:rsidRPr="00964B26">
        <w:rPr>
          <w:sz w:val="28"/>
          <w:szCs w:val="28"/>
          <w:lang w:val="en-US"/>
        </w:rPr>
        <w:t>dec</w:t>
      </w:r>
      <w:r w:rsidR="00964B26" w:rsidRPr="00964B26">
        <w:rPr>
          <w:sz w:val="28"/>
          <w:szCs w:val="28"/>
          <w:lang w:val="uk-UA"/>
        </w:rPr>
        <w:t>.</w:t>
      </w:r>
      <w:r w:rsidR="00964B26" w:rsidRPr="00964B26">
        <w:rPr>
          <w:sz w:val="28"/>
          <w:szCs w:val="28"/>
          <w:lang w:val="en-US"/>
        </w:rPr>
        <w:t>gov</w:t>
      </w:r>
      <w:r w:rsidR="00964B26" w:rsidRPr="00964B26">
        <w:rPr>
          <w:sz w:val="28"/>
          <w:szCs w:val="28"/>
          <w:lang w:val="uk-UA"/>
        </w:rPr>
        <w:t>.</w:t>
      </w:r>
      <w:r w:rsidR="00964B26" w:rsidRPr="00964B26">
        <w:rPr>
          <w:sz w:val="28"/>
          <w:szCs w:val="28"/>
          <w:lang w:val="en-US"/>
        </w:rPr>
        <w:t>ua</w:t>
      </w:r>
      <w:r w:rsidR="00964B26" w:rsidRPr="00964B26">
        <w:rPr>
          <w:sz w:val="28"/>
          <w:szCs w:val="28"/>
          <w:lang w:val="uk-UA"/>
        </w:rPr>
        <w:t>/</w:t>
      </w:r>
      <w:r w:rsidR="00964B26" w:rsidRPr="00964B26">
        <w:rPr>
          <w:sz w:val="28"/>
          <w:szCs w:val="28"/>
          <w:lang w:val="en-US"/>
        </w:rPr>
        <w:t>wp</w:t>
      </w:r>
      <w:r w:rsidR="00964B26" w:rsidRPr="00964B26">
        <w:rPr>
          <w:sz w:val="28"/>
          <w:szCs w:val="28"/>
          <w:lang w:val="uk-UA"/>
        </w:rPr>
        <w:t>-</w:t>
      </w:r>
      <w:r w:rsidR="00964B26" w:rsidRPr="00964B26">
        <w:rPr>
          <w:sz w:val="28"/>
          <w:szCs w:val="28"/>
          <w:lang w:val="en-US"/>
        </w:rPr>
        <w:t>content</w:t>
      </w:r>
      <w:r w:rsidR="00964B26" w:rsidRPr="00964B26">
        <w:rPr>
          <w:sz w:val="28"/>
          <w:szCs w:val="28"/>
          <w:lang w:val="uk-UA"/>
        </w:rPr>
        <w:t>/</w:t>
      </w:r>
      <w:r w:rsidR="00964B26" w:rsidRPr="00964B26">
        <w:rPr>
          <w:sz w:val="28"/>
          <w:szCs w:val="28"/>
          <w:lang w:val="en-US"/>
        </w:rPr>
        <w:t>uploads</w:t>
      </w:r>
      <w:r w:rsidR="00964B26" w:rsidRPr="00964B26">
        <w:rPr>
          <w:sz w:val="28"/>
          <w:szCs w:val="28"/>
          <w:lang w:val="uk-UA"/>
        </w:rPr>
        <w:t>/</w:t>
      </w:r>
      <w:r w:rsidR="00964B26" w:rsidRPr="00964B26">
        <w:rPr>
          <w:sz w:val="28"/>
          <w:szCs w:val="28"/>
          <w:lang w:val="en-US"/>
        </w:rPr>
        <w:t>images</w:t>
      </w:r>
      <w:r w:rsidR="00964B26" w:rsidRPr="00964B26">
        <w:rPr>
          <w:sz w:val="28"/>
          <w:szCs w:val="28"/>
          <w:lang w:val="uk-UA"/>
        </w:rPr>
        <w:t>/</w:t>
      </w:r>
      <w:r w:rsidRPr="00D83BD4">
        <w:rPr>
          <w:sz w:val="28"/>
          <w:szCs w:val="28"/>
          <w:lang w:val="en-US"/>
        </w:rPr>
        <w:t>dodatki</w:t>
      </w:r>
      <w:r w:rsidRPr="00964B26">
        <w:rPr>
          <w:sz w:val="28"/>
          <w:szCs w:val="28"/>
          <w:lang w:val="uk-UA"/>
        </w:rPr>
        <w:t>/2012_1118/</w:t>
      </w:r>
      <w:r w:rsidR="00964B26">
        <w:rPr>
          <w:sz w:val="28"/>
          <w:szCs w:val="28"/>
          <w:lang w:val="uk-UA"/>
        </w:rPr>
        <w:t xml:space="preserve"> </w:t>
      </w:r>
      <w:r w:rsidRPr="00964B26">
        <w:rPr>
          <w:sz w:val="28"/>
          <w:szCs w:val="28"/>
          <w:lang w:val="uk-UA"/>
        </w:rPr>
        <w:t>2012_1118</w:t>
      </w:r>
      <w:r w:rsidR="00964B26">
        <w:rPr>
          <w:sz w:val="28"/>
          <w:szCs w:val="28"/>
          <w:lang w:val="uk-UA"/>
        </w:rPr>
        <w:t xml:space="preserve"> </w:t>
      </w:r>
      <w:r w:rsidRPr="00D83BD4">
        <w:rPr>
          <w:sz w:val="28"/>
          <w:szCs w:val="28"/>
          <w:lang w:val="en-US"/>
        </w:rPr>
        <w:t>YKPMD</w:t>
      </w:r>
      <w:r w:rsidRPr="00964B26">
        <w:rPr>
          <w:sz w:val="28"/>
          <w:szCs w:val="28"/>
          <w:lang w:val="uk-UA"/>
        </w:rPr>
        <w:t>.</w:t>
      </w:r>
      <w:r w:rsidRPr="00D83BD4">
        <w:rPr>
          <w:sz w:val="28"/>
          <w:szCs w:val="28"/>
          <w:lang w:val="en-US"/>
        </w:rPr>
        <w:t>pdf</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964B26">
        <w:rPr>
          <w:bCs/>
          <w:sz w:val="28"/>
          <w:szCs w:val="28"/>
          <w:lang w:val="uk-UA"/>
        </w:rPr>
        <w:t xml:space="preserve">  </w:t>
      </w:r>
      <w:r w:rsidRPr="00D83BD4">
        <w:rPr>
          <w:bCs/>
          <w:sz w:val="28"/>
          <w:szCs w:val="28"/>
        </w:rPr>
        <w:t>Фадеев ВВ. По материалам клинических рекомендаций по субклиническому гипотиреозу европейской тиреоидной ассоциации 2013 года. Клиническая и экспериментальная тиреоидология. 2013; 9(4): 10</w:t>
      </w:r>
      <w:r w:rsidRPr="00D83BD4">
        <w:rPr>
          <w:bCs/>
          <w:sz w:val="28"/>
          <w:szCs w:val="28"/>
          <w:lang w:val="en-US"/>
        </w:rPr>
        <w:t>-</w:t>
      </w:r>
      <w:r w:rsidRPr="00D83BD4">
        <w:rPr>
          <w:bCs/>
          <w:sz w:val="28"/>
          <w:szCs w:val="28"/>
        </w:rPr>
        <w:t>4</w:t>
      </w:r>
      <w:r w:rsidRPr="00D83BD4">
        <w:rPr>
          <w:bCs/>
          <w:sz w:val="28"/>
          <w:szCs w:val="28"/>
          <w:lang w:val="en-US"/>
        </w:rPr>
        <w:t>.</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lang w:val="uk-UA"/>
        </w:rPr>
        <w:t xml:space="preserve">Фадєєнко ГД, Колеснікова ОВ, Попович ГС. Роль довжини теломер у розвитку серцево-судинних захворювань: огляд літератури. </w:t>
      </w:r>
      <w:r w:rsidRPr="00D83BD4">
        <w:rPr>
          <w:sz w:val="28"/>
          <w:szCs w:val="28"/>
        </w:rPr>
        <w:t>Журнал НАМН України. 2015</w:t>
      </w:r>
      <w:r w:rsidRPr="00D83BD4">
        <w:rPr>
          <w:sz w:val="28"/>
          <w:szCs w:val="28"/>
          <w:lang w:val="en-US"/>
        </w:rPr>
        <w:t>;</w:t>
      </w:r>
      <w:r w:rsidRPr="00D83BD4">
        <w:rPr>
          <w:sz w:val="28"/>
          <w:szCs w:val="28"/>
        </w:rPr>
        <w:t>21</w:t>
      </w:r>
      <w:r w:rsidRPr="00D83BD4">
        <w:rPr>
          <w:sz w:val="28"/>
          <w:szCs w:val="28"/>
          <w:lang w:val="en-US"/>
        </w:rPr>
        <w:t>(</w:t>
      </w:r>
      <w:r w:rsidRPr="00D83BD4">
        <w:rPr>
          <w:sz w:val="28"/>
          <w:szCs w:val="28"/>
        </w:rPr>
        <w:t>1</w:t>
      </w:r>
      <w:r w:rsidRPr="00D83BD4">
        <w:rPr>
          <w:sz w:val="28"/>
          <w:szCs w:val="28"/>
          <w:lang w:val="en-US"/>
        </w:rPr>
        <w:t>):</w:t>
      </w:r>
      <w:r w:rsidRPr="00D83BD4">
        <w:rPr>
          <w:sz w:val="28"/>
          <w:szCs w:val="28"/>
        </w:rPr>
        <w:t>28-34.</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bCs/>
          <w:sz w:val="28"/>
          <w:szCs w:val="28"/>
          <w:shd w:val="clear" w:color="auto" w:fill="FFFFFF"/>
          <w:lang w:val="uk-UA"/>
        </w:rPr>
        <w:t>Фейса СВ. Субклінічний гіпотиреоз як маркер високого кардіоваскулярного ризику  в пацієнтів із неалкогольною жировою хворобою печінки  на фоні порушення вуглеводного обміну.  Україна. Здоров’я нації.</w:t>
      </w:r>
      <w:r w:rsidRPr="00D83BD4">
        <w:rPr>
          <w:bCs/>
          <w:sz w:val="28"/>
          <w:szCs w:val="28"/>
          <w:shd w:val="clear" w:color="auto" w:fill="FFFFFF"/>
          <w:lang w:val="en-US"/>
        </w:rPr>
        <w:t xml:space="preserve"> </w:t>
      </w:r>
      <w:r w:rsidRPr="00D83BD4">
        <w:rPr>
          <w:bCs/>
          <w:sz w:val="28"/>
          <w:szCs w:val="28"/>
          <w:shd w:val="clear" w:color="auto" w:fill="FFFFFF"/>
          <w:lang w:val="uk-UA"/>
        </w:rPr>
        <w:t xml:space="preserve"> 2017</w:t>
      </w:r>
      <w:r w:rsidRPr="00D83BD4">
        <w:rPr>
          <w:bCs/>
          <w:sz w:val="28"/>
          <w:szCs w:val="28"/>
          <w:shd w:val="clear" w:color="auto" w:fill="FFFFFF"/>
          <w:lang w:val="en-US"/>
        </w:rPr>
        <w:t>;</w:t>
      </w:r>
      <w:r w:rsidRPr="00D83BD4">
        <w:rPr>
          <w:bCs/>
          <w:sz w:val="28"/>
          <w:szCs w:val="28"/>
          <w:shd w:val="clear" w:color="auto" w:fill="FFFFFF"/>
          <w:lang w:val="uk-UA"/>
        </w:rPr>
        <w:t xml:space="preserve"> (44)</w:t>
      </w:r>
      <w:r w:rsidRPr="00D83BD4">
        <w:rPr>
          <w:bCs/>
          <w:sz w:val="28"/>
          <w:szCs w:val="28"/>
          <w:shd w:val="clear" w:color="auto" w:fill="FFFFFF"/>
          <w:lang w:val="en-US"/>
        </w:rPr>
        <w:t>:</w:t>
      </w:r>
      <w:r w:rsidRPr="00D83BD4">
        <w:rPr>
          <w:bCs/>
          <w:sz w:val="28"/>
          <w:szCs w:val="28"/>
          <w:shd w:val="clear" w:color="auto" w:fill="FFFFFF"/>
          <w:lang w:val="uk-UA"/>
        </w:rPr>
        <w:t>270-275</w:t>
      </w:r>
      <w:r w:rsidRPr="00D83BD4">
        <w:rPr>
          <w:bCs/>
          <w:sz w:val="28"/>
          <w:szCs w:val="28"/>
          <w:shd w:val="clear" w:color="auto" w:fill="FFFFFF"/>
          <w:lang w:val="en-US"/>
        </w:rPr>
        <w:t>.</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rPr>
        <w:t xml:space="preserve">Феоктистова BC, Вавилова TB, Сироткина ОВ, Болдуева СА, Гайковая ЛБ, Леонова ИА, и др. Новый подход к оценке дисфункции эндотелия: определение количества циркулирующих эндотелиальных клеток методом проточной  цитометрии.   Клиническая </w:t>
      </w:r>
      <w:r w:rsidRPr="00D83BD4">
        <w:rPr>
          <w:sz w:val="28"/>
          <w:szCs w:val="28"/>
          <w:lang w:val="en-US"/>
        </w:rPr>
        <w:t xml:space="preserve">  </w:t>
      </w:r>
      <w:r w:rsidRPr="00D83BD4">
        <w:rPr>
          <w:sz w:val="28"/>
          <w:szCs w:val="28"/>
        </w:rPr>
        <w:t>лабораторная диагностика. 2015;4:23-39</w:t>
      </w:r>
      <w:r w:rsidRPr="00D83BD4">
        <w:rPr>
          <w:sz w:val="28"/>
          <w:szCs w:val="28"/>
          <w:lang w:val="uk-UA"/>
        </w:rPr>
        <w:t>.</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lang w:val="uk-UA"/>
        </w:rPr>
        <w:t>Феськова АА, Дробышева ЕС. Значение субклинического гипотиреоза в патогенезе заболеваний сердечно-сосудистой системы (обзор литературы)</w:t>
      </w:r>
      <w:r w:rsidRPr="00D83BD4">
        <w:rPr>
          <w:sz w:val="28"/>
          <w:szCs w:val="28"/>
        </w:rPr>
        <w:t>.</w:t>
      </w:r>
      <w:r w:rsidRPr="00D83BD4">
        <w:rPr>
          <w:sz w:val="28"/>
          <w:szCs w:val="28"/>
          <w:lang w:val="uk-UA"/>
        </w:rPr>
        <w:t xml:space="preserve"> Молодой ученый. </w:t>
      </w:r>
      <w:r w:rsidRPr="00D83BD4">
        <w:rPr>
          <w:sz w:val="28"/>
          <w:szCs w:val="28"/>
          <w:lang w:val="en-US"/>
        </w:rPr>
        <w:t xml:space="preserve"> </w:t>
      </w:r>
      <w:r w:rsidRPr="00D83BD4">
        <w:rPr>
          <w:sz w:val="28"/>
          <w:szCs w:val="28"/>
          <w:lang w:val="uk-UA"/>
        </w:rPr>
        <w:t xml:space="preserve"> 2014</w:t>
      </w:r>
      <w:r w:rsidRPr="00D83BD4">
        <w:rPr>
          <w:sz w:val="28"/>
          <w:szCs w:val="28"/>
          <w:lang w:val="en-US"/>
        </w:rPr>
        <w:t>;(</w:t>
      </w:r>
      <w:r w:rsidRPr="00D83BD4">
        <w:rPr>
          <w:sz w:val="28"/>
          <w:szCs w:val="28"/>
          <w:lang w:val="uk-UA"/>
        </w:rPr>
        <w:t>17</w:t>
      </w:r>
      <w:r w:rsidRPr="00D83BD4">
        <w:rPr>
          <w:sz w:val="28"/>
          <w:szCs w:val="28"/>
          <w:lang w:val="en-US"/>
        </w:rPr>
        <w:t>):</w:t>
      </w:r>
      <w:r w:rsidRPr="00D83BD4">
        <w:rPr>
          <w:sz w:val="28"/>
          <w:szCs w:val="28"/>
          <w:lang w:val="uk-UA"/>
        </w:rPr>
        <w:t xml:space="preserve"> 207-210.</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rStyle w:val="hl"/>
          <w:sz w:val="28"/>
          <w:szCs w:val="28"/>
          <w:bdr w:val="none" w:sz="0" w:space="0" w:color="auto" w:frame="1"/>
        </w:rPr>
        <w:t>Хазова ЕВ, Булашова ОВ,</w:t>
      </w:r>
      <w:r w:rsidRPr="00D83BD4">
        <w:rPr>
          <w:rStyle w:val="hl"/>
          <w:sz w:val="28"/>
          <w:szCs w:val="28"/>
          <w:bdr w:val="none" w:sz="0" w:space="0" w:color="auto" w:frame="1"/>
          <w:lang w:val="uk-UA"/>
        </w:rPr>
        <w:t xml:space="preserve"> </w:t>
      </w:r>
      <w:r w:rsidRPr="00D83BD4">
        <w:rPr>
          <w:rStyle w:val="hl"/>
          <w:sz w:val="28"/>
          <w:szCs w:val="28"/>
          <w:bdr w:val="none" w:sz="0" w:space="0" w:color="auto" w:frame="1"/>
        </w:rPr>
        <w:t>Ослопов ВН, Малкова МИ, Заплатова ДА, Колпакова ЕА, Газизянова ВМ.</w:t>
      </w:r>
      <w:r w:rsidRPr="00D83BD4">
        <w:rPr>
          <w:i/>
          <w:iCs/>
          <w:caps/>
          <w:sz w:val="28"/>
          <w:szCs w:val="28"/>
          <w:bdr w:val="none" w:sz="0" w:space="0" w:color="auto" w:frame="1"/>
        </w:rPr>
        <w:t xml:space="preserve"> </w:t>
      </w:r>
      <w:r w:rsidRPr="00D83BD4">
        <w:rPr>
          <w:sz w:val="28"/>
          <w:szCs w:val="28"/>
          <w:bdr w:val="none" w:sz="0" w:space="0" w:color="auto" w:frame="1"/>
          <w:lang w:val="uk-UA"/>
        </w:rPr>
        <w:t>Ф</w:t>
      </w:r>
      <w:r w:rsidRPr="00D83BD4">
        <w:rPr>
          <w:sz w:val="28"/>
          <w:szCs w:val="28"/>
          <w:bdr w:val="none" w:sz="0" w:space="0" w:color="auto" w:frame="1"/>
        </w:rPr>
        <w:t>актор некроза опухоли а - маркер системного воспаления у пациентов с сердечной недостаточностью</w:t>
      </w:r>
      <w:r w:rsidRPr="00D83BD4">
        <w:rPr>
          <w:i/>
          <w:iCs/>
          <w:caps/>
          <w:sz w:val="28"/>
          <w:szCs w:val="28"/>
          <w:bdr w:val="none" w:sz="0" w:space="0" w:color="auto" w:frame="1"/>
        </w:rPr>
        <w:t>.</w:t>
      </w:r>
      <w:r w:rsidRPr="00D83BD4">
        <w:rPr>
          <w:caps/>
          <w:sz w:val="28"/>
          <w:szCs w:val="28"/>
        </w:rPr>
        <w:t xml:space="preserve"> </w:t>
      </w:r>
      <w:r w:rsidRPr="00964B26">
        <w:rPr>
          <w:rStyle w:val="a3"/>
          <w:color w:val="auto"/>
          <w:sz w:val="28"/>
          <w:szCs w:val="28"/>
          <w:u w:val="none"/>
          <w:bdr w:val="none" w:sz="0" w:space="0" w:color="auto" w:frame="1"/>
        </w:rPr>
        <w:t>Практическая медицина</w:t>
      </w:r>
      <w:r w:rsidRPr="00D83BD4">
        <w:rPr>
          <w:sz w:val="28"/>
          <w:szCs w:val="28"/>
          <w:bdr w:val="none" w:sz="0" w:space="0" w:color="auto" w:frame="1"/>
        </w:rPr>
        <w:t>.</w:t>
      </w:r>
      <w:r w:rsidRPr="00D83BD4">
        <w:rPr>
          <w:sz w:val="28"/>
          <w:szCs w:val="28"/>
          <w:bdr w:val="none" w:sz="0" w:space="0" w:color="auto" w:frame="1"/>
          <w:lang w:val="uk-UA"/>
        </w:rPr>
        <w:t xml:space="preserve"> </w:t>
      </w:r>
      <w:r w:rsidRPr="00D83BD4">
        <w:rPr>
          <w:sz w:val="28"/>
          <w:szCs w:val="28"/>
          <w:bdr w:val="none" w:sz="0" w:space="0" w:color="auto" w:frame="1"/>
        </w:rPr>
        <w:t>2017</w:t>
      </w:r>
      <w:r w:rsidRPr="00D83BD4">
        <w:rPr>
          <w:sz w:val="28"/>
          <w:szCs w:val="28"/>
          <w:bdr w:val="none" w:sz="0" w:space="0" w:color="auto" w:frame="1"/>
          <w:lang w:val="en-US"/>
        </w:rPr>
        <w:t>;</w:t>
      </w:r>
      <w:r w:rsidRPr="00D83BD4">
        <w:rPr>
          <w:sz w:val="28"/>
          <w:szCs w:val="28"/>
        </w:rPr>
        <w:t xml:space="preserve"> (103)</w:t>
      </w:r>
      <w:r w:rsidRPr="00D83BD4">
        <w:rPr>
          <w:sz w:val="28"/>
          <w:szCs w:val="28"/>
          <w:lang w:val="uk-UA"/>
        </w:rPr>
        <w:t>:</w:t>
      </w:r>
      <w:r w:rsidRPr="00D83BD4">
        <w:rPr>
          <w:sz w:val="28"/>
          <w:szCs w:val="28"/>
        </w:rPr>
        <w:t>24-27</w:t>
      </w:r>
      <w:r w:rsidRPr="00D83BD4">
        <w:rPr>
          <w:sz w:val="28"/>
          <w:szCs w:val="28"/>
          <w:lang w:val="uk-UA"/>
        </w:rPr>
        <w:t>.</w:t>
      </w:r>
    </w:p>
    <w:p w:rsidR="00E3259F" w:rsidRPr="00D83BD4" w:rsidRDefault="00E3259F" w:rsidP="00D83BD4">
      <w:pPr>
        <w:numPr>
          <w:ilvl w:val="0"/>
          <w:numId w:val="26"/>
        </w:numPr>
        <w:tabs>
          <w:tab w:val="left" w:pos="0"/>
          <w:tab w:val="num" w:pos="720"/>
        </w:tabs>
        <w:spacing w:line="360" w:lineRule="auto"/>
        <w:ind w:left="0" w:firstLine="0"/>
        <w:jc w:val="both"/>
        <w:rPr>
          <w:sz w:val="28"/>
          <w:szCs w:val="28"/>
        </w:rPr>
      </w:pPr>
      <w:r w:rsidRPr="00D83BD4">
        <w:rPr>
          <w:sz w:val="28"/>
          <w:szCs w:val="28"/>
        </w:rPr>
        <w:t>Хаммад ЕВ, Белоусова ОН, Хмельницкий АВ, Полторацкий АН, Щекатуров АА. Современные биоматериалы старения для стратификации рисков развития возраст-ассоциированных заболеваний (обзор литературы). Научные ведомости Белгородского государственного университета. Серия: Медицина. Фармация.2017</w:t>
      </w:r>
      <w:r w:rsidRPr="00D83BD4">
        <w:rPr>
          <w:sz w:val="28"/>
          <w:szCs w:val="28"/>
          <w:lang w:val="en-US"/>
        </w:rPr>
        <w:t>;</w:t>
      </w:r>
      <w:r w:rsidRPr="00D83BD4">
        <w:rPr>
          <w:sz w:val="28"/>
          <w:szCs w:val="28"/>
        </w:rPr>
        <w:t>39(19):29-39.</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lang w:val="uk-UA"/>
        </w:rPr>
        <w:t xml:space="preserve">Хоролец ЕВ, Хаишева ЛА, Шлык СВ, Бекетов ПА. Диагностическая значимость С-реактивного белка в генезе патологии сердечно-сосудистой системы. </w:t>
      </w:r>
      <w:r w:rsidRPr="00964B26">
        <w:rPr>
          <w:rStyle w:val="a3"/>
          <w:color w:val="auto"/>
          <w:sz w:val="28"/>
          <w:szCs w:val="28"/>
          <w:u w:val="none"/>
          <w:bdr w:val="none" w:sz="0" w:space="0" w:color="auto" w:frame="1"/>
          <w:lang w:val="uk-UA"/>
        </w:rPr>
        <w:t>Журнал фундаментальной медицины и биологии</w:t>
      </w:r>
      <w:r w:rsidRPr="00964B26">
        <w:rPr>
          <w:sz w:val="28"/>
          <w:szCs w:val="28"/>
          <w:bdr w:val="none" w:sz="0" w:space="0" w:color="auto" w:frame="1"/>
          <w:lang w:val="uk-UA"/>
        </w:rPr>
        <w:t>.</w:t>
      </w:r>
      <w:r w:rsidRPr="00D83BD4">
        <w:rPr>
          <w:sz w:val="28"/>
          <w:szCs w:val="28"/>
          <w:bdr w:val="none" w:sz="0" w:space="0" w:color="auto" w:frame="1"/>
          <w:lang w:val="uk-UA"/>
        </w:rPr>
        <w:t xml:space="preserve"> 2013</w:t>
      </w:r>
      <w:r w:rsidRPr="00D83BD4">
        <w:rPr>
          <w:sz w:val="28"/>
          <w:szCs w:val="28"/>
          <w:bdr w:val="none" w:sz="0" w:space="0" w:color="auto" w:frame="1"/>
          <w:lang w:val="en-US"/>
        </w:rPr>
        <w:t>;(</w:t>
      </w:r>
      <w:r w:rsidRPr="00D83BD4">
        <w:rPr>
          <w:sz w:val="28"/>
          <w:szCs w:val="28"/>
          <w:bdr w:val="none" w:sz="0" w:space="0" w:color="auto" w:frame="1"/>
          <w:lang w:val="uk-UA"/>
        </w:rPr>
        <w:t>1</w:t>
      </w:r>
      <w:r w:rsidRPr="00D83BD4">
        <w:rPr>
          <w:sz w:val="28"/>
          <w:szCs w:val="28"/>
          <w:bdr w:val="none" w:sz="0" w:space="0" w:color="auto" w:frame="1"/>
          <w:lang w:val="en-US"/>
        </w:rPr>
        <w:t>):</w:t>
      </w:r>
      <w:r w:rsidRPr="00D83BD4">
        <w:rPr>
          <w:sz w:val="28"/>
          <w:szCs w:val="28"/>
          <w:bdr w:val="none" w:sz="0" w:space="0" w:color="auto" w:frame="1"/>
          <w:lang w:val="uk-UA"/>
        </w:rPr>
        <w:t>23-28</w:t>
      </w:r>
      <w:r w:rsidRPr="00D83BD4">
        <w:rPr>
          <w:sz w:val="28"/>
          <w:szCs w:val="28"/>
          <w:bdr w:val="none" w:sz="0" w:space="0" w:color="auto" w:frame="1"/>
          <w:lang w:val="en-US"/>
        </w:rPr>
        <w:t>.</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lang w:val="uk-UA"/>
        </w:rPr>
        <w:t>Чернишов ВА, Чирва ОВ, Валентинова</w:t>
      </w:r>
      <w:r w:rsidRPr="00D83BD4">
        <w:rPr>
          <w:sz w:val="28"/>
          <w:szCs w:val="28"/>
        </w:rPr>
        <w:t> </w:t>
      </w:r>
      <w:r w:rsidRPr="00D83BD4">
        <w:rPr>
          <w:sz w:val="28"/>
          <w:szCs w:val="28"/>
          <w:lang w:val="uk-UA"/>
        </w:rPr>
        <w:t>ІА. Деякі особливості вторинної дисліпідемії у пацієнтів з високим кардіометаболічним ризиком. Український терапевтичний журнал. 2016</w:t>
      </w:r>
      <w:r w:rsidRPr="00D83BD4">
        <w:rPr>
          <w:sz w:val="28"/>
          <w:szCs w:val="28"/>
          <w:lang w:val="en-US"/>
        </w:rPr>
        <w:t>;(</w:t>
      </w:r>
      <w:r w:rsidRPr="00D83BD4">
        <w:rPr>
          <w:sz w:val="28"/>
          <w:szCs w:val="28"/>
          <w:lang w:val="uk-UA"/>
        </w:rPr>
        <w:t>1</w:t>
      </w:r>
      <w:r w:rsidRPr="00D83BD4">
        <w:rPr>
          <w:sz w:val="28"/>
          <w:szCs w:val="28"/>
          <w:lang w:val="en-US"/>
        </w:rPr>
        <w:t>):</w:t>
      </w:r>
      <w:r w:rsidRPr="00D83BD4">
        <w:rPr>
          <w:sz w:val="28"/>
          <w:szCs w:val="28"/>
          <w:lang w:val="uk-UA"/>
        </w:rPr>
        <w:t>50-60.</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lang w:val="uk-UA"/>
        </w:rPr>
        <w:t xml:space="preserve">Чернышева </w:t>
      </w:r>
      <w:r w:rsidRPr="00D83BD4">
        <w:rPr>
          <w:sz w:val="28"/>
          <w:szCs w:val="28"/>
        </w:rPr>
        <w:t>E</w:t>
      </w:r>
      <w:r w:rsidRPr="00D83BD4">
        <w:rPr>
          <w:sz w:val="28"/>
          <w:szCs w:val="28"/>
          <w:lang w:val="uk-UA"/>
        </w:rPr>
        <w:t xml:space="preserve">Н, Панова ТН, Донская </w:t>
      </w:r>
      <w:r w:rsidRPr="00D83BD4">
        <w:rPr>
          <w:sz w:val="28"/>
          <w:szCs w:val="28"/>
        </w:rPr>
        <w:t>M</w:t>
      </w:r>
      <w:r w:rsidRPr="00D83BD4">
        <w:rPr>
          <w:sz w:val="28"/>
          <w:szCs w:val="28"/>
          <w:lang w:val="uk-UA"/>
        </w:rPr>
        <w:t>Г. Процессы перекисного окисления липидов и преждевременное старение при метаболическом синдроме. Кубанский научный медицинский вестник.</w:t>
      </w:r>
      <w:r w:rsidRPr="00D83BD4">
        <w:rPr>
          <w:sz w:val="28"/>
          <w:szCs w:val="28"/>
          <w:lang w:val="en-US"/>
        </w:rPr>
        <w:t xml:space="preserve"> </w:t>
      </w:r>
      <w:r w:rsidRPr="00D83BD4">
        <w:rPr>
          <w:sz w:val="28"/>
          <w:szCs w:val="28"/>
          <w:lang w:val="uk-UA"/>
        </w:rPr>
        <w:t>2013;1(136):181-183.</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bCs/>
          <w:sz w:val="28"/>
          <w:szCs w:val="28"/>
          <w:lang w:val="uk-UA"/>
        </w:rPr>
        <w:t>Чукур ОО.  Динаміка захворюваності й поширеності патології щитоподібної залози серед дорослого населення України. Вісник соціальної гігієни та організації охорони здоров’я України. 2018</w:t>
      </w:r>
      <w:r w:rsidRPr="00D83BD4">
        <w:rPr>
          <w:bCs/>
          <w:sz w:val="28"/>
          <w:szCs w:val="28"/>
          <w:lang w:val="en-US"/>
        </w:rPr>
        <w:t>;</w:t>
      </w:r>
      <w:r w:rsidRPr="00D83BD4">
        <w:rPr>
          <w:bCs/>
          <w:sz w:val="28"/>
          <w:szCs w:val="28"/>
          <w:lang w:val="uk-UA"/>
        </w:rPr>
        <w:t xml:space="preserve"> (78)</w:t>
      </w:r>
      <w:r w:rsidRPr="00D83BD4">
        <w:rPr>
          <w:bCs/>
          <w:sz w:val="28"/>
          <w:szCs w:val="28"/>
          <w:lang w:val="en-US"/>
        </w:rPr>
        <w:t>:</w:t>
      </w:r>
      <w:r w:rsidRPr="00D83BD4">
        <w:rPr>
          <w:bCs/>
          <w:sz w:val="28"/>
          <w:szCs w:val="28"/>
          <w:lang w:val="uk-UA"/>
        </w:rPr>
        <w:t>19-25.</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sz w:val="28"/>
          <w:szCs w:val="28"/>
        </w:rPr>
        <w:t>Чупина МС</w:t>
      </w:r>
      <w:r w:rsidRPr="00D83BD4">
        <w:rPr>
          <w:sz w:val="28"/>
          <w:szCs w:val="28"/>
          <w:lang w:val="uk-UA"/>
        </w:rPr>
        <w:t xml:space="preserve">, </w:t>
      </w:r>
      <w:r w:rsidRPr="00D83BD4">
        <w:rPr>
          <w:sz w:val="28"/>
          <w:szCs w:val="28"/>
        </w:rPr>
        <w:t>Гудовских</w:t>
      </w:r>
      <w:r w:rsidRPr="00D83BD4">
        <w:rPr>
          <w:sz w:val="28"/>
          <w:szCs w:val="28"/>
          <w:lang w:val="uk-UA"/>
        </w:rPr>
        <w:t xml:space="preserve">  </w:t>
      </w:r>
      <w:r w:rsidRPr="00D83BD4">
        <w:rPr>
          <w:sz w:val="28"/>
          <w:szCs w:val="28"/>
        </w:rPr>
        <w:t>НВ</w:t>
      </w:r>
      <w:r w:rsidRPr="00D83BD4">
        <w:rPr>
          <w:sz w:val="28"/>
          <w:szCs w:val="28"/>
          <w:lang w:val="uk-UA"/>
        </w:rPr>
        <w:t>,</w:t>
      </w:r>
      <w:r w:rsidRPr="00D83BD4">
        <w:rPr>
          <w:sz w:val="28"/>
          <w:szCs w:val="28"/>
        </w:rPr>
        <w:t xml:space="preserve">  Толмачёв ДА. Определение биологического возраста у пенсионеров. Международный научно-исследовательский</w:t>
      </w:r>
      <w:r w:rsidRPr="00D83BD4">
        <w:rPr>
          <w:sz w:val="28"/>
          <w:szCs w:val="28"/>
          <w:lang w:val="uk-UA"/>
        </w:rPr>
        <w:t xml:space="preserve"> </w:t>
      </w:r>
      <w:r w:rsidRPr="00D83BD4">
        <w:rPr>
          <w:sz w:val="28"/>
          <w:szCs w:val="28"/>
        </w:rPr>
        <w:t>журнал.</w:t>
      </w:r>
      <w:r w:rsidRPr="00D83BD4">
        <w:rPr>
          <w:sz w:val="28"/>
          <w:szCs w:val="28"/>
          <w:lang w:val="uk-UA"/>
        </w:rPr>
        <w:t xml:space="preserve"> </w:t>
      </w:r>
      <w:r w:rsidRPr="00D83BD4">
        <w:rPr>
          <w:sz w:val="28"/>
          <w:szCs w:val="28"/>
        </w:rPr>
        <w:t>2019;83</w:t>
      </w:r>
      <w:r w:rsidRPr="00D83BD4">
        <w:rPr>
          <w:sz w:val="28"/>
          <w:szCs w:val="28"/>
          <w:lang w:val="uk-UA"/>
        </w:rPr>
        <w:t>(</w:t>
      </w:r>
      <w:r w:rsidRPr="00D83BD4">
        <w:rPr>
          <w:sz w:val="28"/>
          <w:szCs w:val="28"/>
        </w:rPr>
        <w:t>1):108-110. doi: 10.23670/IRJ.2019.83.5.021</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rPr>
      </w:pPr>
      <w:r w:rsidRPr="00D83BD4">
        <w:rPr>
          <w:bCs/>
          <w:sz w:val="28"/>
          <w:szCs w:val="28"/>
          <w:shd w:val="clear" w:color="auto" w:fill="FFFFFF"/>
          <w:lang w:val="uk-UA"/>
        </w:rPr>
        <w:t>Шестакова ТП. Субклинический гипотиреоз – современный взгляд на проблему. РМЖ. 2016;1: 6–8.</w:t>
      </w:r>
    </w:p>
    <w:p w:rsidR="00E3259F" w:rsidRPr="00D83BD4" w:rsidRDefault="00E3259F" w:rsidP="00D83BD4">
      <w:pPr>
        <w:numPr>
          <w:ilvl w:val="0"/>
          <w:numId w:val="26"/>
        </w:numPr>
        <w:tabs>
          <w:tab w:val="left" w:pos="0"/>
          <w:tab w:val="num" w:pos="720"/>
        </w:tabs>
        <w:spacing w:line="360" w:lineRule="auto"/>
        <w:ind w:left="0" w:firstLine="0"/>
        <w:jc w:val="both"/>
        <w:rPr>
          <w:sz w:val="28"/>
          <w:szCs w:val="28"/>
        </w:rPr>
      </w:pPr>
      <w:r w:rsidRPr="00D83BD4">
        <w:rPr>
          <w:sz w:val="28"/>
          <w:szCs w:val="28"/>
        </w:rPr>
        <w:t>Шкатова ЕЮ,   Бакшаев ИН,   Королькова ГС. Гендерные особенности факторов риска и клинического течения артериальной гипертензии. Саратовский научно-медицинский журнал</w:t>
      </w:r>
      <w:r w:rsidRPr="00D83BD4">
        <w:rPr>
          <w:sz w:val="28"/>
          <w:szCs w:val="28"/>
          <w:lang w:val="en-US"/>
        </w:rPr>
        <w:t xml:space="preserve">. </w:t>
      </w:r>
      <w:r w:rsidRPr="00D83BD4">
        <w:rPr>
          <w:sz w:val="28"/>
          <w:szCs w:val="28"/>
        </w:rPr>
        <w:t>2015; 11(4):542-7</w:t>
      </w:r>
      <w:r w:rsidRPr="00D83BD4">
        <w:rPr>
          <w:sz w:val="28"/>
          <w:szCs w:val="28"/>
          <w:lang w:val="en-US"/>
        </w:rPr>
        <w:t>.</w:t>
      </w:r>
    </w:p>
    <w:p w:rsidR="00E3259F" w:rsidRPr="00D83BD4" w:rsidRDefault="00E3259F" w:rsidP="00D83BD4">
      <w:pPr>
        <w:numPr>
          <w:ilvl w:val="0"/>
          <w:numId w:val="26"/>
        </w:numPr>
        <w:tabs>
          <w:tab w:val="left" w:pos="0"/>
          <w:tab w:val="num" w:pos="720"/>
        </w:tabs>
        <w:spacing w:line="360" w:lineRule="auto"/>
        <w:ind w:left="0" w:firstLine="0"/>
        <w:jc w:val="both"/>
        <w:rPr>
          <w:sz w:val="28"/>
          <w:szCs w:val="28"/>
        </w:rPr>
      </w:pPr>
      <w:r w:rsidRPr="00D83BD4">
        <w:rPr>
          <w:sz w:val="28"/>
          <w:szCs w:val="28"/>
          <w:lang w:val="uk-UA"/>
        </w:rPr>
        <w:t>Щербань НГ, Горбач ТВ, Гусєва НР</w:t>
      </w:r>
      <w:r w:rsidRPr="00D83BD4">
        <w:rPr>
          <w:sz w:val="28"/>
          <w:szCs w:val="28"/>
        </w:rPr>
        <w:t>,</w:t>
      </w:r>
      <w:r w:rsidRPr="00D83BD4">
        <w:rPr>
          <w:sz w:val="28"/>
          <w:szCs w:val="28"/>
          <w:lang w:val="uk-UA"/>
        </w:rPr>
        <w:t xml:space="preserve"> и др.  Лаборатоорные методики      для изучения состояния антиоксидантной системы организма и уровня перекисного окисления липидов.  Харьков: ХГМУ</w:t>
      </w:r>
      <w:r w:rsidRPr="00D83BD4">
        <w:rPr>
          <w:sz w:val="28"/>
          <w:szCs w:val="28"/>
          <w:lang w:val="en-US"/>
        </w:rPr>
        <w:t xml:space="preserve">; </w:t>
      </w:r>
      <w:r w:rsidRPr="00D83BD4">
        <w:rPr>
          <w:sz w:val="28"/>
          <w:szCs w:val="28"/>
          <w:lang w:val="uk-UA"/>
        </w:rPr>
        <w:t>2004</w:t>
      </w:r>
      <w:r w:rsidRPr="00D83BD4">
        <w:rPr>
          <w:sz w:val="28"/>
          <w:szCs w:val="28"/>
          <w:lang w:val="en-US"/>
        </w:rPr>
        <w:t>.</w:t>
      </w:r>
      <w:r w:rsidRPr="00D83BD4">
        <w:rPr>
          <w:sz w:val="28"/>
          <w:szCs w:val="28"/>
          <w:lang w:val="uk-UA"/>
        </w:rPr>
        <w:t xml:space="preserve"> 36с.</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Abdel-Moneim A, Abdel-Reheim ES, Semmler M, Addaleel W. The Impact of Glycemic Status and Metformin Administration on Red Blood Cell Indices and Oxidative Stress in Type 2 Diabetic Patients. </w:t>
      </w:r>
      <w:r w:rsidRPr="00D83BD4">
        <w:rPr>
          <w:sz w:val="28"/>
          <w:szCs w:val="28"/>
        </w:rPr>
        <w:t>Malays J Med Sci. 2019;26(4):47-60. doi: 10.21315/mjms2019.26.4.6.</w:t>
      </w:r>
    </w:p>
    <w:p w:rsidR="00E3259F" w:rsidRPr="00D83BD4" w:rsidRDefault="00E3259F" w:rsidP="00D83BD4">
      <w:pPr>
        <w:numPr>
          <w:ilvl w:val="0"/>
          <w:numId w:val="26"/>
        </w:numPr>
        <w:tabs>
          <w:tab w:val="left" w:pos="0"/>
          <w:tab w:val="num" w:pos="720"/>
        </w:tabs>
        <w:spacing w:line="360" w:lineRule="auto"/>
        <w:ind w:left="0" w:firstLine="0"/>
        <w:jc w:val="both"/>
        <w:rPr>
          <w:bCs/>
          <w:sz w:val="28"/>
          <w:szCs w:val="28"/>
          <w:lang w:val="en-US"/>
        </w:rPr>
      </w:pPr>
      <w:r w:rsidRPr="00D83BD4">
        <w:rPr>
          <w:sz w:val="28"/>
          <w:szCs w:val="28"/>
          <w:lang w:val="en-US"/>
        </w:rPr>
        <w:t xml:space="preserve">Abudawood M, Tabassum H, Almaarik B, Aljohi A. Interrelationship between oxidative stress, DNA damage and cancer risk in diabetes (Type 2) in Riyadh, KSA. </w:t>
      </w:r>
      <w:r w:rsidRPr="00D83BD4">
        <w:rPr>
          <w:sz w:val="28"/>
          <w:szCs w:val="28"/>
        </w:rPr>
        <w:t>Saudi J Biol Sci.</w:t>
      </w:r>
      <w:r w:rsidRPr="00D83BD4">
        <w:rPr>
          <w:sz w:val="28"/>
          <w:szCs w:val="28"/>
          <w:lang w:val="en-US"/>
        </w:rPr>
        <w:t> </w:t>
      </w:r>
      <w:r w:rsidRPr="00D83BD4">
        <w:rPr>
          <w:sz w:val="28"/>
          <w:szCs w:val="28"/>
        </w:rPr>
        <w:t xml:space="preserve">2020;27(1):177-183. </w:t>
      </w:r>
      <w:r w:rsidRPr="00D83BD4">
        <w:rPr>
          <w:sz w:val="28"/>
          <w:szCs w:val="28"/>
          <w:lang w:val="en-US"/>
        </w:rPr>
        <w:t>doi</w:t>
      </w:r>
      <w:r w:rsidRPr="00D83BD4">
        <w:rPr>
          <w:sz w:val="28"/>
          <w:szCs w:val="28"/>
        </w:rPr>
        <w:t>: 10.1016/</w:t>
      </w:r>
      <w:r w:rsidRPr="00D83BD4">
        <w:rPr>
          <w:sz w:val="28"/>
          <w:szCs w:val="28"/>
          <w:lang w:val="en-US"/>
        </w:rPr>
        <w:t>j</w:t>
      </w:r>
      <w:r w:rsidRPr="00D83BD4">
        <w:rPr>
          <w:sz w:val="28"/>
          <w:szCs w:val="28"/>
        </w:rPr>
        <w:t>.</w:t>
      </w:r>
      <w:r w:rsidRPr="00D83BD4">
        <w:rPr>
          <w:sz w:val="28"/>
          <w:szCs w:val="28"/>
          <w:lang w:val="en-US"/>
        </w:rPr>
        <w:t>sjbs</w:t>
      </w:r>
      <w:r w:rsidRPr="00D83BD4">
        <w:rPr>
          <w:sz w:val="28"/>
          <w:szCs w:val="28"/>
        </w:rPr>
        <w:t>.2019.06.015</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Ahirwar AK, Singh A, Jain A, Patra SK, Goswami B, Bhatnagar MK, Bhattacharjee J. Role of Sub Clinical Hypothyroidism in Association with Adiponectin Levels Causing Insulin Resistance in Metabolic Syndrome: A Case Control Study. </w:t>
      </w:r>
      <w:r w:rsidRPr="00D83BD4">
        <w:rPr>
          <w:sz w:val="28"/>
          <w:szCs w:val="28"/>
        </w:rPr>
        <w:t>Tokai J Exp Clin Med. 2017;42(2):96-103.</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 xml:space="preserve">Ahmad KA, Yuan Yuan D, Nawaz W, Ze H, Zhuo CX, Talal B, et al. Antioxidant therapy for management of oxidative stress induced hypertension. </w:t>
      </w:r>
      <w:r w:rsidRPr="00D83BD4">
        <w:rPr>
          <w:sz w:val="28"/>
          <w:szCs w:val="28"/>
        </w:rPr>
        <w:t>Free Radic Res.</w:t>
      </w:r>
      <w:r w:rsidRPr="00D83BD4">
        <w:rPr>
          <w:sz w:val="28"/>
          <w:szCs w:val="28"/>
          <w:lang w:val="en-US"/>
        </w:rPr>
        <w:t> 2017;51(4):428-438. doi: 10.1080/10715762.2017.1322205.</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shd w:val="clear" w:color="auto" w:fill="FFFFFF"/>
          <w:lang w:val="en-US"/>
        </w:rPr>
        <w:t xml:space="preserve">Aksoy N, Yeler MT, Ayan NN, Ozkeskin A, Ozkan Z, Serin NO. Association between thyroid hormone levels and insulin resistance and body mass index. </w:t>
      </w:r>
      <w:r w:rsidRPr="00D83BD4">
        <w:rPr>
          <w:sz w:val="28"/>
          <w:szCs w:val="28"/>
          <w:shd w:val="clear" w:color="auto" w:fill="FFFFFF"/>
        </w:rPr>
        <w:t xml:space="preserve">Pak J Med Sci. 2015;31(6):1417-20. doi: 10.12669/pjms.316.7560. </w:t>
      </w:r>
    </w:p>
    <w:p w:rsidR="00E3259F" w:rsidRPr="00D83BD4" w:rsidRDefault="00E3259F" w:rsidP="00D83BD4">
      <w:pPr>
        <w:numPr>
          <w:ilvl w:val="0"/>
          <w:numId w:val="26"/>
        </w:numPr>
        <w:tabs>
          <w:tab w:val="left" w:pos="0"/>
        </w:tabs>
        <w:spacing w:line="360" w:lineRule="auto"/>
        <w:ind w:left="0" w:firstLine="0"/>
        <w:jc w:val="both"/>
        <w:rPr>
          <w:sz w:val="28"/>
          <w:szCs w:val="28"/>
        </w:rPr>
      </w:pPr>
      <w:bookmarkStart w:id="33" w:name="_Hlk43588136"/>
      <w:r w:rsidRPr="00D83BD4">
        <w:rPr>
          <w:sz w:val="28"/>
          <w:szCs w:val="28"/>
          <w:lang w:val="en-US"/>
        </w:rPr>
        <w:t xml:space="preserve">Aktay G, Gürsoy ŞÖ, Uyumlu U, Ünüvar S, İlhan N. Protective effect of atorvastatin on oxidative stress in streptozotocin-induced diabetic rats independently their lipid-lowering effects. </w:t>
      </w:r>
      <w:r w:rsidRPr="00D83BD4">
        <w:rPr>
          <w:sz w:val="28"/>
          <w:szCs w:val="28"/>
        </w:rPr>
        <w:t>J Biochem Mol Toxicol. 2019;33(5):e22295. doi: 10.1002/jbt.22295.</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shd w:val="clear" w:color="auto" w:fill="FFFFFF"/>
          <w:lang w:val="en-US"/>
        </w:rPr>
        <w:t>Al-Aubaidy HA</w:t>
      </w:r>
      <w:bookmarkEnd w:id="33"/>
      <w:r w:rsidRPr="00D83BD4">
        <w:rPr>
          <w:sz w:val="28"/>
          <w:szCs w:val="28"/>
          <w:shd w:val="clear" w:color="auto" w:fill="FFFFFF"/>
          <w:lang w:val="en-US"/>
        </w:rPr>
        <w:t>, Jelinek HF. Oxidative DNA damage and obesity in type 2 diabetes mellitus. </w:t>
      </w:r>
      <w:r w:rsidRPr="00D83BD4">
        <w:rPr>
          <w:sz w:val="28"/>
          <w:szCs w:val="28"/>
          <w:shd w:val="clear" w:color="auto" w:fill="FFFFFF"/>
        </w:rPr>
        <w:t>Eur J Endocrinol. 2011;164(6):899-904. doi:10.1530/EJE-11-0053</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Alem MM. Endothelial Dysfunction in Chronic Heart Failure: Assessment, Findings, Significance, and Potential Therapeutic Targets. Int J Mol Sci. 2019;20(13). pii: E3198. doi: 10.3390/ijms20133198.</w:t>
      </w:r>
    </w:p>
    <w:p w:rsidR="00E3259F" w:rsidRPr="00D83BD4" w:rsidRDefault="00E3259F" w:rsidP="00D83BD4">
      <w:pPr>
        <w:numPr>
          <w:ilvl w:val="0"/>
          <w:numId w:val="26"/>
        </w:numPr>
        <w:shd w:val="clear" w:color="auto" w:fill="FFFFFF"/>
        <w:tabs>
          <w:tab w:val="left" w:pos="0"/>
          <w:tab w:val="left" w:pos="720"/>
        </w:tabs>
        <w:spacing w:line="360" w:lineRule="auto"/>
        <w:ind w:left="0" w:firstLine="0"/>
        <w:jc w:val="both"/>
        <w:rPr>
          <w:rFonts w:eastAsiaTheme="majorEastAsia"/>
          <w:sz w:val="28"/>
          <w:szCs w:val="28"/>
          <w:lang w:val="en-US"/>
        </w:rPr>
      </w:pPr>
      <w:r w:rsidRPr="00D83BD4">
        <w:rPr>
          <w:sz w:val="28"/>
          <w:szCs w:val="28"/>
          <w:shd w:val="clear" w:color="auto" w:fill="FFFFFF"/>
          <w:lang w:val="en-US"/>
        </w:rPr>
        <w:t>Andersen MN, Olsen AM, Madsen JC, Faber J, Torp-Pedersen C, Gislason GH, Selmer C. Levothyroxine Substitution in Patients with Subclinical Hypothyroidism and the Risk of Myocardial Infarction and Mortality. PLoS One. 2015;10(6):e0129793. doi: 10.1371/journal.pone.0129793.</w:t>
      </w:r>
      <w:r w:rsidRPr="00D83BD4">
        <w:rPr>
          <w:sz w:val="28"/>
          <w:szCs w:val="28"/>
          <w:shd w:val="clear" w:color="auto" w:fill="FFFFFF"/>
          <w:lang w:val="uk-UA"/>
        </w:rPr>
        <w:t xml:space="preserve"> </w:t>
      </w:r>
    </w:p>
    <w:p w:rsidR="00E3259F" w:rsidRPr="00D83BD4" w:rsidRDefault="00E3259F" w:rsidP="00D83BD4">
      <w:pPr>
        <w:numPr>
          <w:ilvl w:val="0"/>
          <w:numId w:val="26"/>
        </w:numPr>
        <w:shd w:val="clear" w:color="auto" w:fill="FFFFFF"/>
        <w:tabs>
          <w:tab w:val="left" w:pos="0"/>
          <w:tab w:val="left" w:pos="720"/>
        </w:tabs>
        <w:spacing w:line="360" w:lineRule="auto"/>
        <w:ind w:left="0" w:firstLine="0"/>
        <w:jc w:val="both"/>
        <w:rPr>
          <w:rStyle w:val="docsum-authors"/>
          <w:rFonts w:eastAsiaTheme="majorEastAsia"/>
          <w:sz w:val="28"/>
          <w:szCs w:val="28"/>
          <w:lang w:val="en-US"/>
        </w:rPr>
      </w:pPr>
      <w:r w:rsidRPr="00D83BD4">
        <w:rPr>
          <w:rStyle w:val="docsum-authors"/>
          <w:rFonts w:eastAsiaTheme="majorEastAsia"/>
          <w:sz w:val="28"/>
          <w:szCs w:val="28"/>
          <w:lang w:val="en-US"/>
        </w:rPr>
        <w:t>Arhluwalia N, Dwyer J, Terry A, Moshfegh A, Johnson C.</w:t>
      </w:r>
      <w:r w:rsidRPr="00D83BD4">
        <w:rPr>
          <w:rStyle w:val="docsum-authors"/>
          <w:rFonts w:eastAsiaTheme="majorEastAsia"/>
          <w:sz w:val="28"/>
          <w:szCs w:val="28"/>
          <w:lang w:val="uk-UA"/>
        </w:rPr>
        <w:t xml:space="preserve">  </w:t>
      </w:r>
      <w:r w:rsidRPr="00D83BD4">
        <w:rPr>
          <w:rStyle w:val="docsum-authors"/>
          <w:rFonts w:eastAsiaTheme="majorEastAsia"/>
          <w:sz w:val="28"/>
          <w:szCs w:val="28"/>
          <w:lang w:val="en-US"/>
        </w:rPr>
        <w:t>Update on NHANES Dietary Data: Focus on Collection, Release, Analytical Considerations, and Uses to Inform Public Policy</w:t>
      </w:r>
      <w:r w:rsidRPr="00D83BD4">
        <w:rPr>
          <w:rStyle w:val="docsum-authors"/>
          <w:rFonts w:eastAsiaTheme="majorEastAsia"/>
          <w:sz w:val="28"/>
          <w:szCs w:val="28"/>
          <w:lang w:val="uk-UA"/>
        </w:rPr>
        <w:t>.</w:t>
      </w:r>
      <w:r w:rsidRPr="00D83BD4">
        <w:rPr>
          <w:rStyle w:val="docsum-journal-citation"/>
          <w:rFonts w:eastAsiaTheme="majorEastAsia"/>
          <w:sz w:val="28"/>
          <w:szCs w:val="28"/>
          <w:lang w:val="en-US"/>
        </w:rPr>
        <w:t xml:space="preserve">Adv Nutr. 2016 Jan 15;7(1):121-34. doi: 10.3945/an.115.009258. </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shd w:val="clear" w:color="auto" w:fill="FFFFFF"/>
          <w:lang w:val="en-US"/>
        </w:rPr>
        <w:t>Arsenis</w:t>
      </w:r>
      <w:r w:rsidRPr="00D83BD4">
        <w:rPr>
          <w:sz w:val="28"/>
          <w:szCs w:val="28"/>
          <w:shd w:val="clear" w:color="auto" w:fill="FFFFFF"/>
          <w:lang w:val="uk-UA"/>
        </w:rPr>
        <w:t xml:space="preserve"> </w:t>
      </w:r>
      <w:r w:rsidRPr="00D83BD4">
        <w:rPr>
          <w:sz w:val="28"/>
          <w:szCs w:val="28"/>
          <w:shd w:val="clear" w:color="auto" w:fill="FFFFFF"/>
          <w:lang w:val="en-US"/>
        </w:rPr>
        <w:t>NC</w:t>
      </w:r>
      <w:r w:rsidRPr="00D83BD4">
        <w:rPr>
          <w:sz w:val="28"/>
          <w:szCs w:val="28"/>
          <w:shd w:val="clear" w:color="auto" w:fill="FFFFFF"/>
          <w:lang w:val="uk-UA"/>
        </w:rPr>
        <w:t xml:space="preserve">, </w:t>
      </w:r>
      <w:r w:rsidRPr="00D83BD4">
        <w:rPr>
          <w:sz w:val="28"/>
          <w:szCs w:val="28"/>
          <w:shd w:val="clear" w:color="auto" w:fill="FFFFFF"/>
          <w:lang w:val="en-US"/>
        </w:rPr>
        <w:t>You</w:t>
      </w:r>
      <w:r w:rsidRPr="00D83BD4">
        <w:rPr>
          <w:sz w:val="28"/>
          <w:szCs w:val="28"/>
          <w:shd w:val="clear" w:color="auto" w:fill="FFFFFF"/>
          <w:lang w:val="uk-UA"/>
        </w:rPr>
        <w:t xml:space="preserve"> </w:t>
      </w:r>
      <w:r w:rsidRPr="00D83BD4">
        <w:rPr>
          <w:sz w:val="28"/>
          <w:szCs w:val="28"/>
          <w:shd w:val="clear" w:color="auto" w:fill="FFFFFF"/>
          <w:lang w:val="en-US"/>
        </w:rPr>
        <w:t>T</w:t>
      </w:r>
      <w:r w:rsidRPr="00D83BD4">
        <w:rPr>
          <w:sz w:val="28"/>
          <w:szCs w:val="28"/>
          <w:shd w:val="clear" w:color="auto" w:fill="FFFFFF"/>
          <w:lang w:val="uk-UA"/>
        </w:rPr>
        <w:t xml:space="preserve">, </w:t>
      </w:r>
      <w:r w:rsidRPr="00D83BD4">
        <w:rPr>
          <w:sz w:val="28"/>
          <w:szCs w:val="28"/>
          <w:shd w:val="clear" w:color="auto" w:fill="FFFFFF"/>
          <w:lang w:val="en-US"/>
        </w:rPr>
        <w:t>Ogawa</w:t>
      </w:r>
      <w:r w:rsidRPr="00D83BD4">
        <w:rPr>
          <w:sz w:val="28"/>
          <w:szCs w:val="28"/>
          <w:shd w:val="clear" w:color="auto" w:fill="FFFFFF"/>
          <w:lang w:val="uk-UA"/>
        </w:rPr>
        <w:t xml:space="preserve"> </w:t>
      </w:r>
      <w:r w:rsidRPr="00D83BD4">
        <w:rPr>
          <w:sz w:val="28"/>
          <w:szCs w:val="28"/>
          <w:shd w:val="clear" w:color="auto" w:fill="FFFFFF"/>
          <w:lang w:val="en-US"/>
        </w:rPr>
        <w:t>EF</w:t>
      </w:r>
      <w:r w:rsidRPr="00D83BD4">
        <w:rPr>
          <w:sz w:val="28"/>
          <w:szCs w:val="28"/>
          <w:shd w:val="clear" w:color="auto" w:fill="FFFFFF"/>
          <w:lang w:val="uk-UA"/>
        </w:rPr>
        <w:t xml:space="preserve">, </w:t>
      </w:r>
      <w:r w:rsidRPr="00D83BD4">
        <w:rPr>
          <w:sz w:val="28"/>
          <w:szCs w:val="28"/>
          <w:shd w:val="clear" w:color="auto" w:fill="FFFFFF"/>
          <w:lang w:val="en-US"/>
        </w:rPr>
        <w:t>Tinsley</w:t>
      </w:r>
      <w:r w:rsidRPr="00D83BD4">
        <w:rPr>
          <w:sz w:val="28"/>
          <w:szCs w:val="28"/>
          <w:shd w:val="clear" w:color="auto" w:fill="FFFFFF"/>
          <w:lang w:val="uk-UA"/>
        </w:rPr>
        <w:t xml:space="preserve"> </w:t>
      </w:r>
      <w:r w:rsidRPr="00D83BD4">
        <w:rPr>
          <w:sz w:val="28"/>
          <w:szCs w:val="28"/>
          <w:shd w:val="clear" w:color="auto" w:fill="FFFFFF"/>
          <w:lang w:val="en-US"/>
        </w:rPr>
        <w:t>GM</w:t>
      </w:r>
      <w:r w:rsidRPr="00D83BD4">
        <w:rPr>
          <w:sz w:val="28"/>
          <w:szCs w:val="28"/>
          <w:shd w:val="clear" w:color="auto" w:fill="FFFFFF"/>
          <w:lang w:val="uk-UA"/>
        </w:rPr>
        <w:t xml:space="preserve">, </w:t>
      </w:r>
      <w:r w:rsidRPr="00D83BD4">
        <w:rPr>
          <w:sz w:val="28"/>
          <w:szCs w:val="28"/>
          <w:shd w:val="clear" w:color="auto" w:fill="FFFFFF"/>
          <w:lang w:val="en-US"/>
        </w:rPr>
        <w:t>Zuo</w:t>
      </w:r>
      <w:r w:rsidRPr="00D83BD4">
        <w:rPr>
          <w:sz w:val="28"/>
          <w:szCs w:val="28"/>
          <w:shd w:val="clear" w:color="auto" w:fill="FFFFFF"/>
          <w:lang w:val="uk-UA"/>
        </w:rPr>
        <w:t xml:space="preserve"> </w:t>
      </w:r>
      <w:r w:rsidRPr="00D83BD4">
        <w:rPr>
          <w:sz w:val="28"/>
          <w:szCs w:val="28"/>
          <w:shd w:val="clear" w:color="auto" w:fill="FFFFFF"/>
          <w:lang w:val="en-US"/>
        </w:rPr>
        <w:t>L</w:t>
      </w:r>
      <w:r w:rsidRPr="00D83BD4">
        <w:rPr>
          <w:sz w:val="28"/>
          <w:szCs w:val="28"/>
          <w:shd w:val="clear" w:color="auto" w:fill="FFFFFF"/>
          <w:lang w:val="uk-UA"/>
        </w:rPr>
        <w:t xml:space="preserve">. </w:t>
      </w:r>
      <w:r w:rsidRPr="00D83BD4">
        <w:rPr>
          <w:sz w:val="28"/>
          <w:szCs w:val="28"/>
          <w:shd w:val="clear" w:color="auto" w:fill="FFFFFF"/>
          <w:lang w:val="en-US"/>
        </w:rPr>
        <w:t>Physical</w:t>
      </w:r>
      <w:r w:rsidRPr="00D83BD4">
        <w:rPr>
          <w:sz w:val="28"/>
          <w:szCs w:val="28"/>
          <w:shd w:val="clear" w:color="auto" w:fill="FFFFFF"/>
          <w:lang w:val="uk-UA"/>
        </w:rPr>
        <w:t xml:space="preserve"> </w:t>
      </w:r>
      <w:r w:rsidRPr="00D83BD4">
        <w:rPr>
          <w:sz w:val="28"/>
          <w:szCs w:val="28"/>
          <w:shd w:val="clear" w:color="auto" w:fill="FFFFFF"/>
          <w:lang w:val="en-US"/>
        </w:rPr>
        <w:t>activity</w:t>
      </w:r>
      <w:r w:rsidRPr="00D83BD4">
        <w:rPr>
          <w:sz w:val="28"/>
          <w:szCs w:val="28"/>
          <w:shd w:val="clear" w:color="auto" w:fill="FFFFFF"/>
          <w:lang w:val="uk-UA"/>
        </w:rPr>
        <w:t xml:space="preserve"> </w:t>
      </w:r>
      <w:r w:rsidRPr="00D83BD4">
        <w:rPr>
          <w:sz w:val="28"/>
          <w:szCs w:val="28"/>
          <w:shd w:val="clear" w:color="auto" w:fill="FFFFFF"/>
          <w:lang w:val="en-US"/>
        </w:rPr>
        <w:t>and</w:t>
      </w:r>
      <w:r w:rsidRPr="00D83BD4">
        <w:rPr>
          <w:sz w:val="28"/>
          <w:szCs w:val="28"/>
          <w:shd w:val="clear" w:color="auto" w:fill="FFFFFF"/>
          <w:lang w:val="uk-UA"/>
        </w:rPr>
        <w:t xml:space="preserve"> </w:t>
      </w:r>
      <w:r w:rsidRPr="00D83BD4">
        <w:rPr>
          <w:sz w:val="28"/>
          <w:szCs w:val="28"/>
          <w:shd w:val="clear" w:color="auto" w:fill="FFFFFF"/>
          <w:lang w:val="en-US"/>
        </w:rPr>
        <w:t>telomere</w:t>
      </w:r>
      <w:r w:rsidRPr="00D83BD4">
        <w:rPr>
          <w:sz w:val="28"/>
          <w:szCs w:val="28"/>
          <w:shd w:val="clear" w:color="auto" w:fill="FFFFFF"/>
          <w:lang w:val="uk-UA"/>
        </w:rPr>
        <w:t xml:space="preserve"> </w:t>
      </w:r>
      <w:r w:rsidRPr="00D83BD4">
        <w:rPr>
          <w:sz w:val="28"/>
          <w:szCs w:val="28"/>
          <w:shd w:val="clear" w:color="auto" w:fill="FFFFFF"/>
          <w:lang w:val="en-US"/>
        </w:rPr>
        <w:t>length</w:t>
      </w:r>
      <w:r w:rsidRPr="00D83BD4">
        <w:rPr>
          <w:sz w:val="28"/>
          <w:szCs w:val="28"/>
          <w:shd w:val="clear" w:color="auto" w:fill="FFFFFF"/>
          <w:lang w:val="uk-UA"/>
        </w:rPr>
        <w:t xml:space="preserve">: </w:t>
      </w:r>
      <w:r w:rsidRPr="00D83BD4">
        <w:rPr>
          <w:sz w:val="28"/>
          <w:szCs w:val="28"/>
          <w:shd w:val="clear" w:color="auto" w:fill="FFFFFF"/>
          <w:lang w:val="en-US"/>
        </w:rPr>
        <w:t>Impact</w:t>
      </w:r>
      <w:r w:rsidRPr="00D83BD4">
        <w:rPr>
          <w:sz w:val="28"/>
          <w:szCs w:val="28"/>
          <w:shd w:val="clear" w:color="auto" w:fill="FFFFFF"/>
          <w:lang w:val="uk-UA"/>
        </w:rPr>
        <w:t xml:space="preserve"> </w:t>
      </w:r>
      <w:r w:rsidRPr="00D83BD4">
        <w:rPr>
          <w:sz w:val="28"/>
          <w:szCs w:val="28"/>
          <w:shd w:val="clear" w:color="auto" w:fill="FFFFFF"/>
          <w:lang w:val="en-US"/>
        </w:rPr>
        <w:t>of</w:t>
      </w:r>
      <w:r w:rsidRPr="00D83BD4">
        <w:rPr>
          <w:sz w:val="28"/>
          <w:szCs w:val="28"/>
          <w:shd w:val="clear" w:color="auto" w:fill="FFFFFF"/>
          <w:lang w:val="uk-UA"/>
        </w:rPr>
        <w:t xml:space="preserve"> </w:t>
      </w:r>
      <w:r w:rsidRPr="00D83BD4">
        <w:rPr>
          <w:sz w:val="28"/>
          <w:szCs w:val="28"/>
          <w:shd w:val="clear" w:color="auto" w:fill="FFFFFF"/>
          <w:lang w:val="en-US"/>
        </w:rPr>
        <w:t>aging</w:t>
      </w:r>
      <w:r w:rsidRPr="00D83BD4">
        <w:rPr>
          <w:sz w:val="28"/>
          <w:szCs w:val="28"/>
          <w:shd w:val="clear" w:color="auto" w:fill="FFFFFF"/>
          <w:lang w:val="uk-UA"/>
        </w:rPr>
        <w:t xml:space="preserve"> </w:t>
      </w:r>
      <w:r w:rsidRPr="00D83BD4">
        <w:rPr>
          <w:sz w:val="28"/>
          <w:szCs w:val="28"/>
          <w:shd w:val="clear" w:color="auto" w:fill="FFFFFF"/>
          <w:lang w:val="en-US"/>
        </w:rPr>
        <w:t>and</w:t>
      </w:r>
      <w:r w:rsidRPr="00D83BD4">
        <w:rPr>
          <w:sz w:val="28"/>
          <w:szCs w:val="28"/>
          <w:shd w:val="clear" w:color="auto" w:fill="FFFFFF"/>
          <w:lang w:val="uk-UA"/>
        </w:rPr>
        <w:t xml:space="preserve"> </w:t>
      </w:r>
      <w:r w:rsidRPr="00D83BD4">
        <w:rPr>
          <w:sz w:val="28"/>
          <w:szCs w:val="28"/>
          <w:shd w:val="clear" w:color="auto" w:fill="FFFFFF"/>
          <w:lang w:val="en-US"/>
        </w:rPr>
        <w:t>potential</w:t>
      </w:r>
      <w:r w:rsidRPr="00D83BD4">
        <w:rPr>
          <w:sz w:val="28"/>
          <w:szCs w:val="28"/>
          <w:shd w:val="clear" w:color="auto" w:fill="FFFFFF"/>
          <w:lang w:val="uk-UA"/>
        </w:rPr>
        <w:t xml:space="preserve"> </w:t>
      </w:r>
      <w:r w:rsidRPr="00D83BD4">
        <w:rPr>
          <w:sz w:val="28"/>
          <w:szCs w:val="28"/>
          <w:shd w:val="clear" w:color="auto" w:fill="FFFFFF"/>
          <w:lang w:val="en-US"/>
        </w:rPr>
        <w:t>mechanisms</w:t>
      </w:r>
      <w:r w:rsidRPr="00D83BD4">
        <w:rPr>
          <w:sz w:val="28"/>
          <w:szCs w:val="28"/>
          <w:shd w:val="clear" w:color="auto" w:fill="FFFFFF"/>
          <w:lang w:val="uk-UA"/>
        </w:rPr>
        <w:t xml:space="preserve"> </w:t>
      </w:r>
      <w:r w:rsidRPr="00D83BD4">
        <w:rPr>
          <w:sz w:val="28"/>
          <w:szCs w:val="28"/>
          <w:shd w:val="clear" w:color="auto" w:fill="FFFFFF"/>
          <w:lang w:val="en-US"/>
        </w:rPr>
        <w:t>of</w:t>
      </w:r>
      <w:r w:rsidRPr="00D83BD4">
        <w:rPr>
          <w:sz w:val="28"/>
          <w:szCs w:val="28"/>
          <w:shd w:val="clear" w:color="auto" w:fill="FFFFFF"/>
          <w:lang w:val="uk-UA"/>
        </w:rPr>
        <w:t xml:space="preserve"> </w:t>
      </w:r>
      <w:r w:rsidRPr="00D83BD4">
        <w:rPr>
          <w:sz w:val="28"/>
          <w:szCs w:val="28"/>
          <w:shd w:val="clear" w:color="auto" w:fill="FFFFFF"/>
          <w:lang w:val="en-US"/>
        </w:rPr>
        <w:t>action</w:t>
      </w:r>
      <w:r w:rsidRPr="00D83BD4">
        <w:rPr>
          <w:sz w:val="28"/>
          <w:szCs w:val="28"/>
          <w:shd w:val="clear" w:color="auto" w:fill="FFFFFF"/>
          <w:lang w:val="uk-UA"/>
        </w:rPr>
        <w:t>.</w:t>
      </w:r>
      <w:r w:rsidRPr="00D83BD4">
        <w:rPr>
          <w:sz w:val="28"/>
          <w:szCs w:val="28"/>
          <w:shd w:val="clear" w:color="auto" w:fill="FFFFFF"/>
          <w:lang w:val="en-US"/>
        </w:rPr>
        <w:t> Oncotarget. 2017;8(27):45008–45019. doi:10.18632/oncotarget.16726</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 xml:space="preserve">Astuti Y, Wardhana A, Watkins J, </w:t>
      </w:r>
      <w:r w:rsidRPr="00D83BD4">
        <w:rPr>
          <w:sz w:val="28"/>
          <w:szCs w:val="28"/>
          <w:shd w:val="clear" w:color="auto" w:fill="FFFFFF"/>
          <w:lang w:val="en-US"/>
        </w:rPr>
        <w:t xml:space="preserve">Wulaningsih W; PILAR Research Network. </w:t>
      </w:r>
      <w:r w:rsidRPr="00D83BD4">
        <w:rPr>
          <w:sz w:val="28"/>
          <w:szCs w:val="28"/>
          <w:lang w:val="en-US"/>
        </w:rPr>
        <w:t xml:space="preserve">Cigarette smoking and telomere length: A systematic review of 84 studies and meta-analysis.  </w:t>
      </w:r>
      <w:r w:rsidRPr="00D83BD4">
        <w:rPr>
          <w:sz w:val="28"/>
          <w:szCs w:val="28"/>
        </w:rPr>
        <w:t>Environ Res.</w:t>
      </w:r>
      <w:r w:rsidRPr="00D83BD4">
        <w:rPr>
          <w:sz w:val="28"/>
          <w:szCs w:val="28"/>
          <w:lang w:val="en-US"/>
        </w:rPr>
        <w:t xml:space="preserve"> 2017;</w:t>
      </w:r>
      <w:r w:rsidRPr="00D83BD4">
        <w:rPr>
          <w:sz w:val="28"/>
          <w:szCs w:val="28"/>
        </w:rPr>
        <w:t>158</w:t>
      </w:r>
      <w:r w:rsidRPr="00D83BD4">
        <w:rPr>
          <w:sz w:val="28"/>
          <w:szCs w:val="28"/>
          <w:lang w:val="en-US"/>
        </w:rPr>
        <w:t>:</w:t>
      </w:r>
      <w:r w:rsidRPr="00D83BD4">
        <w:rPr>
          <w:sz w:val="28"/>
          <w:szCs w:val="28"/>
        </w:rPr>
        <w:t xml:space="preserve"> 480-489. doi: 10.1016/j.envres.2017.06.038.</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bCs/>
          <w:sz w:val="28"/>
          <w:szCs w:val="28"/>
          <w:shd w:val="clear" w:color="auto" w:fill="FFFFFF"/>
          <w:lang w:val="en-US"/>
        </w:rPr>
        <w:t>Asvold</w:t>
      </w:r>
      <w:r w:rsidRPr="00D83BD4">
        <w:rPr>
          <w:bCs/>
          <w:sz w:val="28"/>
          <w:szCs w:val="28"/>
          <w:shd w:val="clear" w:color="auto" w:fill="FFFFFF"/>
          <w:lang w:val="uk-UA"/>
        </w:rPr>
        <w:t xml:space="preserve"> </w:t>
      </w:r>
      <w:r w:rsidRPr="00D83BD4">
        <w:rPr>
          <w:bCs/>
          <w:sz w:val="28"/>
          <w:szCs w:val="28"/>
          <w:shd w:val="clear" w:color="auto" w:fill="FFFFFF"/>
          <w:lang w:val="en-US"/>
        </w:rPr>
        <w:t>BO</w:t>
      </w:r>
      <w:r w:rsidRPr="00D83BD4">
        <w:rPr>
          <w:bCs/>
          <w:sz w:val="28"/>
          <w:szCs w:val="28"/>
          <w:shd w:val="clear" w:color="auto" w:fill="FFFFFF"/>
          <w:lang w:val="uk-UA"/>
        </w:rPr>
        <w:t>,</w:t>
      </w:r>
      <w:r w:rsidRPr="00D83BD4">
        <w:rPr>
          <w:bCs/>
          <w:sz w:val="28"/>
          <w:szCs w:val="28"/>
          <w:shd w:val="clear" w:color="auto" w:fill="FFFFFF"/>
          <w:lang w:val="en-US"/>
        </w:rPr>
        <w:t> Bj</w:t>
      </w:r>
      <w:r w:rsidRPr="00D83BD4">
        <w:rPr>
          <w:bCs/>
          <w:sz w:val="28"/>
          <w:szCs w:val="28"/>
          <w:shd w:val="clear" w:color="auto" w:fill="FFFFFF"/>
          <w:lang w:val="uk-UA"/>
        </w:rPr>
        <w:t>ø</w:t>
      </w:r>
      <w:r w:rsidRPr="00D83BD4">
        <w:rPr>
          <w:bCs/>
          <w:sz w:val="28"/>
          <w:szCs w:val="28"/>
          <w:shd w:val="clear" w:color="auto" w:fill="FFFFFF"/>
          <w:lang w:val="en-US"/>
        </w:rPr>
        <w:t>ro</w:t>
      </w:r>
      <w:r w:rsidRPr="00D83BD4">
        <w:rPr>
          <w:bCs/>
          <w:sz w:val="28"/>
          <w:szCs w:val="28"/>
          <w:shd w:val="clear" w:color="auto" w:fill="FFFFFF"/>
          <w:lang w:val="uk-UA"/>
        </w:rPr>
        <w:t xml:space="preserve"> </w:t>
      </w:r>
      <w:r w:rsidRPr="00D83BD4">
        <w:rPr>
          <w:bCs/>
          <w:sz w:val="28"/>
          <w:szCs w:val="28"/>
          <w:shd w:val="clear" w:color="auto" w:fill="FFFFFF"/>
          <w:lang w:val="en-US"/>
        </w:rPr>
        <w:t>T</w:t>
      </w:r>
      <w:r w:rsidRPr="00D83BD4">
        <w:rPr>
          <w:bCs/>
          <w:sz w:val="28"/>
          <w:szCs w:val="28"/>
          <w:shd w:val="clear" w:color="auto" w:fill="FFFFFF"/>
          <w:lang w:val="uk-UA"/>
        </w:rPr>
        <w:t>,</w:t>
      </w:r>
      <w:r w:rsidRPr="00D83BD4">
        <w:rPr>
          <w:bCs/>
          <w:sz w:val="28"/>
          <w:szCs w:val="28"/>
          <w:shd w:val="clear" w:color="auto" w:fill="FFFFFF"/>
          <w:lang w:val="en-US"/>
        </w:rPr>
        <w:t> Vatten</w:t>
      </w:r>
      <w:r w:rsidRPr="00D83BD4">
        <w:rPr>
          <w:bCs/>
          <w:sz w:val="28"/>
          <w:szCs w:val="28"/>
          <w:shd w:val="clear" w:color="auto" w:fill="FFFFFF"/>
          <w:lang w:val="uk-UA"/>
        </w:rPr>
        <w:t xml:space="preserve"> </w:t>
      </w:r>
      <w:r w:rsidRPr="00D83BD4">
        <w:rPr>
          <w:bCs/>
          <w:sz w:val="28"/>
          <w:szCs w:val="28"/>
          <w:shd w:val="clear" w:color="auto" w:fill="FFFFFF"/>
          <w:lang w:val="en-US"/>
        </w:rPr>
        <w:t>LJ</w:t>
      </w:r>
      <w:r w:rsidRPr="00D83BD4">
        <w:rPr>
          <w:bCs/>
          <w:sz w:val="28"/>
          <w:szCs w:val="28"/>
          <w:shd w:val="clear" w:color="auto" w:fill="FFFFFF"/>
          <w:lang w:val="uk-UA"/>
        </w:rPr>
        <w:t>.</w:t>
      </w:r>
      <w:r w:rsidRPr="00D83BD4">
        <w:rPr>
          <w:bCs/>
          <w:sz w:val="28"/>
          <w:szCs w:val="28"/>
          <w:lang w:val="uk-UA"/>
        </w:rPr>
        <w:t xml:space="preserve"> </w:t>
      </w:r>
      <w:r w:rsidRPr="00D83BD4">
        <w:rPr>
          <w:bCs/>
          <w:sz w:val="28"/>
          <w:szCs w:val="28"/>
          <w:lang w:val="en-US"/>
        </w:rPr>
        <w:t xml:space="preserve">Associations of </w:t>
      </w:r>
      <w:r w:rsidRPr="00D83BD4">
        <w:rPr>
          <w:rStyle w:val="highlight"/>
          <w:bCs/>
          <w:sz w:val="28"/>
          <w:szCs w:val="28"/>
          <w:lang w:val="en-US"/>
        </w:rPr>
        <w:t>TSH</w:t>
      </w:r>
      <w:r w:rsidRPr="00D83BD4">
        <w:rPr>
          <w:bCs/>
          <w:sz w:val="28"/>
          <w:szCs w:val="28"/>
          <w:lang w:val="en-US"/>
        </w:rPr>
        <w:t xml:space="preserve"> levels within the reference range with future blood pressure and lipid concentrations: 11-year follow-up of the </w:t>
      </w:r>
      <w:r w:rsidRPr="00D83BD4">
        <w:rPr>
          <w:rStyle w:val="highlight"/>
          <w:bCs/>
          <w:sz w:val="28"/>
          <w:szCs w:val="28"/>
          <w:lang w:val="en-US"/>
        </w:rPr>
        <w:t>HUNT</w:t>
      </w:r>
      <w:r w:rsidRPr="00D83BD4">
        <w:rPr>
          <w:bCs/>
          <w:sz w:val="28"/>
          <w:szCs w:val="28"/>
          <w:lang w:val="en-US"/>
        </w:rPr>
        <w:t xml:space="preserve"> </w:t>
      </w:r>
      <w:r w:rsidRPr="00D83BD4">
        <w:rPr>
          <w:rStyle w:val="highlight"/>
          <w:bCs/>
          <w:sz w:val="28"/>
          <w:szCs w:val="28"/>
          <w:lang w:val="en-US"/>
        </w:rPr>
        <w:t>study</w:t>
      </w:r>
      <w:r w:rsidRPr="00D83BD4">
        <w:rPr>
          <w:bCs/>
          <w:sz w:val="28"/>
          <w:szCs w:val="28"/>
          <w:lang w:val="uk-UA"/>
        </w:rPr>
        <w:t xml:space="preserve">; </w:t>
      </w:r>
      <w:r w:rsidRPr="00D83BD4">
        <w:rPr>
          <w:bCs/>
          <w:sz w:val="28"/>
          <w:szCs w:val="28"/>
          <w:lang w:val="en-US"/>
        </w:rPr>
        <w:t>Eur</w:t>
      </w:r>
      <w:r w:rsidRPr="00D83BD4">
        <w:rPr>
          <w:bCs/>
          <w:sz w:val="28"/>
          <w:szCs w:val="28"/>
          <w:lang w:val="uk-UA"/>
        </w:rPr>
        <w:t xml:space="preserve"> </w:t>
      </w:r>
      <w:r w:rsidRPr="00D83BD4">
        <w:rPr>
          <w:bCs/>
          <w:sz w:val="28"/>
          <w:szCs w:val="28"/>
          <w:lang w:val="en-US"/>
        </w:rPr>
        <w:t>J</w:t>
      </w:r>
      <w:r w:rsidRPr="00D83BD4">
        <w:rPr>
          <w:bCs/>
          <w:sz w:val="28"/>
          <w:szCs w:val="28"/>
          <w:lang w:val="uk-UA"/>
        </w:rPr>
        <w:t xml:space="preserve"> </w:t>
      </w:r>
      <w:r w:rsidRPr="00D83BD4">
        <w:rPr>
          <w:bCs/>
          <w:sz w:val="28"/>
          <w:szCs w:val="28"/>
          <w:lang w:val="en-US"/>
        </w:rPr>
        <w:t>Endocrinol</w:t>
      </w:r>
      <w:r w:rsidRPr="00D83BD4">
        <w:rPr>
          <w:bCs/>
          <w:sz w:val="28"/>
          <w:szCs w:val="28"/>
          <w:lang w:val="uk-UA"/>
        </w:rPr>
        <w:t xml:space="preserve">. </w:t>
      </w:r>
      <w:r w:rsidRPr="00D83BD4">
        <w:rPr>
          <w:bCs/>
          <w:sz w:val="28"/>
          <w:szCs w:val="28"/>
        </w:rPr>
        <w:t>2013;169(1):73-82</w:t>
      </w:r>
      <w:r w:rsidRPr="00D83BD4">
        <w:rPr>
          <w:bCs/>
          <w:sz w:val="28"/>
          <w:szCs w:val="28"/>
          <w:lang w:val="en-US"/>
        </w:rPr>
        <w:t>.</w:t>
      </w:r>
      <w:r w:rsidRPr="00D83BD4">
        <w:rPr>
          <w:rStyle w:val="10"/>
          <w:rFonts w:eastAsiaTheme="majorEastAsia"/>
          <w:sz w:val="28"/>
          <w:szCs w:val="28"/>
          <w:shd w:val="clear" w:color="auto" w:fill="FFFFFF"/>
          <w:lang w:val="en-US"/>
        </w:rPr>
        <w:t xml:space="preserve"> </w:t>
      </w:r>
      <w:r w:rsidRPr="00D83BD4">
        <w:rPr>
          <w:rStyle w:val="citation-doi"/>
          <w:sz w:val="28"/>
          <w:szCs w:val="28"/>
          <w:shd w:val="clear" w:color="auto" w:fill="FFFFFF"/>
        </w:rPr>
        <w:t>doi: 10.1530/EJE-13-0087.</w:t>
      </w:r>
      <w:r w:rsidRPr="00D83BD4">
        <w:rPr>
          <w:sz w:val="28"/>
          <w:szCs w:val="28"/>
          <w:shd w:val="clear" w:color="auto" w:fill="FFFFFF"/>
        </w:rPr>
        <w:t> </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Asvold</w:t>
      </w:r>
      <w:r w:rsidRPr="00D83BD4">
        <w:rPr>
          <w:sz w:val="28"/>
          <w:szCs w:val="28"/>
          <w:lang w:val="uk-UA"/>
        </w:rPr>
        <w:t xml:space="preserve"> </w:t>
      </w:r>
      <w:r w:rsidRPr="00D83BD4">
        <w:rPr>
          <w:sz w:val="28"/>
          <w:szCs w:val="28"/>
          <w:lang w:val="en-US"/>
        </w:rPr>
        <w:t>BO</w:t>
      </w:r>
      <w:r w:rsidRPr="00D83BD4">
        <w:rPr>
          <w:sz w:val="28"/>
          <w:szCs w:val="28"/>
          <w:lang w:val="uk-UA"/>
        </w:rPr>
        <w:t xml:space="preserve">, </w:t>
      </w:r>
      <w:r w:rsidRPr="00D83BD4">
        <w:rPr>
          <w:sz w:val="28"/>
          <w:szCs w:val="28"/>
          <w:lang w:val="en-US"/>
        </w:rPr>
        <w:t>Vatten</w:t>
      </w:r>
      <w:r w:rsidRPr="00D83BD4">
        <w:rPr>
          <w:sz w:val="28"/>
          <w:szCs w:val="28"/>
          <w:lang w:val="uk-UA"/>
        </w:rPr>
        <w:t xml:space="preserve"> </w:t>
      </w:r>
      <w:r w:rsidRPr="00D83BD4">
        <w:rPr>
          <w:sz w:val="28"/>
          <w:szCs w:val="28"/>
          <w:lang w:val="en-US"/>
        </w:rPr>
        <w:t>LJ</w:t>
      </w:r>
      <w:r w:rsidRPr="00D83BD4">
        <w:rPr>
          <w:sz w:val="28"/>
          <w:szCs w:val="28"/>
          <w:lang w:val="uk-UA"/>
        </w:rPr>
        <w:t xml:space="preserve">, </w:t>
      </w:r>
      <w:r w:rsidRPr="00D83BD4">
        <w:rPr>
          <w:sz w:val="28"/>
          <w:szCs w:val="28"/>
          <w:lang w:val="en-US"/>
        </w:rPr>
        <w:t>Nilsen</w:t>
      </w:r>
      <w:r w:rsidRPr="00D83BD4">
        <w:rPr>
          <w:sz w:val="28"/>
          <w:szCs w:val="28"/>
          <w:lang w:val="uk-UA"/>
        </w:rPr>
        <w:t xml:space="preserve"> </w:t>
      </w:r>
      <w:r w:rsidRPr="00D83BD4">
        <w:rPr>
          <w:sz w:val="28"/>
          <w:szCs w:val="28"/>
          <w:lang w:val="en-US"/>
        </w:rPr>
        <w:t>TI</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association</w:t>
      </w:r>
      <w:r w:rsidRPr="00D83BD4">
        <w:rPr>
          <w:sz w:val="28"/>
          <w:szCs w:val="28"/>
          <w:lang w:val="uk-UA"/>
        </w:rPr>
        <w:t xml:space="preserve"> </w:t>
      </w:r>
      <w:r w:rsidRPr="00D83BD4">
        <w:rPr>
          <w:sz w:val="28"/>
          <w:szCs w:val="28"/>
          <w:lang w:val="en-US"/>
        </w:rPr>
        <w:t>between</w:t>
      </w:r>
      <w:r w:rsidRPr="00D83BD4">
        <w:rPr>
          <w:sz w:val="28"/>
          <w:szCs w:val="28"/>
          <w:lang w:val="uk-UA"/>
        </w:rPr>
        <w:t xml:space="preserve"> </w:t>
      </w:r>
      <w:r w:rsidRPr="00D83BD4">
        <w:rPr>
          <w:sz w:val="28"/>
          <w:szCs w:val="28"/>
          <w:lang w:val="en-US"/>
        </w:rPr>
        <w:t>TSH</w:t>
      </w:r>
      <w:r w:rsidRPr="00D83BD4">
        <w:rPr>
          <w:sz w:val="28"/>
          <w:szCs w:val="28"/>
          <w:lang w:val="uk-UA"/>
        </w:rPr>
        <w:t xml:space="preserve"> </w:t>
      </w:r>
      <w:r w:rsidRPr="00D83BD4">
        <w:rPr>
          <w:sz w:val="28"/>
          <w:szCs w:val="28"/>
          <w:lang w:val="en-US"/>
        </w:rPr>
        <w:t>within</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reference</w:t>
      </w:r>
      <w:r w:rsidRPr="00D83BD4">
        <w:rPr>
          <w:sz w:val="28"/>
          <w:szCs w:val="28"/>
          <w:lang w:val="uk-UA"/>
        </w:rPr>
        <w:t xml:space="preserve"> </w:t>
      </w:r>
      <w:r w:rsidRPr="00D83BD4">
        <w:rPr>
          <w:sz w:val="28"/>
          <w:szCs w:val="28"/>
          <w:lang w:val="en-US"/>
        </w:rPr>
        <w:t>range</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serum</w:t>
      </w:r>
      <w:r w:rsidRPr="00D83BD4">
        <w:rPr>
          <w:sz w:val="28"/>
          <w:szCs w:val="28"/>
          <w:lang w:val="uk-UA"/>
        </w:rPr>
        <w:t xml:space="preserve"> </w:t>
      </w:r>
      <w:r w:rsidRPr="00D83BD4">
        <w:rPr>
          <w:sz w:val="28"/>
          <w:szCs w:val="28"/>
          <w:lang w:val="en-US"/>
        </w:rPr>
        <w:t>lipid</w:t>
      </w:r>
      <w:r w:rsidRPr="00D83BD4">
        <w:rPr>
          <w:sz w:val="28"/>
          <w:szCs w:val="28"/>
          <w:lang w:val="uk-UA"/>
        </w:rPr>
        <w:t xml:space="preserve"> </w:t>
      </w:r>
      <w:r w:rsidRPr="00D83BD4">
        <w:rPr>
          <w:sz w:val="28"/>
          <w:szCs w:val="28"/>
          <w:lang w:val="en-US"/>
        </w:rPr>
        <w:t>concentration</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population</w:t>
      </w:r>
      <w:r w:rsidRPr="00D83BD4">
        <w:rPr>
          <w:sz w:val="28"/>
          <w:szCs w:val="28"/>
          <w:lang w:val="uk-UA"/>
        </w:rPr>
        <w:t>-</w:t>
      </w:r>
      <w:r w:rsidRPr="00D83BD4">
        <w:rPr>
          <w:sz w:val="28"/>
          <w:szCs w:val="28"/>
          <w:lang w:val="en-US"/>
        </w:rPr>
        <w:t>based</w:t>
      </w:r>
      <w:r w:rsidRPr="00D83BD4">
        <w:rPr>
          <w:sz w:val="28"/>
          <w:szCs w:val="28"/>
          <w:lang w:val="uk-UA"/>
        </w:rPr>
        <w:t xml:space="preserve"> </w:t>
      </w:r>
      <w:r w:rsidRPr="00D83BD4">
        <w:rPr>
          <w:sz w:val="28"/>
          <w:szCs w:val="28"/>
          <w:lang w:val="en-US"/>
        </w:rPr>
        <w:t>stady</w:t>
      </w:r>
      <w:r w:rsidRPr="00D83BD4">
        <w:rPr>
          <w:sz w:val="28"/>
          <w:szCs w:val="28"/>
          <w:lang w:val="uk-UA"/>
        </w:rPr>
        <w:t xml:space="preserve">. </w:t>
      </w:r>
      <w:r w:rsidRPr="00D83BD4">
        <w:rPr>
          <w:sz w:val="28"/>
          <w:szCs w:val="28"/>
        </w:rPr>
        <w:t>The</w:t>
      </w:r>
      <w:r w:rsidRPr="00D83BD4">
        <w:rPr>
          <w:sz w:val="28"/>
          <w:szCs w:val="28"/>
          <w:lang w:val="uk-UA"/>
        </w:rPr>
        <w:t xml:space="preserve"> </w:t>
      </w:r>
      <w:r w:rsidRPr="00D83BD4">
        <w:rPr>
          <w:sz w:val="28"/>
          <w:szCs w:val="28"/>
        </w:rPr>
        <w:t>HUNT</w:t>
      </w:r>
      <w:r w:rsidRPr="00D83BD4">
        <w:rPr>
          <w:sz w:val="28"/>
          <w:szCs w:val="28"/>
          <w:lang w:val="uk-UA"/>
        </w:rPr>
        <w:t xml:space="preserve"> </w:t>
      </w:r>
      <w:r w:rsidRPr="00D83BD4">
        <w:rPr>
          <w:sz w:val="28"/>
          <w:szCs w:val="28"/>
        </w:rPr>
        <w:t>Study</w:t>
      </w:r>
      <w:r w:rsidRPr="00D83BD4">
        <w:rPr>
          <w:sz w:val="28"/>
          <w:szCs w:val="28"/>
          <w:lang w:val="uk-UA"/>
        </w:rPr>
        <w:t xml:space="preserve">. </w:t>
      </w:r>
      <w:r w:rsidRPr="00D83BD4">
        <w:rPr>
          <w:sz w:val="28"/>
          <w:szCs w:val="28"/>
        </w:rPr>
        <w:t>Eur</w:t>
      </w:r>
      <w:r w:rsidRPr="00D83BD4">
        <w:rPr>
          <w:sz w:val="28"/>
          <w:szCs w:val="28"/>
          <w:lang w:val="en-US"/>
        </w:rPr>
        <w:t xml:space="preserve"> </w:t>
      </w:r>
      <w:r w:rsidRPr="00D83BD4">
        <w:rPr>
          <w:sz w:val="28"/>
          <w:szCs w:val="28"/>
          <w:lang w:val="uk-UA"/>
        </w:rPr>
        <w:t xml:space="preserve"> </w:t>
      </w:r>
      <w:r w:rsidRPr="00D83BD4">
        <w:rPr>
          <w:sz w:val="28"/>
          <w:szCs w:val="28"/>
        </w:rPr>
        <w:t>J</w:t>
      </w:r>
      <w:r w:rsidRPr="00D83BD4">
        <w:rPr>
          <w:sz w:val="28"/>
          <w:szCs w:val="28"/>
          <w:lang w:val="en-US"/>
        </w:rPr>
        <w:t xml:space="preserve"> </w:t>
      </w:r>
      <w:r w:rsidRPr="00D83BD4">
        <w:rPr>
          <w:sz w:val="28"/>
          <w:szCs w:val="28"/>
          <w:lang w:val="uk-UA"/>
        </w:rPr>
        <w:t xml:space="preserve"> </w:t>
      </w:r>
      <w:r w:rsidRPr="00D83BD4">
        <w:rPr>
          <w:sz w:val="28"/>
          <w:szCs w:val="28"/>
        </w:rPr>
        <w:t>Endocrinol</w:t>
      </w:r>
      <w:r w:rsidRPr="00D83BD4">
        <w:rPr>
          <w:sz w:val="28"/>
          <w:szCs w:val="28"/>
          <w:lang w:val="uk-UA"/>
        </w:rPr>
        <w:t>. 2007</w:t>
      </w:r>
      <w:r w:rsidRPr="00D83BD4">
        <w:rPr>
          <w:sz w:val="28"/>
          <w:szCs w:val="28"/>
          <w:lang w:val="en-US"/>
        </w:rPr>
        <w:t>;</w:t>
      </w:r>
      <w:r w:rsidRPr="00D83BD4">
        <w:rPr>
          <w:sz w:val="28"/>
          <w:szCs w:val="28"/>
          <w:lang w:val="uk-UA"/>
        </w:rPr>
        <w:t>20</w:t>
      </w:r>
      <w:r w:rsidRPr="00D83BD4">
        <w:rPr>
          <w:sz w:val="28"/>
          <w:szCs w:val="28"/>
          <w:lang w:val="en-US"/>
        </w:rPr>
        <w:t>:</w:t>
      </w:r>
      <w:r w:rsidRPr="00D83BD4">
        <w:rPr>
          <w:sz w:val="28"/>
          <w:szCs w:val="28"/>
          <w:lang w:val="uk-UA"/>
        </w:rPr>
        <w:t>932-936.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Aydın K, Ersöz Gülçelik N, Tuncel M, Balcı C, Akın Ş, Çınar N, et al. Thyroid volumes and serum VEGF levels in dyslipidemic patients: effects of statin treatment. </w:t>
      </w:r>
      <w:r w:rsidRPr="00D83BD4">
        <w:rPr>
          <w:sz w:val="28"/>
          <w:szCs w:val="28"/>
        </w:rPr>
        <w:t>Turk J Med Sci. 2019;49(3):738-745. doi: 10.3906/sag-1708-106.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shd w:val="clear" w:color="auto" w:fill="FFFFFF"/>
          <w:lang w:val="en-US"/>
        </w:rPr>
        <w:t>Aydogdu</w:t>
      </w:r>
      <w:r w:rsidRPr="00D83BD4">
        <w:rPr>
          <w:sz w:val="28"/>
          <w:szCs w:val="28"/>
          <w:shd w:val="clear" w:color="auto" w:fill="FFFFFF"/>
          <w:lang w:val="uk-UA"/>
        </w:rPr>
        <w:t xml:space="preserve"> </w:t>
      </w:r>
      <w:r w:rsidRPr="00D83BD4">
        <w:rPr>
          <w:sz w:val="28"/>
          <w:szCs w:val="28"/>
          <w:shd w:val="clear" w:color="auto" w:fill="FFFFFF"/>
          <w:lang w:val="en-US"/>
        </w:rPr>
        <w:t>A</w:t>
      </w:r>
      <w:r w:rsidRPr="00D83BD4">
        <w:rPr>
          <w:sz w:val="28"/>
          <w:szCs w:val="28"/>
          <w:shd w:val="clear" w:color="auto" w:fill="FFFFFF"/>
          <w:lang w:val="uk-UA"/>
        </w:rPr>
        <w:t xml:space="preserve">, </w:t>
      </w:r>
      <w:r w:rsidRPr="00D83BD4">
        <w:rPr>
          <w:sz w:val="28"/>
          <w:szCs w:val="28"/>
          <w:shd w:val="clear" w:color="auto" w:fill="FFFFFF"/>
          <w:lang w:val="en-US"/>
        </w:rPr>
        <w:t>Karakas</w:t>
      </w:r>
      <w:r w:rsidRPr="00D83BD4">
        <w:rPr>
          <w:sz w:val="28"/>
          <w:szCs w:val="28"/>
          <w:shd w:val="clear" w:color="auto" w:fill="FFFFFF"/>
          <w:lang w:val="uk-UA"/>
        </w:rPr>
        <w:t xml:space="preserve"> </w:t>
      </w:r>
      <w:r w:rsidRPr="00D83BD4">
        <w:rPr>
          <w:sz w:val="28"/>
          <w:szCs w:val="28"/>
          <w:shd w:val="clear" w:color="auto" w:fill="FFFFFF"/>
          <w:lang w:val="en-US"/>
        </w:rPr>
        <w:t>EY</w:t>
      </w:r>
      <w:r w:rsidRPr="00D83BD4">
        <w:rPr>
          <w:sz w:val="28"/>
          <w:szCs w:val="28"/>
          <w:shd w:val="clear" w:color="auto" w:fill="FFFFFF"/>
          <w:lang w:val="uk-UA"/>
        </w:rPr>
        <w:t xml:space="preserve">, </w:t>
      </w:r>
      <w:r w:rsidRPr="00D83BD4">
        <w:rPr>
          <w:sz w:val="28"/>
          <w:szCs w:val="28"/>
          <w:shd w:val="clear" w:color="auto" w:fill="FFFFFF"/>
          <w:lang w:val="en-US"/>
        </w:rPr>
        <w:t>Erkus</w:t>
      </w:r>
      <w:r w:rsidRPr="00D83BD4">
        <w:rPr>
          <w:sz w:val="28"/>
          <w:szCs w:val="28"/>
          <w:shd w:val="clear" w:color="auto" w:fill="FFFFFF"/>
          <w:lang w:val="uk-UA"/>
        </w:rPr>
        <w:t xml:space="preserve"> </w:t>
      </w:r>
      <w:r w:rsidRPr="00D83BD4">
        <w:rPr>
          <w:sz w:val="28"/>
          <w:szCs w:val="28"/>
          <w:shd w:val="clear" w:color="auto" w:fill="FFFFFF"/>
          <w:lang w:val="en-US"/>
        </w:rPr>
        <w:t>E</w:t>
      </w:r>
      <w:r w:rsidRPr="00D83BD4">
        <w:rPr>
          <w:sz w:val="28"/>
          <w:szCs w:val="28"/>
          <w:shd w:val="clear" w:color="auto" w:fill="FFFFFF"/>
          <w:lang w:val="uk-UA"/>
        </w:rPr>
        <w:t xml:space="preserve">, </w:t>
      </w:r>
      <w:r w:rsidRPr="00D83BD4">
        <w:rPr>
          <w:sz w:val="28"/>
          <w:szCs w:val="28"/>
          <w:shd w:val="clear" w:color="auto" w:fill="FFFFFF"/>
          <w:lang w:val="en-US"/>
        </w:rPr>
        <w:t>Alt</w:t>
      </w:r>
      <w:r w:rsidRPr="00D83BD4">
        <w:rPr>
          <w:sz w:val="28"/>
          <w:szCs w:val="28"/>
          <w:shd w:val="clear" w:color="auto" w:fill="FFFFFF"/>
          <w:lang w:val="uk-UA"/>
        </w:rPr>
        <w:t>ı</w:t>
      </w:r>
      <w:r w:rsidRPr="00D83BD4">
        <w:rPr>
          <w:sz w:val="28"/>
          <w:szCs w:val="28"/>
          <w:shd w:val="clear" w:color="auto" w:fill="FFFFFF"/>
          <w:lang w:val="en-US"/>
        </w:rPr>
        <w:t>parmak</w:t>
      </w:r>
      <w:r w:rsidRPr="00D83BD4">
        <w:rPr>
          <w:sz w:val="28"/>
          <w:szCs w:val="28"/>
          <w:shd w:val="clear" w:color="auto" w:fill="FFFFFF"/>
          <w:lang w:val="uk-UA"/>
        </w:rPr>
        <w:t xml:space="preserve"> İ</w:t>
      </w:r>
      <w:r w:rsidRPr="00D83BD4">
        <w:rPr>
          <w:sz w:val="28"/>
          <w:szCs w:val="28"/>
          <w:shd w:val="clear" w:color="auto" w:fill="FFFFFF"/>
          <w:lang w:val="en-US"/>
        </w:rPr>
        <w:t>H</w:t>
      </w:r>
      <w:r w:rsidRPr="00D83BD4">
        <w:rPr>
          <w:sz w:val="28"/>
          <w:szCs w:val="28"/>
          <w:shd w:val="clear" w:color="auto" w:fill="FFFFFF"/>
          <w:lang w:val="uk-UA"/>
        </w:rPr>
        <w:t xml:space="preserve">, </w:t>
      </w:r>
      <w:r w:rsidRPr="00D83BD4">
        <w:rPr>
          <w:sz w:val="28"/>
          <w:szCs w:val="28"/>
          <w:shd w:val="clear" w:color="auto" w:fill="FFFFFF"/>
          <w:lang w:val="en-US"/>
        </w:rPr>
        <w:t>Sav</w:t>
      </w:r>
      <w:r w:rsidRPr="00D83BD4">
        <w:rPr>
          <w:sz w:val="28"/>
          <w:szCs w:val="28"/>
          <w:shd w:val="clear" w:color="auto" w:fill="FFFFFF"/>
          <w:lang w:val="uk-UA"/>
        </w:rPr>
        <w:t>ı</w:t>
      </w:r>
      <w:r w:rsidRPr="00D83BD4">
        <w:rPr>
          <w:sz w:val="28"/>
          <w:szCs w:val="28"/>
          <w:shd w:val="clear" w:color="auto" w:fill="FFFFFF"/>
          <w:lang w:val="en-US"/>
        </w:rPr>
        <w:t>k</w:t>
      </w:r>
      <w:r w:rsidRPr="00D83BD4">
        <w:rPr>
          <w:sz w:val="28"/>
          <w:szCs w:val="28"/>
          <w:shd w:val="clear" w:color="auto" w:fill="FFFFFF"/>
          <w:lang w:val="uk-UA"/>
        </w:rPr>
        <w:t xml:space="preserve"> </w:t>
      </w:r>
      <w:r w:rsidRPr="00D83BD4">
        <w:rPr>
          <w:sz w:val="28"/>
          <w:szCs w:val="28"/>
          <w:shd w:val="clear" w:color="auto" w:fill="FFFFFF"/>
          <w:lang w:val="en-US"/>
        </w:rPr>
        <w:t>E</w:t>
      </w:r>
      <w:r w:rsidRPr="00D83BD4">
        <w:rPr>
          <w:sz w:val="28"/>
          <w:szCs w:val="28"/>
          <w:shd w:val="clear" w:color="auto" w:fill="FFFFFF"/>
          <w:lang w:val="uk-UA"/>
        </w:rPr>
        <w:t xml:space="preserve">, </w:t>
      </w:r>
      <w:r w:rsidRPr="00D83BD4">
        <w:rPr>
          <w:sz w:val="28"/>
          <w:szCs w:val="28"/>
          <w:shd w:val="clear" w:color="auto" w:fill="FFFFFF"/>
          <w:lang w:val="en-US"/>
        </w:rPr>
        <w:t>Ulas</w:t>
      </w:r>
      <w:r w:rsidRPr="00D83BD4">
        <w:rPr>
          <w:sz w:val="28"/>
          <w:szCs w:val="28"/>
          <w:shd w:val="clear" w:color="auto" w:fill="FFFFFF"/>
          <w:lang w:val="uk-UA"/>
        </w:rPr>
        <w:t xml:space="preserve"> </w:t>
      </w:r>
      <w:r w:rsidRPr="00D83BD4">
        <w:rPr>
          <w:sz w:val="28"/>
          <w:szCs w:val="28"/>
          <w:shd w:val="clear" w:color="auto" w:fill="FFFFFF"/>
          <w:lang w:val="en-US"/>
        </w:rPr>
        <w:t>T</w:t>
      </w:r>
      <w:r w:rsidRPr="00D83BD4">
        <w:rPr>
          <w:sz w:val="28"/>
          <w:szCs w:val="28"/>
          <w:shd w:val="clear" w:color="auto" w:fill="FFFFFF"/>
          <w:lang w:val="uk-UA"/>
        </w:rPr>
        <w:t xml:space="preserve">, </w:t>
      </w:r>
      <w:r w:rsidRPr="00D83BD4">
        <w:rPr>
          <w:sz w:val="28"/>
          <w:szCs w:val="28"/>
          <w:shd w:val="clear" w:color="auto" w:fill="FFFFFF"/>
          <w:lang w:val="en-US"/>
        </w:rPr>
        <w:t>Sabuncu</w:t>
      </w:r>
      <w:r w:rsidRPr="00D83BD4">
        <w:rPr>
          <w:sz w:val="28"/>
          <w:szCs w:val="28"/>
          <w:shd w:val="clear" w:color="auto" w:fill="FFFFFF"/>
          <w:lang w:val="uk-UA"/>
        </w:rPr>
        <w:t xml:space="preserve"> </w:t>
      </w:r>
      <w:r w:rsidRPr="00D83BD4">
        <w:rPr>
          <w:sz w:val="28"/>
          <w:szCs w:val="28"/>
          <w:shd w:val="clear" w:color="auto" w:fill="FFFFFF"/>
          <w:lang w:val="en-US"/>
        </w:rPr>
        <w:t>T</w:t>
      </w:r>
      <w:r w:rsidRPr="00D83BD4">
        <w:rPr>
          <w:sz w:val="28"/>
          <w:szCs w:val="28"/>
          <w:shd w:val="clear" w:color="auto" w:fill="FFFFFF"/>
          <w:lang w:val="uk-UA"/>
        </w:rPr>
        <w:t xml:space="preserve">. </w:t>
      </w:r>
      <w:r w:rsidRPr="00D83BD4">
        <w:rPr>
          <w:sz w:val="28"/>
          <w:szCs w:val="28"/>
          <w:shd w:val="clear" w:color="auto" w:fill="FFFFFF"/>
          <w:lang w:val="en-US"/>
        </w:rPr>
        <w:t>Epicardial</w:t>
      </w:r>
      <w:r w:rsidRPr="00D83BD4">
        <w:rPr>
          <w:sz w:val="28"/>
          <w:szCs w:val="28"/>
          <w:shd w:val="clear" w:color="auto" w:fill="FFFFFF"/>
          <w:lang w:val="uk-UA"/>
        </w:rPr>
        <w:t xml:space="preserve"> </w:t>
      </w:r>
      <w:r w:rsidRPr="00D83BD4">
        <w:rPr>
          <w:sz w:val="28"/>
          <w:szCs w:val="28"/>
          <w:shd w:val="clear" w:color="auto" w:fill="FFFFFF"/>
          <w:lang w:val="en-US"/>
        </w:rPr>
        <w:t>fat</w:t>
      </w:r>
      <w:r w:rsidRPr="00D83BD4">
        <w:rPr>
          <w:sz w:val="28"/>
          <w:szCs w:val="28"/>
          <w:shd w:val="clear" w:color="auto" w:fill="FFFFFF"/>
          <w:lang w:val="uk-UA"/>
        </w:rPr>
        <w:t xml:space="preserve"> </w:t>
      </w:r>
      <w:r w:rsidRPr="00D83BD4">
        <w:rPr>
          <w:sz w:val="28"/>
          <w:szCs w:val="28"/>
          <w:shd w:val="clear" w:color="auto" w:fill="FFFFFF"/>
          <w:lang w:val="en-US"/>
        </w:rPr>
        <w:t>thickness</w:t>
      </w:r>
      <w:r w:rsidRPr="00D83BD4">
        <w:rPr>
          <w:sz w:val="28"/>
          <w:szCs w:val="28"/>
          <w:shd w:val="clear" w:color="auto" w:fill="FFFFFF"/>
          <w:lang w:val="uk-UA"/>
        </w:rPr>
        <w:t xml:space="preserve"> </w:t>
      </w:r>
      <w:r w:rsidRPr="00D83BD4">
        <w:rPr>
          <w:sz w:val="28"/>
          <w:szCs w:val="28"/>
          <w:shd w:val="clear" w:color="auto" w:fill="FFFFFF"/>
          <w:lang w:val="en-US"/>
        </w:rPr>
        <w:t>and</w:t>
      </w:r>
      <w:r w:rsidRPr="00D83BD4">
        <w:rPr>
          <w:sz w:val="28"/>
          <w:szCs w:val="28"/>
          <w:shd w:val="clear" w:color="auto" w:fill="FFFFFF"/>
          <w:lang w:val="uk-UA"/>
        </w:rPr>
        <w:t xml:space="preserve"> </w:t>
      </w:r>
      <w:r w:rsidRPr="00D83BD4">
        <w:rPr>
          <w:sz w:val="28"/>
          <w:szCs w:val="28"/>
          <w:shd w:val="clear" w:color="auto" w:fill="FFFFFF"/>
          <w:lang w:val="en-US"/>
        </w:rPr>
        <w:t>oxidative</w:t>
      </w:r>
      <w:r w:rsidRPr="00D83BD4">
        <w:rPr>
          <w:sz w:val="28"/>
          <w:szCs w:val="28"/>
          <w:shd w:val="clear" w:color="auto" w:fill="FFFFFF"/>
          <w:lang w:val="uk-UA"/>
        </w:rPr>
        <w:t xml:space="preserve"> </w:t>
      </w:r>
      <w:r w:rsidRPr="00D83BD4">
        <w:rPr>
          <w:sz w:val="28"/>
          <w:szCs w:val="28"/>
          <w:shd w:val="clear" w:color="auto" w:fill="FFFFFF"/>
          <w:lang w:val="en-US"/>
        </w:rPr>
        <w:t>stress</w:t>
      </w:r>
      <w:r w:rsidRPr="00D83BD4">
        <w:rPr>
          <w:sz w:val="28"/>
          <w:szCs w:val="28"/>
          <w:shd w:val="clear" w:color="auto" w:fill="FFFFFF"/>
          <w:lang w:val="uk-UA"/>
        </w:rPr>
        <w:t xml:space="preserve"> </w:t>
      </w:r>
      <w:r w:rsidRPr="00D83BD4">
        <w:rPr>
          <w:sz w:val="28"/>
          <w:szCs w:val="28"/>
          <w:shd w:val="clear" w:color="auto" w:fill="FFFFFF"/>
          <w:lang w:val="en-US"/>
        </w:rPr>
        <w:t>parameters</w:t>
      </w:r>
      <w:r w:rsidRPr="00D83BD4">
        <w:rPr>
          <w:sz w:val="28"/>
          <w:szCs w:val="28"/>
          <w:shd w:val="clear" w:color="auto" w:fill="FFFFFF"/>
          <w:lang w:val="uk-UA"/>
        </w:rPr>
        <w:t xml:space="preserve"> </w:t>
      </w:r>
      <w:r w:rsidRPr="00D83BD4">
        <w:rPr>
          <w:sz w:val="28"/>
          <w:szCs w:val="28"/>
          <w:shd w:val="clear" w:color="auto" w:fill="FFFFFF"/>
          <w:lang w:val="en-US"/>
        </w:rPr>
        <w:t>in</w:t>
      </w:r>
      <w:r w:rsidRPr="00D83BD4">
        <w:rPr>
          <w:sz w:val="28"/>
          <w:szCs w:val="28"/>
          <w:shd w:val="clear" w:color="auto" w:fill="FFFFFF"/>
          <w:lang w:val="uk-UA"/>
        </w:rPr>
        <w:t xml:space="preserve"> </w:t>
      </w:r>
      <w:r w:rsidRPr="00D83BD4">
        <w:rPr>
          <w:sz w:val="28"/>
          <w:szCs w:val="28"/>
          <w:shd w:val="clear" w:color="auto" w:fill="FFFFFF"/>
          <w:lang w:val="en-US"/>
        </w:rPr>
        <w:t>patients</w:t>
      </w:r>
      <w:r w:rsidRPr="00D83BD4">
        <w:rPr>
          <w:sz w:val="28"/>
          <w:szCs w:val="28"/>
          <w:shd w:val="clear" w:color="auto" w:fill="FFFFFF"/>
          <w:lang w:val="uk-UA"/>
        </w:rPr>
        <w:t xml:space="preserve"> </w:t>
      </w:r>
      <w:r w:rsidRPr="00D83BD4">
        <w:rPr>
          <w:sz w:val="28"/>
          <w:szCs w:val="28"/>
          <w:shd w:val="clear" w:color="auto" w:fill="FFFFFF"/>
          <w:lang w:val="en-US"/>
        </w:rPr>
        <w:t>with</w:t>
      </w:r>
      <w:r w:rsidRPr="00D83BD4">
        <w:rPr>
          <w:sz w:val="28"/>
          <w:szCs w:val="28"/>
          <w:shd w:val="clear" w:color="auto" w:fill="FFFFFF"/>
          <w:lang w:val="uk-UA"/>
        </w:rPr>
        <w:t xml:space="preserve"> </w:t>
      </w:r>
      <w:r w:rsidRPr="00D83BD4">
        <w:rPr>
          <w:sz w:val="28"/>
          <w:szCs w:val="28"/>
          <w:shd w:val="clear" w:color="auto" w:fill="FFFFFF"/>
          <w:lang w:val="en-US"/>
        </w:rPr>
        <w:t>subclinical</w:t>
      </w:r>
      <w:r w:rsidRPr="00D83BD4">
        <w:rPr>
          <w:sz w:val="28"/>
          <w:szCs w:val="28"/>
          <w:shd w:val="clear" w:color="auto" w:fill="FFFFFF"/>
          <w:lang w:val="uk-UA"/>
        </w:rPr>
        <w:t xml:space="preserve"> </w:t>
      </w:r>
      <w:r w:rsidRPr="00D83BD4">
        <w:rPr>
          <w:sz w:val="28"/>
          <w:szCs w:val="28"/>
          <w:shd w:val="clear" w:color="auto" w:fill="FFFFFF"/>
          <w:lang w:val="en-US"/>
        </w:rPr>
        <w:t>hypothyroidism</w:t>
      </w:r>
      <w:r w:rsidRPr="00D83BD4">
        <w:rPr>
          <w:sz w:val="28"/>
          <w:szCs w:val="28"/>
          <w:shd w:val="clear" w:color="auto" w:fill="FFFFFF"/>
          <w:lang w:val="uk-UA"/>
        </w:rPr>
        <w:t xml:space="preserve">. </w:t>
      </w:r>
      <w:r w:rsidRPr="00D83BD4">
        <w:rPr>
          <w:sz w:val="28"/>
          <w:szCs w:val="28"/>
          <w:shd w:val="clear" w:color="auto" w:fill="FFFFFF"/>
          <w:lang w:val="en-US"/>
        </w:rPr>
        <w:t>Arch</w:t>
      </w:r>
      <w:r w:rsidRPr="00D83BD4">
        <w:rPr>
          <w:sz w:val="28"/>
          <w:szCs w:val="28"/>
          <w:shd w:val="clear" w:color="auto" w:fill="FFFFFF"/>
          <w:lang w:val="uk-UA"/>
        </w:rPr>
        <w:t xml:space="preserve"> </w:t>
      </w:r>
      <w:r w:rsidRPr="00D83BD4">
        <w:rPr>
          <w:sz w:val="28"/>
          <w:szCs w:val="28"/>
          <w:shd w:val="clear" w:color="auto" w:fill="FFFFFF"/>
          <w:lang w:val="en-US"/>
        </w:rPr>
        <w:t>Med</w:t>
      </w:r>
      <w:r w:rsidRPr="00D83BD4">
        <w:rPr>
          <w:sz w:val="28"/>
          <w:szCs w:val="28"/>
          <w:shd w:val="clear" w:color="auto" w:fill="FFFFFF"/>
          <w:lang w:val="uk-UA"/>
        </w:rPr>
        <w:t xml:space="preserve"> </w:t>
      </w:r>
      <w:r w:rsidRPr="00D83BD4">
        <w:rPr>
          <w:sz w:val="28"/>
          <w:szCs w:val="28"/>
          <w:shd w:val="clear" w:color="auto" w:fill="FFFFFF"/>
          <w:lang w:val="en-US"/>
        </w:rPr>
        <w:t>Sci</w:t>
      </w:r>
      <w:r w:rsidRPr="00D83BD4">
        <w:rPr>
          <w:sz w:val="28"/>
          <w:szCs w:val="28"/>
          <w:shd w:val="clear" w:color="auto" w:fill="FFFFFF"/>
          <w:lang w:val="uk-UA"/>
        </w:rPr>
        <w:t>. 2017;13(2):383-389</w:t>
      </w:r>
      <w:r w:rsidRPr="00D83BD4">
        <w:rPr>
          <w:sz w:val="28"/>
          <w:szCs w:val="28"/>
          <w:shd w:val="clear" w:color="auto" w:fill="FFFFFF"/>
          <w:lang w:val="en-US"/>
        </w:rPr>
        <w:t xml:space="preserve">. </w:t>
      </w:r>
      <w:r w:rsidRPr="00D83BD4">
        <w:rPr>
          <w:rStyle w:val="doi"/>
          <w:sz w:val="28"/>
          <w:szCs w:val="28"/>
          <w:lang w:val="en-US"/>
        </w:rPr>
        <w:t>doi</w:t>
      </w:r>
      <w:r w:rsidRPr="00D83BD4">
        <w:rPr>
          <w:rStyle w:val="doi"/>
          <w:sz w:val="28"/>
          <w:szCs w:val="28"/>
          <w:lang w:val="uk-UA"/>
        </w:rPr>
        <w:t>:</w:t>
      </w:r>
      <w:r w:rsidRPr="00D83BD4">
        <w:rPr>
          <w:rStyle w:val="doi"/>
          <w:sz w:val="28"/>
          <w:szCs w:val="28"/>
          <w:lang w:val="en-US"/>
        </w:rPr>
        <w:t> </w:t>
      </w:r>
      <w:r w:rsidRPr="00D83BD4">
        <w:rPr>
          <w:sz w:val="28"/>
          <w:szCs w:val="28"/>
        </w:rPr>
        <w:t>10.5114/aoms.2017.65479</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shd w:val="clear" w:color="auto" w:fill="FFFFFF"/>
          <w:lang w:val="en-US"/>
        </w:rPr>
        <w:t>Aziz M, Kandimalla Y, Machavarapu A, Saxena A, Das S, Younus A, et al. Effect of Thyroxin Treatment on Carotid Intima-Media Thickness (CIMT) Reduction in Patients with Subclinical Hypothyroidism (SCH): a Meta-Analysis of Clinical Trials. J Atheroscler Thromb. 2017;24(7):643-659. doi: 10.5551/jat.39917.</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Bahrami A, Bo S, Jamialahmadi T, Sahebkar A. Effects of 3-hydroxy-3-methylglutaryl coenzyme A reductase inhibitors on ageing: Molecular mechanisms. Ageing Res Rev. 2020;58:101024. doi: 10.1016/j.arr.2020.101024.</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Barrows</w:t>
      </w:r>
      <w:r w:rsidRPr="00D83BD4">
        <w:rPr>
          <w:sz w:val="28"/>
          <w:szCs w:val="28"/>
          <w:lang w:val="uk-UA"/>
        </w:rPr>
        <w:t xml:space="preserve"> </w:t>
      </w:r>
      <w:r w:rsidRPr="00D83BD4">
        <w:rPr>
          <w:sz w:val="28"/>
          <w:szCs w:val="28"/>
          <w:lang w:val="en-US"/>
        </w:rPr>
        <w:t>IR</w:t>
      </w:r>
      <w:r w:rsidRPr="00D83BD4">
        <w:rPr>
          <w:sz w:val="28"/>
          <w:szCs w:val="28"/>
          <w:lang w:val="uk-UA"/>
        </w:rPr>
        <w:t xml:space="preserve">, </w:t>
      </w:r>
      <w:r w:rsidRPr="00D83BD4">
        <w:rPr>
          <w:sz w:val="28"/>
          <w:szCs w:val="28"/>
          <w:lang w:val="en-US"/>
        </w:rPr>
        <w:t>Ramezani</w:t>
      </w:r>
      <w:r w:rsidRPr="00D83BD4">
        <w:rPr>
          <w:sz w:val="28"/>
          <w:szCs w:val="28"/>
          <w:lang w:val="uk-UA"/>
        </w:rPr>
        <w:t xml:space="preserve"> </w:t>
      </w:r>
      <w:r w:rsidRPr="00D83BD4">
        <w:rPr>
          <w:sz w:val="28"/>
          <w:szCs w:val="28"/>
          <w:lang w:val="en-US"/>
        </w:rPr>
        <w:t>A</w:t>
      </w:r>
      <w:r w:rsidRPr="00D83BD4">
        <w:rPr>
          <w:sz w:val="28"/>
          <w:szCs w:val="28"/>
          <w:lang w:val="uk-UA"/>
        </w:rPr>
        <w:t xml:space="preserve">, </w:t>
      </w:r>
      <w:r w:rsidRPr="00D83BD4">
        <w:rPr>
          <w:sz w:val="28"/>
          <w:szCs w:val="28"/>
          <w:lang w:val="en-US"/>
        </w:rPr>
        <w:t>Raj</w:t>
      </w:r>
      <w:r w:rsidRPr="00D83BD4">
        <w:rPr>
          <w:sz w:val="28"/>
          <w:szCs w:val="28"/>
          <w:lang w:val="uk-UA"/>
        </w:rPr>
        <w:t xml:space="preserve"> </w:t>
      </w:r>
      <w:r w:rsidRPr="00D83BD4">
        <w:rPr>
          <w:sz w:val="28"/>
          <w:szCs w:val="28"/>
          <w:lang w:val="en-US"/>
        </w:rPr>
        <w:t>DS</w:t>
      </w:r>
      <w:r w:rsidRPr="00D83BD4">
        <w:rPr>
          <w:sz w:val="28"/>
          <w:szCs w:val="28"/>
          <w:lang w:val="uk-UA"/>
        </w:rPr>
        <w:t xml:space="preserve">. </w:t>
      </w:r>
      <w:r w:rsidRPr="00D83BD4">
        <w:rPr>
          <w:sz w:val="28"/>
          <w:szCs w:val="28"/>
          <w:lang w:val="en-US"/>
        </w:rPr>
        <w:t>Inflammation, Immunity, and Oxidative Stress in Hypertension-Partners in Crime? Adv Chronic Kidney Dis. 2019; 26 (2): 122-130.</w:t>
      </w:r>
      <w:r w:rsidRPr="00D83BD4">
        <w:rPr>
          <w:sz w:val="28"/>
          <w:szCs w:val="28"/>
          <w:lang w:val="uk-UA"/>
        </w:rPr>
        <w:t xml:space="preserve"> </w:t>
      </w:r>
      <w:r w:rsidRPr="00D83BD4">
        <w:rPr>
          <w:sz w:val="28"/>
          <w:szCs w:val="28"/>
          <w:shd w:val="clear" w:color="auto" w:fill="FFFFFF"/>
        </w:rPr>
        <w:t>doi: 10.1053/j.ackd.2019.03.001.</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Baumgartner C, Blum MR, Rodondi N. Subclinical hypothyroidism: summary of evidence in 2014. Swiss Med Wkly. 2014;144:14058</w:t>
      </w:r>
      <w:r w:rsidRPr="00D83BD4">
        <w:rPr>
          <w:sz w:val="28"/>
          <w:szCs w:val="28"/>
          <w:lang w:val="uk-UA"/>
        </w:rPr>
        <w:t xml:space="preserve">. </w:t>
      </w:r>
      <w:r w:rsidRPr="00D83BD4">
        <w:rPr>
          <w:sz w:val="28"/>
          <w:szCs w:val="28"/>
          <w:shd w:val="clear" w:color="auto" w:fill="FFFFFF"/>
        </w:rPr>
        <w:t>doi: 10.4414/smw.2014.14058.</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Belchamber KBR, Donnelly LE. Correcting the "Wandering" Neutrophil with Statins. A Novel Antiaging Strategy? Am J Respir Crit Care Med. 2017;196(10):1243-1244. doi: 10.1164/rccm.201707-1410ED.</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Berta E, Lengyel I, Halmi S, </w:t>
      </w:r>
      <w:r w:rsidRPr="00D83BD4">
        <w:rPr>
          <w:sz w:val="28"/>
          <w:szCs w:val="28"/>
          <w:shd w:val="clear" w:color="auto" w:fill="FFFFFF"/>
          <w:lang w:val="en-US"/>
        </w:rPr>
        <w:t xml:space="preserve">Zrínyi M, Erdei A, Harangi M, </w:t>
      </w:r>
      <w:r w:rsidRPr="00D83BD4">
        <w:rPr>
          <w:sz w:val="28"/>
          <w:szCs w:val="28"/>
          <w:lang w:val="en-US"/>
        </w:rPr>
        <w:t xml:space="preserve">et al. </w:t>
      </w:r>
      <w:r w:rsidRPr="00D83BD4">
        <w:rPr>
          <w:sz w:val="28"/>
          <w:szCs w:val="28"/>
        </w:rPr>
        <w:t>Hypertension in Thyroid Disorders. Frontiers in Endocrinology. 2019 ;10:482. doi: 10.3389/fendo.2019.00482</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Bhupatiraju C, Saini D, Patkar S, Deepak P, Das B, Padma T. Association of shorter telomere length with essential hypertension in Indian population. </w:t>
      </w:r>
      <w:r w:rsidRPr="00D83BD4">
        <w:rPr>
          <w:sz w:val="28"/>
          <w:szCs w:val="28"/>
        </w:rPr>
        <w:t xml:space="preserve">Am J Hum Biol. 2012;24(4):573-8. </w:t>
      </w:r>
      <w:r w:rsidRPr="00D83BD4">
        <w:rPr>
          <w:sz w:val="28"/>
          <w:szCs w:val="28"/>
          <w:shd w:val="clear" w:color="auto" w:fill="FFFFFF"/>
        </w:rPr>
        <w:t>doi: 10.1002/ajhb.22264.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Bielecka-Dabrowa A, Godoy B, Suzuki T, Banach M, von Haehling S. Subclinical hypothyroidism and the development of heart failure: an overview of risk and effects on cardiac function. </w:t>
      </w:r>
      <w:r w:rsidRPr="00D83BD4">
        <w:rPr>
          <w:sz w:val="28"/>
          <w:szCs w:val="28"/>
        </w:rPr>
        <w:t>Clin Res Cardiol. 2019;108(3):225-233.</w:t>
      </w:r>
      <w:r w:rsidRPr="00D83BD4">
        <w:rPr>
          <w:sz w:val="28"/>
          <w:szCs w:val="28"/>
          <w:shd w:val="clear" w:color="auto" w:fill="FFFFFF"/>
        </w:rPr>
        <w:t xml:space="preserve"> doi: 10.1007/s00392-018-1340-1.</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shd w:val="clear" w:color="auto" w:fill="FFFFFF"/>
          <w:lang w:val="en-US"/>
        </w:rPr>
        <w:t>Bigagli</w:t>
      </w:r>
      <w:r w:rsidRPr="00D83BD4">
        <w:rPr>
          <w:bCs/>
          <w:sz w:val="28"/>
          <w:szCs w:val="28"/>
          <w:shd w:val="clear" w:color="auto" w:fill="FFFFFF"/>
          <w:lang w:val="uk-UA"/>
        </w:rPr>
        <w:t xml:space="preserve"> </w:t>
      </w:r>
      <w:r w:rsidRPr="00D83BD4">
        <w:rPr>
          <w:bCs/>
          <w:sz w:val="28"/>
          <w:szCs w:val="28"/>
          <w:shd w:val="clear" w:color="auto" w:fill="FFFFFF"/>
          <w:lang w:val="en-US"/>
        </w:rPr>
        <w:t>E</w:t>
      </w:r>
      <w:r w:rsidRPr="00D83BD4">
        <w:rPr>
          <w:bCs/>
          <w:sz w:val="28"/>
          <w:szCs w:val="28"/>
          <w:shd w:val="clear" w:color="auto" w:fill="FFFFFF"/>
          <w:lang w:val="uk-UA"/>
        </w:rPr>
        <w:t xml:space="preserve">, </w:t>
      </w:r>
      <w:r w:rsidRPr="00D83BD4">
        <w:rPr>
          <w:bCs/>
          <w:sz w:val="28"/>
          <w:szCs w:val="28"/>
          <w:shd w:val="clear" w:color="auto" w:fill="FFFFFF"/>
          <w:lang w:val="en-US"/>
        </w:rPr>
        <w:t>Lodovici</w:t>
      </w:r>
      <w:r w:rsidRPr="00D83BD4">
        <w:rPr>
          <w:bCs/>
          <w:sz w:val="28"/>
          <w:szCs w:val="28"/>
          <w:shd w:val="clear" w:color="auto" w:fill="FFFFFF"/>
          <w:lang w:val="uk-UA"/>
        </w:rPr>
        <w:t xml:space="preserve"> </w:t>
      </w:r>
      <w:r w:rsidRPr="00D83BD4">
        <w:rPr>
          <w:bCs/>
          <w:sz w:val="28"/>
          <w:szCs w:val="28"/>
          <w:shd w:val="clear" w:color="auto" w:fill="FFFFFF"/>
          <w:lang w:val="en-US"/>
        </w:rPr>
        <w:t>M</w:t>
      </w:r>
      <w:r w:rsidRPr="00D83BD4">
        <w:rPr>
          <w:bCs/>
          <w:sz w:val="28"/>
          <w:szCs w:val="28"/>
          <w:shd w:val="clear" w:color="auto" w:fill="FFFFFF"/>
          <w:lang w:val="uk-UA"/>
        </w:rPr>
        <w:t xml:space="preserve">. </w:t>
      </w:r>
      <w:r w:rsidRPr="00D83BD4">
        <w:rPr>
          <w:bCs/>
          <w:sz w:val="28"/>
          <w:szCs w:val="28"/>
          <w:shd w:val="clear" w:color="auto" w:fill="FFFFFF"/>
          <w:lang w:val="en-US"/>
        </w:rPr>
        <w:t>Circulating</w:t>
      </w:r>
      <w:r w:rsidRPr="00D83BD4">
        <w:rPr>
          <w:bCs/>
          <w:sz w:val="28"/>
          <w:szCs w:val="28"/>
          <w:shd w:val="clear" w:color="auto" w:fill="FFFFFF"/>
          <w:lang w:val="uk-UA"/>
        </w:rPr>
        <w:t xml:space="preserve"> </w:t>
      </w:r>
      <w:r w:rsidRPr="00D83BD4">
        <w:rPr>
          <w:bCs/>
          <w:sz w:val="28"/>
          <w:szCs w:val="28"/>
          <w:shd w:val="clear" w:color="auto" w:fill="FFFFFF"/>
          <w:lang w:val="en-US"/>
        </w:rPr>
        <w:t>Oxidative</w:t>
      </w:r>
      <w:r w:rsidRPr="00D83BD4">
        <w:rPr>
          <w:bCs/>
          <w:sz w:val="28"/>
          <w:szCs w:val="28"/>
          <w:shd w:val="clear" w:color="auto" w:fill="FFFFFF"/>
          <w:lang w:val="uk-UA"/>
        </w:rPr>
        <w:t xml:space="preserve"> </w:t>
      </w:r>
      <w:r w:rsidRPr="00D83BD4">
        <w:rPr>
          <w:bCs/>
          <w:sz w:val="28"/>
          <w:szCs w:val="28"/>
          <w:shd w:val="clear" w:color="auto" w:fill="FFFFFF"/>
          <w:lang w:val="en-US"/>
        </w:rPr>
        <w:t>Stress</w:t>
      </w:r>
      <w:r w:rsidRPr="00D83BD4">
        <w:rPr>
          <w:bCs/>
          <w:sz w:val="28"/>
          <w:szCs w:val="28"/>
          <w:shd w:val="clear" w:color="auto" w:fill="FFFFFF"/>
          <w:lang w:val="uk-UA"/>
        </w:rPr>
        <w:t xml:space="preserve"> </w:t>
      </w:r>
      <w:r w:rsidRPr="00D83BD4">
        <w:rPr>
          <w:bCs/>
          <w:sz w:val="28"/>
          <w:szCs w:val="28"/>
          <w:shd w:val="clear" w:color="auto" w:fill="FFFFFF"/>
          <w:lang w:val="en-US"/>
        </w:rPr>
        <w:t>Biomarkers</w:t>
      </w:r>
      <w:r w:rsidRPr="00D83BD4">
        <w:rPr>
          <w:bCs/>
          <w:sz w:val="28"/>
          <w:szCs w:val="28"/>
          <w:shd w:val="clear" w:color="auto" w:fill="FFFFFF"/>
          <w:lang w:val="uk-UA"/>
        </w:rPr>
        <w:t xml:space="preserve"> </w:t>
      </w:r>
      <w:r w:rsidRPr="00D83BD4">
        <w:rPr>
          <w:bCs/>
          <w:sz w:val="28"/>
          <w:szCs w:val="28"/>
          <w:shd w:val="clear" w:color="auto" w:fill="FFFFFF"/>
          <w:lang w:val="en-US"/>
        </w:rPr>
        <w:t>in</w:t>
      </w:r>
      <w:r w:rsidRPr="00D83BD4">
        <w:rPr>
          <w:bCs/>
          <w:sz w:val="28"/>
          <w:szCs w:val="28"/>
          <w:shd w:val="clear" w:color="auto" w:fill="FFFFFF"/>
          <w:lang w:val="uk-UA"/>
        </w:rPr>
        <w:t xml:space="preserve"> </w:t>
      </w:r>
      <w:r w:rsidRPr="00D83BD4">
        <w:rPr>
          <w:bCs/>
          <w:sz w:val="28"/>
          <w:szCs w:val="28"/>
          <w:shd w:val="clear" w:color="auto" w:fill="FFFFFF"/>
          <w:lang w:val="en-US"/>
        </w:rPr>
        <w:t>Clinical</w:t>
      </w:r>
      <w:r w:rsidRPr="00D83BD4">
        <w:rPr>
          <w:bCs/>
          <w:sz w:val="28"/>
          <w:szCs w:val="28"/>
          <w:shd w:val="clear" w:color="auto" w:fill="FFFFFF"/>
          <w:lang w:val="uk-UA"/>
        </w:rPr>
        <w:t xml:space="preserve"> </w:t>
      </w:r>
      <w:r w:rsidRPr="00D83BD4">
        <w:rPr>
          <w:bCs/>
          <w:sz w:val="28"/>
          <w:szCs w:val="28"/>
          <w:shd w:val="clear" w:color="auto" w:fill="FFFFFF"/>
          <w:lang w:val="en-US"/>
        </w:rPr>
        <w:t>Studies</w:t>
      </w:r>
      <w:r w:rsidRPr="00D83BD4">
        <w:rPr>
          <w:bCs/>
          <w:sz w:val="28"/>
          <w:szCs w:val="28"/>
          <w:shd w:val="clear" w:color="auto" w:fill="FFFFFF"/>
          <w:lang w:val="uk-UA"/>
        </w:rPr>
        <w:t xml:space="preserve"> </w:t>
      </w:r>
      <w:r w:rsidRPr="00D83BD4">
        <w:rPr>
          <w:bCs/>
          <w:sz w:val="28"/>
          <w:szCs w:val="28"/>
          <w:shd w:val="clear" w:color="auto" w:fill="FFFFFF"/>
          <w:lang w:val="en-US"/>
        </w:rPr>
        <w:t>on</w:t>
      </w:r>
      <w:r w:rsidRPr="00D83BD4">
        <w:rPr>
          <w:bCs/>
          <w:sz w:val="28"/>
          <w:szCs w:val="28"/>
          <w:shd w:val="clear" w:color="auto" w:fill="FFFFFF"/>
          <w:lang w:val="uk-UA"/>
        </w:rPr>
        <w:t xml:space="preserve"> </w:t>
      </w:r>
      <w:r w:rsidRPr="00D83BD4">
        <w:rPr>
          <w:bCs/>
          <w:sz w:val="28"/>
          <w:szCs w:val="28"/>
          <w:shd w:val="clear" w:color="auto" w:fill="FFFFFF"/>
          <w:lang w:val="en-US"/>
        </w:rPr>
        <w:t>Type</w:t>
      </w:r>
      <w:r w:rsidRPr="00D83BD4">
        <w:rPr>
          <w:bCs/>
          <w:sz w:val="28"/>
          <w:szCs w:val="28"/>
          <w:shd w:val="clear" w:color="auto" w:fill="FFFFFF"/>
          <w:lang w:val="uk-UA"/>
        </w:rPr>
        <w:t xml:space="preserve"> 2 </w:t>
      </w:r>
      <w:r w:rsidRPr="00D83BD4">
        <w:rPr>
          <w:bCs/>
          <w:sz w:val="28"/>
          <w:szCs w:val="28"/>
          <w:shd w:val="clear" w:color="auto" w:fill="FFFFFF"/>
          <w:lang w:val="en-US"/>
        </w:rPr>
        <w:t>Diabetes</w:t>
      </w:r>
      <w:r w:rsidRPr="00D83BD4">
        <w:rPr>
          <w:bCs/>
          <w:sz w:val="28"/>
          <w:szCs w:val="28"/>
          <w:shd w:val="clear" w:color="auto" w:fill="FFFFFF"/>
          <w:lang w:val="uk-UA"/>
        </w:rPr>
        <w:t xml:space="preserve"> </w:t>
      </w:r>
      <w:r w:rsidRPr="00D83BD4">
        <w:rPr>
          <w:bCs/>
          <w:sz w:val="28"/>
          <w:szCs w:val="28"/>
          <w:shd w:val="clear" w:color="auto" w:fill="FFFFFF"/>
          <w:lang w:val="en-US"/>
        </w:rPr>
        <w:t>and</w:t>
      </w:r>
      <w:r w:rsidRPr="00D83BD4">
        <w:rPr>
          <w:bCs/>
          <w:sz w:val="28"/>
          <w:szCs w:val="28"/>
          <w:shd w:val="clear" w:color="auto" w:fill="FFFFFF"/>
          <w:lang w:val="uk-UA"/>
        </w:rPr>
        <w:t xml:space="preserve"> </w:t>
      </w:r>
      <w:r w:rsidRPr="00D83BD4">
        <w:rPr>
          <w:bCs/>
          <w:sz w:val="28"/>
          <w:szCs w:val="28"/>
          <w:shd w:val="clear" w:color="auto" w:fill="FFFFFF"/>
          <w:lang w:val="en-US"/>
        </w:rPr>
        <w:t>Its</w:t>
      </w:r>
      <w:r w:rsidRPr="00D83BD4">
        <w:rPr>
          <w:bCs/>
          <w:sz w:val="28"/>
          <w:szCs w:val="28"/>
          <w:shd w:val="clear" w:color="auto" w:fill="FFFFFF"/>
          <w:lang w:val="uk-UA"/>
        </w:rPr>
        <w:t xml:space="preserve"> </w:t>
      </w:r>
      <w:r w:rsidRPr="00D83BD4">
        <w:rPr>
          <w:bCs/>
          <w:sz w:val="28"/>
          <w:szCs w:val="28"/>
          <w:shd w:val="clear" w:color="auto" w:fill="FFFFFF"/>
          <w:lang w:val="en-US"/>
        </w:rPr>
        <w:t>Complications</w:t>
      </w:r>
      <w:r w:rsidRPr="00D83BD4">
        <w:rPr>
          <w:bCs/>
          <w:sz w:val="28"/>
          <w:szCs w:val="28"/>
          <w:shd w:val="clear" w:color="auto" w:fill="FFFFFF"/>
          <w:lang w:val="uk-UA"/>
        </w:rPr>
        <w:t xml:space="preserve">. </w:t>
      </w:r>
      <w:r w:rsidRPr="00D83BD4">
        <w:rPr>
          <w:bCs/>
          <w:sz w:val="28"/>
          <w:szCs w:val="28"/>
          <w:shd w:val="clear" w:color="auto" w:fill="FFFFFF"/>
          <w:lang w:val="en-US"/>
        </w:rPr>
        <w:t>Oxid Med Cell Longev. 2019;2019:5953685. doi: 10.1155/2019/5953685</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Bilovol</w:t>
      </w:r>
      <w:r w:rsidRPr="00D83BD4">
        <w:rPr>
          <w:sz w:val="28"/>
          <w:szCs w:val="28"/>
          <w:lang w:val="uk-UA"/>
        </w:rPr>
        <w:t xml:space="preserve"> </w:t>
      </w:r>
      <w:r w:rsidRPr="00D83BD4">
        <w:rPr>
          <w:sz w:val="28"/>
          <w:szCs w:val="28"/>
          <w:lang w:val="en-US"/>
        </w:rPr>
        <w:t>OM</w:t>
      </w:r>
      <w:r w:rsidRPr="00D83BD4">
        <w:rPr>
          <w:sz w:val="28"/>
          <w:szCs w:val="28"/>
          <w:lang w:val="uk-UA"/>
        </w:rPr>
        <w:t xml:space="preserve">, </w:t>
      </w:r>
      <w:r w:rsidRPr="00D83BD4">
        <w:rPr>
          <w:sz w:val="28"/>
          <w:szCs w:val="28"/>
          <w:lang w:val="en-US"/>
        </w:rPr>
        <w:t>Nemtsova</w:t>
      </w:r>
      <w:r w:rsidRPr="00D83BD4">
        <w:rPr>
          <w:sz w:val="28"/>
          <w:szCs w:val="28"/>
          <w:lang w:val="uk-UA"/>
        </w:rPr>
        <w:t xml:space="preserve"> </w:t>
      </w:r>
      <w:r w:rsidRPr="00D83BD4">
        <w:rPr>
          <w:sz w:val="28"/>
          <w:szCs w:val="28"/>
          <w:lang w:val="en-US"/>
        </w:rPr>
        <w:t>VD</w:t>
      </w:r>
      <w:r w:rsidRPr="00D83BD4">
        <w:rPr>
          <w:sz w:val="28"/>
          <w:szCs w:val="28"/>
          <w:lang w:val="uk-UA"/>
        </w:rPr>
        <w:t xml:space="preserve">. </w:t>
      </w:r>
      <w:r w:rsidRPr="00D83BD4">
        <w:rPr>
          <w:sz w:val="28"/>
          <w:szCs w:val="28"/>
          <w:lang w:val="en-US"/>
        </w:rPr>
        <w:t>Effect</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carbohydrate</w:t>
      </w:r>
      <w:r w:rsidRPr="00D83BD4">
        <w:rPr>
          <w:sz w:val="28"/>
          <w:szCs w:val="28"/>
          <w:lang w:val="uk-UA"/>
        </w:rPr>
        <w:t xml:space="preserve"> </w:t>
      </w:r>
      <w:r w:rsidRPr="00D83BD4">
        <w:rPr>
          <w:sz w:val="28"/>
          <w:szCs w:val="28"/>
          <w:lang w:val="en-US"/>
        </w:rPr>
        <w:t>metabolism</w:t>
      </w:r>
      <w:r w:rsidRPr="00D83BD4">
        <w:rPr>
          <w:sz w:val="28"/>
          <w:szCs w:val="28"/>
          <w:lang w:val="uk-UA"/>
        </w:rPr>
        <w:t xml:space="preserve"> </w:t>
      </w:r>
      <w:r w:rsidRPr="00D83BD4">
        <w:rPr>
          <w:sz w:val="28"/>
          <w:szCs w:val="28"/>
          <w:lang w:val="en-US"/>
        </w:rPr>
        <w:t>levels</w:t>
      </w:r>
      <w:r w:rsidRPr="00D83BD4">
        <w:rPr>
          <w:sz w:val="28"/>
          <w:szCs w:val="28"/>
          <w:lang w:val="uk-UA"/>
        </w:rPr>
        <w:t xml:space="preserve"> </w:t>
      </w:r>
      <w:r w:rsidRPr="00D83BD4">
        <w:rPr>
          <w:sz w:val="28"/>
          <w:szCs w:val="28"/>
          <w:lang w:val="en-US"/>
        </w:rPr>
        <w:t>on</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relative</w:t>
      </w:r>
      <w:r w:rsidRPr="00D83BD4">
        <w:rPr>
          <w:sz w:val="28"/>
          <w:szCs w:val="28"/>
          <w:lang w:val="uk-UA"/>
        </w:rPr>
        <w:t xml:space="preserve"> </w:t>
      </w:r>
      <w:r w:rsidRPr="00D83BD4">
        <w:rPr>
          <w:sz w:val="28"/>
          <w:szCs w:val="28"/>
          <w:lang w:val="en-US"/>
        </w:rPr>
        <w:t>length</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telomeres</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patients</w:t>
      </w:r>
      <w:r w:rsidRPr="00D83BD4">
        <w:rPr>
          <w:sz w:val="28"/>
          <w:szCs w:val="28"/>
          <w:lang w:val="uk-UA"/>
        </w:rPr>
        <w:t xml:space="preserve"> </w:t>
      </w:r>
      <w:r w:rsidRPr="00D83BD4">
        <w:rPr>
          <w:sz w:val="28"/>
          <w:szCs w:val="28"/>
          <w:lang w:val="en-US"/>
        </w:rPr>
        <w:t>with</w:t>
      </w:r>
      <w:r w:rsidRPr="00D83BD4">
        <w:rPr>
          <w:sz w:val="28"/>
          <w:szCs w:val="28"/>
          <w:lang w:val="uk-UA"/>
        </w:rPr>
        <w:t xml:space="preserve"> </w:t>
      </w:r>
      <w:r w:rsidRPr="00D83BD4">
        <w:rPr>
          <w:sz w:val="28"/>
          <w:szCs w:val="28"/>
          <w:lang w:val="en-US"/>
        </w:rPr>
        <w:t>hypertension</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combination</w:t>
      </w:r>
      <w:r w:rsidRPr="00D83BD4">
        <w:rPr>
          <w:sz w:val="28"/>
          <w:szCs w:val="28"/>
          <w:lang w:val="uk-UA"/>
        </w:rPr>
        <w:t xml:space="preserve"> </w:t>
      </w:r>
      <w:r w:rsidRPr="00D83BD4">
        <w:rPr>
          <w:sz w:val="28"/>
          <w:szCs w:val="28"/>
          <w:lang w:val="en-US"/>
        </w:rPr>
        <w:t>with</w:t>
      </w:r>
      <w:r w:rsidRPr="00D83BD4">
        <w:rPr>
          <w:sz w:val="28"/>
          <w:szCs w:val="28"/>
          <w:lang w:val="uk-UA"/>
        </w:rPr>
        <w:t xml:space="preserve"> </w:t>
      </w:r>
      <w:r w:rsidRPr="00D83BD4">
        <w:rPr>
          <w:sz w:val="28"/>
          <w:szCs w:val="28"/>
          <w:lang w:val="en-US"/>
        </w:rPr>
        <w:t>diabetes</w:t>
      </w:r>
      <w:r w:rsidRPr="00D83BD4">
        <w:rPr>
          <w:sz w:val="28"/>
          <w:szCs w:val="28"/>
          <w:lang w:val="uk-UA"/>
        </w:rPr>
        <w:t xml:space="preserve"> </w:t>
      </w:r>
      <w:r w:rsidRPr="00D83BD4">
        <w:rPr>
          <w:sz w:val="28"/>
          <w:szCs w:val="28"/>
          <w:lang w:val="en-US"/>
        </w:rPr>
        <w:t>mellitus</w:t>
      </w:r>
      <w:r w:rsidRPr="00D83BD4">
        <w:rPr>
          <w:sz w:val="28"/>
          <w:szCs w:val="28"/>
          <w:lang w:val="uk-UA"/>
        </w:rPr>
        <w:t xml:space="preserve"> </w:t>
      </w:r>
      <w:r w:rsidRPr="00D83BD4">
        <w:rPr>
          <w:sz w:val="28"/>
          <w:szCs w:val="28"/>
          <w:lang w:val="en-US"/>
        </w:rPr>
        <w:t>type</w:t>
      </w:r>
      <w:r w:rsidRPr="00D83BD4">
        <w:rPr>
          <w:sz w:val="28"/>
          <w:szCs w:val="28"/>
          <w:lang w:val="uk-UA"/>
        </w:rPr>
        <w:t xml:space="preserve"> 2. Медицина сьогодні і завтра. 2018</w:t>
      </w:r>
      <w:r w:rsidRPr="00D83BD4">
        <w:rPr>
          <w:sz w:val="28"/>
          <w:szCs w:val="28"/>
        </w:rPr>
        <w:t>;</w:t>
      </w:r>
      <w:r w:rsidRPr="00D83BD4">
        <w:rPr>
          <w:sz w:val="28"/>
          <w:szCs w:val="28"/>
          <w:lang w:val="uk-UA"/>
        </w:rPr>
        <w:t>(81)</w:t>
      </w:r>
      <w:r w:rsidRPr="00D83BD4">
        <w:rPr>
          <w:sz w:val="28"/>
          <w:szCs w:val="28"/>
        </w:rPr>
        <w:t>:</w:t>
      </w:r>
      <w:r w:rsidRPr="00D83BD4">
        <w:rPr>
          <w:sz w:val="28"/>
          <w:szCs w:val="28"/>
          <w:lang w:val="uk-UA"/>
        </w:rPr>
        <w:t xml:space="preserve">4-11.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shd w:val="clear" w:color="auto" w:fill="FFFFFF"/>
          <w:lang w:val="en-US"/>
        </w:rPr>
        <w:t>Bilovol</w:t>
      </w:r>
      <w:r w:rsidRPr="00D83BD4">
        <w:rPr>
          <w:sz w:val="28"/>
          <w:szCs w:val="28"/>
          <w:shd w:val="clear" w:color="auto" w:fill="FFFFFF"/>
          <w:lang w:val="uk-UA"/>
        </w:rPr>
        <w:t xml:space="preserve"> </w:t>
      </w:r>
      <w:r w:rsidRPr="00D83BD4">
        <w:rPr>
          <w:sz w:val="28"/>
          <w:szCs w:val="28"/>
          <w:shd w:val="clear" w:color="auto" w:fill="FFFFFF"/>
          <w:lang w:val="en-US"/>
        </w:rPr>
        <w:t>OM, Nemtsova</w:t>
      </w:r>
      <w:r w:rsidRPr="00D83BD4">
        <w:rPr>
          <w:sz w:val="28"/>
          <w:szCs w:val="28"/>
          <w:shd w:val="clear" w:color="auto" w:fill="FFFFFF"/>
          <w:lang w:val="uk-UA"/>
        </w:rPr>
        <w:t xml:space="preserve"> </w:t>
      </w:r>
      <w:r w:rsidRPr="00D83BD4">
        <w:rPr>
          <w:sz w:val="28"/>
          <w:szCs w:val="28"/>
          <w:shd w:val="clear" w:color="auto" w:fill="FFFFFF"/>
          <w:lang w:val="en-US"/>
        </w:rPr>
        <w:t>VD,</w:t>
      </w:r>
      <w:r w:rsidRPr="00D83BD4">
        <w:rPr>
          <w:sz w:val="28"/>
          <w:szCs w:val="28"/>
          <w:shd w:val="clear" w:color="auto" w:fill="FFFFFF"/>
          <w:lang w:val="uk-UA"/>
        </w:rPr>
        <w:t xml:space="preserve"> </w:t>
      </w:r>
      <w:r w:rsidRPr="00D83BD4">
        <w:rPr>
          <w:sz w:val="28"/>
          <w:szCs w:val="28"/>
          <w:shd w:val="clear" w:color="auto" w:fill="FFFFFF"/>
          <w:lang w:val="en-US"/>
        </w:rPr>
        <w:t>Ilchenko IA.</w:t>
      </w:r>
      <w:r w:rsidRPr="00D83BD4">
        <w:rPr>
          <w:sz w:val="28"/>
          <w:szCs w:val="28"/>
          <w:shd w:val="clear" w:color="auto" w:fill="FFFFFF"/>
          <w:lang w:val="uk-UA"/>
        </w:rPr>
        <w:t xml:space="preserve"> </w:t>
      </w:r>
      <w:r w:rsidRPr="00D83BD4">
        <w:rPr>
          <w:sz w:val="28"/>
          <w:szCs w:val="28"/>
          <w:shd w:val="clear" w:color="auto" w:fill="FFFFFF"/>
          <w:lang w:val="en-US"/>
        </w:rPr>
        <w:t>Vascular endothelial growth factor as a marker of endothelial dysfunction in patients with arterial hypertension</w:t>
      </w:r>
      <w:r w:rsidRPr="00D83BD4">
        <w:rPr>
          <w:sz w:val="28"/>
          <w:szCs w:val="28"/>
          <w:shd w:val="clear" w:color="auto" w:fill="FFFFFF"/>
          <w:lang w:val="uk-UA"/>
        </w:rPr>
        <w:t xml:space="preserve">, </w:t>
      </w:r>
      <w:r w:rsidRPr="00D83BD4">
        <w:rPr>
          <w:sz w:val="28"/>
          <w:szCs w:val="28"/>
          <w:shd w:val="clear" w:color="auto" w:fill="FFFFFF"/>
          <w:lang w:val="en-US"/>
        </w:rPr>
        <w:t xml:space="preserve">type 2 diabetes and subclinical hypothyroidism comorbidity. </w:t>
      </w:r>
      <w:r w:rsidRPr="00D83BD4">
        <w:rPr>
          <w:sz w:val="28"/>
          <w:szCs w:val="28"/>
          <w:lang w:val="en-US"/>
        </w:rPr>
        <w:t xml:space="preserve">In: </w:t>
      </w:r>
      <w:r w:rsidRPr="00D83BD4">
        <w:rPr>
          <w:sz w:val="28"/>
          <w:szCs w:val="28"/>
          <w:shd w:val="clear" w:color="auto" w:fill="FFFFFF"/>
          <w:lang w:val="en-US"/>
        </w:rPr>
        <w:t xml:space="preserve">International research and practice conference </w:t>
      </w:r>
      <w:r w:rsidRPr="00D83BD4">
        <w:rPr>
          <w:sz w:val="28"/>
          <w:szCs w:val="28"/>
          <w:shd w:val="clear" w:color="auto" w:fill="FFFFFF"/>
          <w:lang w:val="uk-UA"/>
        </w:rPr>
        <w:t>«</w:t>
      </w:r>
      <w:r w:rsidRPr="00D83BD4">
        <w:rPr>
          <w:sz w:val="28"/>
          <w:szCs w:val="28"/>
          <w:shd w:val="clear" w:color="auto" w:fill="FFFFFF"/>
          <w:lang w:val="en-US"/>
        </w:rPr>
        <w:t>Relevant issues of modern medicine: the experience of Poland and Ukraine</w:t>
      </w:r>
      <w:r w:rsidRPr="00D83BD4">
        <w:rPr>
          <w:sz w:val="28"/>
          <w:szCs w:val="28"/>
          <w:shd w:val="clear" w:color="auto" w:fill="FFFFFF"/>
          <w:lang w:val="uk-UA"/>
        </w:rPr>
        <w:t xml:space="preserve">»; </w:t>
      </w:r>
      <w:r w:rsidRPr="00D83BD4">
        <w:rPr>
          <w:sz w:val="28"/>
          <w:szCs w:val="28"/>
          <w:shd w:val="clear" w:color="auto" w:fill="FFFFFF"/>
          <w:lang w:val="en-US"/>
        </w:rPr>
        <w:t>2017</w:t>
      </w:r>
      <w:r w:rsidRPr="00D83BD4">
        <w:rPr>
          <w:sz w:val="28"/>
          <w:szCs w:val="28"/>
          <w:shd w:val="clear" w:color="auto" w:fill="FFFFFF"/>
          <w:lang w:val="uk-UA"/>
        </w:rPr>
        <w:t xml:space="preserve"> </w:t>
      </w:r>
      <w:r w:rsidRPr="00D83BD4">
        <w:rPr>
          <w:sz w:val="28"/>
          <w:szCs w:val="28"/>
          <w:shd w:val="clear" w:color="auto" w:fill="FFFFFF"/>
          <w:lang w:val="en-US"/>
        </w:rPr>
        <w:t>Oct</w:t>
      </w:r>
      <w:r w:rsidRPr="00D83BD4">
        <w:rPr>
          <w:sz w:val="28"/>
          <w:szCs w:val="28"/>
          <w:shd w:val="clear" w:color="auto" w:fill="FFFFFF"/>
          <w:lang w:val="uk-UA"/>
        </w:rPr>
        <w:t xml:space="preserve">. </w:t>
      </w:r>
      <w:r w:rsidRPr="00D83BD4">
        <w:rPr>
          <w:sz w:val="28"/>
          <w:szCs w:val="28"/>
          <w:shd w:val="clear" w:color="auto" w:fill="FFFFFF"/>
          <w:lang w:val="en-US"/>
        </w:rPr>
        <w:t>20-21</w:t>
      </w:r>
      <w:r w:rsidRPr="00D83BD4">
        <w:rPr>
          <w:sz w:val="28"/>
          <w:szCs w:val="28"/>
          <w:shd w:val="clear" w:color="auto" w:fill="FFFFFF"/>
          <w:lang w:val="uk-UA"/>
        </w:rPr>
        <w:t xml:space="preserve">; </w:t>
      </w:r>
      <w:r w:rsidRPr="00D83BD4">
        <w:rPr>
          <w:sz w:val="28"/>
          <w:szCs w:val="28"/>
          <w:shd w:val="clear" w:color="auto" w:fill="FFFFFF"/>
          <w:lang w:val="en-US"/>
        </w:rPr>
        <w:t>Lublin</w:t>
      </w:r>
      <w:r w:rsidRPr="00D83BD4">
        <w:rPr>
          <w:sz w:val="28"/>
          <w:szCs w:val="28"/>
          <w:shd w:val="clear" w:color="auto" w:fill="FFFFFF"/>
          <w:lang w:val="uk-UA"/>
        </w:rPr>
        <w:t xml:space="preserve">, </w:t>
      </w:r>
      <w:r w:rsidRPr="00D83BD4">
        <w:rPr>
          <w:sz w:val="28"/>
          <w:szCs w:val="28"/>
          <w:shd w:val="clear" w:color="auto" w:fill="FFFFFF"/>
          <w:lang w:val="en-US"/>
        </w:rPr>
        <w:t xml:space="preserve"> Republic of Poland</w:t>
      </w:r>
      <w:r w:rsidRPr="00D83BD4">
        <w:rPr>
          <w:sz w:val="28"/>
          <w:szCs w:val="28"/>
          <w:shd w:val="clear" w:color="auto" w:fill="FFFFFF"/>
          <w:lang w:val="uk-UA"/>
        </w:rPr>
        <w:t xml:space="preserve">. </w:t>
      </w:r>
      <w:r w:rsidRPr="00D83BD4">
        <w:rPr>
          <w:sz w:val="28"/>
          <w:szCs w:val="28"/>
          <w:shd w:val="clear" w:color="auto" w:fill="FFFFFF"/>
        </w:rPr>
        <w:t>Lublin</w:t>
      </w:r>
      <w:r w:rsidRPr="00D83BD4">
        <w:rPr>
          <w:sz w:val="28"/>
          <w:szCs w:val="28"/>
          <w:shd w:val="clear" w:color="auto" w:fill="FFFFFF"/>
          <w:lang w:val="uk-UA"/>
        </w:rPr>
        <w:t>;</w:t>
      </w:r>
      <w:r w:rsidRPr="00D83BD4">
        <w:rPr>
          <w:sz w:val="28"/>
          <w:szCs w:val="28"/>
          <w:shd w:val="clear" w:color="auto" w:fill="FFFFFF"/>
        </w:rPr>
        <w:t xml:space="preserve"> 2017</w:t>
      </w:r>
      <w:r w:rsidRPr="00D83BD4">
        <w:rPr>
          <w:sz w:val="28"/>
          <w:szCs w:val="28"/>
          <w:shd w:val="clear" w:color="auto" w:fill="FFFFFF"/>
          <w:lang w:val="uk-UA"/>
        </w:rPr>
        <w:t>. р</w:t>
      </w:r>
      <w:r w:rsidRPr="00D83BD4">
        <w:rPr>
          <w:sz w:val="28"/>
          <w:szCs w:val="28"/>
          <w:shd w:val="clear" w:color="auto" w:fill="FFFFFF"/>
        </w:rPr>
        <w:t>.14-18.</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de-DE"/>
        </w:rPr>
        <w:t>Bilovol</w:t>
      </w:r>
      <w:r w:rsidRPr="00D83BD4">
        <w:rPr>
          <w:sz w:val="28"/>
          <w:szCs w:val="28"/>
          <w:lang w:val="uk-UA"/>
        </w:rPr>
        <w:t xml:space="preserve"> </w:t>
      </w:r>
      <w:r w:rsidRPr="00D83BD4">
        <w:rPr>
          <w:sz w:val="28"/>
          <w:szCs w:val="28"/>
          <w:lang w:val="de-DE"/>
        </w:rPr>
        <w:t>O</w:t>
      </w:r>
      <w:r w:rsidRPr="00D83BD4">
        <w:rPr>
          <w:sz w:val="28"/>
          <w:szCs w:val="28"/>
          <w:lang w:val="uk-UA"/>
        </w:rPr>
        <w:t xml:space="preserve">, </w:t>
      </w:r>
      <w:r w:rsidRPr="00D83BD4">
        <w:rPr>
          <w:sz w:val="28"/>
          <w:szCs w:val="28"/>
          <w:lang w:val="de-DE"/>
        </w:rPr>
        <w:t>Nemtsova</w:t>
      </w:r>
      <w:r w:rsidRPr="00D83BD4">
        <w:rPr>
          <w:sz w:val="28"/>
          <w:szCs w:val="28"/>
          <w:lang w:val="uk-UA"/>
        </w:rPr>
        <w:t xml:space="preserve"> </w:t>
      </w:r>
      <w:r w:rsidRPr="00D83BD4">
        <w:rPr>
          <w:sz w:val="28"/>
          <w:szCs w:val="28"/>
          <w:lang w:val="de-DE"/>
        </w:rPr>
        <w:t>V</w:t>
      </w:r>
      <w:r w:rsidRPr="00D83BD4">
        <w:rPr>
          <w:sz w:val="28"/>
          <w:szCs w:val="28"/>
          <w:lang w:val="uk-UA"/>
        </w:rPr>
        <w:t xml:space="preserve">, </w:t>
      </w:r>
      <w:r w:rsidRPr="00D83BD4">
        <w:rPr>
          <w:sz w:val="28"/>
          <w:szCs w:val="28"/>
          <w:lang w:val="de-DE"/>
        </w:rPr>
        <w:t>Ilchenko</w:t>
      </w:r>
      <w:r w:rsidRPr="00D83BD4">
        <w:rPr>
          <w:sz w:val="28"/>
          <w:szCs w:val="28"/>
          <w:lang w:val="uk-UA"/>
        </w:rPr>
        <w:t xml:space="preserve"> </w:t>
      </w:r>
      <w:r w:rsidRPr="00D83BD4">
        <w:rPr>
          <w:sz w:val="28"/>
          <w:szCs w:val="28"/>
          <w:lang w:val="de-DE"/>
        </w:rPr>
        <w:t>I</w:t>
      </w:r>
      <w:r w:rsidRPr="00D83BD4">
        <w:rPr>
          <w:sz w:val="28"/>
          <w:szCs w:val="28"/>
          <w:lang w:val="uk-UA"/>
        </w:rPr>
        <w:t xml:space="preserve">, </w:t>
      </w:r>
      <w:r w:rsidRPr="00D83BD4">
        <w:rPr>
          <w:sz w:val="28"/>
          <w:szCs w:val="28"/>
          <w:lang w:val="de-DE"/>
        </w:rPr>
        <w:t>Zlatkina</w:t>
      </w:r>
      <w:r w:rsidRPr="00D83BD4">
        <w:rPr>
          <w:sz w:val="28"/>
          <w:szCs w:val="28"/>
          <w:lang w:val="uk-UA"/>
        </w:rPr>
        <w:t xml:space="preserve"> </w:t>
      </w:r>
      <w:r w:rsidRPr="00D83BD4">
        <w:rPr>
          <w:sz w:val="28"/>
          <w:szCs w:val="28"/>
          <w:lang w:val="de-DE"/>
        </w:rPr>
        <w:t>V</w:t>
      </w:r>
      <w:r w:rsidRPr="00D83BD4">
        <w:rPr>
          <w:sz w:val="28"/>
          <w:szCs w:val="28"/>
          <w:lang w:val="uk-UA"/>
        </w:rPr>
        <w:t xml:space="preserve">. </w:t>
      </w:r>
      <w:r w:rsidRPr="00D83BD4">
        <w:rPr>
          <w:sz w:val="28"/>
          <w:szCs w:val="28"/>
          <w:lang w:val="en-US"/>
        </w:rPr>
        <w:t>Influence</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hormonal</w:t>
      </w:r>
      <w:r w:rsidRPr="00D83BD4">
        <w:rPr>
          <w:sz w:val="28"/>
          <w:szCs w:val="28"/>
          <w:lang w:val="uk-UA"/>
        </w:rPr>
        <w:t xml:space="preserve"> </w:t>
      </w:r>
      <w:r w:rsidRPr="00D83BD4">
        <w:rPr>
          <w:sz w:val="28"/>
          <w:szCs w:val="28"/>
          <w:lang w:val="en-US"/>
        </w:rPr>
        <w:t>disorders</w:t>
      </w:r>
      <w:r w:rsidRPr="00D83BD4">
        <w:rPr>
          <w:sz w:val="28"/>
          <w:szCs w:val="28"/>
          <w:lang w:val="uk-UA"/>
        </w:rPr>
        <w:t xml:space="preserve"> </w:t>
      </w:r>
      <w:r w:rsidRPr="00D83BD4">
        <w:rPr>
          <w:sz w:val="28"/>
          <w:szCs w:val="28"/>
          <w:lang w:val="en-US"/>
        </w:rPr>
        <w:t>on</w:t>
      </w:r>
      <w:r w:rsidRPr="00D83BD4">
        <w:rPr>
          <w:sz w:val="28"/>
          <w:szCs w:val="28"/>
          <w:lang w:val="uk-UA"/>
        </w:rPr>
        <w:t xml:space="preserve"> </w:t>
      </w:r>
      <w:r w:rsidRPr="00D83BD4">
        <w:rPr>
          <w:sz w:val="28"/>
          <w:szCs w:val="28"/>
          <w:lang w:val="en-US"/>
        </w:rPr>
        <w:t>endothelial</w:t>
      </w:r>
      <w:r w:rsidRPr="00D83BD4">
        <w:rPr>
          <w:sz w:val="28"/>
          <w:szCs w:val="28"/>
          <w:lang w:val="uk-UA"/>
        </w:rPr>
        <w:t xml:space="preserve"> </w:t>
      </w:r>
      <w:r w:rsidRPr="00D83BD4">
        <w:rPr>
          <w:sz w:val="28"/>
          <w:szCs w:val="28"/>
          <w:lang w:val="en-US"/>
        </w:rPr>
        <w:t>dysfunction</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patients</w:t>
      </w:r>
      <w:r w:rsidRPr="00D83BD4">
        <w:rPr>
          <w:sz w:val="28"/>
          <w:szCs w:val="28"/>
          <w:lang w:val="uk-UA"/>
        </w:rPr>
        <w:t xml:space="preserve"> </w:t>
      </w:r>
      <w:r w:rsidRPr="00D83BD4">
        <w:rPr>
          <w:sz w:val="28"/>
          <w:szCs w:val="28"/>
          <w:lang w:val="en-US"/>
        </w:rPr>
        <w:t>with</w:t>
      </w:r>
      <w:r w:rsidRPr="00D83BD4">
        <w:rPr>
          <w:sz w:val="28"/>
          <w:szCs w:val="28"/>
          <w:lang w:val="uk-UA"/>
        </w:rPr>
        <w:t xml:space="preserve"> </w:t>
      </w:r>
      <w:r w:rsidRPr="00D83BD4">
        <w:rPr>
          <w:sz w:val="28"/>
          <w:szCs w:val="28"/>
          <w:lang w:val="en-US"/>
        </w:rPr>
        <w:t>arterial</w:t>
      </w:r>
      <w:r w:rsidRPr="00D83BD4">
        <w:rPr>
          <w:sz w:val="28"/>
          <w:szCs w:val="28"/>
          <w:lang w:val="uk-UA"/>
        </w:rPr>
        <w:t xml:space="preserve"> </w:t>
      </w:r>
      <w:r w:rsidRPr="00D83BD4">
        <w:rPr>
          <w:sz w:val="28"/>
          <w:szCs w:val="28"/>
          <w:lang w:val="en-US"/>
        </w:rPr>
        <w:t>hypertension</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comorbide</w:t>
      </w:r>
      <w:r w:rsidRPr="00D83BD4">
        <w:rPr>
          <w:sz w:val="28"/>
          <w:szCs w:val="28"/>
          <w:lang w:val="uk-UA"/>
        </w:rPr>
        <w:t xml:space="preserve"> </w:t>
      </w:r>
      <w:r w:rsidRPr="00D83BD4">
        <w:rPr>
          <w:sz w:val="28"/>
          <w:szCs w:val="28"/>
          <w:lang w:val="en-US"/>
        </w:rPr>
        <w:t>endocrinopathies</w:t>
      </w:r>
      <w:r w:rsidRPr="00D83BD4">
        <w:rPr>
          <w:sz w:val="28"/>
          <w:szCs w:val="28"/>
          <w:lang w:val="uk-UA"/>
        </w:rPr>
        <w:t xml:space="preserve">. </w:t>
      </w:r>
      <w:r w:rsidRPr="00D83BD4">
        <w:rPr>
          <w:sz w:val="28"/>
          <w:szCs w:val="28"/>
          <w:lang w:val="en-US"/>
        </w:rPr>
        <w:t>Inter</w:t>
      </w:r>
      <w:r w:rsidRPr="00D83BD4">
        <w:rPr>
          <w:sz w:val="28"/>
          <w:szCs w:val="28"/>
          <w:lang w:val="uk-UA"/>
        </w:rPr>
        <w:t xml:space="preserve"> </w:t>
      </w:r>
      <w:r w:rsidRPr="00D83BD4">
        <w:rPr>
          <w:sz w:val="28"/>
          <w:szCs w:val="28"/>
          <w:lang w:val="en-US"/>
        </w:rPr>
        <w:t>Collegas</w:t>
      </w:r>
      <w:r w:rsidRPr="00D83BD4">
        <w:rPr>
          <w:sz w:val="28"/>
          <w:szCs w:val="28"/>
          <w:lang w:val="uk-UA"/>
        </w:rPr>
        <w:t xml:space="preserve">. </w:t>
      </w:r>
      <w:r w:rsidRPr="00D83BD4">
        <w:rPr>
          <w:sz w:val="28"/>
          <w:szCs w:val="28"/>
          <w:lang w:val="en-US"/>
        </w:rPr>
        <w:t>Experientia</w:t>
      </w:r>
      <w:r w:rsidRPr="00D83BD4">
        <w:rPr>
          <w:sz w:val="28"/>
          <w:szCs w:val="28"/>
          <w:lang w:val="uk-UA"/>
        </w:rPr>
        <w:t xml:space="preserve"> </w:t>
      </w:r>
      <w:r w:rsidRPr="00D83BD4">
        <w:rPr>
          <w:sz w:val="28"/>
          <w:szCs w:val="28"/>
          <w:lang w:val="en-US"/>
        </w:rPr>
        <w:t>doce</w:t>
      </w:r>
      <w:r w:rsidRPr="00D83BD4">
        <w:rPr>
          <w:sz w:val="28"/>
          <w:szCs w:val="28"/>
          <w:lang w:val="uk-UA"/>
        </w:rPr>
        <w:t>. 2019</w:t>
      </w:r>
      <w:r w:rsidRPr="00D83BD4">
        <w:rPr>
          <w:sz w:val="28"/>
          <w:szCs w:val="28"/>
          <w:lang w:val="en-US"/>
        </w:rPr>
        <w:t>;(</w:t>
      </w:r>
      <w:r w:rsidRPr="00D83BD4">
        <w:rPr>
          <w:sz w:val="28"/>
          <w:szCs w:val="28"/>
          <w:lang w:val="uk-UA"/>
        </w:rPr>
        <w:t>3)</w:t>
      </w:r>
      <w:r w:rsidRPr="00D83BD4">
        <w:rPr>
          <w:sz w:val="28"/>
          <w:szCs w:val="28"/>
          <w:lang w:val="en-US"/>
        </w:rPr>
        <w:t>:</w:t>
      </w:r>
      <w:r w:rsidRPr="00D83BD4">
        <w:rPr>
          <w:sz w:val="28"/>
          <w:szCs w:val="28"/>
          <w:lang w:val="uk-UA"/>
        </w:rPr>
        <w:t>132-136.</w:t>
      </w:r>
      <w:r w:rsidRPr="00D83BD4">
        <w:rPr>
          <w:bCs/>
          <w:sz w:val="28"/>
          <w:szCs w:val="28"/>
          <w:lang w:val="uk-UA"/>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Biondi </w:t>
      </w:r>
      <w:r w:rsidRPr="00D83BD4">
        <w:rPr>
          <w:sz w:val="28"/>
          <w:szCs w:val="28"/>
        </w:rPr>
        <w:t>В</w:t>
      </w:r>
      <w:r w:rsidRPr="00D83BD4">
        <w:rPr>
          <w:sz w:val="28"/>
          <w:szCs w:val="28"/>
          <w:lang w:val="en-US"/>
        </w:rPr>
        <w:t>, Cappola A, Cooper D. Subclinical Hypothyroidism: A Review. JAMA. 2019; 322(2):153–160. doi: 10.1001/jama.2019.9052.</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Blum MR, Gencer B, Adam L, Feller M, Collet TH, da Costa BR, et al. Impact of Thyroid Hormone Therapy on Atherosclerosis in the Elderly With Subclinical Hypothyroidism: A Randomized Trial. </w:t>
      </w:r>
      <w:r w:rsidRPr="00D83BD4">
        <w:rPr>
          <w:sz w:val="28"/>
          <w:szCs w:val="28"/>
        </w:rPr>
        <w:t>J Clin Endocrinol Metab. 2018;103(8):2988-2997. doi: 10.1210/jc.2018-00279.</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Boekholdt</w:t>
      </w:r>
      <w:r w:rsidRPr="00D83BD4">
        <w:rPr>
          <w:sz w:val="28"/>
          <w:szCs w:val="28"/>
          <w:lang w:val="uk-UA"/>
        </w:rPr>
        <w:t xml:space="preserve"> </w:t>
      </w:r>
      <w:r w:rsidRPr="00D83BD4">
        <w:rPr>
          <w:sz w:val="28"/>
          <w:szCs w:val="28"/>
          <w:lang w:val="en-US"/>
        </w:rPr>
        <w:t>SM</w:t>
      </w:r>
      <w:r w:rsidRPr="00D83BD4">
        <w:rPr>
          <w:sz w:val="28"/>
          <w:szCs w:val="28"/>
          <w:lang w:val="uk-UA"/>
        </w:rPr>
        <w:t xml:space="preserve">, </w:t>
      </w:r>
      <w:r w:rsidRPr="00D83BD4">
        <w:rPr>
          <w:sz w:val="28"/>
          <w:szCs w:val="28"/>
          <w:lang w:val="en-US"/>
        </w:rPr>
        <w:t>Titan</w:t>
      </w:r>
      <w:r w:rsidRPr="00D83BD4">
        <w:rPr>
          <w:sz w:val="28"/>
          <w:szCs w:val="28"/>
          <w:lang w:val="uk-UA"/>
        </w:rPr>
        <w:t xml:space="preserve"> </w:t>
      </w:r>
      <w:r w:rsidRPr="00D83BD4">
        <w:rPr>
          <w:sz w:val="28"/>
          <w:szCs w:val="28"/>
          <w:lang w:val="en-US"/>
        </w:rPr>
        <w:t>SM</w:t>
      </w:r>
      <w:r w:rsidRPr="00D83BD4">
        <w:rPr>
          <w:sz w:val="28"/>
          <w:szCs w:val="28"/>
          <w:lang w:val="uk-UA"/>
        </w:rPr>
        <w:t xml:space="preserve">, </w:t>
      </w:r>
      <w:r w:rsidRPr="00D83BD4">
        <w:rPr>
          <w:sz w:val="28"/>
          <w:szCs w:val="28"/>
          <w:lang w:val="en-US"/>
        </w:rPr>
        <w:t>Wiersinga</w:t>
      </w:r>
      <w:r w:rsidRPr="00D83BD4">
        <w:rPr>
          <w:sz w:val="28"/>
          <w:szCs w:val="28"/>
          <w:lang w:val="uk-UA"/>
        </w:rPr>
        <w:t xml:space="preserve"> </w:t>
      </w:r>
      <w:r w:rsidRPr="00D83BD4">
        <w:rPr>
          <w:sz w:val="28"/>
          <w:szCs w:val="28"/>
          <w:lang w:val="en-US"/>
        </w:rPr>
        <w:t>WM</w:t>
      </w:r>
      <w:r w:rsidRPr="00D83BD4">
        <w:rPr>
          <w:sz w:val="28"/>
          <w:szCs w:val="28"/>
          <w:lang w:val="uk-UA"/>
        </w:rPr>
        <w:t xml:space="preserve">, </w:t>
      </w:r>
      <w:r w:rsidRPr="00D83BD4">
        <w:rPr>
          <w:sz w:val="28"/>
          <w:szCs w:val="28"/>
          <w:lang w:val="en-US"/>
        </w:rPr>
        <w:t>Chatterjee K, Basart DC, Luben R.</w:t>
      </w:r>
      <w:r w:rsidRPr="00D83BD4">
        <w:rPr>
          <w:sz w:val="28"/>
          <w:szCs w:val="28"/>
          <w:lang w:val="uk-UA"/>
        </w:rPr>
        <w:t xml:space="preserve"> </w:t>
      </w:r>
      <w:r w:rsidRPr="00D83BD4">
        <w:rPr>
          <w:sz w:val="28"/>
          <w:szCs w:val="28"/>
          <w:lang w:val="en-US"/>
        </w:rPr>
        <w:t>et</w:t>
      </w:r>
      <w:r w:rsidRPr="00D83BD4">
        <w:rPr>
          <w:sz w:val="28"/>
          <w:szCs w:val="28"/>
          <w:lang w:val="uk-UA"/>
        </w:rPr>
        <w:t xml:space="preserve"> </w:t>
      </w:r>
      <w:r w:rsidRPr="00D83BD4">
        <w:rPr>
          <w:sz w:val="28"/>
          <w:szCs w:val="28"/>
          <w:lang w:val="en-US"/>
        </w:rPr>
        <w:t>al</w:t>
      </w:r>
      <w:r w:rsidRPr="00D83BD4">
        <w:rPr>
          <w:sz w:val="28"/>
          <w:szCs w:val="28"/>
          <w:lang w:val="uk-UA"/>
        </w:rPr>
        <w:t xml:space="preserve">. </w:t>
      </w:r>
      <w:r w:rsidRPr="00D83BD4">
        <w:rPr>
          <w:sz w:val="28"/>
          <w:szCs w:val="28"/>
          <w:lang w:val="en-US"/>
        </w:rPr>
        <w:t>Initial</w:t>
      </w:r>
      <w:r w:rsidRPr="00D83BD4">
        <w:rPr>
          <w:sz w:val="28"/>
          <w:szCs w:val="28"/>
          <w:lang w:val="uk-UA"/>
        </w:rPr>
        <w:t xml:space="preserve"> </w:t>
      </w:r>
      <w:r w:rsidRPr="00D83BD4">
        <w:rPr>
          <w:sz w:val="28"/>
          <w:szCs w:val="28"/>
          <w:lang w:val="en-US"/>
        </w:rPr>
        <w:t>thyroid</w:t>
      </w:r>
      <w:r w:rsidRPr="00D83BD4">
        <w:rPr>
          <w:sz w:val="28"/>
          <w:szCs w:val="28"/>
          <w:lang w:val="uk-UA"/>
        </w:rPr>
        <w:t xml:space="preserve"> </w:t>
      </w:r>
      <w:r w:rsidRPr="00D83BD4">
        <w:rPr>
          <w:sz w:val="28"/>
          <w:szCs w:val="28"/>
          <w:lang w:val="en-US"/>
        </w:rPr>
        <w:t>status</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cardiovascular</w:t>
      </w:r>
      <w:r w:rsidRPr="00D83BD4">
        <w:rPr>
          <w:sz w:val="28"/>
          <w:szCs w:val="28"/>
          <w:lang w:val="uk-UA"/>
        </w:rPr>
        <w:t xml:space="preserve"> </w:t>
      </w:r>
      <w:r w:rsidRPr="00D83BD4">
        <w:rPr>
          <w:sz w:val="28"/>
          <w:szCs w:val="28"/>
          <w:lang w:val="en-US"/>
        </w:rPr>
        <w:t>risk</w:t>
      </w:r>
      <w:r w:rsidRPr="00D83BD4">
        <w:rPr>
          <w:sz w:val="28"/>
          <w:szCs w:val="28"/>
          <w:lang w:val="uk-UA"/>
        </w:rPr>
        <w:t xml:space="preserve"> </w:t>
      </w:r>
      <w:r w:rsidRPr="00D83BD4">
        <w:rPr>
          <w:sz w:val="28"/>
          <w:szCs w:val="28"/>
          <w:lang w:val="en-US"/>
        </w:rPr>
        <w:t>factors</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EPIC</w:t>
      </w:r>
      <w:r w:rsidRPr="00D83BD4">
        <w:rPr>
          <w:sz w:val="28"/>
          <w:szCs w:val="28"/>
          <w:lang w:val="uk-UA"/>
        </w:rPr>
        <w:t>-</w:t>
      </w:r>
      <w:r w:rsidRPr="00D83BD4">
        <w:rPr>
          <w:sz w:val="28"/>
          <w:szCs w:val="28"/>
          <w:lang w:val="en-US"/>
        </w:rPr>
        <w:t>Norfolk</w:t>
      </w:r>
      <w:r w:rsidRPr="00D83BD4">
        <w:rPr>
          <w:sz w:val="28"/>
          <w:szCs w:val="28"/>
          <w:lang w:val="uk-UA"/>
        </w:rPr>
        <w:t xml:space="preserve"> </w:t>
      </w:r>
      <w:r w:rsidRPr="00D83BD4">
        <w:rPr>
          <w:sz w:val="28"/>
          <w:szCs w:val="28"/>
          <w:lang w:val="en-US"/>
        </w:rPr>
        <w:t>prospective</w:t>
      </w:r>
      <w:r w:rsidRPr="00D83BD4">
        <w:rPr>
          <w:sz w:val="28"/>
          <w:szCs w:val="28"/>
          <w:lang w:val="uk-UA"/>
        </w:rPr>
        <w:t xml:space="preserve"> </w:t>
      </w:r>
      <w:r w:rsidRPr="00D83BD4">
        <w:rPr>
          <w:sz w:val="28"/>
          <w:szCs w:val="28"/>
          <w:lang w:val="en-US"/>
        </w:rPr>
        <w:t>population</w:t>
      </w:r>
      <w:r w:rsidRPr="00D83BD4">
        <w:rPr>
          <w:sz w:val="28"/>
          <w:szCs w:val="28"/>
          <w:lang w:val="uk-UA"/>
        </w:rPr>
        <w:t xml:space="preserve"> </w:t>
      </w:r>
      <w:r w:rsidRPr="00D83BD4">
        <w:rPr>
          <w:sz w:val="28"/>
          <w:szCs w:val="28"/>
          <w:lang w:val="en-US"/>
        </w:rPr>
        <w:t xml:space="preserve">study. Clin. Endocri. (Of). 2010;72: 404—10. </w:t>
      </w:r>
      <w:r w:rsidRPr="009E4B7D">
        <w:rPr>
          <w:bCs/>
          <w:sz w:val="28"/>
          <w:szCs w:val="28"/>
          <w:shd w:val="clear" w:color="auto" w:fill="FFFFFF"/>
        </w:rPr>
        <w:t>doi.org/10.1111/j.1365-2265.2009.03640.x</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Bos MM, Smit RAJ, Trompet S, van Heemst D, Noordam R. Thyroid Signaling, Insulin Resistance, and 2 Diabetes Mellitus: A Mendelian Randomization Study. J Clin Endocrinol Metab. 2017;102(6):1960-1970. doi: 10.1210/jc.2016-2816.</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Brouilette</w:t>
      </w:r>
      <w:r w:rsidRPr="00D83BD4">
        <w:rPr>
          <w:sz w:val="28"/>
          <w:szCs w:val="28"/>
          <w:lang w:val="uk-UA"/>
        </w:rPr>
        <w:t xml:space="preserve"> </w:t>
      </w:r>
      <w:r w:rsidRPr="00D83BD4">
        <w:rPr>
          <w:sz w:val="28"/>
          <w:szCs w:val="28"/>
          <w:lang w:val="en-US"/>
        </w:rPr>
        <w:t>SW</w:t>
      </w:r>
      <w:r w:rsidRPr="00D83BD4">
        <w:rPr>
          <w:sz w:val="28"/>
          <w:szCs w:val="28"/>
          <w:lang w:val="uk-UA"/>
        </w:rPr>
        <w:t xml:space="preserve">, </w:t>
      </w:r>
      <w:r w:rsidRPr="00D83BD4">
        <w:rPr>
          <w:sz w:val="28"/>
          <w:szCs w:val="28"/>
          <w:lang w:val="en-US"/>
        </w:rPr>
        <w:t>Moore</w:t>
      </w:r>
      <w:r w:rsidRPr="00D83BD4">
        <w:rPr>
          <w:sz w:val="28"/>
          <w:szCs w:val="28"/>
          <w:lang w:val="uk-UA"/>
        </w:rPr>
        <w:t xml:space="preserve"> </w:t>
      </w:r>
      <w:r w:rsidRPr="00D83BD4">
        <w:rPr>
          <w:sz w:val="28"/>
          <w:szCs w:val="28"/>
          <w:lang w:val="en-US"/>
        </w:rPr>
        <w:t>JS</w:t>
      </w:r>
      <w:r w:rsidRPr="00D83BD4">
        <w:rPr>
          <w:sz w:val="28"/>
          <w:szCs w:val="28"/>
          <w:lang w:val="uk-UA"/>
        </w:rPr>
        <w:t xml:space="preserve">, </w:t>
      </w:r>
      <w:r w:rsidRPr="00D83BD4">
        <w:rPr>
          <w:sz w:val="28"/>
          <w:szCs w:val="28"/>
          <w:lang w:val="en-US"/>
        </w:rPr>
        <w:t>McMahon</w:t>
      </w:r>
      <w:r w:rsidRPr="00D83BD4">
        <w:rPr>
          <w:sz w:val="28"/>
          <w:szCs w:val="28"/>
          <w:lang w:val="uk-UA"/>
        </w:rPr>
        <w:t xml:space="preserve"> </w:t>
      </w:r>
      <w:r w:rsidRPr="00D83BD4">
        <w:rPr>
          <w:sz w:val="28"/>
          <w:szCs w:val="28"/>
          <w:lang w:val="en-US"/>
        </w:rPr>
        <w:t>AD</w:t>
      </w:r>
      <w:r w:rsidRPr="00D83BD4">
        <w:rPr>
          <w:sz w:val="28"/>
          <w:szCs w:val="28"/>
          <w:lang w:val="uk-UA"/>
        </w:rPr>
        <w:t xml:space="preserve">, </w:t>
      </w:r>
      <w:r w:rsidRPr="00D83BD4">
        <w:rPr>
          <w:sz w:val="28"/>
          <w:szCs w:val="28"/>
          <w:lang w:val="en-US"/>
        </w:rPr>
        <w:t>Thompson</w:t>
      </w:r>
      <w:r w:rsidRPr="00D83BD4">
        <w:rPr>
          <w:sz w:val="28"/>
          <w:szCs w:val="28"/>
          <w:lang w:val="uk-UA"/>
        </w:rPr>
        <w:t xml:space="preserve"> </w:t>
      </w:r>
      <w:r w:rsidRPr="00D83BD4">
        <w:rPr>
          <w:sz w:val="28"/>
          <w:szCs w:val="28"/>
          <w:lang w:val="en-US"/>
        </w:rPr>
        <w:t>JR</w:t>
      </w:r>
      <w:r w:rsidRPr="00D83BD4">
        <w:rPr>
          <w:sz w:val="28"/>
          <w:szCs w:val="28"/>
          <w:lang w:val="uk-UA"/>
        </w:rPr>
        <w:t xml:space="preserve">. </w:t>
      </w:r>
      <w:r w:rsidRPr="00D83BD4">
        <w:rPr>
          <w:sz w:val="28"/>
          <w:szCs w:val="28"/>
          <w:lang w:val="en-US"/>
        </w:rPr>
        <w:t>West</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Scotland</w:t>
      </w:r>
      <w:r w:rsidRPr="00D83BD4">
        <w:rPr>
          <w:sz w:val="28"/>
          <w:szCs w:val="28"/>
          <w:lang w:val="uk-UA"/>
        </w:rPr>
        <w:t xml:space="preserve"> </w:t>
      </w:r>
      <w:r w:rsidRPr="00D83BD4">
        <w:rPr>
          <w:sz w:val="28"/>
          <w:szCs w:val="28"/>
          <w:lang w:val="en-US"/>
        </w:rPr>
        <w:t>Coronary</w:t>
      </w:r>
      <w:r w:rsidRPr="00D83BD4">
        <w:rPr>
          <w:sz w:val="28"/>
          <w:szCs w:val="28"/>
          <w:lang w:val="uk-UA"/>
        </w:rPr>
        <w:t xml:space="preserve"> </w:t>
      </w:r>
      <w:r w:rsidRPr="00D83BD4">
        <w:rPr>
          <w:sz w:val="28"/>
          <w:szCs w:val="28"/>
          <w:lang w:val="en-US"/>
        </w:rPr>
        <w:t>Prevention</w:t>
      </w:r>
      <w:r w:rsidRPr="00D83BD4">
        <w:rPr>
          <w:sz w:val="28"/>
          <w:szCs w:val="28"/>
          <w:lang w:val="uk-UA"/>
        </w:rPr>
        <w:t xml:space="preserve"> </w:t>
      </w:r>
      <w:r w:rsidRPr="00D83BD4">
        <w:rPr>
          <w:sz w:val="28"/>
          <w:szCs w:val="28"/>
          <w:lang w:val="en-US"/>
        </w:rPr>
        <w:t>Study</w:t>
      </w:r>
      <w:r w:rsidRPr="00D83BD4">
        <w:rPr>
          <w:sz w:val="28"/>
          <w:szCs w:val="28"/>
          <w:lang w:val="uk-UA"/>
        </w:rPr>
        <w:t xml:space="preserve"> </w:t>
      </w:r>
      <w:r w:rsidRPr="00D83BD4">
        <w:rPr>
          <w:sz w:val="28"/>
          <w:szCs w:val="28"/>
          <w:lang w:val="en-US"/>
        </w:rPr>
        <w:t>Group</w:t>
      </w:r>
      <w:r w:rsidRPr="00D83BD4">
        <w:rPr>
          <w:sz w:val="28"/>
          <w:szCs w:val="28"/>
          <w:lang w:val="uk-UA"/>
        </w:rPr>
        <w:t xml:space="preserve">. </w:t>
      </w:r>
      <w:r w:rsidRPr="00D83BD4">
        <w:rPr>
          <w:sz w:val="28"/>
          <w:szCs w:val="28"/>
          <w:lang w:val="en-US"/>
        </w:rPr>
        <w:t>Telomere length, risk of coronary heart disease, and statin treatment in the West of Scotland Primary Prevention Study: a nested case-control study. Lancet.   2007; 369:107-114.</w:t>
      </w:r>
      <w:r w:rsidRPr="00D83BD4">
        <w:rPr>
          <w:sz w:val="28"/>
          <w:szCs w:val="28"/>
          <w:shd w:val="clear" w:color="auto" w:fill="FFFFFF"/>
        </w:rPr>
        <w:t xml:space="preserve"> doi: 10.1016/S0140-6736(07)60071-3.</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Bruder-Nascimento T, Callera GE, Montezano AC, Belin de Chantemele EJ, Tostes RC, Touyz RM. Atorvastatin inhibits pro-inflammatory actions of aldosterone in vascular smooth muscle cells by reducing oxidative stress. </w:t>
      </w:r>
      <w:r w:rsidRPr="00D83BD4">
        <w:rPr>
          <w:sz w:val="28"/>
          <w:szCs w:val="28"/>
        </w:rPr>
        <w:t xml:space="preserve">Life Sci. 2019;221:29-34. doi: 10.1016/j.lfs.2019.01.043.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lang w:val="en-US"/>
        </w:rPr>
        <w:t>Brunstr</w:t>
      </w:r>
      <w:r w:rsidRPr="00D83BD4">
        <w:rPr>
          <w:bCs/>
          <w:sz w:val="28"/>
          <w:szCs w:val="28"/>
          <w:lang w:val="uk-UA"/>
        </w:rPr>
        <w:t>ö</w:t>
      </w:r>
      <w:r w:rsidRPr="00D83BD4">
        <w:rPr>
          <w:bCs/>
          <w:sz w:val="28"/>
          <w:szCs w:val="28"/>
          <w:lang w:val="en-US"/>
        </w:rPr>
        <w:t>m</w:t>
      </w:r>
      <w:r w:rsidRPr="00D83BD4">
        <w:rPr>
          <w:bCs/>
          <w:sz w:val="28"/>
          <w:szCs w:val="28"/>
          <w:lang w:val="uk-UA"/>
        </w:rPr>
        <w:t xml:space="preserve"> </w:t>
      </w:r>
      <w:r w:rsidRPr="00D83BD4">
        <w:rPr>
          <w:bCs/>
          <w:sz w:val="28"/>
          <w:szCs w:val="28"/>
          <w:lang w:val="en-US"/>
        </w:rPr>
        <w:t>M</w:t>
      </w:r>
      <w:r w:rsidRPr="00D83BD4">
        <w:rPr>
          <w:bCs/>
          <w:sz w:val="28"/>
          <w:szCs w:val="28"/>
          <w:lang w:val="uk-UA"/>
        </w:rPr>
        <w:t xml:space="preserve">, </w:t>
      </w:r>
      <w:r w:rsidRPr="00D83BD4">
        <w:rPr>
          <w:bCs/>
          <w:sz w:val="28"/>
          <w:szCs w:val="28"/>
          <w:lang w:val="en-US"/>
        </w:rPr>
        <w:t>Carlberg</w:t>
      </w:r>
      <w:r w:rsidRPr="00D83BD4">
        <w:rPr>
          <w:bCs/>
          <w:sz w:val="28"/>
          <w:szCs w:val="28"/>
          <w:lang w:val="uk-UA"/>
        </w:rPr>
        <w:t xml:space="preserve"> </w:t>
      </w:r>
      <w:r w:rsidRPr="00D83BD4">
        <w:rPr>
          <w:bCs/>
          <w:sz w:val="28"/>
          <w:szCs w:val="28"/>
          <w:lang w:val="en-US"/>
        </w:rPr>
        <w:t>B</w:t>
      </w:r>
      <w:r w:rsidRPr="00D83BD4">
        <w:rPr>
          <w:bCs/>
          <w:sz w:val="28"/>
          <w:szCs w:val="28"/>
          <w:lang w:val="uk-UA"/>
        </w:rPr>
        <w:t xml:space="preserve">. </w:t>
      </w:r>
      <w:r w:rsidRPr="00D83BD4">
        <w:rPr>
          <w:bCs/>
          <w:sz w:val="28"/>
          <w:szCs w:val="28"/>
          <w:lang w:val="en-US"/>
        </w:rPr>
        <w:t>Effect</w:t>
      </w:r>
      <w:r w:rsidRPr="00D83BD4">
        <w:rPr>
          <w:bCs/>
          <w:sz w:val="28"/>
          <w:szCs w:val="28"/>
          <w:lang w:val="uk-UA"/>
        </w:rPr>
        <w:t xml:space="preserve"> </w:t>
      </w:r>
      <w:r w:rsidRPr="00D83BD4">
        <w:rPr>
          <w:bCs/>
          <w:sz w:val="28"/>
          <w:szCs w:val="28"/>
          <w:lang w:val="en-US"/>
        </w:rPr>
        <w:t>of</w:t>
      </w:r>
      <w:r w:rsidRPr="00D83BD4">
        <w:rPr>
          <w:bCs/>
          <w:sz w:val="28"/>
          <w:szCs w:val="28"/>
          <w:lang w:val="uk-UA"/>
        </w:rPr>
        <w:t xml:space="preserve"> </w:t>
      </w:r>
      <w:r w:rsidRPr="00D83BD4">
        <w:rPr>
          <w:bCs/>
          <w:sz w:val="28"/>
          <w:szCs w:val="28"/>
          <w:lang w:val="en-US"/>
        </w:rPr>
        <w:t>antihypertensive</w:t>
      </w:r>
      <w:r w:rsidRPr="00D83BD4">
        <w:rPr>
          <w:bCs/>
          <w:sz w:val="28"/>
          <w:szCs w:val="28"/>
          <w:lang w:val="uk-UA"/>
        </w:rPr>
        <w:t xml:space="preserve"> </w:t>
      </w:r>
      <w:r w:rsidRPr="00D83BD4">
        <w:rPr>
          <w:bCs/>
          <w:sz w:val="28"/>
          <w:szCs w:val="28"/>
          <w:lang w:val="en-US"/>
        </w:rPr>
        <w:t>treatment</w:t>
      </w:r>
      <w:r w:rsidRPr="00D83BD4">
        <w:rPr>
          <w:bCs/>
          <w:sz w:val="28"/>
          <w:szCs w:val="28"/>
          <w:lang w:val="uk-UA"/>
        </w:rPr>
        <w:t xml:space="preserve"> </w:t>
      </w:r>
      <w:r w:rsidRPr="00D83BD4">
        <w:rPr>
          <w:bCs/>
          <w:sz w:val="28"/>
          <w:szCs w:val="28"/>
          <w:lang w:val="en-US"/>
        </w:rPr>
        <w:t>at different</w:t>
      </w:r>
      <w:r w:rsidRPr="00D83BD4">
        <w:rPr>
          <w:bCs/>
          <w:sz w:val="28"/>
          <w:szCs w:val="28"/>
          <w:lang w:val="uk-UA"/>
        </w:rPr>
        <w:t xml:space="preserve"> </w:t>
      </w:r>
      <w:r w:rsidRPr="00D83BD4">
        <w:rPr>
          <w:bCs/>
          <w:sz w:val="28"/>
          <w:szCs w:val="28"/>
          <w:lang w:val="en-US"/>
        </w:rPr>
        <w:t>blood</w:t>
      </w:r>
      <w:r w:rsidRPr="00D83BD4">
        <w:rPr>
          <w:bCs/>
          <w:sz w:val="28"/>
          <w:szCs w:val="28"/>
          <w:lang w:val="uk-UA"/>
        </w:rPr>
        <w:t xml:space="preserve"> </w:t>
      </w:r>
      <w:r w:rsidRPr="00D83BD4">
        <w:rPr>
          <w:bCs/>
          <w:sz w:val="28"/>
          <w:szCs w:val="28"/>
          <w:lang w:val="en-US"/>
        </w:rPr>
        <w:t>pressure</w:t>
      </w:r>
      <w:r w:rsidRPr="00D83BD4">
        <w:rPr>
          <w:bCs/>
          <w:sz w:val="28"/>
          <w:szCs w:val="28"/>
          <w:lang w:val="uk-UA"/>
        </w:rPr>
        <w:t xml:space="preserve"> </w:t>
      </w:r>
      <w:r w:rsidRPr="00D83BD4">
        <w:rPr>
          <w:bCs/>
          <w:sz w:val="28"/>
          <w:szCs w:val="28"/>
          <w:lang w:val="en-US"/>
        </w:rPr>
        <w:t>levels</w:t>
      </w:r>
      <w:r w:rsidRPr="00D83BD4">
        <w:rPr>
          <w:bCs/>
          <w:sz w:val="28"/>
          <w:szCs w:val="28"/>
          <w:lang w:val="uk-UA"/>
        </w:rPr>
        <w:t xml:space="preserve"> </w:t>
      </w:r>
      <w:r w:rsidRPr="00D83BD4">
        <w:rPr>
          <w:bCs/>
          <w:sz w:val="28"/>
          <w:szCs w:val="28"/>
          <w:lang w:val="en-US"/>
        </w:rPr>
        <w:t>in</w:t>
      </w:r>
      <w:r w:rsidRPr="00D83BD4">
        <w:rPr>
          <w:bCs/>
          <w:sz w:val="28"/>
          <w:szCs w:val="28"/>
          <w:lang w:val="uk-UA"/>
        </w:rPr>
        <w:t xml:space="preserve"> </w:t>
      </w:r>
      <w:r w:rsidRPr="00D83BD4">
        <w:rPr>
          <w:bCs/>
          <w:sz w:val="28"/>
          <w:szCs w:val="28"/>
          <w:lang w:val="en-US"/>
        </w:rPr>
        <w:t>patients</w:t>
      </w:r>
      <w:r w:rsidRPr="00D83BD4">
        <w:rPr>
          <w:bCs/>
          <w:sz w:val="28"/>
          <w:szCs w:val="28"/>
          <w:lang w:val="uk-UA"/>
        </w:rPr>
        <w:t xml:space="preserve"> </w:t>
      </w:r>
      <w:r w:rsidRPr="00D83BD4">
        <w:rPr>
          <w:bCs/>
          <w:sz w:val="28"/>
          <w:szCs w:val="28"/>
          <w:lang w:val="en-US"/>
        </w:rPr>
        <w:t>with</w:t>
      </w:r>
      <w:r w:rsidRPr="00D83BD4">
        <w:rPr>
          <w:bCs/>
          <w:sz w:val="28"/>
          <w:szCs w:val="28"/>
          <w:lang w:val="uk-UA"/>
        </w:rPr>
        <w:t xml:space="preserve"> </w:t>
      </w:r>
      <w:r w:rsidRPr="00D83BD4">
        <w:rPr>
          <w:bCs/>
          <w:sz w:val="28"/>
          <w:szCs w:val="28"/>
          <w:lang w:val="en-US"/>
        </w:rPr>
        <w:t>diabetes</w:t>
      </w:r>
      <w:r w:rsidRPr="00D83BD4">
        <w:rPr>
          <w:bCs/>
          <w:sz w:val="28"/>
          <w:szCs w:val="28"/>
          <w:lang w:val="uk-UA"/>
        </w:rPr>
        <w:t xml:space="preserve"> </w:t>
      </w:r>
      <w:r w:rsidRPr="00D83BD4">
        <w:rPr>
          <w:bCs/>
          <w:sz w:val="28"/>
          <w:szCs w:val="28"/>
          <w:lang w:val="en-US"/>
        </w:rPr>
        <w:t>mellitus</w:t>
      </w:r>
      <w:r w:rsidRPr="00D83BD4">
        <w:rPr>
          <w:bCs/>
          <w:sz w:val="28"/>
          <w:szCs w:val="28"/>
          <w:lang w:val="uk-UA"/>
        </w:rPr>
        <w:t xml:space="preserve">: </w:t>
      </w:r>
      <w:r w:rsidRPr="00D83BD4">
        <w:rPr>
          <w:bCs/>
          <w:sz w:val="28"/>
          <w:szCs w:val="28"/>
          <w:lang w:val="en-US"/>
        </w:rPr>
        <w:t>systematic</w:t>
      </w:r>
      <w:r w:rsidRPr="00D83BD4">
        <w:rPr>
          <w:bCs/>
          <w:sz w:val="28"/>
          <w:szCs w:val="28"/>
          <w:lang w:val="uk-UA"/>
        </w:rPr>
        <w:t xml:space="preserve"> </w:t>
      </w:r>
      <w:r w:rsidRPr="00D83BD4">
        <w:rPr>
          <w:bCs/>
          <w:sz w:val="28"/>
          <w:szCs w:val="28"/>
          <w:lang w:val="en-US"/>
        </w:rPr>
        <w:t>review</w:t>
      </w:r>
      <w:r w:rsidRPr="00D83BD4">
        <w:rPr>
          <w:bCs/>
          <w:sz w:val="28"/>
          <w:szCs w:val="28"/>
          <w:lang w:val="uk-UA"/>
        </w:rPr>
        <w:t xml:space="preserve"> </w:t>
      </w:r>
      <w:r w:rsidRPr="00D83BD4">
        <w:rPr>
          <w:bCs/>
          <w:sz w:val="28"/>
          <w:szCs w:val="28"/>
          <w:lang w:val="en-US"/>
        </w:rPr>
        <w:t>and</w:t>
      </w:r>
      <w:r w:rsidRPr="00D83BD4">
        <w:rPr>
          <w:bCs/>
          <w:sz w:val="28"/>
          <w:szCs w:val="28"/>
          <w:lang w:val="uk-UA"/>
        </w:rPr>
        <w:t xml:space="preserve"> </w:t>
      </w:r>
      <w:r w:rsidRPr="00D83BD4">
        <w:rPr>
          <w:bCs/>
          <w:sz w:val="28"/>
          <w:szCs w:val="28"/>
          <w:lang w:val="en-US"/>
        </w:rPr>
        <w:t>meta</w:t>
      </w:r>
      <w:r w:rsidRPr="00D83BD4">
        <w:rPr>
          <w:bCs/>
          <w:sz w:val="28"/>
          <w:szCs w:val="28"/>
          <w:lang w:val="uk-UA"/>
        </w:rPr>
        <w:t>-</w:t>
      </w:r>
      <w:r w:rsidRPr="00D83BD4">
        <w:rPr>
          <w:bCs/>
          <w:sz w:val="28"/>
          <w:szCs w:val="28"/>
          <w:lang w:val="en-US"/>
        </w:rPr>
        <w:t>analyses</w:t>
      </w:r>
      <w:r w:rsidRPr="00D83BD4">
        <w:rPr>
          <w:bCs/>
          <w:sz w:val="28"/>
          <w:szCs w:val="28"/>
          <w:lang w:val="uk-UA"/>
        </w:rPr>
        <w:t xml:space="preserve">. </w:t>
      </w:r>
      <w:r w:rsidRPr="00D83BD4">
        <w:rPr>
          <w:bCs/>
          <w:sz w:val="28"/>
          <w:szCs w:val="28"/>
          <w:lang w:val="en-US"/>
        </w:rPr>
        <w:t>BMJ</w:t>
      </w:r>
      <w:r w:rsidRPr="00D83BD4">
        <w:rPr>
          <w:bCs/>
          <w:sz w:val="28"/>
          <w:szCs w:val="28"/>
          <w:lang w:val="uk-UA"/>
        </w:rPr>
        <w:t xml:space="preserve">. 2016; 352. </w:t>
      </w:r>
      <w:r w:rsidRPr="00D83BD4">
        <w:rPr>
          <w:bCs/>
          <w:sz w:val="28"/>
          <w:szCs w:val="28"/>
          <w:lang w:val="en-US"/>
        </w:rPr>
        <w:t>doi</w:t>
      </w:r>
      <w:r w:rsidRPr="00D83BD4">
        <w:rPr>
          <w:bCs/>
          <w:sz w:val="28"/>
          <w:szCs w:val="28"/>
          <w:lang w:val="uk-UA"/>
        </w:rPr>
        <w:t xml:space="preserve">: </w:t>
      </w:r>
      <w:r w:rsidRPr="00D83BD4">
        <w:rPr>
          <w:bCs/>
          <w:sz w:val="28"/>
          <w:szCs w:val="28"/>
          <w:lang w:val="en-US"/>
        </w:rPr>
        <w:t>https</w:t>
      </w:r>
      <w:r w:rsidRPr="00D83BD4">
        <w:rPr>
          <w:bCs/>
          <w:sz w:val="28"/>
          <w:szCs w:val="28"/>
          <w:lang w:val="uk-UA"/>
        </w:rPr>
        <w:t>://</w:t>
      </w:r>
      <w:r w:rsidRPr="00D83BD4">
        <w:rPr>
          <w:bCs/>
          <w:sz w:val="28"/>
          <w:szCs w:val="28"/>
          <w:lang w:val="en-US"/>
        </w:rPr>
        <w:t>doi</w:t>
      </w:r>
      <w:r w:rsidRPr="00D83BD4">
        <w:rPr>
          <w:bCs/>
          <w:sz w:val="28"/>
          <w:szCs w:val="28"/>
          <w:lang w:val="uk-UA"/>
        </w:rPr>
        <w:t>.</w:t>
      </w:r>
      <w:r w:rsidRPr="00D83BD4">
        <w:rPr>
          <w:bCs/>
          <w:sz w:val="28"/>
          <w:szCs w:val="28"/>
          <w:lang w:val="en-US"/>
        </w:rPr>
        <w:t>org</w:t>
      </w:r>
      <w:r w:rsidRPr="00D83BD4">
        <w:rPr>
          <w:bCs/>
          <w:sz w:val="28"/>
          <w:szCs w:val="28"/>
          <w:lang w:val="uk-UA"/>
        </w:rPr>
        <w:t>/10.1136/</w:t>
      </w:r>
      <w:r w:rsidRPr="00D83BD4">
        <w:rPr>
          <w:bCs/>
          <w:sz w:val="28"/>
          <w:szCs w:val="28"/>
          <w:lang w:val="en-US"/>
        </w:rPr>
        <w:t>bmj</w:t>
      </w:r>
      <w:r w:rsidRPr="00D83BD4">
        <w:rPr>
          <w:bCs/>
          <w:sz w:val="28"/>
          <w:szCs w:val="28"/>
          <w:lang w:val="uk-UA"/>
        </w:rPr>
        <w:t>.</w:t>
      </w:r>
      <w:r w:rsidRPr="00D83BD4">
        <w:rPr>
          <w:bCs/>
          <w:sz w:val="28"/>
          <w:szCs w:val="28"/>
          <w:lang w:val="en-US"/>
        </w:rPr>
        <w:t>i</w:t>
      </w:r>
      <w:r w:rsidRPr="00D83BD4">
        <w:rPr>
          <w:bCs/>
          <w:sz w:val="28"/>
          <w:szCs w:val="28"/>
          <w:lang w:val="uk-UA"/>
        </w:rPr>
        <w:t>717.</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Burton DGA, Faragher RGA. Obesity and type-2 diabetes as inducers of premature cellular senescence and ageing. </w:t>
      </w:r>
      <w:r w:rsidRPr="00D83BD4">
        <w:rPr>
          <w:sz w:val="28"/>
          <w:szCs w:val="28"/>
        </w:rPr>
        <w:t>Biogerontology. 2018;19(6):447-459. doi: 10.1007/s10522-018-9763-7.</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Buse JB, Wexler DJ, Tsapas A, Rossing P, Mingrone G, Mathieu C, et al.</w:t>
      </w:r>
      <w:r w:rsidRPr="00D83BD4">
        <w:rPr>
          <w:sz w:val="28"/>
          <w:szCs w:val="28"/>
          <w:lang w:val="uk-UA"/>
        </w:rPr>
        <w:t xml:space="preserve"> 2019 </w:t>
      </w:r>
      <w:r w:rsidRPr="00D83BD4">
        <w:rPr>
          <w:sz w:val="28"/>
          <w:szCs w:val="28"/>
          <w:lang w:val="en-US"/>
        </w:rPr>
        <w:t>update</w:t>
      </w:r>
      <w:r w:rsidRPr="00D83BD4">
        <w:rPr>
          <w:sz w:val="28"/>
          <w:szCs w:val="28"/>
          <w:lang w:val="uk-UA"/>
        </w:rPr>
        <w:t xml:space="preserve"> </w:t>
      </w:r>
      <w:r w:rsidRPr="00D83BD4">
        <w:rPr>
          <w:sz w:val="28"/>
          <w:szCs w:val="28"/>
          <w:lang w:val="en-US"/>
        </w:rPr>
        <w:t>to</w:t>
      </w:r>
      <w:r w:rsidRPr="00D83BD4">
        <w:rPr>
          <w:sz w:val="28"/>
          <w:szCs w:val="28"/>
          <w:lang w:val="uk-UA"/>
        </w:rPr>
        <w:t xml:space="preserve">: </w:t>
      </w:r>
      <w:r w:rsidRPr="00D83BD4">
        <w:rPr>
          <w:sz w:val="28"/>
          <w:szCs w:val="28"/>
          <w:lang w:val="en-US"/>
        </w:rPr>
        <w:t>Management</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hyperglycaemia</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type</w:t>
      </w:r>
      <w:r w:rsidRPr="00D83BD4">
        <w:rPr>
          <w:sz w:val="28"/>
          <w:szCs w:val="28"/>
          <w:lang w:val="uk-UA"/>
        </w:rPr>
        <w:t xml:space="preserve"> 2 </w:t>
      </w:r>
      <w:r w:rsidRPr="00D83BD4">
        <w:rPr>
          <w:rStyle w:val="highlight"/>
          <w:sz w:val="28"/>
          <w:szCs w:val="28"/>
          <w:lang w:val="en-US"/>
        </w:rPr>
        <w:t>diabetes</w:t>
      </w:r>
      <w:r w:rsidRPr="00D83BD4">
        <w:rPr>
          <w:sz w:val="28"/>
          <w:szCs w:val="28"/>
          <w:lang w:val="uk-UA"/>
        </w:rPr>
        <w:t xml:space="preserve">, </w:t>
      </w:r>
      <w:r w:rsidRPr="00D83BD4">
        <w:rPr>
          <w:rStyle w:val="highlight"/>
          <w:sz w:val="28"/>
          <w:szCs w:val="28"/>
          <w:lang w:val="uk-UA"/>
        </w:rPr>
        <w:t>2018</w:t>
      </w:r>
      <w:r w:rsidRPr="00D83BD4">
        <w:rPr>
          <w:sz w:val="28"/>
          <w:szCs w:val="28"/>
          <w:lang w:val="uk-UA"/>
        </w:rPr>
        <w:t xml:space="preserve">. </w:t>
      </w:r>
      <w:r w:rsidRPr="00D83BD4">
        <w:rPr>
          <w:sz w:val="28"/>
          <w:szCs w:val="28"/>
          <w:lang w:val="en-US"/>
        </w:rPr>
        <w:t xml:space="preserve">A consensus report by the </w:t>
      </w:r>
      <w:r w:rsidRPr="00D83BD4">
        <w:rPr>
          <w:rStyle w:val="highlight"/>
          <w:sz w:val="28"/>
          <w:szCs w:val="28"/>
          <w:lang w:val="en-US"/>
        </w:rPr>
        <w:t>American</w:t>
      </w:r>
      <w:r w:rsidRPr="00D83BD4">
        <w:rPr>
          <w:sz w:val="28"/>
          <w:szCs w:val="28"/>
          <w:lang w:val="en-US"/>
        </w:rPr>
        <w:t xml:space="preserve"> </w:t>
      </w:r>
      <w:r w:rsidRPr="00D83BD4">
        <w:rPr>
          <w:rStyle w:val="highlight"/>
          <w:sz w:val="28"/>
          <w:szCs w:val="28"/>
          <w:lang w:val="en-US"/>
        </w:rPr>
        <w:t>Diabetes</w:t>
      </w:r>
      <w:r w:rsidRPr="00D83BD4">
        <w:rPr>
          <w:sz w:val="28"/>
          <w:szCs w:val="28"/>
          <w:lang w:val="en-US"/>
        </w:rPr>
        <w:t xml:space="preserve"> </w:t>
      </w:r>
      <w:r w:rsidRPr="00D83BD4">
        <w:rPr>
          <w:rStyle w:val="highlight"/>
          <w:sz w:val="28"/>
          <w:szCs w:val="28"/>
          <w:lang w:val="en-US"/>
        </w:rPr>
        <w:t>Association</w:t>
      </w:r>
      <w:r w:rsidRPr="00D83BD4">
        <w:rPr>
          <w:sz w:val="28"/>
          <w:szCs w:val="28"/>
          <w:lang w:val="en-US"/>
        </w:rPr>
        <w:t xml:space="preserve"> (ADA) and the European Association for the Study of Diabetes (EASD). </w:t>
      </w:r>
      <w:r w:rsidRPr="00D83BD4">
        <w:rPr>
          <w:sz w:val="28"/>
          <w:szCs w:val="28"/>
        </w:rPr>
        <w:t>Diabetologia. 2020;63(2):221-228. doi: 10.1007/s00125-019-05039-w.</w:t>
      </w:r>
    </w:p>
    <w:p w:rsidR="00E3259F" w:rsidRPr="00D83BD4" w:rsidRDefault="00E3259F" w:rsidP="00D83BD4">
      <w:pPr>
        <w:numPr>
          <w:ilvl w:val="0"/>
          <w:numId w:val="26"/>
        </w:numPr>
        <w:tabs>
          <w:tab w:val="num" w:pos="0"/>
        </w:tabs>
        <w:spacing w:line="360" w:lineRule="auto"/>
        <w:ind w:left="0" w:firstLine="0"/>
        <w:jc w:val="both"/>
        <w:rPr>
          <w:rStyle w:val="mixed-citation"/>
          <w:rFonts w:eastAsia="Calibri"/>
          <w:bCs/>
          <w:sz w:val="28"/>
          <w:szCs w:val="28"/>
          <w:lang w:val="en-US"/>
        </w:rPr>
      </w:pPr>
      <w:r w:rsidRPr="00D83BD4">
        <w:rPr>
          <w:bCs/>
          <w:sz w:val="28"/>
          <w:szCs w:val="28"/>
          <w:lang w:val="en-US"/>
        </w:rPr>
        <w:t>Cahill</w:t>
      </w:r>
      <w:r w:rsidRPr="00D83BD4">
        <w:rPr>
          <w:bCs/>
          <w:sz w:val="28"/>
          <w:szCs w:val="28"/>
          <w:lang w:val="uk-UA"/>
        </w:rPr>
        <w:t xml:space="preserve"> </w:t>
      </w:r>
      <w:r w:rsidRPr="00D83BD4">
        <w:rPr>
          <w:bCs/>
          <w:sz w:val="28"/>
          <w:szCs w:val="28"/>
          <w:lang w:val="en-US"/>
        </w:rPr>
        <w:t>PA</w:t>
      </w:r>
      <w:r w:rsidRPr="00D83BD4">
        <w:rPr>
          <w:bCs/>
          <w:sz w:val="28"/>
          <w:szCs w:val="28"/>
          <w:lang w:val="uk-UA"/>
        </w:rPr>
        <w:t xml:space="preserve">,  </w:t>
      </w:r>
      <w:r w:rsidRPr="00D83BD4">
        <w:rPr>
          <w:bCs/>
          <w:sz w:val="28"/>
          <w:szCs w:val="28"/>
          <w:lang w:val="en-US"/>
        </w:rPr>
        <w:t>Redmond</w:t>
      </w:r>
      <w:r w:rsidRPr="00D83BD4">
        <w:rPr>
          <w:bCs/>
          <w:sz w:val="28"/>
          <w:szCs w:val="28"/>
          <w:lang w:val="uk-UA"/>
        </w:rPr>
        <w:tab/>
      </w:r>
      <w:r w:rsidRPr="00D83BD4">
        <w:rPr>
          <w:bCs/>
          <w:sz w:val="28"/>
          <w:szCs w:val="28"/>
          <w:lang w:val="en-US"/>
        </w:rPr>
        <w:t>EM</w:t>
      </w:r>
      <w:r w:rsidRPr="00D83BD4">
        <w:rPr>
          <w:bCs/>
          <w:sz w:val="28"/>
          <w:szCs w:val="28"/>
          <w:lang w:val="uk-UA"/>
        </w:rPr>
        <w:t xml:space="preserve">. </w:t>
      </w:r>
      <w:r w:rsidRPr="00D83BD4">
        <w:rPr>
          <w:bCs/>
          <w:sz w:val="28"/>
          <w:szCs w:val="28"/>
          <w:lang w:val="en-US"/>
        </w:rPr>
        <w:t>Vascular</w:t>
      </w:r>
      <w:r w:rsidRPr="00D83BD4">
        <w:rPr>
          <w:bCs/>
          <w:sz w:val="28"/>
          <w:szCs w:val="28"/>
          <w:lang w:val="uk-UA"/>
        </w:rPr>
        <w:t xml:space="preserve"> </w:t>
      </w:r>
      <w:r w:rsidRPr="00D83BD4">
        <w:rPr>
          <w:bCs/>
          <w:sz w:val="28"/>
          <w:szCs w:val="28"/>
          <w:lang w:val="en-US"/>
        </w:rPr>
        <w:t>endothelium</w:t>
      </w:r>
      <w:r w:rsidRPr="00D83BD4">
        <w:rPr>
          <w:bCs/>
          <w:sz w:val="28"/>
          <w:szCs w:val="28"/>
          <w:lang w:val="uk-UA"/>
        </w:rPr>
        <w:t xml:space="preserve"> - </w:t>
      </w:r>
      <w:r w:rsidRPr="00D83BD4">
        <w:rPr>
          <w:bCs/>
          <w:sz w:val="28"/>
          <w:szCs w:val="28"/>
          <w:lang w:val="en-US"/>
        </w:rPr>
        <w:t>Gatekeeper</w:t>
      </w:r>
      <w:r w:rsidRPr="00D83BD4">
        <w:rPr>
          <w:bCs/>
          <w:sz w:val="28"/>
          <w:szCs w:val="28"/>
          <w:lang w:val="uk-UA"/>
        </w:rPr>
        <w:t xml:space="preserve"> </w:t>
      </w:r>
      <w:r w:rsidRPr="00D83BD4">
        <w:rPr>
          <w:bCs/>
          <w:sz w:val="28"/>
          <w:szCs w:val="28"/>
          <w:lang w:val="en-US"/>
        </w:rPr>
        <w:t>of</w:t>
      </w:r>
      <w:r w:rsidRPr="00D83BD4">
        <w:rPr>
          <w:bCs/>
          <w:sz w:val="28"/>
          <w:szCs w:val="28"/>
          <w:lang w:val="uk-UA"/>
        </w:rPr>
        <w:t xml:space="preserve"> </w:t>
      </w:r>
      <w:r w:rsidRPr="00D83BD4">
        <w:rPr>
          <w:bCs/>
          <w:sz w:val="28"/>
          <w:szCs w:val="28"/>
          <w:lang w:val="en-US"/>
        </w:rPr>
        <w:t>vessel</w:t>
      </w:r>
      <w:r w:rsidRPr="00D83BD4">
        <w:rPr>
          <w:bCs/>
          <w:sz w:val="28"/>
          <w:szCs w:val="28"/>
          <w:lang w:val="uk-UA"/>
        </w:rPr>
        <w:t xml:space="preserve"> </w:t>
      </w:r>
      <w:r w:rsidRPr="00D83BD4">
        <w:rPr>
          <w:bCs/>
          <w:sz w:val="28"/>
          <w:szCs w:val="28"/>
          <w:lang w:val="en-US"/>
        </w:rPr>
        <w:t>health</w:t>
      </w:r>
      <w:r w:rsidRPr="00D83BD4">
        <w:rPr>
          <w:bCs/>
          <w:sz w:val="28"/>
          <w:szCs w:val="28"/>
          <w:lang w:val="uk-UA"/>
        </w:rPr>
        <w:t>.</w:t>
      </w:r>
      <w:r w:rsidRPr="00D83BD4">
        <w:rPr>
          <w:bCs/>
          <w:sz w:val="28"/>
          <w:szCs w:val="28"/>
          <w:lang w:val="en-US"/>
        </w:rPr>
        <w:t>Atherosclerosis</w:t>
      </w:r>
      <w:r w:rsidRPr="00D83BD4">
        <w:rPr>
          <w:bCs/>
          <w:sz w:val="28"/>
          <w:szCs w:val="28"/>
          <w:lang w:val="uk-UA"/>
        </w:rPr>
        <w:t>.2016</w:t>
      </w:r>
      <w:r w:rsidRPr="00D83BD4">
        <w:rPr>
          <w:bCs/>
          <w:sz w:val="28"/>
          <w:szCs w:val="28"/>
          <w:lang w:val="en-US"/>
        </w:rPr>
        <w:t>;</w:t>
      </w:r>
      <w:r w:rsidRPr="00D83BD4">
        <w:rPr>
          <w:bCs/>
          <w:sz w:val="28"/>
          <w:szCs w:val="28"/>
          <w:lang w:val="uk-UA"/>
        </w:rPr>
        <w:t>248</w:t>
      </w:r>
      <w:r w:rsidRPr="00D83BD4">
        <w:rPr>
          <w:bCs/>
          <w:sz w:val="28"/>
          <w:szCs w:val="28"/>
          <w:lang w:val="en-US"/>
        </w:rPr>
        <w:t>:</w:t>
      </w:r>
      <w:r w:rsidRPr="00D83BD4">
        <w:rPr>
          <w:bCs/>
          <w:sz w:val="28"/>
          <w:szCs w:val="28"/>
          <w:lang w:val="uk-UA"/>
        </w:rPr>
        <w:t>97-109.</w:t>
      </w:r>
      <w:r w:rsidRPr="00D83BD4">
        <w:rPr>
          <w:rStyle w:val="10"/>
          <w:rFonts w:eastAsiaTheme="majorEastAsia"/>
          <w:sz w:val="28"/>
          <w:szCs w:val="28"/>
          <w:shd w:val="clear" w:color="auto" w:fill="FFFFFF"/>
          <w:lang w:val="en-US"/>
        </w:rPr>
        <w:t xml:space="preserve"> </w:t>
      </w:r>
      <w:r w:rsidRPr="00D83BD4">
        <w:rPr>
          <w:sz w:val="28"/>
          <w:szCs w:val="28"/>
          <w:shd w:val="clear" w:color="auto" w:fill="FFFFFF"/>
          <w:lang w:val="en-US"/>
        </w:rPr>
        <w:t>doi: </w:t>
      </w:r>
      <w:r w:rsidRPr="009E4B7D">
        <w:rPr>
          <w:sz w:val="28"/>
          <w:szCs w:val="28"/>
          <w:shd w:val="clear" w:color="auto" w:fill="FFFFFF"/>
          <w:lang w:val="en-US"/>
        </w:rPr>
        <w:t>10.1016/j.atherosclerosis.2016.03.007</w:t>
      </w:r>
      <w:r w:rsidRPr="00D83BD4">
        <w:rPr>
          <w:rStyle w:val="fm-vol-iss-date"/>
          <w:sz w:val="28"/>
          <w:szCs w:val="28"/>
          <w:shd w:val="clear" w:color="auto" w:fill="FFFFFF"/>
          <w:lang w:val="en-US"/>
        </w:rPr>
        <w:t> </w:t>
      </w:r>
      <w:r w:rsidRPr="00D83BD4">
        <w:rPr>
          <w:rStyle w:val="fm-vol-iss-date"/>
          <w:sz w:val="28"/>
          <w:szCs w:val="28"/>
          <w:shd w:val="clear" w:color="auto" w:fill="FFFFFF"/>
          <w:lang w:val="uk-UA"/>
        </w:rPr>
        <w:t xml:space="preserve"> </w:t>
      </w:r>
    </w:p>
    <w:p w:rsidR="00E3259F" w:rsidRPr="00D83BD4" w:rsidRDefault="00E3259F" w:rsidP="00D83BD4">
      <w:pPr>
        <w:numPr>
          <w:ilvl w:val="0"/>
          <w:numId w:val="26"/>
        </w:numPr>
        <w:tabs>
          <w:tab w:val="num" w:pos="0"/>
        </w:tabs>
        <w:spacing w:line="360" w:lineRule="auto"/>
        <w:ind w:left="0" w:firstLine="0"/>
        <w:jc w:val="both"/>
        <w:rPr>
          <w:rStyle w:val="mixed-citation"/>
          <w:rFonts w:eastAsia="Calibri"/>
          <w:bCs/>
          <w:sz w:val="28"/>
          <w:szCs w:val="28"/>
          <w:lang w:val="en-US"/>
        </w:rPr>
      </w:pPr>
      <w:r w:rsidRPr="00D83BD4">
        <w:rPr>
          <w:sz w:val="28"/>
          <w:szCs w:val="28"/>
          <w:lang w:val="en-US"/>
        </w:rPr>
        <w:t>Cai</w:t>
      </w:r>
      <w:r w:rsidRPr="00D83BD4">
        <w:rPr>
          <w:sz w:val="28"/>
          <w:szCs w:val="28"/>
          <w:lang w:val="uk-UA"/>
        </w:rPr>
        <w:t xml:space="preserve">  </w:t>
      </w:r>
      <w:r w:rsidRPr="00D83BD4">
        <w:rPr>
          <w:sz w:val="28"/>
          <w:szCs w:val="28"/>
          <w:lang w:val="en-US"/>
        </w:rPr>
        <w:t>R</w:t>
      </w:r>
      <w:r w:rsidRPr="00D83BD4">
        <w:rPr>
          <w:sz w:val="28"/>
          <w:szCs w:val="28"/>
          <w:lang w:val="uk-UA"/>
        </w:rPr>
        <w:t xml:space="preserve">, </w:t>
      </w:r>
      <w:r w:rsidRPr="00D83BD4">
        <w:rPr>
          <w:sz w:val="28"/>
          <w:szCs w:val="28"/>
          <w:lang w:val="en-US"/>
        </w:rPr>
        <w:t>Yuan</w:t>
      </w:r>
      <w:r w:rsidRPr="00D83BD4">
        <w:rPr>
          <w:sz w:val="28"/>
          <w:szCs w:val="28"/>
          <w:lang w:val="uk-UA"/>
        </w:rPr>
        <w:t xml:space="preserve">  </w:t>
      </w:r>
      <w:r w:rsidRPr="00D83BD4">
        <w:rPr>
          <w:sz w:val="28"/>
          <w:szCs w:val="28"/>
          <w:lang w:val="en-US"/>
        </w:rPr>
        <w:t>Y</w:t>
      </w:r>
      <w:r w:rsidRPr="00D83BD4">
        <w:rPr>
          <w:sz w:val="28"/>
          <w:szCs w:val="28"/>
          <w:lang w:val="uk-UA"/>
        </w:rPr>
        <w:t xml:space="preserve">, </w:t>
      </w:r>
      <w:r w:rsidRPr="00D83BD4">
        <w:rPr>
          <w:sz w:val="28"/>
          <w:szCs w:val="28"/>
          <w:lang w:val="en-US"/>
        </w:rPr>
        <w:t>Sun</w:t>
      </w:r>
      <w:r w:rsidRPr="00D83BD4">
        <w:rPr>
          <w:sz w:val="28"/>
          <w:szCs w:val="28"/>
          <w:lang w:val="uk-UA"/>
        </w:rPr>
        <w:t xml:space="preserve">  </w:t>
      </w:r>
      <w:r w:rsidRPr="00D83BD4">
        <w:rPr>
          <w:sz w:val="28"/>
          <w:szCs w:val="28"/>
          <w:lang w:val="en-US"/>
        </w:rPr>
        <w:t>J</w:t>
      </w:r>
      <w:r w:rsidRPr="00D83BD4">
        <w:rPr>
          <w:sz w:val="28"/>
          <w:szCs w:val="28"/>
          <w:lang w:val="uk-UA"/>
        </w:rPr>
        <w:t xml:space="preserve">, </w:t>
      </w:r>
      <w:r w:rsidRPr="00D83BD4">
        <w:rPr>
          <w:sz w:val="28"/>
          <w:szCs w:val="28"/>
          <w:lang w:val="en-US"/>
        </w:rPr>
        <w:t>Xia</w:t>
      </w:r>
      <w:r w:rsidRPr="00D83BD4">
        <w:rPr>
          <w:sz w:val="28"/>
          <w:szCs w:val="28"/>
          <w:lang w:val="uk-UA"/>
        </w:rPr>
        <w:t xml:space="preserve">  </w:t>
      </w:r>
      <w:r w:rsidRPr="00D83BD4">
        <w:rPr>
          <w:sz w:val="28"/>
          <w:szCs w:val="28"/>
          <w:lang w:val="en-US"/>
        </w:rPr>
        <w:t>W</w:t>
      </w:r>
      <w:r w:rsidRPr="00D83BD4">
        <w:rPr>
          <w:sz w:val="28"/>
          <w:szCs w:val="28"/>
          <w:lang w:val="uk-UA"/>
        </w:rPr>
        <w:t xml:space="preserve">, </w:t>
      </w:r>
      <w:r w:rsidRPr="00D83BD4">
        <w:rPr>
          <w:sz w:val="28"/>
          <w:szCs w:val="28"/>
          <w:lang w:val="en-US"/>
        </w:rPr>
        <w:t>Huang</w:t>
      </w:r>
      <w:r w:rsidRPr="00D83BD4">
        <w:rPr>
          <w:sz w:val="28"/>
          <w:szCs w:val="28"/>
          <w:lang w:val="uk-UA"/>
        </w:rPr>
        <w:t xml:space="preserve">  </w:t>
      </w:r>
      <w:r w:rsidRPr="00D83BD4">
        <w:rPr>
          <w:sz w:val="28"/>
          <w:szCs w:val="28"/>
          <w:lang w:val="en-US"/>
        </w:rPr>
        <w:t>R</w:t>
      </w:r>
      <w:r w:rsidRPr="00D83BD4">
        <w:rPr>
          <w:sz w:val="28"/>
          <w:szCs w:val="28"/>
          <w:lang w:val="uk-UA"/>
        </w:rPr>
        <w:t xml:space="preserve">, </w:t>
      </w:r>
      <w:r w:rsidRPr="00D83BD4">
        <w:rPr>
          <w:sz w:val="28"/>
          <w:szCs w:val="28"/>
          <w:lang w:val="en-US"/>
        </w:rPr>
        <w:t>Tian</w:t>
      </w:r>
      <w:r w:rsidRPr="00D83BD4">
        <w:rPr>
          <w:sz w:val="28"/>
          <w:szCs w:val="28"/>
          <w:lang w:val="uk-UA"/>
        </w:rPr>
        <w:t xml:space="preserve">  </w:t>
      </w:r>
      <w:r w:rsidRPr="00D83BD4">
        <w:rPr>
          <w:sz w:val="28"/>
          <w:szCs w:val="28"/>
          <w:lang w:val="en-US"/>
        </w:rPr>
        <w:t>S</w:t>
      </w:r>
      <w:r w:rsidRPr="00D83BD4">
        <w:rPr>
          <w:sz w:val="28"/>
          <w:szCs w:val="28"/>
          <w:lang w:val="uk-UA"/>
        </w:rPr>
        <w:t xml:space="preserve">, </w:t>
      </w:r>
      <w:r w:rsidRPr="00D83BD4">
        <w:rPr>
          <w:sz w:val="28"/>
          <w:szCs w:val="28"/>
          <w:lang w:val="en-US"/>
        </w:rPr>
        <w:t>et al</w:t>
      </w:r>
      <w:r w:rsidRPr="00D83BD4">
        <w:rPr>
          <w:sz w:val="28"/>
          <w:szCs w:val="28"/>
          <w:lang w:val="uk-UA"/>
        </w:rPr>
        <w:t xml:space="preserve">. </w:t>
      </w:r>
      <w:r w:rsidRPr="00D83BD4">
        <w:rPr>
          <w:sz w:val="28"/>
          <w:szCs w:val="28"/>
          <w:lang w:val="en-US"/>
        </w:rPr>
        <w:t>Statins</w:t>
      </w:r>
      <w:r w:rsidRPr="00D83BD4">
        <w:rPr>
          <w:sz w:val="28"/>
          <w:szCs w:val="28"/>
          <w:lang w:val="uk-UA"/>
        </w:rPr>
        <w:t xml:space="preserve"> </w:t>
      </w:r>
      <w:r w:rsidRPr="00D83BD4">
        <w:rPr>
          <w:sz w:val="28"/>
          <w:szCs w:val="28"/>
          <w:lang w:val="en-US"/>
        </w:rPr>
        <w:t>worsen</w:t>
      </w:r>
      <w:r w:rsidRPr="00D83BD4">
        <w:rPr>
          <w:sz w:val="28"/>
          <w:szCs w:val="28"/>
          <w:lang w:val="uk-UA"/>
        </w:rPr>
        <w:t xml:space="preserve"> </w:t>
      </w:r>
      <w:r w:rsidRPr="00D83BD4">
        <w:rPr>
          <w:sz w:val="28"/>
          <w:szCs w:val="28"/>
          <w:lang w:val="en-US"/>
        </w:rPr>
        <w:t>glycemic</w:t>
      </w:r>
      <w:r w:rsidRPr="00D83BD4">
        <w:rPr>
          <w:sz w:val="28"/>
          <w:szCs w:val="28"/>
          <w:lang w:val="uk-UA"/>
        </w:rPr>
        <w:t xml:space="preserve"> </w:t>
      </w:r>
      <w:r w:rsidRPr="00D83BD4">
        <w:rPr>
          <w:sz w:val="28"/>
          <w:szCs w:val="28"/>
          <w:lang w:val="en-US"/>
        </w:rPr>
        <w:t>control</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T</w:t>
      </w:r>
      <w:r w:rsidRPr="00D83BD4">
        <w:rPr>
          <w:sz w:val="28"/>
          <w:szCs w:val="28"/>
          <w:lang w:val="uk-UA"/>
        </w:rPr>
        <w:t>2</w:t>
      </w:r>
      <w:r w:rsidRPr="00D83BD4">
        <w:rPr>
          <w:sz w:val="28"/>
          <w:szCs w:val="28"/>
          <w:lang w:val="en-US"/>
        </w:rPr>
        <w:t>DM</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target</w:t>
      </w:r>
      <w:r w:rsidRPr="00D83BD4">
        <w:rPr>
          <w:sz w:val="28"/>
          <w:szCs w:val="28"/>
          <w:lang w:val="uk-UA"/>
        </w:rPr>
        <w:t xml:space="preserve"> </w:t>
      </w:r>
      <w:r w:rsidRPr="00D83BD4">
        <w:rPr>
          <w:sz w:val="28"/>
          <w:szCs w:val="28"/>
          <w:lang w:val="en-US"/>
        </w:rPr>
        <w:t>LDL</w:t>
      </w:r>
      <w:r w:rsidRPr="00D83BD4">
        <w:rPr>
          <w:sz w:val="28"/>
          <w:szCs w:val="28"/>
          <w:lang w:val="uk-UA"/>
        </w:rPr>
        <w:t>-</w:t>
      </w:r>
      <w:r w:rsidRPr="00D83BD4">
        <w:rPr>
          <w:sz w:val="28"/>
          <w:szCs w:val="28"/>
          <w:lang w:val="en-US"/>
        </w:rPr>
        <w:t>c</w:t>
      </w:r>
      <w:r w:rsidRPr="00D83BD4">
        <w:rPr>
          <w:sz w:val="28"/>
          <w:szCs w:val="28"/>
          <w:lang w:val="uk-UA"/>
        </w:rPr>
        <w:t xml:space="preserve"> </w:t>
      </w:r>
      <w:r w:rsidRPr="00D83BD4">
        <w:rPr>
          <w:sz w:val="28"/>
          <w:szCs w:val="28"/>
          <w:lang w:val="en-US"/>
        </w:rPr>
        <w:t>level</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LDL</w:t>
      </w:r>
      <w:r w:rsidRPr="00D83BD4">
        <w:rPr>
          <w:sz w:val="28"/>
          <w:szCs w:val="28"/>
          <w:lang w:val="uk-UA"/>
        </w:rPr>
        <w:t>-</w:t>
      </w:r>
      <w:r w:rsidRPr="00D83BD4">
        <w:rPr>
          <w:sz w:val="28"/>
          <w:szCs w:val="28"/>
          <w:lang w:val="en-US"/>
        </w:rPr>
        <w:t>c</w:t>
      </w:r>
      <w:r w:rsidRPr="00D83BD4">
        <w:rPr>
          <w:sz w:val="28"/>
          <w:szCs w:val="28"/>
          <w:lang w:val="uk-UA"/>
        </w:rPr>
        <w:t xml:space="preserve"> </w:t>
      </w:r>
      <w:r w:rsidRPr="00D83BD4">
        <w:rPr>
          <w:sz w:val="28"/>
          <w:szCs w:val="28"/>
          <w:lang w:val="en-US"/>
        </w:rPr>
        <w:t>reduction</w:t>
      </w:r>
      <w:r w:rsidRPr="00D83BD4">
        <w:rPr>
          <w:sz w:val="28"/>
          <w:szCs w:val="28"/>
          <w:lang w:val="uk-UA"/>
        </w:rPr>
        <w:t xml:space="preserve"> </w:t>
      </w:r>
      <w:r w:rsidRPr="00D83BD4">
        <w:rPr>
          <w:sz w:val="28"/>
          <w:szCs w:val="28"/>
          <w:lang w:val="en-US"/>
        </w:rPr>
        <w:t>dependent</w:t>
      </w:r>
      <w:r w:rsidRPr="00D83BD4">
        <w:rPr>
          <w:sz w:val="28"/>
          <w:szCs w:val="28"/>
          <w:lang w:val="uk-UA"/>
        </w:rPr>
        <w:t xml:space="preserve"> </w:t>
      </w:r>
      <w:r w:rsidRPr="00D83BD4">
        <w:rPr>
          <w:sz w:val="28"/>
          <w:szCs w:val="28"/>
          <w:lang w:val="en-US"/>
        </w:rPr>
        <w:t>manners</w:t>
      </w:r>
      <w:r w:rsidRPr="00D83BD4">
        <w:rPr>
          <w:sz w:val="28"/>
          <w:szCs w:val="28"/>
          <w:lang w:val="uk-UA"/>
        </w:rPr>
        <w:t xml:space="preserve">: </w:t>
      </w:r>
      <w:r w:rsidRPr="00D83BD4">
        <w:rPr>
          <w:sz w:val="28"/>
          <w:szCs w:val="28"/>
          <w:lang w:val="en-US"/>
        </w:rPr>
        <w:t>a</w:t>
      </w:r>
      <w:r w:rsidRPr="00D83BD4">
        <w:rPr>
          <w:sz w:val="28"/>
          <w:szCs w:val="28"/>
          <w:lang w:val="uk-UA"/>
        </w:rPr>
        <w:t xml:space="preserve"> </w:t>
      </w:r>
      <w:r w:rsidRPr="00D83BD4">
        <w:rPr>
          <w:sz w:val="28"/>
          <w:szCs w:val="28"/>
          <w:lang w:val="en-US"/>
        </w:rPr>
        <w:t>meta</w:t>
      </w:r>
      <w:r w:rsidRPr="00D83BD4">
        <w:rPr>
          <w:sz w:val="28"/>
          <w:szCs w:val="28"/>
          <w:lang w:val="uk-UA"/>
        </w:rPr>
        <w:t>-</w:t>
      </w:r>
      <w:r w:rsidRPr="00D83BD4">
        <w:rPr>
          <w:sz w:val="28"/>
          <w:szCs w:val="28"/>
          <w:lang w:val="en-US"/>
        </w:rPr>
        <w:t>analysis</w:t>
      </w:r>
      <w:r w:rsidRPr="00D83BD4">
        <w:rPr>
          <w:sz w:val="28"/>
          <w:szCs w:val="28"/>
          <w:lang w:val="uk-UA"/>
        </w:rPr>
        <w:t xml:space="preserve">. </w:t>
      </w:r>
      <w:r w:rsidRPr="00D83BD4">
        <w:rPr>
          <w:sz w:val="28"/>
          <w:szCs w:val="28"/>
          <w:lang w:val="en-US"/>
        </w:rPr>
        <w:t>Expert</w:t>
      </w:r>
      <w:r w:rsidRPr="00D83BD4">
        <w:rPr>
          <w:sz w:val="28"/>
          <w:szCs w:val="28"/>
          <w:lang w:val="uk-UA"/>
        </w:rPr>
        <w:t xml:space="preserve"> </w:t>
      </w:r>
      <w:r w:rsidRPr="00D83BD4">
        <w:rPr>
          <w:sz w:val="28"/>
          <w:szCs w:val="28"/>
          <w:lang w:val="en-US"/>
        </w:rPr>
        <w:t>Opin</w:t>
      </w:r>
      <w:r w:rsidRPr="00D83BD4">
        <w:rPr>
          <w:sz w:val="28"/>
          <w:szCs w:val="28"/>
          <w:lang w:val="uk-UA"/>
        </w:rPr>
        <w:t xml:space="preserve">. </w:t>
      </w:r>
      <w:r w:rsidRPr="00D83BD4">
        <w:rPr>
          <w:sz w:val="28"/>
          <w:szCs w:val="28"/>
          <w:lang w:val="en-US"/>
        </w:rPr>
        <w:t>Pharmacother</w:t>
      </w:r>
      <w:r w:rsidRPr="00D83BD4">
        <w:rPr>
          <w:sz w:val="28"/>
          <w:szCs w:val="28"/>
          <w:lang w:val="uk-UA"/>
        </w:rPr>
        <w:t xml:space="preserve">.  2016;17:1839–1849. </w:t>
      </w:r>
      <w:r w:rsidRPr="00D83BD4">
        <w:rPr>
          <w:rStyle w:val="citation-doi"/>
          <w:sz w:val="28"/>
          <w:szCs w:val="28"/>
          <w:shd w:val="clear" w:color="auto" w:fill="FFFFFF"/>
        </w:rPr>
        <w:t>doi: 10.1080/14656566.2016.1220539.</w:t>
      </w:r>
      <w:r w:rsidRPr="00D83BD4">
        <w:rPr>
          <w:sz w:val="28"/>
          <w:szCs w:val="28"/>
          <w:shd w:val="clear" w:color="auto" w:fill="FFFFFF"/>
        </w:rPr>
        <w:t>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rStyle w:val="mixed-citation"/>
          <w:rFonts w:eastAsia="Calibri"/>
          <w:bCs/>
          <w:sz w:val="28"/>
          <w:szCs w:val="28"/>
          <w:lang w:val="en-US"/>
        </w:rPr>
        <w:t>Cai</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Y</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Ren</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Y</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Shi</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J</w:t>
      </w:r>
      <w:r w:rsidRPr="00D83BD4">
        <w:rPr>
          <w:rStyle w:val="mixed-citation"/>
          <w:rFonts w:eastAsia="Calibri"/>
          <w:bCs/>
          <w:sz w:val="28"/>
          <w:szCs w:val="28"/>
          <w:lang w:val="uk-UA"/>
        </w:rPr>
        <w:t xml:space="preserve">. </w:t>
      </w:r>
      <w:r w:rsidRPr="00D83BD4">
        <w:rPr>
          <w:rStyle w:val="ref-title"/>
          <w:bCs/>
          <w:sz w:val="28"/>
          <w:szCs w:val="28"/>
          <w:lang w:val="en-US"/>
        </w:rPr>
        <w:t>Blood</w:t>
      </w:r>
      <w:r w:rsidRPr="00D83BD4">
        <w:rPr>
          <w:rStyle w:val="ref-title"/>
          <w:bCs/>
          <w:sz w:val="28"/>
          <w:szCs w:val="28"/>
          <w:lang w:val="uk-UA"/>
        </w:rPr>
        <w:t xml:space="preserve"> </w:t>
      </w:r>
      <w:r w:rsidRPr="00D83BD4">
        <w:rPr>
          <w:rStyle w:val="ref-title"/>
          <w:bCs/>
          <w:sz w:val="28"/>
          <w:szCs w:val="28"/>
          <w:lang w:val="en-US"/>
        </w:rPr>
        <w:t>pressure</w:t>
      </w:r>
      <w:r w:rsidRPr="00D83BD4">
        <w:rPr>
          <w:rStyle w:val="ref-title"/>
          <w:bCs/>
          <w:sz w:val="28"/>
          <w:szCs w:val="28"/>
          <w:lang w:val="uk-UA"/>
        </w:rPr>
        <w:t xml:space="preserve"> </w:t>
      </w:r>
      <w:r w:rsidRPr="00D83BD4">
        <w:rPr>
          <w:rStyle w:val="ref-title"/>
          <w:bCs/>
          <w:sz w:val="28"/>
          <w:szCs w:val="28"/>
          <w:lang w:val="en-US"/>
        </w:rPr>
        <w:t>levels</w:t>
      </w:r>
      <w:r w:rsidRPr="00D83BD4">
        <w:rPr>
          <w:rStyle w:val="ref-title"/>
          <w:bCs/>
          <w:sz w:val="28"/>
          <w:szCs w:val="28"/>
          <w:lang w:val="uk-UA"/>
        </w:rPr>
        <w:t xml:space="preserve"> </w:t>
      </w:r>
      <w:r w:rsidRPr="00D83BD4">
        <w:rPr>
          <w:rStyle w:val="ref-title"/>
          <w:bCs/>
          <w:sz w:val="28"/>
          <w:szCs w:val="28"/>
          <w:lang w:val="en-US"/>
        </w:rPr>
        <w:t>in</w:t>
      </w:r>
      <w:r w:rsidRPr="00D83BD4">
        <w:rPr>
          <w:rStyle w:val="ref-title"/>
          <w:bCs/>
          <w:sz w:val="28"/>
          <w:szCs w:val="28"/>
          <w:lang w:val="uk-UA"/>
        </w:rPr>
        <w:t xml:space="preserve"> </w:t>
      </w:r>
      <w:r w:rsidRPr="00D83BD4">
        <w:rPr>
          <w:rStyle w:val="ref-title"/>
          <w:bCs/>
          <w:sz w:val="28"/>
          <w:szCs w:val="28"/>
          <w:lang w:val="en-US"/>
        </w:rPr>
        <w:t>patients</w:t>
      </w:r>
      <w:r w:rsidRPr="00D83BD4">
        <w:rPr>
          <w:rStyle w:val="ref-title"/>
          <w:bCs/>
          <w:sz w:val="28"/>
          <w:szCs w:val="28"/>
          <w:lang w:val="uk-UA"/>
        </w:rPr>
        <w:t xml:space="preserve"> </w:t>
      </w:r>
      <w:r w:rsidRPr="00D83BD4">
        <w:rPr>
          <w:rStyle w:val="ref-title"/>
          <w:bCs/>
          <w:sz w:val="28"/>
          <w:szCs w:val="28"/>
          <w:lang w:val="en-US"/>
        </w:rPr>
        <w:t>with</w:t>
      </w:r>
      <w:r w:rsidRPr="00D83BD4">
        <w:rPr>
          <w:rStyle w:val="ref-title"/>
          <w:bCs/>
          <w:sz w:val="28"/>
          <w:szCs w:val="28"/>
          <w:lang w:val="uk-UA"/>
        </w:rPr>
        <w:t xml:space="preserve"> </w:t>
      </w:r>
      <w:r w:rsidRPr="00D83BD4">
        <w:rPr>
          <w:rStyle w:val="ref-title"/>
          <w:bCs/>
          <w:sz w:val="28"/>
          <w:szCs w:val="28"/>
          <w:lang w:val="en-US"/>
        </w:rPr>
        <w:t>subclinical</w:t>
      </w:r>
      <w:r w:rsidRPr="00D83BD4">
        <w:rPr>
          <w:rStyle w:val="ref-title"/>
          <w:bCs/>
          <w:sz w:val="28"/>
          <w:szCs w:val="28"/>
          <w:lang w:val="uk-UA"/>
        </w:rPr>
        <w:t xml:space="preserve"> </w:t>
      </w:r>
      <w:r w:rsidRPr="00D83BD4">
        <w:rPr>
          <w:rStyle w:val="ref-title"/>
          <w:bCs/>
          <w:sz w:val="28"/>
          <w:szCs w:val="28"/>
          <w:lang w:val="en-US"/>
        </w:rPr>
        <w:t>thyroid</w:t>
      </w:r>
      <w:r w:rsidRPr="00D83BD4">
        <w:rPr>
          <w:rStyle w:val="ref-title"/>
          <w:bCs/>
          <w:sz w:val="28"/>
          <w:szCs w:val="28"/>
          <w:lang w:val="uk-UA"/>
        </w:rPr>
        <w:t xml:space="preserve"> </w:t>
      </w:r>
      <w:r w:rsidRPr="00D83BD4">
        <w:rPr>
          <w:rStyle w:val="ref-title"/>
          <w:bCs/>
          <w:sz w:val="28"/>
          <w:szCs w:val="28"/>
          <w:lang w:val="en-US"/>
        </w:rPr>
        <w:t>dysfunction</w:t>
      </w:r>
      <w:r w:rsidRPr="00D83BD4">
        <w:rPr>
          <w:rStyle w:val="ref-title"/>
          <w:bCs/>
          <w:sz w:val="28"/>
          <w:szCs w:val="28"/>
          <w:lang w:val="uk-UA"/>
        </w:rPr>
        <w:t xml:space="preserve">: </w:t>
      </w:r>
      <w:r w:rsidRPr="00D83BD4">
        <w:rPr>
          <w:rStyle w:val="ref-title"/>
          <w:bCs/>
          <w:sz w:val="28"/>
          <w:szCs w:val="28"/>
          <w:lang w:val="en-US"/>
        </w:rPr>
        <w:t>a</w:t>
      </w:r>
      <w:r w:rsidRPr="00D83BD4">
        <w:rPr>
          <w:rStyle w:val="ref-title"/>
          <w:bCs/>
          <w:sz w:val="28"/>
          <w:szCs w:val="28"/>
          <w:lang w:val="uk-UA"/>
        </w:rPr>
        <w:t xml:space="preserve"> </w:t>
      </w:r>
      <w:r w:rsidRPr="00D83BD4">
        <w:rPr>
          <w:rStyle w:val="ref-title"/>
          <w:bCs/>
          <w:sz w:val="28"/>
          <w:szCs w:val="28"/>
          <w:lang w:val="en-US"/>
        </w:rPr>
        <w:t>meta</w:t>
      </w:r>
      <w:r w:rsidRPr="00D83BD4">
        <w:rPr>
          <w:rStyle w:val="ref-title"/>
          <w:bCs/>
          <w:sz w:val="28"/>
          <w:szCs w:val="28"/>
          <w:lang w:val="uk-UA"/>
        </w:rPr>
        <w:t>-</w:t>
      </w:r>
      <w:r w:rsidRPr="00D83BD4">
        <w:rPr>
          <w:rStyle w:val="ref-title"/>
          <w:bCs/>
          <w:sz w:val="28"/>
          <w:szCs w:val="28"/>
          <w:lang w:val="en-US"/>
        </w:rPr>
        <w:t>analysis</w:t>
      </w:r>
      <w:r w:rsidRPr="00D83BD4">
        <w:rPr>
          <w:rStyle w:val="ref-title"/>
          <w:bCs/>
          <w:sz w:val="28"/>
          <w:szCs w:val="28"/>
          <w:lang w:val="uk-UA"/>
        </w:rPr>
        <w:t xml:space="preserve"> </w:t>
      </w:r>
      <w:r w:rsidRPr="00D83BD4">
        <w:rPr>
          <w:rStyle w:val="ref-title"/>
          <w:bCs/>
          <w:sz w:val="28"/>
          <w:szCs w:val="28"/>
          <w:lang w:val="en-US"/>
        </w:rPr>
        <w:t>of</w:t>
      </w:r>
      <w:r w:rsidRPr="00D83BD4">
        <w:rPr>
          <w:rStyle w:val="ref-title"/>
          <w:bCs/>
          <w:sz w:val="28"/>
          <w:szCs w:val="28"/>
          <w:lang w:val="uk-UA"/>
        </w:rPr>
        <w:t xml:space="preserve"> </w:t>
      </w:r>
      <w:r w:rsidRPr="00D83BD4">
        <w:rPr>
          <w:rStyle w:val="ref-title"/>
          <w:bCs/>
          <w:sz w:val="28"/>
          <w:szCs w:val="28"/>
          <w:lang w:val="en-US"/>
        </w:rPr>
        <w:t>cross</w:t>
      </w:r>
      <w:r w:rsidRPr="00D83BD4">
        <w:rPr>
          <w:rStyle w:val="ref-title"/>
          <w:bCs/>
          <w:sz w:val="28"/>
          <w:szCs w:val="28"/>
          <w:lang w:val="uk-UA"/>
        </w:rPr>
        <w:t>-</w:t>
      </w:r>
      <w:r w:rsidRPr="00D83BD4">
        <w:rPr>
          <w:rStyle w:val="ref-title"/>
          <w:bCs/>
          <w:sz w:val="28"/>
          <w:szCs w:val="28"/>
          <w:lang w:val="en-US"/>
        </w:rPr>
        <w:t>sectional</w:t>
      </w:r>
      <w:r w:rsidRPr="00D83BD4">
        <w:rPr>
          <w:rStyle w:val="ref-title"/>
          <w:bCs/>
          <w:sz w:val="28"/>
          <w:szCs w:val="28"/>
          <w:lang w:val="uk-UA"/>
        </w:rPr>
        <w:t xml:space="preserve"> </w:t>
      </w:r>
      <w:r w:rsidRPr="00D83BD4">
        <w:rPr>
          <w:rStyle w:val="ref-title"/>
          <w:bCs/>
          <w:sz w:val="28"/>
          <w:szCs w:val="28"/>
          <w:lang w:val="en-US"/>
        </w:rPr>
        <w:t>data</w:t>
      </w:r>
      <w:r w:rsidRPr="00D83BD4">
        <w:rPr>
          <w:rStyle w:val="mixed-citation"/>
          <w:rFonts w:eastAsia="Calibri"/>
          <w:bCs/>
          <w:sz w:val="28"/>
          <w:szCs w:val="28"/>
          <w:lang w:val="uk-UA"/>
        </w:rPr>
        <w:t xml:space="preserve">. </w:t>
      </w:r>
      <w:r w:rsidRPr="00D83BD4">
        <w:rPr>
          <w:rStyle w:val="ref-journal"/>
          <w:bCs/>
          <w:sz w:val="28"/>
          <w:szCs w:val="28"/>
          <w:lang w:val="en-US"/>
        </w:rPr>
        <w:t>Hypertens</w:t>
      </w:r>
      <w:r w:rsidRPr="00D83BD4">
        <w:rPr>
          <w:rStyle w:val="ref-journal"/>
          <w:bCs/>
          <w:sz w:val="28"/>
          <w:szCs w:val="28"/>
          <w:lang w:val="uk-UA"/>
        </w:rPr>
        <w:t xml:space="preserve"> </w:t>
      </w:r>
      <w:r w:rsidRPr="00D83BD4">
        <w:rPr>
          <w:rStyle w:val="ref-journal"/>
          <w:bCs/>
          <w:sz w:val="28"/>
          <w:szCs w:val="28"/>
          <w:lang w:val="en-US"/>
        </w:rPr>
        <w:t>Res.</w:t>
      </w:r>
      <w:r w:rsidRPr="00D83BD4">
        <w:rPr>
          <w:rStyle w:val="mixed-citation"/>
          <w:rFonts w:eastAsia="Calibri"/>
          <w:bCs/>
          <w:sz w:val="28"/>
          <w:szCs w:val="28"/>
          <w:lang w:val="uk-UA"/>
        </w:rPr>
        <w:t xml:space="preserve"> 2011;</w:t>
      </w:r>
      <w:r w:rsidRPr="00D83BD4">
        <w:rPr>
          <w:rStyle w:val="ref-vol"/>
          <w:bCs/>
          <w:sz w:val="28"/>
          <w:szCs w:val="28"/>
          <w:lang w:val="uk-UA"/>
        </w:rPr>
        <w:t>34</w:t>
      </w:r>
      <w:r w:rsidRPr="00D83BD4">
        <w:rPr>
          <w:rStyle w:val="mixed-citation"/>
          <w:rFonts w:eastAsia="Calibri"/>
          <w:bCs/>
          <w:sz w:val="28"/>
          <w:szCs w:val="28"/>
          <w:lang w:val="uk-UA"/>
        </w:rPr>
        <w:t xml:space="preserve">:1098–105. </w:t>
      </w:r>
      <w:r w:rsidRPr="00D83BD4">
        <w:rPr>
          <w:sz w:val="28"/>
          <w:szCs w:val="28"/>
        </w:rPr>
        <w:t>doi:</w:t>
      </w:r>
      <w:r w:rsidRPr="00D83BD4">
        <w:rPr>
          <w:sz w:val="28"/>
          <w:szCs w:val="28"/>
          <w:lang w:val="uk-UA"/>
        </w:rPr>
        <w:t xml:space="preserve"> </w:t>
      </w:r>
      <w:r w:rsidRPr="00D83BD4">
        <w:rPr>
          <w:rStyle w:val="mixed-citation"/>
          <w:bCs/>
          <w:sz w:val="28"/>
          <w:szCs w:val="28"/>
          <w:lang w:val="uk-UA"/>
        </w:rPr>
        <w:t>10.1038/</w:t>
      </w:r>
      <w:r w:rsidRPr="00D83BD4">
        <w:rPr>
          <w:rStyle w:val="mixed-citation"/>
          <w:bCs/>
          <w:sz w:val="28"/>
          <w:szCs w:val="28"/>
          <w:lang w:val="en-US"/>
        </w:rPr>
        <w:t>hr</w:t>
      </w:r>
      <w:r w:rsidRPr="00D83BD4">
        <w:rPr>
          <w:rStyle w:val="mixed-citation"/>
          <w:bCs/>
          <w:sz w:val="28"/>
          <w:szCs w:val="28"/>
          <w:lang w:val="uk-UA"/>
        </w:rPr>
        <w:t>.2011.91.</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Campos C, Guzmán R, López-Fernández E, </w:t>
      </w:r>
      <w:r w:rsidRPr="00D83BD4">
        <w:rPr>
          <w:sz w:val="28"/>
          <w:szCs w:val="28"/>
          <w:shd w:val="clear" w:color="auto" w:fill="FFFFFF"/>
          <w:lang w:val="en-US"/>
        </w:rPr>
        <w:t>Casado A. </w:t>
      </w:r>
      <w:r w:rsidRPr="00D83BD4">
        <w:rPr>
          <w:sz w:val="28"/>
          <w:szCs w:val="28"/>
          <w:lang w:val="en-US"/>
        </w:rPr>
        <w:t>Evaluation of urinary biomarkers of oxidative/nitrosative stress in adolescents and adults with Down syndrome. Biochim Biophys Acta</w:t>
      </w:r>
      <w:r w:rsidRPr="00D83BD4">
        <w:rPr>
          <w:sz w:val="28"/>
          <w:szCs w:val="28"/>
          <w:shd w:val="clear" w:color="auto" w:fill="FFFFFF"/>
          <w:lang w:val="en-US"/>
        </w:rPr>
        <w:t>;1812(7):760-768. doi: 10.1016/j.bbadis.2011.03.013</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Canaris GJ, Manowitz NR, Mayor G, Ridgway EC.  The Colorado thyroid disease prevalence study. Arch. Intern. Med. 2000; 160(4): 526–534.</w:t>
      </w:r>
      <w:r w:rsidRPr="00D83BD4">
        <w:rPr>
          <w:sz w:val="28"/>
          <w:szCs w:val="28"/>
          <w:shd w:val="clear" w:color="auto" w:fill="FFFFFF"/>
        </w:rPr>
        <w:t xml:space="preserve"> doi: 10.1001/archinte.160.4.526.</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lang w:val="en-US"/>
        </w:rPr>
        <w:t xml:space="preserve">Carmena R, Betteridge DJ. Diabetogenic Action of Statins: Mechanisms. </w:t>
      </w:r>
      <w:r w:rsidRPr="00D83BD4">
        <w:rPr>
          <w:sz w:val="28"/>
          <w:szCs w:val="28"/>
        </w:rPr>
        <w:t>Curr Atheroscler Rep. 2019;21(6):23.</w:t>
      </w:r>
      <w:r w:rsidRPr="00D83BD4">
        <w:rPr>
          <w:sz w:val="28"/>
          <w:szCs w:val="28"/>
          <w:shd w:val="clear" w:color="auto" w:fill="FFFFFF"/>
        </w:rPr>
        <w:t xml:space="preserve"> doi: 10.1007/s11883-019-0780-z.</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lang w:val="en-US"/>
        </w:rPr>
        <w:t>Carty</w:t>
      </w:r>
      <w:r w:rsidRPr="00D83BD4">
        <w:rPr>
          <w:sz w:val="28"/>
          <w:szCs w:val="28"/>
          <w:lang w:val="uk-UA"/>
        </w:rPr>
        <w:t xml:space="preserve"> </w:t>
      </w:r>
      <w:r w:rsidRPr="00D83BD4">
        <w:rPr>
          <w:sz w:val="28"/>
          <w:szCs w:val="28"/>
          <w:lang w:val="en-US"/>
        </w:rPr>
        <w:t xml:space="preserve"> CL, Kooperberg</w:t>
      </w:r>
      <w:r w:rsidRPr="00D83BD4">
        <w:rPr>
          <w:sz w:val="28"/>
          <w:szCs w:val="28"/>
          <w:lang w:val="uk-UA"/>
        </w:rPr>
        <w:t xml:space="preserve"> </w:t>
      </w:r>
      <w:r w:rsidRPr="00D83BD4">
        <w:rPr>
          <w:sz w:val="28"/>
          <w:szCs w:val="28"/>
          <w:lang w:val="en-US"/>
        </w:rPr>
        <w:t xml:space="preserve"> C, Liu</w:t>
      </w:r>
      <w:r w:rsidRPr="00D83BD4">
        <w:rPr>
          <w:sz w:val="28"/>
          <w:szCs w:val="28"/>
          <w:lang w:val="uk-UA"/>
        </w:rPr>
        <w:t xml:space="preserve"> </w:t>
      </w:r>
      <w:r w:rsidRPr="00D83BD4">
        <w:rPr>
          <w:sz w:val="28"/>
          <w:szCs w:val="28"/>
          <w:lang w:val="en-US"/>
        </w:rPr>
        <w:t xml:space="preserve">J, </w:t>
      </w:r>
      <w:r w:rsidRPr="00D83BD4">
        <w:rPr>
          <w:sz w:val="28"/>
          <w:szCs w:val="28"/>
          <w:shd w:val="clear" w:color="auto" w:fill="FFFFFF"/>
          <w:lang w:val="en-US"/>
        </w:rPr>
        <w:t>Herndon M, Assimes T, Hou L, </w:t>
      </w:r>
      <w:r w:rsidRPr="00D83BD4">
        <w:rPr>
          <w:sz w:val="28"/>
          <w:szCs w:val="28"/>
          <w:lang w:val="en-US"/>
        </w:rPr>
        <w:t xml:space="preserve"> et al</w:t>
      </w:r>
      <w:r w:rsidRPr="00D83BD4">
        <w:rPr>
          <w:i/>
          <w:iCs/>
          <w:sz w:val="28"/>
          <w:szCs w:val="28"/>
          <w:lang w:val="en-US"/>
        </w:rPr>
        <w:t xml:space="preserve">. </w:t>
      </w:r>
      <w:r w:rsidRPr="00D83BD4">
        <w:rPr>
          <w:sz w:val="28"/>
          <w:szCs w:val="28"/>
          <w:lang w:val="en-US"/>
        </w:rPr>
        <w:t>Leukocyte Telomere Length and Risks of Incident Coronary Heart Disease and Mortality in a Racially Diverse Population of Postmenopausal Women</w:t>
      </w:r>
      <w:r w:rsidRPr="00D83BD4">
        <w:rPr>
          <w:sz w:val="28"/>
          <w:szCs w:val="28"/>
          <w:lang w:val="uk-UA"/>
        </w:rPr>
        <w:t xml:space="preserve">. </w:t>
      </w:r>
      <w:r w:rsidRPr="00D83BD4">
        <w:rPr>
          <w:sz w:val="28"/>
          <w:szCs w:val="28"/>
          <w:lang w:val="en-US"/>
        </w:rPr>
        <w:t xml:space="preserve"> Arterioscler. Thromb. Vasc. Biol. 2015;35(10):2225–2231. </w:t>
      </w:r>
      <w:r w:rsidRPr="00D83BD4">
        <w:rPr>
          <w:sz w:val="28"/>
          <w:szCs w:val="28"/>
          <w:shd w:val="clear" w:color="auto" w:fill="FFFFFF"/>
        </w:rPr>
        <w:t>doi: 10.1161/ATVBAHA.115.305838.</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 xml:space="preserve">Carracedo J, Ramírez-Carracedo R, Martínez de Toda I, Vida C, Alique M, De la Fuente M, Ramírez-Chamond R. Protein </w:t>
      </w:r>
      <w:r w:rsidRPr="00D83BD4">
        <w:rPr>
          <w:rFonts w:eastAsia="SimSun"/>
          <w:sz w:val="28"/>
          <w:szCs w:val="28"/>
          <w:shd w:val="clear" w:color="auto" w:fill="FFFFFF"/>
          <w:lang w:val="en-US" w:eastAsia="zh-CN"/>
        </w:rPr>
        <w:t>c</w:t>
      </w:r>
      <w:r w:rsidRPr="00D83BD4">
        <w:rPr>
          <w:sz w:val="28"/>
          <w:szCs w:val="28"/>
          <w:shd w:val="clear" w:color="auto" w:fill="FFFFFF"/>
          <w:lang w:val="en-US"/>
        </w:rPr>
        <w:t xml:space="preserve">arbamylation: </w:t>
      </w:r>
      <w:r w:rsidRPr="00D83BD4">
        <w:rPr>
          <w:rFonts w:eastAsia="SimSun"/>
          <w:sz w:val="28"/>
          <w:szCs w:val="28"/>
          <w:shd w:val="clear" w:color="auto" w:fill="FFFFFF"/>
          <w:lang w:val="en-US" w:eastAsia="zh-CN"/>
        </w:rPr>
        <w:t>a</w:t>
      </w:r>
      <w:r w:rsidRPr="00D83BD4">
        <w:rPr>
          <w:sz w:val="28"/>
          <w:szCs w:val="28"/>
          <w:shd w:val="clear" w:color="auto" w:fill="FFFFFF"/>
          <w:lang w:val="en-US"/>
        </w:rPr>
        <w:t xml:space="preserve"> </w:t>
      </w:r>
      <w:r w:rsidRPr="00D83BD4">
        <w:rPr>
          <w:rFonts w:eastAsia="SimSun"/>
          <w:sz w:val="28"/>
          <w:szCs w:val="28"/>
          <w:shd w:val="clear" w:color="auto" w:fill="FFFFFF"/>
          <w:lang w:val="en-US" w:eastAsia="zh-CN"/>
        </w:rPr>
        <w:t>m</w:t>
      </w:r>
      <w:r w:rsidRPr="00D83BD4">
        <w:rPr>
          <w:sz w:val="28"/>
          <w:szCs w:val="28"/>
          <w:shd w:val="clear" w:color="auto" w:fill="FFFFFF"/>
          <w:lang w:val="en-US"/>
        </w:rPr>
        <w:t xml:space="preserve">arker </w:t>
      </w:r>
      <w:r w:rsidRPr="00D83BD4">
        <w:rPr>
          <w:rFonts w:eastAsia="SimSun"/>
          <w:sz w:val="28"/>
          <w:szCs w:val="28"/>
          <w:shd w:val="clear" w:color="auto" w:fill="FFFFFF"/>
          <w:lang w:val="en-US" w:eastAsia="zh-CN"/>
        </w:rPr>
        <w:t>r</w:t>
      </w:r>
      <w:r w:rsidRPr="00D83BD4">
        <w:rPr>
          <w:sz w:val="28"/>
          <w:szCs w:val="28"/>
          <w:shd w:val="clear" w:color="auto" w:fill="FFFFFF"/>
          <w:lang w:val="en-US"/>
        </w:rPr>
        <w:t xml:space="preserve">eflecting </w:t>
      </w:r>
      <w:r w:rsidRPr="00D83BD4">
        <w:rPr>
          <w:rFonts w:eastAsia="SimSun"/>
          <w:sz w:val="28"/>
          <w:szCs w:val="28"/>
          <w:shd w:val="clear" w:color="auto" w:fill="FFFFFF"/>
          <w:lang w:val="en-US" w:eastAsia="zh-CN"/>
        </w:rPr>
        <w:t>i</w:t>
      </w:r>
      <w:r w:rsidRPr="00D83BD4">
        <w:rPr>
          <w:sz w:val="28"/>
          <w:szCs w:val="28"/>
          <w:shd w:val="clear" w:color="auto" w:fill="FFFFFF"/>
          <w:lang w:val="en-US"/>
        </w:rPr>
        <w:t xml:space="preserve">ncreased </w:t>
      </w:r>
      <w:r w:rsidRPr="00D83BD4">
        <w:rPr>
          <w:rFonts w:eastAsia="SimSun"/>
          <w:sz w:val="28"/>
          <w:szCs w:val="28"/>
          <w:shd w:val="clear" w:color="auto" w:fill="FFFFFF"/>
          <w:lang w:val="en-US" w:eastAsia="zh-CN"/>
        </w:rPr>
        <w:t>a</w:t>
      </w:r>
      <w:r w:rsidRPr="00D83BD4">
        <w:rPr>
          <w:sz w:val="28"/>
          <w:szCs w:val="28"/>
          <w:shd w:val="clear" w:color="auto" w:fill="FFFFFF"/>
          <w:lang w:val="en-US"/>
        </w:rPr>
        <w:t>ge-</w:t>
      </w:r>
      <w:r w:rsidRPr="00D83BD4">
        <w:rPr>
          <w:rFonts w:eastAsia="SimSun"/>
          <w:sz w:val="28"/>
          <w:szCs w:val="28"/>
          <w:shd w:val="clear" w:color="auto" w:fill="FFFFFF"/>
          <w:lang w:val="en-US" w:eastAsia="zh-CN"/>
        </w:rPr>
        <w:t>r</w:t>
      </w:r>
      <w:r w:rsidRPr="00D83BD4">
        <w:rPr>
          <w:sz w:val="28"/>
          <w:szCs w:val="28"/>
          <w:shd w:val="clear" w:color="auto" w:fill="FFFFFF"/>
          <w:lang w:val="en-US"/>
        </w:rPr>
        <w:t xml:space="preserve">elated </w:t>
      </w:r>
      <w:r w:rsidRPr="00D83BD4">
        <w:rPr>
          <w:rFonts w:eastAsia="SimSun"/>
          <w:sz w:val="28"/>
          <w:szCs w:val="28"/>
          <w:shd w:val="clear" w:color="auto" w:fill="FFFFFF"/>
          <w:lang w:val="en-US" w:eastAsia="zh-CN"/>
        </w:rPr>
        <w:t>c</w:t>
      </w:r>
      <w:r w:rsidRPr="00D83BD4">
        <w:rPr>
          <w:sz w:val="28"/>
          <w:szCs w:val="28"/>
          <w:shd w:val="clear" w:color="auto" w:fill="FFFFFF"/>
          <w:lang w:val="en-US"/>
        </w:rPr>
        <w:t xml:space="preserve">ell </w:t>
      </w:r>
      <w:r w:rsidRPr="00D83BD4">
        <w:rPr>
          <w:rFonts w:eastAsia="SimSun"/>
          <w:sz w:val="28"/>
          <w:szCs w:val="28"/>
          <w:shd w:val="clear" w:color="auto" w:fill="FFFFFF"/>
          <w:lang w:val="en-US" w:eastAsia="zh-CN"/>
        </w:rPr>
        <w:t>o</w:t>
      </w:r>
      <w:r w:rsidRPr="00D83BD4">
        <w:rPr>
          <w:sz w:val="28"/>
          <w:szCs w:val="28"/>
          <w:shd w:val="clear" w:color="auto" w:fill="FFFFFF"/>
          <w:lang w:val="en-US"/>
        </w:rPr>
        <w:t>xidation. </w:t>
      </w:r>
      <w:r w:rsidRPr="00D83BD4">
        <w:rPr>
          <w:rStyle w:val="afb"/>
          <w:i w:val="0"/>
          <w:iCs w:val="0"/>
          <w:sz w:val="28"/>
          <w:szCs w:val="28"/>
          <w:shd w:val="clear" w:color="auto" w:fill="FFFFFF"/>
          <w:lang w:val="en-US"/>
        </w:rPr>
        <w:t>Int J Mol Sci.</w:t>
      </w:r>
      <w:r w:rsidRPr="00D83BD4">
        <w:rPr>
          <w:i/>
          <w:sz w:val="28"/>
          <w:szCs w:val="28"/>
          <w:shd w:val="clear" w:color="auto" w:fill="FFFFFF"/>
          <w:lang w:val="en-US"/>
        </w:rPr>
        <w:t> </w:t>
      </w:r>
      <w:r w:rsidRPr="00D83BD4">
        <w:rPr>
          <w:bCs/>
          <w:sz w:val="28"/>
          <w:szCs w:val="28"/>
          <w:shd w:val="clear" w:color="auto" w:fill="FFFFFF"/>
          <w:lang w:val="en-US"/>
        </w:rPr>
        <w:t>2018</w:t>
      </w:r>
      <w:r w:rsidRPr="00D83BD4">
        <w:rPr>
          <w:sz w:val="28"/>
          <w:szCs w:val="28"/>
          <w:shd w:val="clear" w:color="auto" w:fill="FFFFFF"/>
          <w:lang w:val="en-US"/>
        </w:rPr>
        <w:t>;</w:t>
      </w:r>
      <w:r w:rsidRPr="00D83BD4">
        <w:rPr>
          <w:sz w:val="28"/>
          <w:szCs w:val="28"/>
          <w:lang w:val="en-US"/>
        </w:rPr>
        <w:t xml:space="preserve">19:1495. </w:t>
      </w:r>
      <w:r w:rsidRPr="00D83BD4">
        <w:rPr>
          <w:rFonts w:eastAsia="SimSun"/>
          <w:sz w:val="28"/>
          <w:szCs w:val="28"/>
          <w:shd w:val="clear" w:color="auto" w:fill="FFFFFF"/>
          <w:lang w:val="en-US" w:eastAsia="zh-CN"/>
        </w:rPr>
        <w:t xml:space="preserve"> </w:t>
      </w:r>
      <w:r w:rsidRPr="00D83BD4">
        <w:rPr>
          <w:sz w:val="28"/>
          <w:szCs w:val="28"/>
          <w:shd w:val="clear" w:color="auto" w:fill="FFFFFF"/>
          <w:lang w:val="en-US"/>
        </w:rPr>
        <w:t>doi: 10.3390/ijms19051495.</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Catapano</w:t>
      </w:r>
      <w:r w:rsidRPr="00D83BD4">
        <w:rPr>
          <w:sz w:val="28"/>
          <w:szCs w:val="28"/>
          <w:lang w:val="uk-UA"/>
        </w:rPr>
        <w:t xml:space="preserve"> </w:t>
      </w:r>
      <w:r w:rsidRPr="00D83BD4">
        <w:rPr>
          <w:sz w:val="28"/>
          <w:szCs w:val="28"/>
          <w:lang w:val="en-US"/>
        </w:rPr>
        <w:t>AL</w:t>
      </w:r>
      <w:r w:rsidRPr="00D83BD4">
        <w:rPr>
          <w:sz w:val="28"/>
          <w:szCs w:val="28"/>
          <w:lang w:val="uk-UA"/>
        </w:rPr>
        <w:t xml:space="preserve">, </w:t>
      </w:r>
      <w:r w:rsidRPr="00D83BD4">
        <w:rPr>
          <w:sz w:val="28"/>
          <w:szCs w:val="28"/>
          <w:lang w:val="en-US"/>
        </w:rPr>
        <w:t>Graham</w:t>
      </w:r>
      <w:r w:rsidRPr="00D83BD4">
        <w:rPr>
          <w:sz w:val="28"/>
          <w:szCs w:val="28"/>
          <w:lang w:val="uk-UA"/>
        </w:rPr>
        <w:t xml:space="preserve"> </w:t>
      </w:r>
      <w:r w:rsidRPr="00D83BD4">
        <w:rPr>
          <w:sz w:val="28"/>
          <w:szCs w:val="28"/>
          <w:lang w:val="en-US"/>
        </w:rPr>
        <w:t>I</w:t>
      </w:r>
      <w:r w:rsidRPr="00D83BD4">
        <w:rPr>
          <w:sz w:val="28"/>
          <w:szCs w:val="28"/>
          <w:lang w:val="uk-UA"/>
        </w:rPr>
        <w:t xml:space="preserve">, </w:t>
      </w:r>
      <w:r w:rsidRPr="00D83BD4">
        <w:rPr>
          <w:sz w:val="28"/>
          <w:szCs w:val="28"/>
          <w:lang w:val="en-US"/>
        </w:rPr>
        <w:t>De</w:t>
      </w:r>
      <w:r w:rsidRPr="00D83BD4">
        <w:rPr>
          <w:sz w:val="28"/>
          <w:szCs w:val="28"/>
          <w:lang w:val="uk-UA"/>
        </w:rPr>
        <w:t xml:space="preserve"> </w:t>
      </w:r>
      <w:r w:rsidRPr="00D83BD4">
        <w:rPr>
          <w:sz w:val="28"/>
          <w:szCs w:val="28"/>
          <w:lang w:val="en-US"/>
        </w:rPr>
        <w:t>Backer</w:t>
      </w:r>
      <w:r w:rsidRPr="00D83BD4">
        <w:rPr>
          <w:sz w:val="28"/>
          <w:szCs w:val="28"/>
          <w:lang w:val="uk-UA"/>
        </w:rPr>
        <w:t xml:space="preserve"> </w:t>
      </w:r>
      <w:r w:rsidRPr="00D83BD4">
        <w:rPr>
          <w:sz w:val="28"/>
          <w:szCs w:val="28"/>
          <w:lang w:val="en-US"/>
        </w:rPr>
        <w:t>G,</w:t>
      </w:r>
      <w:r w:rsidRPr="00D83BD4">
        <w:rPr>
          <w:sz w:val="28"/>
          <w:szCs w:val="28"/>
          <w:lang w:val="uk-UA"/>
        </w:rPr>
        <w:t xml:space="preserve"> </w:t>
      </w:r>
      <w:r w:rsidRPr="00D83BD4">
        <w:rPr>
          <w:sz w:val="28"/>
          <w:szCs w:val="28"/>
          <w:shd w:val="clear" w:color="auto" w:fill="FFFFFF"/>
          <w:lang w:val="en-US"/>
        </w:rPr>
        <w:t>Wiklund O, Chapman MJ, Drexel H, </w:t>
      </w:r>
      <w:r w:rsidRPr="00D83BD4">
        <w:rPr>
          <w:sz w:val="28"/>
          <w:szCs w:val="28"/>
          <w:lang w:val="en-US"/>
        </w:rPr>
        <w:t xml:space="preserve"> et</w:t>
      </w:r>
      <w:r w:rsidRPr="00D83BD4">
        <w:rPr>
          <w:sz w:val="28"/>
          <w:szCs w:val="28"/>
          <w:lang w:val="uk-UA"/>
        </w:rPr>
        <w:t xml:space="preserve"> </w:t>
      </w:r>
      <w:r w:rsidRPr="00D83BD4">
        <w:rPr>
          <w:sz w:val="28"/>
          <w:szCs w:val="28"/>
          <w:lang w:val="en-US"/>
        </w:rPr>
        <w:t>al</w:t>
      </w:r>
      <w:r w:rsidRPr="00D83BD4">
        <w:rPr>
          <w:sz w:val="28"/>
          <w:szCs w:val="28"/>
          <w:lang w:val="uk-UA"/>
        </w:rPr>
        <w:t xml:space="preserve">; </w:t>
      </w:r>
      <w:r w:rsidRPr="00D83BD4">
        <w:rPr>
          <w:sz w:val="28"/>
          <w:szCs w:val="28"/>
          <w:lang w:val="en-US"/>
        </w:rPr>
        <w:t>ESC</w:t>
      </w:r>
      <w:r w:rsidRPr="00D83BD4">
        <w:rPr>
          <w:sz w:val="28"/>
          <w:szCs w:val="28"/>
          <w:lang w:val="uk-UA"/>
        </w:rPr>
        <w:t xml:space="preserve"> </w:t>
      </w:r>
      <w:r w:rsidRPr="00D83BD4">
        <w:rPr>
          <w:sz w:val="28"/>
          <w:szCs w:val="28"/>
          <w:lang w:val="en-US"/>
        </w:rPr>
        <w:t>Scientific</w:t>
      </w:r>
      <w:r w:rsidRPr="00D83BD4">
        <w:rPr>
          <w:sz w:val="28"/>
          <w:szCs w:val="28"/>
          <w:lang w:val="uk-UA"/>
        </w:rPr>
        <w:t xml:space="preserve"> </w:t>
      </w:r>
      <w:r w:rsidRPr="00D83BD4">
        <w:rPr>
          <w:sz w:val="28"/>
          <w:szCs w:val="28"/>
          <w:lang w:val="en-US"/>
        </w:rPr>
        <w:t>Document</w:t>
      </w:r>
      <w:r w:rsidRPr="00D83BD4">
        <w:rPr>
          <w:sz w:val="28"/>
          <w:szCs w:val="28"/>
          <w:lang w:val="uk-UA"/>
        </w:rPr>
        <w:t xml:space="preserve"> </w:t>
      </w:r>
      <w:r w:rsidRPr="00D83BD4">
        <w:rPr>
          <w:sz w:val="28"/>
          <w:szCs w:val="28"/>
          <w:lang w:val="en-US"/>
        </w:rPr>
        <w:t>Group</w:t>
      </w:r>
      <w:r w:rsidRPr="00D83BD4">
        <w:rPr>
          <w:sz w:val="28"/>
          <w:szCs w:val="28"/>
          <w:lang w:val="uk-UA"/>
        </w:rPr>
        <w:t xml:space="preserve">. </w:t>
      </w:r>
      <w:r w:rsidRPr="00D83BD4">
        <w:rPr>
          <w:sz w:val="28"/>
          <w:szCs w:val="28"/>
          <w:lang w:val="en-US"/>
        </w:rPr>
        <w:t xml:space="preserve">2016 ESC/EAS Guidelines for the Management of Dyslipidaemias. Eur Heart J 2016;37(39):2999-3058. doi: 10.1093/eurheartj/ehw272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Cawthon R.M. Telomere length measurement by a novel monochrome multiplex quantitative PCR method. Nucleic Acids Res.   2009; 37(3):e21.</w:t>
      </w:r>
    </w:p>
    <w:p w:rsidR="00E3259F" w:rsidRPr="009E4B7D" w:rsidRDefault="00E3259F" w:rsidP="00D83BD4">
      <w:pPr>
        <w:pStyle w:val="a4"/>
        <w:numPr>
          <w:ilvl w:val="0"/>
          <w:numId w:val="26"/>
        </w:numPr>
        <w:shd w:val="clear" w:color="auto" w:fill="FFFFFF"/>
        <w:spacing w:line="360" w:lineRule="auto"/>
        <w:ind w:left="0" w:firstLine="0"/>
        <w:jc w:val="both"/>
        <w:rPr>
          <w:sz w:val="28"/>
          <w:szCs w:val="28"/>
          <w:lang w:val="en-US"/>
        </w:rPr>
      </w:pPr>
      <w:r w:rsidRPr="00D83BD4">
        <w:rPr>
          <w:rStyle w:val="authors-list-item"/>
          <w:sz w:val="28"/>
          <w:szCs w:val="28"/>
          <w:lang w:val="en-US"/>
        </w:rPr>
        <w:t xml:space="preserve">Cawthon </w:t>
      </w:r>
      <w:r w:rsidRPr="009E4B7D">
        <w:rPr>
          <w:sz w:val="28"/>
          <w:szCs w:val="28"/>
          <w:lang w:val="en-US"/>
        </w:rPr>
        <w:t>RM</w:t>
      </w:r>
      <w:r w:rsidRPr="00D83BD4">
        <w:rPr>
          <w:rStyle w:val="comma"/>
          <w:sz w:val="28"/>
          <w:szCs w:val="28"/>
          <w:lang w:val="en-US"/>
        </w:rPr>
        <w:t>, </w:t>
      </w:r>
      <w:r w:rsidRPr="009E4B7D">
        <w:rPr>
          <w:sz w:val="28"/>
          <w:szCs w:val="28"/>
          <w:lang w:val="en-US"/>
        </w:rPr>
        <w:t xml:space="preserve"> Smith</w:t>
      </w:r>
      <w:r w:rsidRPr="00D83BD4">
        <w:rPr>
          <w:rStyle w:val="authors-list-item"/>
          <w:sz w:val="28"/>
          <w:szCs w:val="28"/>
          <w:lang w:val="en-US"/>
        </w:rPr>
        <w:t xml:space="preserve"> KR</w:t>
      </w:r>
      <w:r w:rsidRPr="00D83BD4">
        <w:rPr>
          <w:rStyle w:val="comma"/>
          <w:sz w:val="28"/>
          <w:szCs w:val="28"/>
          <w:lang w:val="en-US"/>
        </w:rPr>
        <w:t>, </w:t>
      </w:r>
      <w:r w:rsidRPr="009E4B7D">
        <w:rPr>
          <w:sz w:val="28"/>
          <w:szCs w:val="28"/>
          <w:lang w:val="en-US"/>
        </w:rPr>
        <w:t xml:space="preserve"> O'Brien</w:t>
      </w:r>
      <w:r w:rsidRPr="00D83BD4">
        <w:rPr>
          <w:rStyle w:val="authors-list-item"/>
          <w:sz w:val="28"/>
          <w:szCs w:val="28"/>
          <w:lang w:val="en-US"/>
        </w:rPr>
        <w:t xml:space="preserve"> E</w:t>
      </w:r>
      <w:r w:rsidRPr="00D83BD4">
        <w:rPr>
          <w:rStyle w:val="comma"/>
          <w:sz w:val="28"/>
          <w:szCs w:val="28"/>
          <w:lang w:val="en-US"/>
        </w:rPr>
        <w:t>, </w:t>
      </w:r>
      <w:r w:rsidRPr="009E4B7D">
        <w:rPr>
          <w:sz w:val="28"/>
          <w:szCs w:val="28"/>
          <w:lang w:val="en-US"/>
        </w:rPr>
        <w:t xml:space="preserve"> Sivatchenko</w:t>
      </w:r>
      <w:r w:rsidRPr="00D83BD4">
        <w:rPr>
          <w:rStyle w:val="authors-list-item"/>
          <w:sz w:val="28"/>
          <w:szCs w:val="28"/>
          <w:lang w:val="en-US"/>
        </w:rPr>
        <w:t xml:space="preserve"> A</w:t>
      </w:r>
      <w:r w:rsidRPr="00D83BD4">
        <w:rPr>
          <w:rStyle w:val="comma"/>
          <w:sz w:val="28"/>
          <w:szCs w:val="28"/>
          <w:lang w:val="en-US"/>
        </w:rPr>
        <w:t>, </w:t>
      </w:r>
      <w:r w:rsidRPr="009E4B7D">
        <w:rPr>
          <w:sz w:val="28"/>
          <w:szCs w:val="28"/>
          <w:lang w:val="en-US"/>
        </w:rPr>
        <w:t xml:space="preserve"> Kerber</w:t>
      </w:r>
      <w:r w:rsidRPr="00D83BD4">
        <w:rPr>
          <w:rStyle w:val="authors-list-item"/>
          <w:sz w:val="28"/>
          <w:szCs w:val="28"/>
          <w:lang w:val="en-US"/>
        </w:rPr>
        <w:t xml:space="preserve"> R</w:t>
      </w:r>
      <w:r w:rsidRPr="00D83BD4">
        <w:rPr>
          <w:rStyle w:val="authors-list-item"/>
          <w:sz w:val="28"/>
          <w:szCs w:val="28"/>
          <w:lang w:val="uk-UA"/>
        </w:rPr>
        <w:t xml:space="preserve"> </w:t>
      </w:r>
      <w:r w:rsidRPr="00D83BD4">
        <w:rPr>
          <w:rStyle w:val="authors-list-item"/>
          <w:sz w:val="28"/>
          <w:szCs w:val="28"/>
          <w:lang w:val="en-US"/>
        </w:rPr>
        <w:t>A</w:t>
      </w:r>
      <w:r w:rsidRPr="00D83BD4">
        <w:rPr>
          <w:rStyle w:val="authors-list-item"/>
          <w:sz w:val="28"/>
          <w:szCs w:val="28"/>
          <w:lang w:val="uk-UA"/>
        </w:rPr>
        <w:t>.</w:t>
      </w:r>
      <w:r w:rsidRPr="00D83BD4">
        <w:rPr>
          <w:sz w:val="28"/>
          <w:szCs w:val="28"/>
          <w:lang w:val="uk-UA"/>
        </w:rPr>
        <w:t xml:space="preserve"> </w:t>
      </w:r>
      <w:r w:rsidRPr="00D83BD4">
        <w:rPr>
          <w:sz w:val="28"/>
          <w:szCs w:val="28"/>
          <w:lang w:val="en-US"/>
        </w:rPr>
        <w:t>Association between telomere length in blood and mortality in people aged 60 years or older</w:t>
      </w:r>
      <w:r w:rsidRPr="00D83BD4">
        <w:rPr>
          <w:sz w:val="28"/>
          <w:szCs w:val="28"/>
          <w:lang w:val="uk-UA"/>
        </w:rPr>
        <w:t xml:space="preserve">. </w:t>
      </w:r>
      <w:r w:rsidRPr="009E4B7D">
        <w:rPr>
          <w:sz w:val="28"/>
          <w:szCs w:val="28"/>
          <w:lang w:val="en-US"/>
        </w:rPr>
        <w:t>Lancet</w:t>
      </w:r>
      <w:r w:rsidRPr="00D83BD4">
        <w:rPr>
          <w:sz w:val="28"/>
          <w:szCs w:val="28"/>
          <w:lang w:val="uk-UA"/>
        </w:rPr>
        <w:t xml:space="preserve">. </w:t>
      </w:r>
      <w:r w:rsidRPr="009E4B7D">
        <w:rPr>
          <w:rStyle w:val="cit"/>
          <w:rFonts w:eastAsiaTheme="majorEastAsia"/>
          <w:sz w:val="28"/>
          <w:szCs w:val="28"/>
          <w:lang w:val="en-US"/>
        </w:rPr>
        <w:t>2003;361(9355):393-5.</w:t>
      </w:r>
      <w:r w:rsidRPr="009E4B7D">
        <w:rPr>
          <w:sz w:val="28"/>
          <w:szCs w:val="28"/>
          <w:lang w:val="en-US"/>
        </w:rPr>
        <w:t xml:space="preserve">  </w:t>
      </w:r>
      <w:r w:rsidRPr="009E4B7D">
        <w:rPr>
          <w:rStyle w:val="citation-doi"/>
          <w:rFonts w:eastAsiaTheme="majorEastAsia"/>
          <w:sz w:val="28"/>
          <w:szCs w:val="28"/>
          <w:lang w:val="en-US"/>
        </w:rPr>
        <w:t>doi: 10.1016/S0140-6736(03)12384-7.</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shd w:val="clear" w:color="auto" w:fill="FFFFFF"/>
          <w:lang w:val="en-US"/>
        </w:rPr>
        <w:t>Chang Y-C, Hua S-C, Chang C-H, Kao W-Y, Lee H-L, Chuang L-M, et al. High TSH Level within Normal Range Is Associated with Obesity, Dyslipidemia, Hypertension, Inflammation, Hypercoagulability, and the Metabolic Syndrome: A Novel Cardiometabolic Marker.</w:t>
      </w:r>
      <w:r w:rsidRPr="00D83BD4">
        <w:rPr>
          <w:rStyle w:val="apple-converted-space"/>
          <w:sz w:val="28"/>
          <w:szCs w:val="28"/>
          <w:shd w:val="clear" w:color="auto" w:fill="FFFFFF"/>
          <w:lang w:val="en-US"/>
        </w:rPr>
        <w:t> </w:t>
      </w:r>
      <w:r w:rsidRPr="00D83BD4">
        <w:rPr>
          <w:rStyle w:val="afb"/>
          <w:i w:val="0"/>
          <w:iCs w:val="0"/>
          <w:sz w:val="28"/>
          <w:szCs w:val="28"/>
          <w:shd w:val="clear" w:color="auto" w:fill="FFFFFF"/>
        </w:rPr>
        <w:t>Journal of Clinical Medicine</w:t>
      </w:r>
      <w:r w:rsidRPr="00D83BD4">
        <w:rPr>
          <w:i/>
          <w:iCs/>
          <w:sz w:val="28"/>
          <w:szCs w:val="28"/>
          <w:shd w:val="clear" w:color="auto" w:fill="FFFFFF"/>
        </w:rPr>
        <w:t>.</w:t>
      </w:r>
      <w:r w:rsidRPr="00D83BD4">
        <w:rPr>
          <w:sz w:val="28"/>
          <w:szCs w:val="28"/>
          <w:shd w:val="clear" w:color="auto" w:fill="FFFFFF"/>
        </w:rPr>
        <w:t xml:space="preserve"> 2019; 8(6):817. doi: </w:t>
      </w:r>
      <w:r w:rsidRPr="009E4B7D">
        <w:rPr>
          <w:sz w:val="28"/>
          <w:szCs w:val="28"/>
          <w:shd w:val="clear" w:color="auto" w:fill="FFFFFF"/>
        </w:rPr>
        <w:t>10.3390/jcm8060817</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Chaudhary P, Pandey A, Azad CS, Tia N, Singh M, Gambhir IS. Association of oxidative stress and endothelial dysfunction in hypertension. </w:t>
      </w:r>
      <w:r w:rsidRPr="00D83BD4">
        <w:rPr>
          <w:sz w:val="28"/>
          <w:szCs w:val="28"/>
        </w:rPr>
        <w:t>Anal Biochem. 2020;590:113535. doi: 10.1016/j.ab.2019.113535</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Chen Y, Wu G, Xu M. The effect of L-thyroxine substitution on oxidative stress in early-stage diabetic nephropathy patients with subclinical hypothyroidism: a randomized double-blind and placebo-controlled study. </w:t>
      </w:r>
      <w:r w:rsidRPr="00D83BD4">
        <w:rPr>
          <w:sz w:val="28"/>
          <w:szCs w:val="28"/>
        </w:rPr>
        <w:t>Int Urol Nephrol. 2018;50(1):97-103. doi: 10.1007/s11255-017-1756-y</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Cheserek MJ, Wu GR, Ntazinda A, Shi YH, Shen LY, Le GW. Association Between Thyroid Hormones, Lipids and Oxidative Stress Markers in Subclinical Hypothyroidism. </w:t>
      </w:r>
      <w:r w:rsidRPr="00D83BD4">
        <w:rPr>
          <w:sz w:val="28"/>
          <w:szCs w:val="28"/>
        </w:rPr>
        <w:t>J Med Biochem. 2015;34(3):323-331.</w:t>
      </w:r>
      <w:r w:rsidRPr="00D83BD4">
        <w:rPr>
          <w:sz w:val="28"/>
          <w:szCs w:val="28"/>
          <w:shd w:val="clear" w:color="auto" w:fill="FFFFFF"/>
        </w:rPr>
        <w:t xml:space="preserve"> doi: </w:t>
      </w:r>
      <w:r w:rsidRPr="009E4B7D">
        <w:rPr>
          <w:sz w:val="28"/>
          <w:szCs w:val="28"/>
          <w:shd w:val="clear" w:color="auto" w:fill="FFFFFF"/>
        </w:rPr>
        <w:t>10.2478/jomb-2014-0044</w:t>
      </w:r>
    </w:p>
    <w:p w:rsidR="00E3259F" w:rsidRPr="00D83BD4" w:rsidRDefault="00E3259F" w:rsidP="00D83BD4">
      <w:pPr>
        <w:numPr>
          <w:ilvl w:val="0"/>
          <w:numId w:val="26"/>
        </w:numPr>
        <w:tabs>
          <w:tab w:val="num" w:pos="0"/>
        </w:tabs>
        <w:spacing w:line="360" w:lineRule="auto"/>
        <w:ind w:left="0" w:firstLine="0"/>
        <w:jc w:val="both"/>
        <w:rPr>
          <w:sz w:val="28"/>
          <w:szCs w:val="28"/>
        </w:rPr>
      </w:pPr>
      <w:bookmarkStart w:id="34" w:name="_Hlk43495141"/>
      <w:r w:rsidRPr="00D83BD4">
        <w:rPr>
          <w:sz w:val="28"/>
          <w:szCs w:val="28"/>
          <w:lang w:val="en-US"/>
        </w:rPr>
        <w:t xml:space="preserve">Chrysant SG. The Current Debate over Treatment of Subclinical Hypothyroidism to Prevent Cardiovascular Complications. </w:t>
      </w:r>
      <w:r w:rsidRPr="00D83BD4">
        <w:rPr>
          <w:sz w:val="28"/>
          <w:szCs w:val="28"/>
        </w:rPr>
        <w:t>Int J Clin Pract. 2020 Mar 11:e13499. doi: 10.1111/ijcp.13499</w:t>
      </w:r>
      <w:r w:rsidRPr="00D83BD4">
        <w:rPr>
          <w:sz w:val="28"/>
          <w:szCs w:val="28"/>
          <w:lang w:val="en-US"/>
        </w:rPr>
        <w:t xml:space="preserve"> </w:t>
      </w:r>
    </w:p>
    <w:p w:rsidR="00E3259F" w:rsidRPr="00D83BD4" w:rsidRDefault="00E3259F" w:rsidP="00D83BD4">
      <w:pPr>
        <w:numPr>
          <w:ilvl w:val="0"/>
          <w:numId w:val="26"/>
        </w:numPr>
        <w:shd w:val="clear" w:color="auto" w:fill="FFFFFF"/>
        <w:tabs>
          <w:tab w:val="num" w:pos="0"/>
        </w:tabs>
        <w:spacing w:line="360" w:lineRule="auto"/>
        <w:ind w:left="0" w:firstLine="0"/>
        <w:jc w:val="both"/>
        <w:textAlignment w:val="baseline"/>
        <w:rPr>
          <w:sz w:val="28"/>
          <w:szCs w:val="28"/>
          <w:lang w:val="en-US"/>
        </w:rPr>
      </w:pPr>
      <w:r w:rsidRPr="00D83BD4">
        <w:rPr>
          <w:sz w:val="28"/>
          <w:szCs w:val="28"/>
          <w:lang w:val="en-US"/>
        </w:rPr>
        <w:t>Classification and Diagnosis of Diabetes: </w:t>
      </w:r>
      <w:r w:rsidRPr="00D83BD4">
        <w:rPr>
          <w:rStyle w:val="afb"/>
          <w:i w:val="0"/>
          <w:sz w:val="28"/>
          <w:szCs w:val="28"/>
          <w:bdr w:val="none" w:sz="0" w:space="0" w:color="auto" w:frame="1"/>
          <w:lang w:val="en-US"/>
        </w:rPr>
        <w:t>Standards of Medical Care in Diabetes—2018.</w:t>
      </w:r>
      <w:r w:rsidRPr="00D83BD4">
        <w:rPr>
          <w:rStyle w:val="afb"/>
          <w:sz w:val="28"/>
          <w:szCs w:val="28"/>
          <w:bdr w:val="none" w:sz="0" w:space="0" w:color="auto" w:frame="1"/>
          <w:lang w:val="en-US"/>
        </w:rPr>
        <w:t xml:space="preserve"> </w:t>
      </w:r>
      <w:r w:rsidRPr="00D83BD4">
        <w:rPr>
          <w:rStyle w:val="nlm-collab"/>
          <w:sz w:val="28"/>
          <w:szCs w:val="28"/>
          <w:bdr w:val="none" w:sz="0" w:space="0" w:color="auto" w:frame="1"/>
          <w:lang w:val="en-US"/>
        </w:rPr>
        <w:t xml:space="preserve">American Diabetes Association. </w:t>
      </w:r>
      <w:r w:rsidRPr="00D83BD4">
        <w:rPr>
          <w:rStyle w:val="highwire-cite-metadata-journal"/>
          <w:sz w:val="28"/>
          <w:szCs w:val="28"/>
          <w:bdr w:val="none" w:sz="0" w:space="0" w:color="auto" w:frame="1"/>
          <w:lang w:val="en-US"/>
        </w:rPr>
        <w:t>Diabetes Care </w:t>
      </w:r>
      <w:r w:rsidRPr="00D83BD4">
        <w:rPr>
          <w:rStyle w:val="highwire-cite-metadata-date"/>
          <w:sz w:val="28"/>
          <w:szCs w:val="28"/>
          <w:bdr w:val="none" w:sz="0" w:space="0" w:color="auto" w:frame="1"/>
          <w:lang w:val="en-US"/>
        </w:rPr>
        <w:t>Jan. 2018;</w:t>
      </w:r>
      <w:r w:rsidRPr="00D83BD4">
        <w:rPr>
          <w:rStyle w:val="highwire-cite-metadata-volume"/>
          <w:sz w:val="28"/>
          <w:szCs w:val="28"/>
          <w:bdr w:val="none" w:sz="0" w:space="0" w:color="auto" w:frame="1"/>
          <w:lang w:val="en-US"/>
        </w:rPr>
        <w:t>41 </w:t>
      </w:r>
      <w:r w:rsidRPr="00D83BD4">
        <w:rPr>
          <w:rStyle w:val="highwire-cite-metadata-issue"/>
          <w:sz w:val="28"/>
          <w:szCs w:val="28"/>
          <w:bdr w:val="none" w:sz="0" w:space="0" w:color="auto" w:frame="1"/>
          <w:lang w:val="en-US"/>
        </w:rPr>
        <w:t>(Supplement 1) :</w:t>
      </w:r>
      <w:r w:rsidRPr="00D83BD4">
        <w:rPr>
          <w:rStyle w:val="highwire-cite-metadata-pages"/>
          <w:sz w:val="28"/>
          <w:szCs w:val="28"/>
          <w:bdr w:val="none" w:sz="0" w:space="0" w:color="auto" w:frame="1"/>
          <w:lang w:val="en-US"/>
        </w:rPr>
        <w:t>S13-S27. </w:t>
      </w:r>
      <w:r w:rsidRPr="00D83BD4">
        <w:rPr>
          <w:rStyle w:val="label"/>
          <w:sz w:val="28"/>
          <w:szCs w:val="28"/>
          <w:bdr w:val="none" w:sz="0" w:space="0" w:color="auto" w:frame="1"/>
          <w:lang w:val="en-US"/>
        </w:rPr>
        <w:t>doi</w:t>
      </w:r>
      <w:r w:rsidRPr="00D83BD4">
        <w:rPr>
          <w:rStyle w:val="label"/>
          <w:b/>
          <w:bCs/>
          <w:sz w:val="28"/>
          <w:szCs w:val="28"/>
          <w:bdr w:val="none" w:sz="0" w:space="0" w:color="auto" w:frame="1"/>
          <w:lang w:val="en-US"/>
        </w:rPr>
        <w:t>:</w:t>
      </w:r>
      <w:r w:rsidRPr="00D83BD4">
        <w:rPr>
          <w:rStyle w:val="highwire-cite-metadata-doi"/>
          <w:sz w:val="28"/>
          <w:szCs w:val="28"/>
          <w:bdr w:val="none" w:sz="0" w:space="0" w:color="auto" w:frame="1"/>
          <w:lang w:val="en-US"/>
        </w:rPr>
        <w:t> 10.2337/dc18-S002</w:t>
      </w:r>
    </w:p>
    <w:p w:rsidR="00E3259F" w:rsidRPr="00D83BD4" w:rsidRDefault="00E3259F" w:rsidP="00D83BD4">
      <w:pPr>
        <w:pStyle w:val="a4"/>
        <w:numPr>
          <w:ilvl w:val="0"/>
          <w:numId w:val="26"/>
        </w:numPr>
        <w:spacing w:line="360" w:lineRule="auto"/>
        <w:ind w:left="0" w:firstLine="0"/>
        <w:jc w:val="both"/>
        <w:rPr>
          <w:sz w:val="28"/>
          <w:szCs w:val="28"/>
          <w:lang w:val="uk-UA"/>
        </w:rPr>
      </w:pPr>
      <w:r w:rsidRPr="00D83BD4">
        <w:rPr>
          <w:sz w:val="28"/>
          <w:szCs w:val="28"/>
          <w:lang w:val="en-US"/>
        </w:rPr>
        <w:t xml:space="preserve">Clinical Guidelines on the Identification, Evaluation and Treatment of Overweight and Obesity in Adults. NIH/NHLBI (National Institutes of Health, National Heart, Lung, and Blood Insitute).U.S. Department of Health and Human Services, </w:t>
      </w:r>
      <w:r w:rsidRPr="00D83BD4">
        <w:rPr>
          <w:i/>
          <w:sz w:val="28"/>
          <w:szCs w:val="28"/>
          <w:lang w:val="en-US"/>
        </w:rPr>
        <w:t>Public Health Service</w:t>
      </w:r>
      <w:r w:rsidRPr="00D83BD4">
        <w:rPr>
          <w:sz w:val="28"/>
          <w:szCs w:val="28"/>
          <w:lang w:val="en-US"/>
        </w:rPr>
        <w:t>, 1998</w:t>
      </w:r>
      <w:r w:rsidRPr="00D83BD4">
        <w:rPr>
          <w:sz w:val="28"/>
          <w:szCs w:val="28"/>
          <w:lang w:val="uk-UA"/>
        </w:rPr>
        <w:t>.</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Cojić M,</w:t>
      </w:r>
      <w:bookmarkEnd w:id="34"/>
      <w:r w:rsidRPr="00D83BD4">
        <w:rPr>
          <w:sz w:val="28"/>
          <w:szCs w:val="28"/>
          <w:shd w:val="clear" w:color="auto" w:fill="FFFFFF"/>
          <w:lang w:val="en-US"/>
        </w:rPr>
        <w:t xml:space="preserve"> Cvejanov-Kezunović L. Subclinical Hypothyroidism - Whether and When To Start Treatment ?  Open Access Maced J Med Sci. 2017;5(7):1042-1046. doi:10.3889/oamjms.2017.195</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lang w:val="en-US"/>
        </w:rPr>
        <w:t xml:space="preserve">Colpani V, Baena CP, Jaspers L, van Dijk GM, Farajzadegan Z, Dhana K, et al. Lifestyle factors, cardiovascular disease and all-cause mortality in middle-aged and elderly women: a systematic review and meta-analysis. </w:t>
      </w:r>
      <w:r w:rsidRPr="00D83BD4">
        <w:rPr>
          <w:sz w:val="28"/>
          <w:szCs w:val="28"/>
        </w:rPr>
        <w:t>Eur J Epidemiol.</w:t>
      </w:r>
      <w:r w:rsidRPr="00D83BD4">
        <w:rPr>
          <w:sz w:val="28"/>
          <w:szCs w:val="28"/>
          <w:lang w:val="en-US"/>
        </w:rPr>
        <w:t> </w:t>
      </w:r>
      <w:r w:rsidRPr="00D83BD4">
        <w:rPr>
          <w:sz w:val="28"/>
          <w:szCs w:val="28"/>
        </w:rPr>
        <w:t>2018;33(9):831-845.</w:t>
      </w:r>
      <w:r w:rsidRPr="00D83BD4">
        <w:rPr>
          <w:sz w:val="28"/>
          <w:szCs w:val="28"/>
          <w:lang w:val="uk-UA"/>
        </w:rPr>
        <w:t xml:space="preserve">  </w:t>
      </w:r>
      <w:r w:rsidRPr="00D83BD4">
        <w:rPr>
          <w:sz w:val="28"/>
          <w:szCs w:val="28"/>
          <w:shd w:val="clear" w:color="auto" w:fill="FFFFFF"/>
        </w:rPr>
        <w:t>doi: 10.1007/s10654-018-0374-z.</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shd w:val="clear" w:color="auto" w:fill="FFFFFF"/>
          <w:lang w:val="en-US"/>
        </w:rPr>
        <w:t xml:space="preserve">Cosentino F, Grant PJ, Aboyans V, Bailey CJ, Ceriello A, Delgado V, et al.; ESC Scientific Document Group. 2019 ESC Guidelines on diabetes, pre-diabetes, and cardiovascular diseases developed in collaboration with the EASD. </w:t>
      </w:r>
      <w:r w:rsidRPr="00D83BD4">
        <w:rPr>
          <w:sz w:val="28"/>
          <w:szCs w:val="28"/>
          <w:shd w:val="clear" w:color="auto" w:fill="FFFFFF"/>
        </w:rPr>
        <w:t>Eur Heart J. 2020;41(2):255-323. doi: 10.1093/eurheartj/ehz486.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Davies MJ, D'Alessio DA, Fradkin J, Kernan WN, Mathieu C, Mingrone G, et al. Management of hyperglycaemia in type 2 diabetes, 2018. A consensus report by the American Diabetes Association (ADA) and the European Association for the Study of Diabetes (EASD). </w:t>
      </w:r>
      <w:r w:rsidRPr="00D83BD4">
        <w:rPr>
          <w:sz w:val="28"/>
          <w:szCs w:val="28"/>
        </w:rPr>
        <w:t>Diabetologia.</w:t>
      </w:r>
      <w:r w:rsidRPr="00D83BD4">
        <w:rPr>
          <w:sz w:val="28"/>
          <w:szCs w:val="28"/>
          <w:lang w:val="en-US"/>
        </w:rPr>
        <w:t xml:space="preserve"> </w:t>
      </w:r>
      <w:r w:rsidRPr="00D83BD4">
        <w:rPr>
          <w:rStyle w:val="highlight"/>
          <w:sz w:val="28"/>
          <w:szCs w:val="28"/>
          <w:lang w:val="en-US"/>
        </w:rPr>
        <w:t>2018</w:t>
      </w:r>
      <w:r w:rsidRPr="00D83BD4">
        <w:rPr>
          <w:sz w:val="28"/>
          <w:szCs w:val="28"/>
          <w:lang w:val="en-US"/>
        </w:rPr>
        <w:t>;61(12):2461-2498. doi: 10.1007/s00125-018-4729-5.</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lang w:val="en-US"/>
        </w:rPr>
        <w:t>Decandia F.</w:t>
      </w:r>
      <w:r w:rsidRPr="00D83BD4">
        <w:rPr>
          <w:bCs/>
          <w:kern w:val="36"/>
          <w:sz w:val="28"/>
          <w:szCs w:val="28"/>
          <w:lang w:val="en-US"/>
        </w:rPr>
        <w:t xml:space="preserve"> Risk factors for cardiovascular disease in subclinical hypothyroidism.</w:t>
      </w:r>
      <w:r w:rsidRPr="00D83BD4">
        <w:rPr>
          <w:bCs/>
          <w:sz w:val="28"/>
          <w:szCs w:val="28"/>
          <w:lang w:val="en-US"/>
        </w:rPr>
        <w:t xml:space="preserve"> Ir J Med Sci. 2018;187(1):39-43. doi: 10.1007/s11845-017-1617-9.</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shd w:val="clear" w:color="auto" w:fill="FFFFFF"/>
          <w:lang w:val="en-US"/>
        </w:rPr>
        <w:t xml:space="preserve">de Jager J, </w:t>
      </w:r>
      <w:r w:rsidRPr="00D83BD4">
        <w:rPr>
          <w:sz w:val="28"/>
          <w:szCs w:val="28"/>
          <w:shd w:val="clear" w:color="auto" w:fill="FFFFFF"/>
          <w:lang w:val="en-US"/>
        </w:rPr>
        <w:t>Kooy A, Schalkwijk C, van der Kolk J, Lehert P, Bets D, </w:t>
      </w:r>
      <w:r w:rsidRPr="00D83BD4">
        <w:rPr>
          <w:bCs/>
          <w:sz w:val="28"/>
          <w:szCs w:val="28"/>
          <w:shd w:val="clear" w:color="auto" w:fill="FFFFFF"/>
          <w:lang w:val="en-US"/>
        </w:rPr>
        <w:t>et al. Long-term effects of metformin on endothelial function in type 2 diabetes: a randomized controlled trial. </w:t>
      </w:r>
      <w:r w:rsidRPr="00D83BD4">
        <w:rPr>
          <w:rStyle w:val="ref-journal"/>
          <w:bCs/>
          <w:sz w:val="28"/>
          <w:szCs w:val="28"/>
          <w:shd w:val="clear" w:color="auto" w:fill="FFFFFF"/>
          <w:lang w:val="en-US"/>
        </w:rPr>
        <w:t>J Intern Med. </w:t>
      </w:r>
      <w:r w:rsidRPr="00D83BD4">
        <w:rPr>
          <w:bCs/>
          <w:sz w:val="28"/>
          <w:szCs w:val="28"/>
          <w:shd w:val="clear" w:color="auto" w:fill="FFFFFF"/>
          <w:lang w:val="en-US"/>
        </w:rPr>
        <w:t>2014;</w:t>
      </w:r>
      <w:r w:rsidRPr="00D83BD4">
        <w:rPr>
          <w:rStyle w:val="ref-vol"/>
          <w:bCs/>
          <w:sz w:val="28"/>
          <w:szCs w:val="28"/>
          <w:shd w:val="clear" w:color="auto" w:fill="FFFFFF"/>
          <w:lang w:val="en-US"/>
        </w:rPr>
        <w:t>275</w:t>
      </w:r>
      <w:r w:rsidRPr="00D83BD4">
        <w:rPr>
          <w:bCs/>
          <w:sz w:val="28"/>
          <w:szCs w:val="28"/>
          <w:shd w:val="clear" w:color="auto" w:fill="FFFFFF"/>
          <w:lang w:val="en-US"/>
        </w:rPr>
        <w:t>(1):59–70. doi: 10.1111/joim.12128.</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Delitala AP, Scuteri A, Maioli M, Mangatia P, Vilardi L, Erre GL. Subclinical hypothyroidism and cardiovascular risk factors. Minerva Med. 2019;110(6):530-545. doi: 10.23736/S0026-4806.19.06292-X.</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shd w:val="clear" w:color="auto" w:fill="FFFFFF"/>
          <w:lang w:val="en-US"/>
        </w:rPr>
        <w:t>de</w:t>
      </w:r>
      <w:r w:rsidRPr="00D83BD4">
        <w:rPr>
          <w:bCs/>
          <w:sz w:val="28"/>
          <w:szCs w:val="28"/>
          <w:shd w:val="clear" w:color="auto" w:fill="FFFFFF"/>
          <w:lang w:val="uk-UA"/>
        </w:rPr>
        <w:t xml:space="preserve"> </w:t>
      </w:r>
      <w:r w:rsidRPr="00D83BD4">
        <w:rPr>
          <w:bCs/>
          <w:sz w:val="28"/>
          <w:szCs w:val="28"/>
          <w:shd w:val="clear" w:color="auto" w:fill="FFFFFF"/>
          <w:lang w:val="en-US"/>
        </w:rPr>
        <w:t>Torres</w:t>
      </w:r>
      <w:r w:rsidRPr="00D83BD4">
        <w:rPr>
          <w:bCs/>
          <w:sz w:val="28"/>
          <w:szCs w:val="28"/>
          <w:shd w:val="clear" w:color="auto" w:fill="FFFFFF"/>
          <w:lang w:val="uk-UA"/>
        </w:rPr>
        <w:t xml:space="preserve"> </w:t>
      </w:r>
      <w:r w:rsidRPr="00D83BD4">
        <w:rPr>
          <w:bCs/>
          <w:sz w:val="28"/>
          <w:szCs w:val="28"/>
          <w:shd w:val="clear" w:color="auto" w:fill="FFFFFF"/>
          <w:lang w:val="en-US"/>
        </w:rPr>
        <w:t>JP</w:t>
      </w:r>
      <w:r w:rsidRPr="00D83BD4">
        <w:rPr>
          <w:bCs/>
          <w:sz w:val="28"/>
          <w:szCs w:val="28"/>
          <w:shd w:val="clear" w:color="auto" w:fill="FFFFFF"/>
          <w:lang w:val="uk-UA"/>
        </w:rPr>
        <w:t xml:space="preserve">, </w:t>
      </w:r>
      <w:r w:rsidRPr="00D83BD4">
        <w:rPr>
          <w:bCs/>
          <w:sz w:val="28"/>
          <w:szCs w:val="28"/>
          <w:shd w:val="clear" w:color="auto" w:fill="FFFFFF"/>
          <w:lang w:val="en-US"/>
        </w:rPr>
        <w:t>Casanova</w:t>
      </w:r>
      <w:r w:rsidRPr="00D83BD4">
        <w:rPr>
          <w:bCs/>
          <w:sz w:val="28"/>
          <w:szCs w:val="28"/>
          <w:shd w:val="clear" w:color="auto" w:fill="FFFFFF"/>
          <w:lang w:val="uk-UA"/>
        </w:rPr>
        <w:t xml:space="preserve"> </w:t>
      </w:r>
      <w:r w:rsidRPr="00D83BD4">
        <w:rPr>
          <w:bCs/>
          <w:sz w:val="28"/>
          <w:szCs w:val="28"/>
          <w:shd w:val="clear" w:color="auto" w:fill="FFFFFF"/>
          <w:lang w:val="en-US"/>
        </w:rPr>
        <w:t>C</w:t>
      </w:r>
      <w:r w:rsidRPr="00D83BD4">
        <w:rPr>
          <w:bCs/>
          <w:sz w:val="28"/>
          <w:szCs w:val="28"/>
          <w:shd w:val="clear" w:color="auto" w:fill="FFFFFF"/>
          <w:lang w:val="uk-UA"/>
        </w:rPr>
        <w:t xml:space="preserve">, </w:t>
      </w:r>
      <w:r w:rsidRPr="00D83BD4">
        <w:rPr>
          <w:bCs/>
          <w:sz w:val="28"/>
          <w:szCs w:val="28"/>
          <w:shd w:val="clear" w:color="auto" w:fill="FFFFFF"/>
          <w:lang w:val="en-US"/>
        </w:rPr>
        <w:t>Pinto</w:t>
      </w:r>
      <w:r w:rsidRPr="00D83BD4">
        <w:rPr>
          <w:bCs/>
          <w:sz w:val="28"/>
          <w:szCs w:val="28"/>
          <w:shd w:val="clear" w:color="auto" w:fill="FFFFFF"/>
          <w:lang w:val="uk-UA"/>
        </w:rPr>
        <w:t>-</w:t>
      </w:r>
      <w:r w:rsidRPr="00D83BD4">
        <w:rPr>
          <w:bCs/>
          <w:sz w:val="28"/>
          <w:szCs w:val="28"/>
          <w:shd w:val="clear" w:color="auto" w:fill="FFFFFF"/>
          <w:lang w:val="en-US"/>
        </w:rPr>
        <w:t>Plata</w:t>
      </w:r>
      <w:r w:rsidRPr="00D83BD4">
        <w:rPr>
          <w:bCs/>
          <w:sz w:val="28"/>
          <w:szCs w:val="28"/>
          <w:shd w:val="clear" w:color="auto" w:fill="FFFFFF"/>
          <w:lang w:val="uk-UA"/>
        </w:rPr>
        <w:t xml:space="preserve"> </w:t>
      </w:r>
      <w:r w:rsidRPr="00D83BD4">
        <w:rPr>
          <w:bCs/>
          <w:sz w:val="28"/>
          <w:szCs w:val="28"/>
          <w:shd w:val="clear" w:color="auto" w:fill="FFFFFF"/>
          <w:lang w:val="en-US"/>
        </w:rPr>
        <w:t>V</w:t>
      </w:r>
      <w:r w:rsidRPr="00D83BD4">
        <w:rPr>
          <w:bCs/>
          <w:sz w:val="28"/>
          <w:szCs w:val="28"/>
          <w:shd w:val="clear" w:color="auto" w:fill="FFFFFF"/>
          <w:lang w:val="uk-UA"/>
        </w:rPr>
        <w:t xml:space="preserve">, </w:t>
      </w:r>
      <w:r w:rsidRPr="00D83BD4">
        <w:rPr>
          <w:bCs/>
          <w:sz w:val="28"/>
          <w:szCs w:val="28"/>
          <w:shd w:val="clear" w:color="auto" w:fill="FFFFFF"/>
          <w:lang w:val="en-US"/>
        </w:rPr>
        <w:t>Varo</w:t>
      </w:r>
      <w:r w:rsidRPr="00D83BD4">
        <w:rPr>
          <w:bCs/>
          <w:sz w:val="28"/>
          <w:szCs w:val="28"/>
          <w:shd w:val="clear" w:color="auto" w:fill="FFFFFF"/>
          <w:lang w:val="uk-UA"/>
        </w:rPr>
        <w:t xml:space="preserve"> </w:t>
      </w:r>
      <w:r w:rsidRPr="00D83BD4">
        <w:rPr>
          <w:bCs/>
          <w:sz w:val="28"/>
          <w:szCs w:val="28"/>
          <w:shd w:val="clear" w:color="auto" w:fill="FFFFFF"/>
          <w:lang w:val="en-US"/>
        </w:rPr>
        <w:t>N</w:t>
      </w:r>
      <w:r w:rsidRPr="00D83BD4">
        <w:rPr>
          <w:bCs/>
          <w:sz w:val="28"/>
          <w:szCs w:val="28"/>
          <w:shd w:val="clear" w:color="auto" w:fill="FFFFFF"/>
          <w:lang w:val="uk-UA"/>
        </w:rPr>
        <w:t xml:space="preserve">, </w:t>
      </w:r>
      <w:r w:rsidRPr="00D83BD4">
        <w:rPr>
          <w:bCs/>
          <w:sz w:val="28"/>
          <w:szCs w:val="28"/>
          <w:shd w:val="clear" w:color="auto" w:fill="FFFFFF"/>
          <w:lang w:val="en-US"/>
        </w:rPr>
        <w:t>Restituto</w:t>
      </w:r>
      <w:r w:rsidRPr="00D83BD4">
        <w:rPr>
          <w:bCs/>
          <w:sz w:val="28"/>
          <w:szCs w:val="28"/>
          <w:shd w:val="clear" w:color="auto" w:fill="FFFFFF"/>
          <w:lang w:val="uk-UA"/>
        </w:rPr>
        <w:t xml:space="preserve"> </w:t>
      </w:r>
      <w:r w:rsidRPr="00D83BD4">
        <w:rPr>
          <w:bCs/>
          <w:sz w:val="28"/>
          <w:szCs w:val="28"/>
          <w:shd w:val="clear" w:color="auto" w:fill="FFFFFF"/>
          <w:lang w:val="en-US"/>
        </w:rPr>
        <w:t>P</w:t>
      </w:r>
      <w:r w:rsidRPr="00D83BD4">
        <w:rPr>
          <w:bCs/>
          <w:sz w:val="28"/>
          <w:szCs w:val="28"/>
          <w:shd w:val="clear" w:color="auto" w:fill="FFFFFF"/>
          <w:lang w:val="uk-UA"/>
        </w:rPr>
        <w:t xml:space="preserve">, </w:t>
      </w:r>
      <w:r w:rsidRPr="00D83BD4">
        <w:rPr>
          <w:bCs/>
          <w:sz w:val="28"/>
          <w:szCs w:val="28"/>
          <w:shd w:val="clear" w:color="auto" w:fill="FFFFFF"/>
          <w:lang w:val="en-US"/>
        </w:rPr>
        <w:t>Cordoba</w:t>
      </w:r>
      <w:r w:rsidRPr="00D83BD4">
        <w:rPr>
          <w:bCs/>
          <w:sz w:val="28"/>
          <w:szCs w:val="28"/>
          <w:shd w:val="clear" w:color="auto" w:fill="FFFFFF"/>
          <w:lang w:val="uk-UA"/>
        </w:rPr>
        <w:t>-</w:t>
      </w:r>
      <w:r w:rsidRPr="00D83BD4">
        <w:rPr>
          <w:bCs/>
          <w:sz w:val="28"/>
          <w:szCs w:val="28"/>
          <w:shd w:val="clear" w:color="auto" w:fill="FFFFFF"/>
          <w:lang w:val="en-US"/>
        </w:rPr>
        <w:t>Lanus</w:t>
      </w:r>
      <w:r w:rsidRPr="00D83BD4">
        <w:rPr>
          <w:bCs/>
          <w:sz w:val="28"/>
          <w:szCs w:val="28"/>
          <w:shd w:val="clear" w:color="auto" w:fill="FFFFFF"/>
          <w:lang w:val="uk-UA"/>
        </w:rPr>
        <w:t xml:space="preserve"> </w:t>
      </w:r>
      <w:r w:rsidRPr="00D83BD4">
        <w:rPr>
          <w:bCs/>
          <w:sz w:val="28"/>
          <w:szCs w:val="28"/>
          <w:shd w:val="clear" w:color="auto" w:fill="FFFFFF"/>
          <w:lang w:val="en-US"/>
        </w:rPr>
        <w:t>E</w:t>
      </w:r>
      <w:r w:rsidRPr="00D83BD4">
        <w:rPr>
          <w:bCs/>
          <w:sz w:val="28"/>
          <w:szCs w:val="28"/>
          <w:shd w:val="clear" w:color="auto" w:fill="FFFFFF"/>
          <w:lang w:val="uk-UA"/>
        </w:rPr>
        <w:t xml:space="preserve">, </w:t>
      </w:r>
      <w:r w:rsidRPr="00D83BD4">
        <w:rPr>
          <w:bCs/>
          <w:sz w:val="28"/>
          <w:szCs w:val="28"/>
          <w:shd w:val="clear" w:color="auto" w:fill="FFFFFF"/>
          <w:lang w:val="en-US"/>
        </w:rPr>
        <w:t>et al</w:t>
      </w:r>
      <w:r w:rsidRPr="00D83BD4">
        <w:rPr>
          <w:bCs/>
          <w:sz w:val="28"/>
          <w:szCs w:val="28"/>
          <w:shd w:val="clear" w:color="auto" w:fill="FFFFFF"/>
          <w:lang w:val="uk-UA"/>
        </w:rPr>
        <w:t xml:space="preserve">. </w:t>
      </w:r>
      <w:r w:rsidRPr="00D83BD4">
        <w:rPr>
          <w:bCs/>
          <w:sz w:val="28"/>
          <w:szCs w:val="28"/>
          <w:shd w:val="clear" w:color="auto" w:fill="FFFFFF"/>
          <w:lang w:val="en-US"/>
        </w:rPr>
        <w:t xml:space="preserve">Gender differences in plasma biomarker levels in a cohort of COPD patients: a pilot study. PLoS One. 2011;6(1):e16021. doi: 10.1371/journal.pone.0016021. </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lang w:val="en-US"/>
        </w:rPr>
        <w:t xml:space="preserve">Devaraj S, Valleggi S, Siegel D, Jialal I. Correction to: Role of C-Reactive Protein in Contributing to Increased Cardiovascular Risk in Metabolic Syndrome. </w:t>
      </w:r>
      <w:r w:rsidRPr="00D83BD4">
        <w:rPr>
          <w:sz w:val="28"/>
          <w:szCs w:val="28"/>
        </w:rPr>
        <w:t xml:space="preserve">Curr Atheroscler Rep. 2019;21(1):4. </w:t>
      </w:r>
      <w:r w:rsidRPr="00D83BD4">
        <w:rPr>
          <w:sz w:val="28"/>
          <w:szCs w:val="28"/>
          <w:lang w:val="en-US"/>
        </w:rPr>
        <w:t>doi</w:t>
      </w:r>
      <w:r w:rsidRPr="00D83BD4">
        <w:rPr>
          <w:sz w:val="28"/>
          <w:szCs w:val="28"/>
        </w:rPr>
        <w:t>: 10.1007/</w:t>
      </w:r>
      <w:r w:rsidRPr="00D83BD4">
        <w:rPr>
          <w:sz w:val="28"/>
          <w:szCs w:val="28"/>
          <w:lang w:val="en-US"/>
        </w:rPr>
        <w:t>s</w:t>
      </w:r>
      <w:r w:rsidRPr="00D83BD4">
        <w:rPr>
          <w:sz w:val="28"/>
          <w:szCs w:val="28"/>
        </w:rPr>
        <w:t>11883-019-0769-7</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lang w:val="en-US"/>
        </w:rPr>
        <w:t>Dey</w:t>
      </w:r>
      <w:r w:rsidRPr="00D83BD4">
        <w:rPr>
          <w:bCs/>
          <w:sz w:val="28"/>
          <w:szCs w:val="28"/>
          <w:lang w:val="uk-UA"/>
        </w:rPr>
        <w:t xml:space="preserve"> </w:t>
      </w:r>
      <w:r w:rsidRPr="00D83BD4">
        <w:rPr>
          <w:bCs/>
          <w:sz w:val="28"/>
          <w:szCs w:val="28"/>
          <w:lang w:val="en-US"/>
        </w:rPr>
        <w:t>A</w:t>
      </w:r>
      <w:r w:rsidRPr="00D83BD4">
        <w:rPr>
          <w:bCs/>
          <w:sz w:val="28"/>
          <w:szCs w:val="28"/>
          <w:lang w:val="uk-UA"/>
        </w:rPr>
        <w:t>,</w:t>
      </w:r>
      <w:r w:rsidRPr="00D83BD4">
        <w:rPr>
          <w:bCs/>
          <w:sz w:val="28"/>
          <w:szCs w:val="28"/>
          <w:lang w:val="en-US"/>
        </w:rPr>
        <w:t> Kanneganti</w:t>
      </w:r>
      <w:r w:rsidRPr="00D83BD4">
        <w:rPr>
          <w:bCs/>
          <w:sz w:val="28"/>
          <w:szCs w:val="28"/>
          <w:lang w:val="uk-UA"/>
        </w:rPr>
        <w:t xml:space="preserve"> </w:t>
      </w:r>
      <w:r w:rsidRPr="00D83BD4">
        <w:rPr>
          <w:bCs/>
          <w:sz w:val="28"/>
          <w:szCs w:val="28"/>
          <w:lang w:val="en-US"/>
        </w:rPr>
        <w:t>V</w:t>
      </w:r>
      <w:r w:rsidRPr="00D83BD4">
        <w:rPr>
          <w:bCs/>
          <w:sz w:val="28"/>
          <w:szCs w:val="28"/>
          <w:lang w:val="uk-UA"/>
        </w:rPr>
        <w:t>,</w:t>
      </w:r>
      <w:r w:rsidRPr="00D83BD4">
        <w:rPr>
          <w:bCs/>
          <w:sz w:val="28"/>
          <w:szCs w:val="28"/>
          <w:lang w:val="en-US"/>
        </w:rPr>
        <w:t> Das</w:t>
      </w:r>
      <w:r w:rsidRPr="00D83BD4">
        <w:rPr>
          <w:bCs/>
          <w:sz w:val="28"/>
          <w:szCs w:val="28"/>
          <w:lang w:val="uk-UA"/>
        </w:rPr>
        <w:t xml:space="preserve"> </w:t>
      </w:r>
      <w:r w:rsidRPr="00D83BD4">
        <w:rPr>
          <w:bCs/>
          <w:sz w:val="28"/>
          <w:szCs w:val="28"/>
          <w:lang w:val="en-US"/>
        </w:rPr>
        <w:t>D</w:t>
      </w:r>
      <w:r w:rsidRPr="00D83BD4">
        <w:rPr>
          <w:bCs/>
          <w:sz w:val="28"/>
          <w:szCs w:val="28"/>
          <w:lang w:val="uk-UA"/>
        </w:rPr>
        <w:t>.</w:t>
      </w:r>
      <w:r w:rsidRPr="00D83BD4">
        <w:rPr>
          <w:bCs/>
          <w:kern w:val="36"/>
          <w:sz w:val="28"/>
          <w:szCs w:val="28"/>
          <w:lang w:val="uk-UA"/>
        </w:rPr>
        <w:t xml:space="preserve"> </w:t>
      </w:r>
      <w:r w:rsidRPr="00D83BD4">
        <w:rPr>
          <w:bCs/>
          <w:kern w:val="36"/>
          <w:sz w:val="28"/>
          <w:szCs w:val="28"/>
          <w:lang w:val="en-US"/>
        </w:rPr>
        <w:t>A study of the cardiac risk factors emerging out of subclinical hypothyroidism.</w:t>
      </w:r>
      <w:r w:rsidRPr="00D83BD4">
        <w:rPr>
          <w:bCs/>
          <w:kern w:val="36"/>
          <w:sz w:val="28"/>
          <w:szCs w:val="28"/>
          <w:lang w:val="uk-UA"/>
        </w:rPr>
        <w:t xml:space="preserve"> </w:t>
      </w:r>
      <w:r w:rsidRPr="00D83BD4">
        <w:rPr>
          <w:bCs/>
          <w:sz w:val="28"/>
          <w:szCs w:val="28"/>
          <w:lang w:val="en-US"/>
        </w:rPr>
        <w:t>J</w:t>
      </w:r>
      <w:r w:rsidRPr="00D83BD4">
        <w:rPr>
          <w:bCs/>
          <w:sz w:val="28"/>
          <w:szCs w:val="28"/>
          <w:lang w:val="uk-UA"/>
        </w:rPr>
        <w:t xml:space="preserve"> </w:t>
      </w:r>
      <w:r w:rsidRPr="00D83BD4">
        <w:rPr>
          <w:bCs/>
          <w:sz w:val="28"/>
          <w:szCs w:val="28"/>
          <w:lang w:val="en-US"/>
        </w:rPr>
        <w:t>Family</w:t>
      </w:r>
      <w:r w:rsidRPr="00D83BD4">
        <w:rPr>
          <w:bCs/>
          <w:sz w:val="28"/>
          <w:szCs w:val="28"/>
          <w:lang w:val="uk-UA"/>
        </w:rPr>
        <w:t xml:space="preserve"> </w:t>
      </w:r>
      <w:r w:rsidRPr="00D83BD4">
        <w:rPr>
          <w:bCs/>
          <w:sz w:val="28"/>
          <w:szCs w:val="28"/>
          <w:lang w:val="en-US"/>
        </w:rPr>
        <w:t>Med</w:t>
      </w:r>
      <w:r w:rsidRPr="00D83BD4">
        <w:rPr>
          <w:bCs/>
          <w:sz w:val="28"/>
          <w:szCs w:val="28"/>
          <w:lang w:val="uk-UA"/>
        </w:rPr>
        <w:t xml:space="preserve"> </w:t>
      </w:r>
      <w:r w:rsidRPr="00D83BD4">
        <w:rPr>
          <w:bCs/>
          <w:sz w:val="28"/>
          <w:szCs w:val="28"/>
          <w:lang w:val="en-US"/>
        </w:rPr>
        <w:t>Prim</w:t>
      </w:r>
      <w:r w:rsidRPr="00D83BD4">
        <w:rPr>
          <w:bCs/>
          <w:sz w:val="28"/>
          <w:szCs w:val="28"/>
          <w:lang w:val="uk-UA"/>
        </w:rPr>
        <w:t xml:space="preserve"> </w:t>
      </w:r>
      <w:r w:rsidRPr="00D83BD4">
        <w:rPr>
          <w:bCs/>
          <w:sz w:val="28"/>
          <w:szCs w:val="28"/>
          <w:lang w:val="en-US"/>
        </w:rPr>
        <w:t>Care</w:t>
      </w:r>
      <w:r w:rsidRPr="00D83BD4">
        <w:rPr>
          <w:bCs/>
          <w:sz w:val="28"/>
          <w:szCs w:val="28"/>
          <w:lang w:val="uk-UA"/>
        </w:rPr>
        <w:t>.</w:t>
      </w:r>
      <w:r w:rsidRPr="00D83BD4">
        <w:rPr>
          <w:bCs/>
          <w:sz w:val="28"/>
          <w:szCs w:val="28"/>
          <w:lang w:val="en-US"/>
        </w:rPr>
        <w:t> 2019;8(7):2439-2444.</w:t>
      </w:r>
      <w:r w:rsidRPr="00D83BD4">
        <w:rPr>
          <w:sz w:val="28"/>
          <w:szCs w:val="28"/>
          <w:shd w:val="clear" w:color="auto" w:fill="FFFFFF"/>
        </w:rPr>
        <w:t xml:space="preserve"> doi: 10.4103/jfmpc.jfmpc_348_19.</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Dimic D, Golubovic MV, Radenkovic S,  Radojkovic D, Pesic M.  The effect of metformin on TSH levels in euthyroid and hypothyroid newly diagnosed diabetes mellitus type 2 patients. </w:t>
      </w:r>
      <w:r w:rsidRPr="00D83BD4">
        <w:rPr>
          <w:sz w:val="28"/>
          <w:szCs w:val="28"/>
        </w:rPr>
        <w:t>Bratisl Lek Listy.  2016;117(8):433-435. doi:10.4149/bll_2016_084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Di Minno A, Turnu L, Porro B, Squellerio I, Cavalca V, Tremoli E, Di Minno MN. 8-Hydroxy-2-Deoxyguanosine Levels and Cardiovascular Disease: A Systematic Review and Meta-Analysis of the Literature. </w:t>
      </w:r>
      <w:r w:rsidRPr="00D83BD4">
        <w:rPr>
          <w:sz w:val="28"/>
          <w:szCs w:val="28"/>
        </w:rPr>
        <w:t>Antioxid Redox Signal.</w:t>
      </w:r>
      <w:r w:rsidRPr="00D83BD4">
        <w:rPr>
          <w:sz w:val="28"/>
          <w:szCs w:val="28"/>
          <w:lang w:val="uk-UA"/>
        </w:rPr>
        <w:t xml:space="preserve"> 2016;24(10):548-55. </w:t>
      </w:r>
      <w:r w:rsidRPr="00D83BD4">
        <w:rPr>
          <w:rStyle w:val="doi"/>
          <w:sz w:val="28"/>
          <w:szCs w:val="28"/>
          <w:lang w:val="en-US"/>
        </w:rPr>
        <w:t>doi</w:t>
      </w:r>
      <w:r w:rsidRPr="00D83BD4">
        <w:rPr>
          <w:rStyle w:val="doi"/>
          <w:sz w:val="28"/>
          <w:szCs w:val="28"/>
        </w:rPr>
        <w:t>:</w:t>
      </w:r>
      <w:r w:rsidRPr="00D83BD4">
        <w:rPr>
          <w:rStyle w:val="doi"/>
          <w:sz w:val="28"/>
          <w:szCs w:val="28"/>
          <w:lang w:val="en-US"/>
        </w:rPr>
        <w:t> </w:t>
      </w:r>
      <w:r w:rsidRPr="00D83BD4">
        <w:rPr>
          <w:sz w:val="28"/>
          <w:szCs w:val="28"/>
        </w:rPr>
        <w:t>10.1089/ars.2015.6508</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Dos Santos PB, Gertrudes LN, Conceição FL, de Andrade BM, de Carvalho DP, Vaisman M, Teixeira PFDS. Effects of Metformin on TSH Levels and Benign Nodular Goiter Volume in Patients Without Insulin Resistance or Iodine Insufficiency. </w:t>
      </w:r>
      <w:r w:rsidRPr="00D83BD4">
        <w:rPr>
          <w:sz w:val="28"/>
          <w:szCs w:val="28"/>
        </w:rPr>
        <w:t xml:space="preserve">Front Endocrinol (Lausanne). 2019;10:465. doi: 10.3389/fendo.2019.00465. </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rStyle w:val="mixed-citation"/>
          <w:rFonts w:eastAsia="Calibri"/>
          <w:sz w:val="28"/>
          <w:szCs w:val="28"/>
          <w:lang w:val="en-US"/>
        </w:rPr>
        <w:t>Dworacka</w:t>
      </w:r>
      <w:r w:rsidRPr="00D83BD4">
        <w:rPr>
          <w:rStyle w:val="mixed-citation"/>
          <w:rFonts w:eastAsia="Calibri"/>
          <w:sz w:val="28"/>
          <w:szCs w:val="28"/>
          <w:lang w:val="uk-UA"/>
        </w:rPr>
        <w:t xml:space="preserve"> </w:t>
      </w:r>
      <w:r w:rsidRPr="00D83BD4">
        <w:rPr>
          <w:rStyle w:val="mixed-citation"/>
          <w:rFonts w:eastAsia="Calibri"/>
          <w:sz w:val="28"/>
          <w:szCs w:val="28"/>
          <w:lang w:val="en-US"/>
        </w:rPr>
        <w:t>M</w:t>
      </w:r>
      <w:r w:rsidRPr="00D83BD4">
        <w:rPr>
          <w:rStyle w:val="mixed-citation"/>
          <w:rFonts w:eastAsia="Calibri"/>
          <w:sz w:val="28"/>
          <w:szCs w:val="28"/>
          <w:lang w:val="uk-UA"/>
        </w:rPr>
        <w:t xml:space="preserve">, </w:t>
      </w:r>
      <w:r w:rsidRPr="00D83BD4">
        <w:rPr>
          <w:rStyle w:val="mixed-citation"/>
          <w:rFonts w:eastAsia="Calibri"/>
          <w:sz w:val="28"/>
          <w:szCs w:val="28"/>
          <w:lang w:val="en-US"/>
        </w:rPr>
        <w:t>Krzy</w:t>
      </w:r>
      <w:r w:rsidRPr="00D83BD4">
        <w:rPr>
          <w:rStyle w:val="mixed-citation"/>
          <w:rFonts w:eastAsia="Calibri"/>
          <w:sz w:val="28"/>
          <w:szCs w:val="28"/>
          <w:lang w:val="uk-UA"/>
        </w:rPr>
        <w:t>ż</w:t>
      </w:r>
      <w:r w:rsidRPr="00D83BD4">
        <w:rPr>
          <w:rStyle w:val="mixed-citation"/>
          <w:rFonts w:eastAsia="Calibri"/>
          <w:sz w:val="28"/>
          <w:szCs w:val="28"/>
          <w:lang w:val="en-US"/>
        </w:rPr>
        <w:t>ag</w:t>
      </w:r>
      <w:r w:rsidRPr="00D83BD4">
        <w:rPr>
          <w:rStyle w:val="mixed-citation"/>
          <w:rFonts w:eastAsia="Calibri"/>
          <w:sz w:val="28"/>
          <w:szCs w:val="28"/>
          <w:lang w:val="uk-UA"/>
        </w:rPr>
        <w:t>ó</w:t>
      </w:r>
      <w:r w:rsidRPr="00D83BD4">
        <w:rPr>
          <w:rStyle w:val="mixed-citation"/>
          <w:rFonts w:eastAsia="Calibri"/>
          <w:sz w:val="28"/>
          <w:szCs w:val="28"/>
          <w:lang w:val="en-US"/>
        </w:rPr>
        <w:t>rska</w:t>
      </w:r>
      <w:r w:rsidRPr="00D83BD4">
        <w:rPr>
          <w:rStyle w:val="mixed-citation"/>
          <w:rFonts w:eastAsia="Calibri"/>
          <w:sz w:val="28"/>
          <w:szCs w:val="28"/>
          <w:lang w:val="uk-UA"/>
        </w:rPr>
        <w:t xml:space="preserve"> </w:t>
      </w:r>
      <w:r w:rsidRPr="00D83BD4">
        <w:rPr>
          <w:rStyle w:val="mixed-citation"/>
          <w:rFonts w:eastAsia="Calibri"/>
          <w:sz w:val="28"/>
          <w:szCs w:val="28"/>
          <w:lang w:val="en-US"/>
        </w:rPr>
        <w:t>E</w:t>
      </w:r>
      <w:r w:rsidRPr="00D83BD4">
        <w:rPr>
          <w:rStyle w:val="mixed-citation"/>
          <w:rFonts w:eastAsia="Calibri"/>
          <w:sz w:val="28"/>
          <w:szCs w:val="28"/>
          <w:lang w:val="uk-UA"/>
        </w:rPr>
        <w:t xml:space="preserve">, </w:t>
      </w:r>
      <w:r w:rsidRPr="00D83BD4">
        <w:rPr>
          <w:rStyle w:val="mixed-citation"/>
          <w:rFonts w:eastAsia="Calibri"/>
          <w:sz w:val="28"/>
          <w:szCs w:val="28"/>
          <w:lang w:val="en-US"/>
        </w:rPr>
        <w:t>Weso</w:t>
      </w:r>
      <w:r w:rsidRPr="00D83BD4">
        <w:rPr>
          <w:rStyle w:val="mixed-citation"/>
          <w:rFonts w:eastAsia="Calibri"/>
          <w:sz w:val="28"/>
          <w:szCs w:val="28"/>
          <w:lang w:val="uk-UA"/>
        </w:rPr>
        <w:t>ł</w:t>
      </w:r>
      <w:r w:rsidRPr="00D83BD4">
        <w:rPr>
          <w:rStyle w:val="mixed-citation"/>
          <w:rFonts w:eastAsia="Calibri"/>
          <w:sz w:val="28"/>
          <w:szCs w:val="28"/>
          <w:lang w:val="en-US"/>
        </w:rPr>
        <w:t>owska</w:t>
      </w:r>
      <w:r w:rsidRPr="00D83BD4">
        <w:rPr>
          <w:rStyle w:val="mixed-citation"/>
          <w:rFonts w:eastAsia="Calibri"/>
          <w:sz w:val="28"/>
          <w:szCs w:val="28"/>
          <w:lang w:val="uk-UA"/>
        </w:rPr>
        <w:t xml:space="preserve"> </w:t>
      </w:r>
      <w:r w:rsidRPr="00D83BD4">
        <w:rPr>
          <w:rStyle w:val="mixed-citation"/>
          <w:rFonts w:eastAsia="Calibri"/>
          <w:sz w:val="28"/>
          <w:szCs w:val="28"/>
          <w:lang w:val="en-US"/>
        </w:rPr>
        <w:t>A</w:t>
      </w:r>
      <w:r w:rsidRPr="00D83BD4">
        <w:rPr>
          <w:rStyle w:val="mixed-citation"/>
          <w:rFonts w:eastAsia="Calibri"/>
          <w:sz w:val="28"/>
          <w:szCs w:val="28"/>
          <w:lang w:val="uk-UA"/>
        </w:rPr>
        <w:t xml:space="preserve">, </w:t>
      </w:r>
      <w:r w:rsidRPr="00D83BD4">
        <w:rPr>
          <w:rStyle w:val="mixed-citation"/>
          <w:rFonts w:eastAsia="Calibri"/>
          <w:sz w:val="28"/>
          <w:szCs w:val="28"/>
          <w:lang w:val="en-US"/>
        </w:rPr>
        <w:t>Borowska</w:t>
      </w:r>
      <w:r w:rsidRPr="00D83BD4">
        <w:rPr>
          <w:rStyle w:val="mixed-citation"/>
          <w:rFonts w:eastAsia="Calibri"/>
          <w:sz w:val="28"/>
          <w:szCs w:val="28"/>
          <w:lang w:val="uk-UA"/>
        </w:rPr>
        <w:t xml:space="preserve"> </w:t>
      </w:r>
      <w:r w:rsidRPr="00D83BD4">
        <w:rPr>
          <w:rStyle w:val="mixed-citation"/>
          <w:rFonts w:eastAsia="Calibri"/>
          <w:sz w:val="28"/>
          <w:szCs w:val="28"/>
          <w:lang w:val="en-US"/>
        </w:rPr>
        <w:t>M</w:t>
      </w:r>
      <w:r w:rsidRPr="00D83BD4">
        <w:rPr>
          <w:rStyle w:val="mixed-citation"/>
          <w:rFonts w:eastAsia="Calibri"/>
          <w:sz w:val="28"/>
          <w:szCs w:val="28"/>
          <w:lang w:val="uk-UA"/>
        </w:rPr>
        <w:t xml:space="preserve">, </w:t>
      </w:r>
      <w:r w:rsidRPr="00D83BD4">
        <w:rPr>
          <w:rStyle w:val="mixed-citation"/>
          <w:rFonts w:eastAsia="Calibri"/>
          <w:sz w:val="28"/>
          <w:szCs w:val="28"/>
          <w:lang w:val="en-US"/>
        </w:rPr>
        <w:t>Iskakova</w:t>
      </w:r>
      <w:r w:rsidRPr="00D83BD4">
        <w:rPr>
          <w:rStyle w:val="mixed-citation"/>
          <w:rFonts w:eastAsia="Calibri"/>
          <w:sz w:val="28"/>
          <w:szCs w:val="28"/>
          <w:lang w:val="uk-UA"/>
        </w:rPr>
        <w:t xml:space="preserve"> </w:t>
      </w:r>
      <w:r w:rsidRPr="00D83BD4">
        <w:rPr>
          <w:rStyle w:val="mixed-citation"/>
          <w:rFonts w:eastAsia="Calibri"/>
          <w:sz w:val="28"/>
          <w:szCs w:val="28"/>
          <w:lang w:val="en-US"/>
        </w:rPr>
        <w:t>S</w:t>
      </w:r>
      <w:r w:rsidRPr="00D83BD4">
        <w:rPr>
          <w:rStyle w:val="mixed-citation"/>
          <w:rFonts w:eastAsia="Calibri"/>
          <w:sz w:val="28"/>
          <w:szCs w:val="28"/>
          <w:lang w:val="uk-UA"/>
        </w:rPr>
        <w:t xml:space="preserve">, </w:t>
      </w:r>
      <w:r w:rsidRPr="00D83BD4">
        <w:rPr>
          <w:rStyle w:val="mixed-citation"/>
          <w:rFonts w:eastAsia="Calibri"/>
          <w:sz w:val="28"/>
          <w:szCs w:val="28"/>
          <w:lang w:val="en-US"/>
        </w:rPr>
        <w:t>Dworacki</w:t>
      </w:r>
      <w:r w:rsidRPr="00D83BD4">
        <w:rPr>
          <w:rStyle w:val="mixed-citation"/>
          <w:rFonts w:eastAsia="Calibri"/>
          <w:sz w:val="28"/>
          <w:szCs w:val="28"/>
          <w:lang w:val="uk-UA"/>
        </w:rPr>
        <w:t xml:space="preserve"> </w:t>
      </w:r>
      <w:r w:rsidRPr="00D83BD4">
        <w:rPr>
          <w:rStyle w:val="mixed-citation"/>
          <w:rFonts w:eastAsia="Calibri"/>
          <w:sz w:val="28"/>
          <w:szCs w:val="28"/>
          <w:lang w:val="en-US"/>
        </w:rPr>
        <w:t>G</w:t>
      </w:r>
      <w:r w:rsidRPr="00D83BD4">
        <w:rPr>
          <w:rStyle w:val="mixed-citation"/>
          <w:rFonts w:eastAsia="Calibri"/>
          <w:sz w:val="28"/>
          <w:szCs w:val="28"/>
          <w:lang w:val="uk-UA"/>
        </w:rPr>
        <w:t xml:space="preserve">. </w:t>
      </w:r>
      <w:r w:rsidRPr="00D83BD4">
        <w:rPr>
          <w:rStyle w:val="mixed-citation"/>
          <w:rFonts w:eastAsia="Calibri"/>
          <w:sz w:val="28"/>
          <w:szCs w:val="28"/>
          <w:lang w:val="en-US"/>
        </w:rPr>
        <w:t>Statins</w:t>
      </w:r>
      <w:r w:rsidRPr="00D83BD4">
        <w:rPr>
          <w:rStyle w:val="mixed-citation"/>
          <w:rFonts w:eastAsia="Calibri"/>
          <w:sz w:val="28"/>
          <w:szCs w:val="28"/>
          <w:lang w:val="uk-UA"/>
        </w:rPr>
        <w:t xml:space="preserve"> </w:t>
      </w:r>
      <w:r w:rsidRPr="00D83BD4">
        <w:rPr>
          <w:rStyle w:val="mixed-citation"/>
          <w:rFonts w:eastAsia="Calibri"/>
          <w:sz w:val="28"/>
          <w:szCs w:val="28"/>
          <w:lang w:val="en-US"/>
        </w:rPr>
        <w:t>in</w:t>
      </w:r>
      <w:r w:rsidRPr="00D83BD4">
        <w:rPr>
          <w:rStyle w:val="mixed-citation"/>
          <w:rFonts w:eastAsia="Calibri"/>
          <w:sz w:val="28"/>
          <w:szCs w:val="28"/>
          <w:lang w:val="uk-UA"/>
        </w:rPr>
        <w:t xml:space="preserve"> </w:t>
      </w:r>
      <w:r w:rsidRPr="00D83BD4">
        <w:rPr>
          <w:rStyle w:val="mixed-citation"/>
          <w:rFonts w:eastAsia="Calibri"/>
          <w:sz w:val="28"/>
          <w:szCs w:val="28"/>
          <w:lang w:val="en-US"/>
        </w:rPr>
        <w:t>low</w:t>
      </w:r>
      <w:r w:rsidRPr="00D83BD4">
        <w:rPr>
          <w:rStyle w:val="mixed-citation"/>
          <w:rFonts w:eastAsia="Calibri"/>
          <w:sz w:val="28"/>
          <w:szCs w:val="28"/>
          <w:lang w:val="uk-UA"/>
        </w:rPr>
        <w:t xml:space="preserve"> </w:t>
      </w:r>
      <w:r w:rsidRPr="00D83BD4">
        <w:rPr>
          <w:rStyle w:val="mixed-citation"/>
          <w:rFonts w:eastAsia="Calibri"/>
          <w:sz w:val="28"/>
          <w:szCs w:val="28"/>
          <w:lang w:val="en-US"/>
        </w:rPr>
        <w:t>doses</w:t>
      </w:r>
      <w:r w:rsidRPr="00D83BD4">
        <w:rPr>
          <w:rStyle w:val="mixed-citation"/>
          <w:rFonts w:eastAsia="Calibri"/>
          <w:sz w:val="28"/>
          <w:szCs w:val="28"/>
          <w:lang w:val="uk-UA"/>
        </w:rPr>
        <w:t xml:space="preserve"> </w:t>
      </w:r>
      <w:r w:rsidRPr="00D83BD4">
        <w:rPr>
          <w:rStyle w:val="mixed-citation"/>
          <w:rFonts w:eastAsia="Calibri"/>
          <w:sz w:val="28"/>
          <w:szCs w:val="28"/>
          <w:lang w:val="en-US"/>
        </w:rPr>
        <w:t>reduce</w:t>
      </w:r>
      <w:r w:rsidRPr="00D83BD4">
        <w:rPr>
          <w:rStyle w:val="mixed-citation"/>
          <w:rFonts w:eastAsia="Calibri"/>
          <w:sz w:val="28"/>
          <w:szCs w:val="28"/>
          <w:lang w:val="uk-UA"/>
        </w:rPr>
        <w:t xml:space="preserve"> </w:t>
      </w:r>
      <w:r w:rsidRPr="00D83BD4">
        <w:rPr>
          <w:rStyle w:val="mixed-citation"/>
          <w:rFonts w:eastAsia="Calibri"/>
          <w:sz w:val="28"/>
          <w:szCs w:val="28"/>
          <w:lang w:val="en-US"/>
        </w:rPr>
        <w:t>VEGF</w:t>
      </w:r>
      <w:r w:rsidRPr="00D83BD4">
        <w:rPr>
          <w:rStyle w:val="mixed-citation"/>
          <w:rFonts w:eastAsia="Calibri"/>
          <w:sz w:val="28"/>
          <w:szCs w:val="28"/>
          <w:lang w:val="uk-UA"/>
        </w:rPr>
        <w:t xml:space="preserve"> </w:t>
      </w:r>
      <w:r w:rsidRPr="00D83BD4">
        <w:rPr>
          <w:rStyle w:val="mixed-citation"/>
          <w:rFonts w:eastAsia="Calibri"/>
          <w:sz w:val="28"/>
          <w:szCs w:val="28"/>
          <w:lang w:val="en-US"/>
        </w:rPr>
        <w:t>and</w:t>
      </w:r>
      <w:r w:rsidRPr="00D83BD4">
        <w:rPr>
          <w:rStyle w:val="mixed-citation"/>
          <w:rFonts w:eastAsia="Calibri"/>
          <w:sz w:val="28"/>
          <w:szCs w:val="28"/>
          <w:lang w:val="uk-UA"/>
        </w:rPr>
        <w:t xml:space="preserve"> </w:t>
      </w:r>
      <w:r w:rsidRPr="00D83BD4">
        <w:rPr>
          <w:rStyle w:val="mixed-citation"/>
          <w:rFonts w:eastAsia="Calibri"/>
          <w:sz w:val="28"/>
          <w:szCs w:val="28"/>
          <w:lang w:val="en-US"/>
        </w:rPr>
        <w:t>bFGF</w:t>
      </w:r>
      <w:r w:rsidRPr="00D83BD4">
        <w:rPr>
          <w:rStyle w:val="mixed-citation"/>
          <w:rFonts w:eastAsia="Calibri"/>
          <w:sz w:val="28"/>
          <w:szCs w:val="28"/>
          <w:lang w:val="uk-UA"/>
        </w:rPr>
        <w:t xml:space="preserve"> </w:t>
      </w:r>
      <w:r w:rsidRPr="00D83BD4">
        <w:rPr>
          <w:rStyle w:val="mixed-citation"/>
          <w:rFonts w:eastAsia="Calibri"/>
          <w:sz w:val="28"/>
          <w:szCs w:val="28"/>
          <w:lang w:val="en-US"/>
        </w:rPr>
        <w:t>serum</w:t>
      </w:r>
      <w:r w:rsidRPr="00D83BD4">
        <w:rPr>
          <w:rStyle w:val="mixed-citation"/>
          <w:rFonts w:eastAsia="Calibri"/>
          <w:sz w:val="28"/>
          <w:szCs w:val="28"/>
          <w:lang w:val="uk-UA"/>
        </w:rPr>
        <w:t xml:space="preserve"> </w:t>
      </w:r>
      <w:r w:rsidRPr="00D83BD4">
        <w:rPr>
          <w:rStyle w:val="mixed-citation"/>
          <w:rFonts w:eastAsia="Calibri"/>
          <w:sz w:val="28"/>
          <w:szCs w:val="28"/>
          <w:lang w:val="en-US"/>
        </w:rPr>
        <w:t>levels</w:t>
      </w:r>
      <w:r w:rsidRPr="00D83BD4">
        <w:rPr>
          <w:rStyle w:val="mixed-citation"/>
          <w:rFonts w:eastAsia="Calibri"/>
          <w:sz w:val="28"/>
          <w:szCs w:val="28"/>
          <w:lang w:val="uk-UA"/>
        </w:rPr>
        <w:t xml:space="preserve"> </w:t>
      </w:r>
      <w:r w:rsidRPr="00D83BD4">
        <w:rPr>
          <w:rStyle w:val="mixed-citation"/>
          <w:rFonts w:eastAsia="Calibri"/>
          <w:sz w:val="28"/>
          <w:szCs w:val="28"/>
          <w:lang w:val="en-US"/>
        </w:rPr>
        <w:t>in</w:t>
      </w:r>
      <w:r w:rsidRPr="00D83BD4">
        <w:rPr>
          <w:rStyle w:val="mixed-citation"/>
          <w:rFonts w:eastAsia="Calibri"/>
          <w:sz w:val="28"/>
          <w:szCs w:val="28"/>
          <w:lang w:val="uk-UA"/>
        </w:rPr>
        <w:t xml:space="preserve"> </w:t>
      </w:r>
      <w:r w:rsidRPr="00D83BD4">
        <w:rPr>
          <w:rStyle w:val="mixed-citation"/>
          <w:rFonts w:eastAsia="Calibri"/>
          <w:sz w:val="28"/>
          <w:szCs w:val="28"/>
          <w:lang w:val="en-US"/>
        </w:rPr>
        <w:t>patients</w:t>
      </w:r>
      <w:r w:rsidRPr="00D83BD4">
        <w:rPr>
          <w:rStyle w:val="mixed-citation"/>
          <w:rFonts w:eastAsia="Calibri"/>
          <w:sz w:val="28"/>
          <w:szCs w:val="28"/>
          <w:lang w:val="uk-UA"/>
        </w:rPr>
        <w:t xml:space="preserve"> </w:t>
      </w:r>
      <w:r w:rsidRPr="00D83BD4">
        <w:rPr>
          <w:rStyle w:val="mixed-citation"/>
          <w:rFonts w:eastAsia="Calibri"/>
          <w:sz w:val="28"/>
          <w:szCs w:val="28"/>
          <w:lang w:val="en-US"/>
        </w:rPr>
        <w:t>with</w:t>
      </w:r>
      <w:r w:rsidRPr="00D83BD4">
        <w:rPr>
          <w:rStyle w:val="mixed-citation"/>
          <w:rFonts w:eastAsia="Calibri"/>
          <w:sz w:val="28"/>
          <w:szCs w:val="28"/>
          <w:lang w:val="uk-UA"/>
        </w:rPr>
        <w:t xml:space="preserve"> </w:t>
      </w:r>
      <w:r w:rsidRPr="00D83BD4">
        <w:rPr>
          <w:rStyle w:val="mixed-citation"/>
          <w:rFonts w:eastAsia="Calibri"/>
          <w:sz w:val="28"/>
          <w:szCs w:val="28"/>
          <w:lang w:val="en-US"/>
        </w:rPr>
        <w:t>type</w:t>
      </w:r>
      <w:r w:rsidRPr="00D83BD4">
        <w:rPr>
          <w:rStyle w:val="mixed-citation"/>
          <w:rFonts w:eastAsia="Calibri"/>
          <w:sz w:val="28"/>
          <w:szCs w:val="28"/>
          <w:lang w:val="uk-UA"/>
        </w:rPr>
        <w:t xml:space="preserve"> 2 </w:t>
      </w:r>
      <w:r w:rsidRPr="00D83BD4">
        <w:rPr>
          <w:rStyle w:val="mixed-citation"/>
          <w:rFonts w:eastAsia="Calibri"/>
          <w:sz w:val="28"/>
          <w:szCs w:val="28"/>
          <w:lang w:val="en-US"/>
        </w:rPr>
        <w:t>diabetes</w:t>
      </w:r>
      <w:r w:rsidRPr="00D83BD4">
        <w:rPr>
          <w:rStyle w:val="mixed-citation"/>
          <w:rFonts w:eastAsia="Calibri"/>
          <w:sz w:val="28"/>
          <w:szCs w:val="28"/>
          <w:lang w:val="uk-UA"/>
        </w:rPr>
        <w:t xml:space="preserve"> </w:t>
      </w:r>
      <w:r w:rsidRPr="00D83BD4">
        <w:rPr>
          <w:rStyle w:val="mixed-citation"/>
          <w:rFonts w:eastAsia="Calibri"/>
          <w:sz w:val="28"/>
          <w:szCs w:val="28"/>
          <w:lang w:val="en-US"/>
        </w:rPr>
        <w:t>mellitus</w:t>
      </w:r>
      <w:r w:rsidRPr="00D83BD4">
        <w:rPr>
          <w:rStyle w:val="mixed-citation"/>
          <w:rFonts w:eastAsia="Calibri"/>
          <w:sz w:val="28"/>
          <w:szCs w:val="28"/>
          <w:lang w:val="uk-UA"/>
        </w:rPr>
        <w:t xml:space="preserve">. </w:t>
      </w:r>
      <w:r w:rsidRPr="00D83BD4">
        <w:rPr>
          <w:rStyle w:val="ref-journal"/>
          <w:sz w:val="28"/>
          <w:szCs w:val="28"/>
        </w:rPr>
        <w:t>Pharmacology</w:t>
      </w:r>
      <w:r w:rsidRPr="00D83BD4">
        <w:rPr>
          <w:rStyle w:val="ref-journal"/>
          <w:sz w:val="28"/>
          <w:szCs w:val="28"/>
          <w:lang w:val="uk-UA"/>
        </w:rPr>
        <w:t xml:space="preserve">. </w:t>
      </w:r>
      <w:r w:rsidRPr="00D83BD4">
        <w:rPr>
          <w:rStyle w:val="mixed-citation"/>
          <w:rFonts w:eastAsia="Calibri"/>
          <w:sz w:val="28"/>
          <w:szCs w:val="28"/>
          <w:lang w:val="uk-UA"/>
        </w:rPr>
        <w:t>2014;</w:t>
      </w:r>
      <w:r w:rsidRPr="00D83BD4">
        <w:rPr>
          <w:rStyle w:val="ref-vol"/>
          <w:sz w:val="28"/>
          <w:szCs w:val="28"/>
          <w:lang w:val="uk-UA"/>
        </w:rPr>
        <w:t>93:</w:t>
      </w:r>
      <w:r w:rsidRPr="00D83BD4">
        <w:rPr>
          <w:rStyle w:val="mixed-citation"/>
          <w:rFonts w:eastAsia="Calibri"/>
          <w:sz w:val="28"/>
          <w:szCs w:val="28"/>
          <w:lang w:val="uk-UA"/>
        </w:rPr>
        <w:t xml:space="preserve">32–38. </w:t>
      </w:r>
      <w:r w:rsidRPr="00D83BD4">
        <w:rPr>
          <w:sz w:val="28"/>
          <w:szCs w:val="28"/>
          <w:shd w:val="clear" w:color="auto" w:fill="FFFFFF"/>
        </w:rPr>
        <w:t>doi: 10.1159/000357476.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Ellehoj H, Bendix L, Osler M. Leucocyte Telomere Length and Risk of Cardiovascular Disease in a Cohort of 1,397 Danish Men and Women. </w:t>
      </w:r>
      <w:r w:rsidRPr="00D83BD4">
        <w:rPr>
          <w:sz w:val="28"/>
          <w:szCs w:val="28"/>
        </w:rPr>
        <w:t>Cardiology. 2016;133(3):173-7. doi: 10.1159/000441819.</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Erem C, Suleyman AK, Civan N, Mentese A, Nuhoglu İ, Uzun A, et.al. The effect of L-thyroxine replacement therapy on ischemia-modified albümin and malondialdehyde levels in patients with overt and subclinical hypothyroidism. Endocr Res. 2016;41(4):350-360. doi:10.3109/07435800.2016.1163722</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Erman H, Gelisgen R. Cengiz M,</w:t>
      </w:r>
      <w:r w:rsidRPr="00D83BD4">
        <w:rPr>
          <w:sz w:val="28"/>
          <w:szCs w:val="28"/>
          <w:lang w:val="uk-UA"/>
        </w:rPr>
        <w:t xml:space="preserve"> </w:t>
      </w:r>
      <w:r w:rsidRPr="00D83BD4">
        <w:rPr>
          <w:sz w:val="28"/>
          <w:szCs w:val="28"/>
          <w:shd w:val="clear" w:color="auto" w:fill="FFFFFF"/>
          <w:lang w:val="en-US"/>
        </w:rPr>
        <w:t>Tabak O, Erdenen F, Uzun H. </w:t>
      </w:r>
      <w:r w:rsidRPr="00D83BD4">
        <w:rPr>
          <w:bCs/>
          <w:sz w:val="28"/>
          <w:szCs w:val="28"/>
          <w:lang w:val="en-US"/>
        </w:rPr>
        <w:t>The</w:t>
      </w:r>
      <w:r w:rsidRPr="00D83BD4">
        <w:rPr>
          <w:bCs/>
          <w:sz w:val="28"/>
          <w:szCs w:val="28"/>
          <w:lang w:val="uk-UA"/>
        </w:rPr>
        <w:t xml:space="preserve"> </w:t>
      </w:r>
      <w:r w:rsidRPr="00D83BD4">
        <w:rPr>
          <w:bCs/>
          <w:sz w:val="28"/>
          <w:szCs w:val="28"/>
          <w:lang w:val="en-US"/>
        </w:rPr>
        <w:t>association</w:t>
      </w:r>
      <w:r w:rsidRPr="00D83BD4">
        <w:rPr>
          <w:bCs/>
          <w:sz w:val="28"/>
          <w:szCs w:val="28"/>
          <w:lang w:val="uk-UA"/>
        </w:rPr>
        <w:t xml:space="preserve"> </w:t>
      </w:r>
      <w:r w:rsidRPr="00D83BD4">
        <w:rPr>
          <w:bCs/>
          <w:sz w:val="28"/>
          <w:szCs w:val="28"/>
          <w:lang w:val="en-US"/>
        </w:rPr>
        <w:t>of</w:t>
      </w:r>
      <w:r w:rsidRPr="00D83BD4">
        <w:rPr>
          <w:bCs/>
          <w:sz w:val="28"/>
          <w:szCs w:val="28"/>
          <w:lang w:val="uk-UA"/>
        </w:rPr>
        <w:t xml:space="preserve"> </w:t>
      </w:r>
      <w:r w:rsidRPr="00D83BD4">
        <w:rPr>
          <w:bCs/>
          <w:sz w:val="28"/>
          <w:szCs w:val="28"/>
          <w:lang w:val="en-US"/>
        </w:rPr>
        <w:t>vascular</w:t>
      </w:r>
      <w:r w:rsidRPr="00D83BD4">
        <w:rPr>
          <w:bCs/>
          <w:sz w:val="28"/>
          <w:szCs w:val="28"/>
          <w:lang w:val="uk-UA"/>
        </w:rPr>
        <w:t xml:space="preserve"> </w:t>
      </w:r>
      <w:r w:rsidRPr="00D83BD4">
        <w:rPr>
          <w:bCs/>
          <w:sz w:val="28"/>
          <w:szCs w:val="28"/>
          <w:lang w:val="en-US"/>
        </w:rPr>
        <w:t>endothelial</w:t>
      </w:r>
      <w:r w:rsidRPr="00D83BD4">
        <w:rPr>
          <w:bCs/>
          <w:sz w:val="28"/>
          <w:szCs w:val="28"/>
          <w:lang w:val="uk-UA"/>
        </w:rPr>
        <w:t xml:space="preserve"> </w:t>
      </w:r>
      <w:r w:rsidRPr="00D83BD4">
        <w:rPr>
          <w:bCs/>
          <w:sz w:val="28"/>
          <w:szCs w:val="28"/>
          <w:lang w:val="en-US"/>
        </w:rPr>
        <w:t>growth</w:t>
      </w:r>
      <w:r w:rsidRPr="00D83BD4">
        <w:rPr>
          <w:bCs/>
          <w:sz w:val="28"/>
          <w:szCs w:val="28"/>
          <w:lang w:val="uk-UA"/>
        </w:rPr>
        <w:t xml:space="preserve"> </w:t>
      </w:r>
      <w:r w:rsidRPr="00D83BD4">
        <w:rPr>
          <w:bCs/>
          <w:sz w:val="28"/>
          <w:szCs w:val="28"/>
          <w:lang w:val="en-US"/>
        </w:rPr>
        <w:t>factor</w:t>
      </w:r>
      <w:r w:rsidRPr="00D83BD4">
        <w:rPr>
          <w:bCs/>
          <w:sz w:val="28"/>
          <w:szCs w:val="28"/>
          <w:lang w:val="uk-UA"/>
        </w:rPr>
        <w:t xml:space="preserve">, </w:t>
      </w:r>
      <w:r w:rsidRPr="00D83BD4">
        <w:rPr>
          <w:bCs/>
          <w:sz w:val="28"/>
          <w:szCs w:val="28"/>
          <w:lang w:val="en-US"/>
        </w:rPr>
        <w:t>metalloproteinases</w:t>
      </w:r>
      <w:r w:rsidRPr="00D83BD4">
        <w:rPr>
          <w:bCs/>
          <w:sz w:val="28"/>
          <w:szCs w:val="28"/>
          <w:lang w:val="uk-UA"/>
        </w:rPr>
        <w:t xml:space="preserve"> </w:t>
      </w:r>
      <w:r w:rsidRPr="00D83BD4">
        <w:rPr>
          <w:bCs/>
          <w:sz w:val="28"/>
          <w:szCs w:val="28"/>
          <w:lang w:val="en-US"/>
        </w:rPr>
        <w:t>and</w:t>
      </w:r>
      <w:r w:rsidRPr="00D83BD4">
        <w:rPr>
          <w:bCs/>
          <w:sz w:val="28"/>
          <w:szCs w:val="28"/>
          <w:lang w:val="uk-UA"/>
        </w:rPr>
        <w:t xml:space="preserve"> </w:t>
      </w:r>
      <w:r w:rsidRPr="00D83BD4">
        <w:rPr>
          <w:bCs/>
          <w:sz w:val="28"/>
          <w:szCs w:val="28"/>
          <w:lang w:val="en-US"/>
        </w:rPr>
        <w:t>their</w:t>
      </w:r>
      <w:r w:rsidRPr="00D83BD4">
        <w:rPr>
          <w:bCs/>
          <w:sz w:val="28"/>
          <w:szCs w:val="28"/>
          <w:lang w:val="uk-UA"/>
        </w:rPr>
        <w:t xml:space="preserve"> </w:t>
      </w:r>
      <w:r w:rsidRPr="00D83BD4">
        <w:rPr>
          <w:bCs/>
          <w:sz w:val="28"/>
          <w:szCs w:val="28"/>
          <w:lang w:val="en-US"/>
        </w:rPr>
        <w:t>tissue</w:t>
      </w:r>
      <w:r w:rsidRPr="00D83BD4">
        <w:rPr>
          <w:bCs/>
          <w:sz w:val="28"/>
          <w:szCs w:val="28"/>
          <w:lang w:val="uk-UA"/>
        </w:rPr>
        <w:t xml:space="preserve"> </w:t>
      </w:r>
      <w:r w:rsidRPr="00D83BD4">
        <w:rPr>
          <w:bCs/>
          <w:sz w:val="28"/>
          <w:szCs w:val="28"/>
          <w:lang w:val="en-US"/>
        </w:rPr>
        <w:t>inhibitors</w:t>
      </w:r>
      <w:r w:rsidRPr="00D83BD4">
        <w:rPr>
          <w:bCs/>
          <w:sz w:val="28"/>
          <w:szCs w:val="28"/>
          <w:lang w:val="uk-UA"/>
        </w:rPr>
        <w:t xml:space="preserve"> </w:t>
      </w:r>
      <w:r w:rsidRPr="00D83BD4">
        <w:rPr>
          <w:bCs/>
          <w:sz w:val="28"/>
          <w:szCs w:val="28"/>
          <w:lang w:val="en-US"/>
        </w:rPr>
        <w:t>with</w:t>
      </w:r>
      <w:r w:rsidRPr="00D83BD4">
        <w:rPr>
          <w:bCs/>
          <w:sz w:val="28"/>
          <w:szCs w:val="28"/>
          <w:lang w:val="uk-UA"/>
        </w:rPr>
        <w:t xml:space="preserve"> </w:t>
      </w:r>
      <w:r w:rsidRPr="00D83BD4">
        <w:rPr>
          <w:bCs/>
          <w:sz w:val="28"/>
          <w:szCs w:val="28"/>
          <w:lang w:val="en-US"/>
        </w:rPr>
        <w:t>cardiovascular</w:t>
      </w:r>
      <w:r w:rsidRPr="00D83BD4">
        <w:rPr>
          <w:bCs/>
          <w:sz w:val="28"/>
          <w:szCs w:val="28"/>
          <w:lang w:val="uk-UA"/>
        </w:rPr>
        <w:t xml:space="preserve"> </w:t>
      </w:r>
      <w:r w:rsidRPr="00D83BD4">
        <w:rPr>
          <w:bCs/>
          <w:sz w:val="28"/>
          <w:szCs w:val="28"/>
          <w:lang w:val="en-US"/>
        </w:rPr>
        <w:t>risk</w:t>
      </w:r>
      <w:r w:rsidRPr="00D83BD4">
        <w:rPr>
          <w:bCs/>
          <w:sz w:val="28"/>
          <w:szCs w:val="28"/>
          <w:lang w:val="uk-UA"/>
        </w:rPr>
        <w:t xml:space="preserve"> </w:t>
      </w:r>
      <w:r w:rsidRPr="00D83BD4">
        <w:rPr>
          <w:bCs/>
          <w:sz w:val="28"/>
          <w:szCs w:val="28"/>
          <w:lang w:val="en-US"/>
        </w:rPr>
        <w:t>factors</w:t>
      </w:r>
      <w:r w:rsidRPr="00D83BD4">
        <w:rPr>
          <w:bCs/>
          <w:sz w:val="28"/>
          <w:szCs w:val="28"/>
          <w:lang w:val="uk-UA"/>
        </w:rPr>
        <w:t xml:space="preserve"> </w:t>
      </w:r>
      <w:r w:rsidRPr="00D83BD4">
        <w:rPr>
          <w:bCs/>
          <w:sz w:val="28"/>
          <w:szCs w:val="28"/>
          <w:lang w:val="en-US"/>
        </w:rPr>
        <w:t>in</w:t>
      </w:r>
      <w:r w:rsidRPr="00D83BD4">
        <w:rPr>
          <w:bCs/>
          <w:sz w:val="28"/>
          <w:szCs w:val="28"/>
          <w:lang w:val="uk-UA"/>
        </w:rPr>
        <w:t xml:space="preserve"> </w:t>
      </w:r>
      <w:r w:rsidRPr="00D83BD4">
        <w:rPr>
          <w:bCs/>
          <w:sz w:val="28"/>
          <w:szCs w:val="28"/>
          <w:lang w:val="en-US"/>
        </w:rPr>
        <w:t>the</w:t>
      </w:r>
      <w:r w:rsidRPr="00D83BD4">
        <w:rPr>
          <w:bCs/>
          <w:sz w:val="28"/>
          <w:szCs w:val="28"/>
          <w:lang w:val="uk-UA"/>
        </w:rPr>
        <w:t xml:space="preserve"> </w:t>
      </w:r>
      <w:r w:rsidRPr="00D83BD4">
        <w:rPr>
          <w:bCs/>
          <w:sz w:val="28"/>
          <w:szCs w:val="28"/>
          <w:lang w:val="en-US"/>
        </w:rPr>
        <w:t>metabolic</w:t>
      </w:r>
      <w:r w:rsidRPr="00D83BD4">
        <w:rPr>
          <w:bCs/>
          <w:sz w:val="28"/>
          <w:szCs w:val="28"/>
          <w:lang w:val="uk-UA"/>
        </w:rPr>
        <w:t xml:space="preserve"> </w:t>
      </w:r>
      <w:r w:rsidRPr="00D83BD4">
        <w:rPr>
          <w:bCs/>
          <w:sz w:val="28"/>
          <w:szCs w:val="28"/>
          <w:lang w:val="en-US"/>
        </w:rPr>
        <w:t>syndrome</w:t>
      </w:r>
      <w:r w:rsidRPr="00D83BD4">
        <w:rPr>
          <w:bCs/>
          <w:sz w:val="28"/>
          <w:szCs w:val="28"/>
          <w:lang w:val="uk-UA"/>
        </w:rPr>
        <w:t xml:space="preserve">. </w:t>
      </w:r>
      <w:r w:rsidRPr="00D83BD4">
        <w:rPr>
          <w:sz w:val="28"/>
          <w:szCs w:val="28"/>
          <w:lang w:val="en-US"/>
        </w:rPr>
        <w:t xml:space="preserve">Eur Rev Med Pharmacol Sci. </w:t>
      </w:r>
      <w:r w:rsidRPr="00D83BD4">
        <w:rPr>
          <w:sz w:val="28"/>
          <w:szCs w:val="28"/>
          <w:lang w:val="uk-UA"/>
        </w:rPr>
        <w:t xml:space="preserve"> 2016</w:t>
      </w:r>
      <w:r w:rsidRPr="00D83BD4">
        <w:rPr>
          <w:sz w:val="28"/>
          <w:szCs w:val="28"/>
          <w:lang w:val="en-US"/>
        </w:rPr>
        <w:t>; 20(6):1015-22.</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shd w:val="clear" w:color="auto" w:fill="FFFFFF"/>
          <w:lang w:val="en-US"/>
        </w:rPr>
        <w:t xml:space="preserve">Esteghamati A, Eskandari D, Mirmiranpour H, Noshad S, Mousavizadeh M, Hedayati M, Nakhjavani M. Effects of metformin on markers of oxidative stress and antioxidant reserve in patients with newly diagnosed type 2 diabetes: a randomized clinical trial. </w:t>
      </w:r>
      <w:r w:rsidRPr="00D83BD4">
        <w:rPr>
          <w:sz w:val="28"/>
          <w:szCs w:val="28"/>
          <w:shd w:val="clear" w:color="auto" w:fill="FFFFFF"/>
        </w:rPr>
        <w:t>Clin Nutr. 2013;32(2):179-85. doi: 10.1016/j.clnu.2012.08.006. </w:t>
      </w:r>
    </w:p>
    <w:p w:rsidR="00E3259F" w:rsidRPr="00D83BD4" w:rsidRDefault="00E3259F" w:rsidP="00D83BD4">
      <w:pPr>
        <w:numPr>
          <w:ilvl w:val="0"/>
          <w:numId w:val="26"/>
        </w:numPr>
        <w:tabs>
          <w:tab w:val="left" w:pos="0"/>
        </w:tabs>
        <w:spacing w:line="360" w:lineRule="auto"/>
        <w:ind w:left="0" w:firstLine="0"/>
        <w:jc w:val="both"/>
        <w:rPr>
          <w:rStyle w:val="element-citation"/>
          <w:sz w:val="28"/>
          <w:szCs w:val="28"/>
        </w:rPr>
      </w:pPr>
      <w:r w:rsidRPr="00D83BD4">
        <w:rPr>
          <w:rStyle w:val="xfmc3"/>
          <w:sz w:val="28"/>
          <w:szCs w:val="28"/>
          <w:shd w:val="clear" w:color="auto" w:fill="FFFFFF"/>
          <w:lang w:val="en-US"/>
        </w:rPr>
        <w:t>Fadeienko GD</w:t>
      </w:r>
      <w:r w:rsidRPr="00D83BD4">
        <w:rPr>
          <w:rStyle w:val="xfmc3"/>
          <w:sz w:val="28"/>
          <w:szCs w:val="28"/>
          <w:shd w:val="clear" w:color="auto" w:fill="FFFFFF"/>
          <w:lang w:val="uk-UA"/>
        </w:rPr>
        <w:t xml:space="preserve">, </w:t>
      </w:r>
      <w:r w:rsidRPr="00D83BD4">
        <w:rPr>
          <w:rStyle w:val="xfmc3"/>
          <w:sz w:val="28"/>
          <w:szCs w:val="28"/>
          <w:shd w:val="clear" w:color="auto" w:fill="FFFFFF"/>
          <w:lang w:val="en-US"/>
        </w:rPr>
        <w:t>Kolesnikova OV</w:t>
      </w:r>
      <w:r w:rsidRPr="00D83BD4">
        <w:rPr>
          <w:rStyle w:val="xfmc3"/>
          <w:sz w:val="28"/>
          <w:szCs w:val="28"/>
          <w:shd w:val="clear" w:color="auto" w:fill="FFFFFF"/>
          <w:lang w:val="uk-UA"/>
        </w:rPr>
        <w:t xml:space="preserve">, </w:t>
      </w:r>
      <w:r w:rsidRPr="00D83BD4">
        <w:rPr>
          <w:rStyle w:val="xfmc3"/>
          <w:sz w:val="28"/>
          <w:szCs w:val="28"/>
          <w:shd w:val="clear" w:color="auto" w:fill="FFFFFF"/>
          <w:lang w:val="en-US"/>
        </w:rPr>
        <w:t>Vysotska OV</w:t>
      </w:r>
      <w:r w:rsidRPr="00D83BD4">
        <w:rPr>
          <w:rStyle w:val="xfmc3"/>
          <w:sz w:val="28"/>
          <w:szCs w:val="28"/>
          <w:shd w:val="clear" w:color="auto" w:fill="FFFFFF"/>
          <w:lang w:val="uk-UA"/>
        </w:rPr>
        <w:t xml:space="preserve">, </w:t>
      </w:r>
      <w:r w:rsidRPr="00D83BD4">
        <w:rPr>
          <w:rStyle w:val="xfmc3"/>
          <w:sz w:val="28"/>
          <w:szCs w:val="28"/>
          <w:shd w:val="clear" w:color="auto" w:fill="FFFFFF"/>
          <w:lang w:val="en-US"/>
        </w:rPr>
        <w:t>Radchenko AO</w:t>
      </w:r>
      <w:r w:rsidRPr="00D83BD4">
        <w:rPr>
          <w:rStyle w:val="xfmc3"/>
          <w:sz w:val="28"/>
          <w:szCs w:val="28"/>
          <w:shd w:val="clear" w:color="auto" w:fill="FFFFFF"/>
          <w:lang w:val="uk-UA"/>
        </w:rPr>
        <w:t>.</w:t>
      </w:r>
      <w:r w:rsidRPr="00D83BD4">
        <w:rPr>
          <w:rStyle w:val="xfmc3"/>
          <w:sz w:val="28"/>
          <w:szCs w:val="28"/>
          <w:shd w:val="clear" w:color="auto" w:fill="FFFFFF"/>
          <w:lang w:val="en-US"/>
        </w:rPr>
        <w:t> </w:t>
      </w:r>
      <w:r w:rsidRPr="00D83BD4">
        <w:rPr>
          <w:rStyle w:val="xfmc3"/>
          <w:sz w:val="28"/>
          <w:szCs w:val="28"/>
          <w:lang w:val="en-US"/>
        </w:rPr>
        <w:t xml:space="preserve">Vascular aging factors in individuals with different cardiovascular risk. </w:t>
      </w:r>
      <w:r w:rsidRPr="00D83BD4">
        <w:rPr>
          <w:rStyle w:val="xfmc3"/>
          <w:sz w:val="28"/>
          <w:szCs w:val="28"/>
          <w:lang w:val="uk-UA"/>
        </w:rPr>
        <w:t xml:space="preserve"> Global Journal of Medical Research: F Diseases. 2019</w:t>
      </w:r>
      <w:r w:rsidRPr="00D83BD4">
        <w:rPr>
          <w:rStyle w:val="xfmc3"/>
          <w:sz w:val="28"/>
          <w:szCs w:val="28"/>
          <w:lang w:val="en-US"/>
        </w:rPr>
        <w:t>;</w:t>
      </w:r>
      <w:r w:rsidRPr="00D83BD4">
        <w:rPr>
          <w:rStyle w:val="xfmc3"/>
          <w:sz w:val="28"/>
          <w:szCs w:val="28"/>
          <w:lang w:val="uk-UA"/>
        </w:rPr>
        <w:t>19</w:t>
      </w:r>
      <w:r w:rsidRPr="00D83BD4">
        <w:rPr>
          <w:rStyle w:val="xfmc3"/>
          <w:sz w:val="28"/>
          <w:szCs w:val="28"/>
          <w:lang w:val="en-US"/>
        </w:rPr>
        <w:t>(</w:t>
      </w:r>
      <w:r w:rsidRPr="00D83BD4">
        <w:rPr>
          <w:rStyle w:val="xfmc3"/>
          <w:sz w:val="28"/>
          <w:szCs w:val="28"/>
          <w:lang w:val="uk-UA"/>
        </w:rPr>
        <w:t xml:space="preserve"> 2</w:t>
      </w:r>
      <w:r w:rsidRPr="00D83BD4">
        <w:rPr>
          <w:rStyle w:val="xfmc3"/>
          <w:sz w:val="28"/>
          <w:szCs w:val="28"/>
          <w:lang w:val="en-US"/>
        </w:rPr>
        <w:t>):</w:t>
      </w:r>
      <w:r w:rsidRPr="00D83BD4">
        <w:rPr>
          <w:rStyle w:val="xfmc3"/>
          <w:sz w:val="28"/>
          <w:szCs w:val="28"/>
          <w:lang w:val="uk-UA"/>
        </w:rPr>
        <w:t>21-28.</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Fagard RH. Predicting risk of fatal cardiovascular disease and sudden death in hypertension. </w:t>
      </w:r>
      <w:r w:rsidRPr="00D83BD4">
        <w:rPr>
          <w:sz w:val="28"/>
          <w:szCs w:val="28"/>
        </w:rPr>
        <w:t>J Hypertens. 2017</w:t>
      </w:r>
      <w:r w:rsidRPr="00D83BD4">
        <w:rPr>
          <w:sz w:val="28"/>
          <w:szCs w:val="28"/>
          <w:lang w:val="en-US"/>
        </w:rPr>
        <w:t xml:space="preserve">;35(11):2165-2167. </w:t>
      </w:r>
      <w:r w:rsidRPr="00D83BD4">
        <w:rPr>
          <w:sz w:val="28"/>
          <w:szCs w:val="28"/>
          <w:shd w:val="clear" w:color="auto" w:fill="FFFFFF"/>
        </w:rPr>
        <w:t>doi: 10.1097/HJH.0000000000001485.</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rStyle w:val="element-citation"/>
          <w:color w:val="000000"/>
          <w:sz w:val="28"/>
          <w:szCs w:val="28"/>
          <w:lang w:val="en-US"/>
        </w:rPr>
        <w:t>Floriani C, Gencer B, Collet TH, Rodondi N. Subclinical thyroid dysfunction and cardiovascular diseases: 2016 update. </w:t>
      </w:r>
      <w:r w:rsidRPr="00D83BD4">
        <w:rPr>
          <w:rStyle w:val="ref-journal"/>
          <w:color w:val="000000"/>
          <w:sz w:val="28"/>
          <w:szCs w:val="28"/>
          <w:lang w:val="en-US"/>
        </w:rPr>
        <w:t>Eur. Heart J. </w:t>
      </w:r>
      <w:r w:rsidRPr="00D83BD4">
        <w:rPr>
          <w:rStyle w:val="element-citation"/>
          <w:color w:val="000000"/>
          <w:sz w:val="28"/>
          <w:szCs w:val="28"/>
          <w:lang w:val="en-US"/>
        </w:rPr>
        <w:t>2018;</w:t>
      </w:r>
      <w:r w:rsidRPr="00D83BD4">
        <w:rPr>
          <w:rStyle w:val="ref-vol"/>
          <w:color w:val="000000"/>
          <w:sz w:val="28"/>
          <w:szCs w:val="28"/>
          <w:lang w:val="en-US"/>
        </w:rPr>
        <w:t>39</w:t>
      </w:r>
      <w:r w:rsidRPr="00D83BD4">
        <w:rPr>
          <w:rStyle w:val="element-citation"/>
          <w:color w:val="000000"/>
          <w:sz w:val="28"/>
          <w:szCs w:val="28"/>
          <w:lang w:val="en-US"/>
        </w:rPr>
        <w:t>:503–507. doi: 10.1093/eurheartj/ehx050.</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bCs/>
          <w:sz w:val="28"/>
          <w:szCs w:val="28"/>
          <w:shd w:val="clear" w:color="auto" w:fill="FFFFFF"/>
          <w:lang w:val="en-US"/>
        </w:rPr>
        <w:t>Forouzanfar</w:t>
      </w:r>
      <w:r w:rsidRPr="00D83BD4">
        <w:rPr>
          <w:bCs/>
          <w:sz w:val="28"/>
          <w:szCs w:val="28"/>
          <w:shd w:val="clear" w:color="auto" w:fill="FFFFFF"/>
          <w:lang w:val="uk-UA"/>
        </w:rPr>
        <w:t xml:space="preserve"> </w:t>
      </w:r>
      <w:r w:rsidRPr="00D83BD4">
        <w:rPr>
          <w:bCs/>
          <w:sz w:val="28"/>
          <w:szCs w:val="28"/>
          <w:shd w:val="clear" w:color="auto" w:fill="FFFFFF"/>
          <w:lang w:val="en-US"/>
        </w:rPr>
        <w:t>MH</w:t>
      </w:r>
      <w:r w:rsidRPr="00D83BD4">
        <w:rPr>
          <w:bCs/>
          <w:sz w:val="28"/>
          <w:szCs w:val="28"/>
          <w:shd w:val="clear" w:color="auto" w:fill="FFFFFF"/>
          <w:lang w:val="uk-UA"/>
        </w:rPr>
        <w:t xml:space="preserve">, </w:t>
      </w:r>
      <w:r w:rsidRPr="00D83BD4">
        <w:rPr>
          <w:bCs/>
          <w:sz w:val="28"/>
          <w:szCs w:val="28"/>
          <w:shd w:val="clear" w:color="auto" w:fill="FFFFFF"/>
          <w:lang w:val="en-US"/>
        </w:rPr>
        <w:t>Alexander</w:t>
      </w:r>
      <w:r w:rsidRPr="00D83BD4">
        <w:rPr>
          <w:bCs/>
          <w:sz w:val="28"/>
          <w:szCs w:val="28"/>
          <w:shd w:val="clear" w:color="auto" w:fill="FFFFFF"/>
          <w:lang w:val="uk-UA"/>
        </w:rPr>
        <w:t xml:space="preserve"> </w:t>
      </w:r>
      <w:r w:rsidRPr="00D83BD4">
        <w:rPr>
          <w:bCs/>
          <w:sz w:val="28"/>
          <w:szCs w:val="28"/>
          <w:shd w:val="clear" w:color="auto" w:fill="FFFFFF"/>
          <w:lang w:val="en-US"/>
        </w:rPr>
        <w:t>L</w:t>
      </w:r>
      <w:r w:rsidRPr="00D83BD4">
        <w:rPr>
          <w:bCs/>
          <w:sz w:val="28"/>
          <w:szCs w:val="28"/>
          <w:shd w:val="clear" w:color="auto" w:fill="FFFFFF"/>
          <w:lang w:val="uk-UA"/>
        </w:rPr>
        <w:t xml:space="preserve">, </w:t>
      </w:r>
      <w:r w:rsidRPr="00D83BD4">
        <w:rPr>
          <w:bCs/>
          <w:sz w:val="28"/>
          <w:szCs w:val="28"/>
          <w:shd w:val="clear" w:color="auto" w:fill="FFFFFF"/>
          <w:lang w:val="en-US"/>
        </w:rPr>
        <w:t>Bachman</w:t>
      </w:r>
      <w:r w:rsidRPr="00D83BD4">
        <w:rPr>
          <w:bCs/>
          <w:sz w:val="28"/>
          <w:szCs w:val="28"/>
          <w:shd w:val="clear" w:color="auto" w:fill="FFFFFF"/>
          <w:lang w:val="uk-UA"/>
        </w:rPr>
        <w:t xml:space="preserve"> </w:t>
      </w:r>
      <w:r w:rsidRPr="00D83BD4">
        <w:rPr>
          <w:bCs/>
          <w:sz w:val="28"/>
          <w:szCs w:val="28"/>
          <w:shd w:val="clear" w:color="auto" w:fill="FFFFFF"/>
          <w:lang w:val="en-US"/>
        </w:rPr>
        <w:t>VF</w:t>
      </w:r>
      <w:r w:rsidRPr="00D83BD4">
        <w:rPr>
          <w:bCs/>
          <w:sz w:val="28"/>
          <w:szCs w:val="28"/>
          <w:shd w:val="clear" w:color="auto" w:fill="FFFFFF"/>
          <w:lang w:val="uk-UA"/>
        </w:rPr>
        <w:t xml:space="preserve">, </w:t>
      </w:r>
      <w:r w:rsidRPr="00D83BD4">
        <w:rPr>
          <w:bCs/>
          <w:sz w:val="28"/>
          <w:szCs w:val="28"/>
          <w:shd w:val="clear" w:color="auto" w:fill="FFFFFF"/>
          <w:lang w:val="en-US"/>
        </w:rPr>
        <w:t>Biryukov</w:t>
      </w:r>
      <w:r w:rsidRPr="00D83BD4">
        <w:rPr>
          <w:bCs/>
          <w:sz w:val="28"/>
          <w:szCs w:val="28"/>
          <w:shd w:val="clear" w:color="auto" w:fill="FFFFFF"/>
          <w:lang w:val="uk-UA"/>
        </w:rPr>
        <w:t xml:space="preserve"> </w:t>
      </w:r>
      <w:r w:rsidRPr="00D83BD4">
        <w:rPr>
          <w:bCs/>
          <w:sz w:val="28"/>
          <w:szCs w:val="28"/>
          <w:shd w:val="clear" w:color="auto" w:fill="FFFFFF"/>
          <w:lang w:val="en-US"/>
        </w:rPr>
        <w:t>S</w:t>
      </w:r>
      <w:r w:rsidRPr="00D83BD4">
        <w:rPr>
          <w:bCs/>
          <w:sz w:val="28"/>
          <w:szCs w:val="28"/>
          <w:shd w:val="clear" w:color="auto" w:fill="FFFFFF"/>
          <w:lang w:val="uk-UA"/>
        </w:rPr>
        <w:t xml:space="preserve">, </w:t>
      </w:r>
      <w:r w:rsidRPr="00D83BD4">
        <w:rPr>
          <w:bCs/>
          <w:sz w:val="28"/>
          <w:szCs w:val="28"/>
          <w:shd w:val="clear" w:color="auto" w:fill="FFFFFF"/>
          <w:lang w:val="en-US"/>
        </w:rPr>
        <w:t>Brauer</w:t>
      </w:r>
      <w:r w:rsidRPr="00D83BD4">
        <w:rPr>
          <w:bCs/>
          <w:sz w:val="28"/>
          <w:szCs w:val="28"/>
          <w:shd w:val="clear" w:color="auto" w:fill="FFFFFF"/>
          <w:lang w:val="uk-UA"/>
        </w:rPr>
        <w:t xml:space="preserve"> </w:t>
      </w:r>
      <w:r w:rsidRPr="00D83BD4">
        <w:rPr>
          <w:bCs/>
          <w:sz w:val="28"/>
          <w:szCs w:val="28"/>
          <w:shd w:val="clear" w:color="auto" w:fill="FFFFFF"/>
          <w:lang w:val="en-US"/>
        </w:rPr>
        <w:t>M</w:t>
      </w:r>
      <w:r w:rsidRPr="00D83BD4">
        <w:rPr>
          <w:bCs/>
          <w:sz w:val="28"/>
          <w:szCs w:val="28"/>
          <w:shd w:val="clear" w:color="auto" w:fill="FFFFFF"/>
          <w:lang w:val="uk-UA"/>
        </w:rPr>
        <w:t xml:space="preserve">, </w:t>
      </w:r>
      <w:r w:rsidRPr="00D83BD4">
        <w:rPr>
          <w:bCs/>
          <w:sz w:val="28"/>
          <w:szCs w:val="28"/>
          <w:shd w:val="clear" w:color="auto" w:fill="FFFFFF"/>
          <w:lang w:val="en-US"/>
        </w:rPr>
        <w:t>Casey</w:t>
      </w:r>
      <w:r w:rsidRPr="00D83BD4">
        <w:rPr>
          <w:bCs/>
          <w:sz w:val="28"/>
          <w:szCs w:val="28"/>
          <w:shd w:val="clear" w:color="auto" w:fill="FFFFFF"/>
          <w:lang w:val="uk-UA"/>
        </w:rPr>
        <w:t xml:space="preserve"> </w:t>
      </w:r>
      <w:r w:rsidRPr="00D83BD4">
        <w:rPr>
          <w:bCs/>
          <w:sz w:val="28"/>
          <w:szCs w:val="28"/>
          <w:shd w:val="clear" w:color="auto" w:fill="FFFFFF"/>
          <w:lang w:val="en-US"/>
        </w:rPr>
        <w:t>D</w:t>
      </w:r>
      <w:r w:rsidRPr="00D83BD4">
        <w:rPr>
          <w:bCs/>
          <w:sz w:val="28"/>
          <w:szCs w:val="28"/>
          <w:shd w:val="clear" w:color="auto" w:fill="FFFFFF"/>
          <w:lang w:val="uk-UA"/>
        </w:rPr>
        <w:t xml:space="preserve">, </w:t>
      </w:r>
      <w:r w:rsidRPr="00D83BD4">
        <w:rPr>
          <w:bCs/>
          <w:sz w:val="28"/>
          <w:szCs w:val="28"/>
          <w:shd w:val="clear" w:color="auto" w:fill="FFFFFF"/>
          <w:lang w:val="en-US"/>
        </w:rPr>
        <w:t>et</w:t>
      </w:r>
      <w:r w:rsidRPr="00D83BD4">
        <w:rPr>
          <w:bCs/>
          <w:sz w:val="28"/>
          <w:szCs w:val="28"/>
          <w:shd w:val="clear" w:color="auto" w:fill="FFFFFF"/>
          <w:lang w:val="uk-UA"/>
        </w:rPr>
        <w:t xml:space="preserve"> </w:t>
      </w:r>
      <w:r w:rsidRPr="00D83BD4">
        <w:rPr>
          <w:bCs/>
          <w:sz w:val="28"/>
          <w:szCs w:val="28"/>
          <w:shd w:val="clear" w:color="auto" w:fill="FFFFFF"/>
          <w:lang w:val="en-US"/>
        </w:rPr>
        <w:t>al</w:t>
      </w:r>
      <w:r w:rsidRPr="00D83BD4">
        <w:rPr>
          <w:bCs/>
          <w:sz w:val="28"/>
          <w:szCs w:val="28"/>
          <w:shd w:val="clear" w:color="auto" w:fill="FFFFFF"/>
          <w:lang w:val="uk-UA"/>
        </w:rPr>
        <w:t xml:space="preserve">. </w:t>
      </w:r>
      <w:r w:rsidRPr="00D83BD4">
        <w:rPr>
          <w:bCs/>
          <w:sz w:val="28"/>
          <w:szCs w:val="28"/>
          <w:shd w:val="clear" w:color="auto" w:fill="FFFFFF"/>
          <w:lang w:val="en-US"/>
        </w:rPr>
        <w:t xml:space="preserve">  </w:t>
      </w:r>
      <w:r w:rsidRPr="00D83BD4">
        <w:rPr>
          <w:rStyle w:val="ref-title"/>
          <w:bCs/>
          <w:sz w:val="28"/>
          <w:szCs w:val="28"/>
          <w:shd w:val="clear" w:color="auto" w:fill="FFFFFF"/>
          <w:lang w:val="en-US"/>
        </w:rPr>
        <w:t>Global, regional, and national comparative risk assessment of 79 behavioural, environmental and occupational, and metabolic risks or clusters of risks in 188 countries, 1990-2013: a systematic analysis for the Global Burden of Disease Study 2013</w:t>
      </w:r>
      <w:r w:rsidRPr="00D83BD4">
        <w:rPr>
          <w:bCs/>
          <w:sz w:val="28"/>
          <w:szCs w:val="28"/>
          <w:shd w:val="clear" w:color="auto" w:fill="FFFFFF"/>
          <w:lang w:val="en-US"/>
        </w:rPr>
        <w:t>. </w:t>
      </w:r>
      <w:r w:rsidRPr="00D83BD4">
        <w:rPr>
          <w:rStyle w:val="ref-journal"/>
          <w:bCs/>
          <w:sz w:val="28"/>
          <w:szCs w:val="28"/>
          <w:shd w:val="clear" w:color="auto" w:fill="FFFFFF"/>
          <w:lang w:val="en-US"/>
        </w:rPr>
        <w:t>Lancet</w:t>
      </w:r>
      <w:r w:rsidRPr="00D83BD4">
        <w:rPr>
          <w:bCs/>
          <w:sz w:val="28"/>
          <w:szCs w:val="28"/>
          <w:shd w:val="clear" w:color="auto" w:fill="FFFFFF"/>
          <w:lang w:val="en-US"/>
        </w:rPr>
        <w:t>. 2015;</w:t>
      </w:r>
      <w:r w:rsidRPr="00D83BD4">
        <w:rPr>
          <w:rStyle w:val="ref-vol"/>
          <w:bCs/>
          <w:sz w:val="28"/>
          <w:szCs w:val="28"/>
          <w:shd w:val="clear" w:color="auto" w:fill="FFFFFF"/>
          <w:lang w:val="en-US"/>
        </w:rPr>
        <w:t>386</w:t>
      </w:r>
      <w:r w:rsidRPr="00D83BD4">
        <w:rPr>
          <w:bCs/>
          <w:sz w:val="28"/>
          <w:szCs w:val="28"/>
          <w:shd w:val="clear" w:color="auto" w:fill="FFFFFF"/>
          <w:lang w:val="en-US"/>
        </w:rPr>
        <w:t>:2287–323.</w:t>
      </w:r>
      <w:r w:rsidRPr="00D83BD4">
        <w:rPr>
          <w:sz w:val="28"/>
          <w:szCs w:val="28"/>
          <w:shd w:val="clear" w:color="auto" w:fill="FFFFFF"/>
        </w:rPr>
        <w:t xml:space="preserve"> doi: 10.1016/S0140-6736(15)00128-2.</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iCs/>
          <w:kern w:val="36"/>
          <w:sz w:val="28"/>
          <w:szCs w:val="28"/>
          <w:lang w:val="uk-UA"/>
        </w:rPr>
        <w:t xml:space="preserve">Fortunato RS, Braga WM, Ortenzi VH, </w:t>
      </w:r>
      <w:r w:rsidRPr="00D83BD4">
        <w:rPr>
          <w:sz w:val="28"/>
          <w:szCs w:val="28"/>
          <w:shd w:val="clear" w:color="auto" w:fill="FFFFFF"/>
          <w:lang w:val="en-US"/>
        </w:rPr>
        <w:t xml:space="preserve">Rodrigues DC, Andrade BM, Miranda-Alves L, </w:t>
      </w:r>
      <w:r w:rsidRPr="00D83BD4">
        <w:rPr>
          <w:bCs/>
          <w:iCs/>
          <w:kern w:val="36"/>
          <w:sz w:val="28"/>
          <w:szCs w:val="28"/>
          <w:lang w:val="uk-UA"/>
        </w:rPr>
        <w:t>et al</w:t>
      </w:r>
      <w:r w:rsidRPr="00D83BD4">
        <w:rPr>
          <w:bCs/>
          <w:iCs/>
          <w:kern w:val="36"/>
          <w:sz w:val="28"/>
          <w:szCs w:val="28"/>
          <w:lang w:val="en-US"/>
        </w:rPr>
        <w:t>.</w:t>
      </w:r>
      <w:r w:rsidRPr="00D83BD4">
        <w:rPr>
          <w:bCs/>
          <w:iCs/>
          <w:kern w:val="36"/>
          <w:sz w:val="28"/>
          <w:szCs w:val="28"/>
          <w:lang w:val="uk-UA"/>
        </w:rPr>
        <w:t xml:space="preserve"> Sexual dimorphism of thyroid reactive oxygen species production due to higher NADPH oxidase 4 expression in female thyroid glands. Thyroid. 2013; 23</w:t>
      </w:r>
      <w:r w:rsidRPr="00D83BD4">
        <w:rPr>
          <w:bCs/>
          <w:iCs/>
          <w:kern w:val="36"/>
          <w:sz w:val="28"/>
          <w:szCs w:val="28"/>
          <w:lang w:val="en-US"/>
        </w:rPr>
        <w:t>(1)</w:t>
      </w:r>
      <w:r w:rsidRPr="00D83BD4">
        <w:rPr>
          <w:bCs/>
          <w:iCs/>
          <w:kern w:val="36"/>
          <w:sz w:val="28"/>
          <w:szCs w:val="28"/>
          <w:lang w:val="uk-UA"/>
        </w:rPr>
        <w:t xml:space="preserve">:111–9. </w:t>
      </w:r>
      <w:r w:rsidRPr="00D83BD4">
        <w:rPr>
          <w:sz w:val="28"/>
          <w:szCs w:val="28"/>
          <w:shd w:val="clear" w:color="auto" w:fill="FFFFFF"/>
        </w:rPr>
        <w:t>doi: 10.1089/thy.2012.0142.</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Franceschi C</w:t>
      </w:r>
      <w:r w:rsidRPr="00D83BD4">
        <w:rPr>
          <w:sz w:val="28"/>
          <w:szCs w:val="28"/>
          <w:shd w:val="clear" w:color="auto" w:fill="FFFFFF"/>
          <w:lang w:val="uk-UA"/>
        </w:rPr>
        <w:t xml:space="preserve">, </w:t>
      </w:r>
      <w:r w:rsidRPr="00D83BD4">
        <w:rPr>
          <w:sz w:val="28"/>
          <w:szCs w:val="28"/>
          <w:shd w:val="clear" w:color="auto" w:fill="FFFFFF"/>
          <w:lang w:val="en-US"/>
        </w:rPr>
        <w:t>Capri M</w:t>
      </w:r>
      <w:r w:rsidRPr="00D83BD4">
        <w:rPr>
          <w:sz w:val="28"/>
          <w:szCs w:val="28"/>
          <w:shd w:val="clear" w:color="auto" w:fill="FFFFFF"/>
          <w:lang w:val="uk-UA"/>
        </w:rPr>
        <w:t xml:space="preserve">, </w:t>
      </w:r>
      <w:r w:rsidRPr="00D83BD4">
        <w:rPr>
          <w:sz w:val="28"/>
          <w:szCs w:val="28"/>
          <w:shd w:val="clear" w:color="auto" w:fill="FFFFFF"/>
          <w:lang w:val="en-US"/>
        </w:rPr>
        <w:t>Monti D</w:t>
      </w:r>
      <w:r w:rsidRPr="00D83BD4">
        <w:rPr>
          <w:sz w:val="28"/>
          <w:szCs w:val="28"/>
          <w:shd w:val="clear" w:color="auto" w:fill="FFFFFF"/>
          <w:lang w:val="uk-UA"/>
        </w:rPr>
        <w:t xml:space="preserve">, </w:t>
      </w:r>
      <w:r w:rsidRPr="00D83BD4">
        <w:rPr>
          <w:sz w:val="28"/>
          <w:szCs w:val="28"/>
          <w:shd w:val="clear" w:color="auto" w:fill="FFFFFF"/>
          <w:lang w:val="en-US"/>
        </w:rPr>
        <w:t>Giunta S</w:t>
      </w:r>
      <w:r w:rsidRPr="00D83BD4">
        <w:rPr>
          <w:sz w:val="28"/>
          <w:szCs w:val="28"/>
          <w:shd w:val="clear" w:color="auto" w:fill="FFFFFF"/>
          <w:lang w:val="uk-UA"/>
        </w:rPr>
        <w:t xml:space="preserve">, </w:t>
      </w:r>
      <w:r w:rsidRPr="00D83BD4">
        <w:rPr>
          <w:sz w:val="28"/>
          <w:szCs w:val="28"/>
          <w:shd w:val="clear" w:color="auto" w:fill="FFFFFF"/>
          <w:lang w:val="en-US"/>
        </w:rPr>
        <w:t>Olivieri F</w:t>
      </w:r>
      <w:r w:rsidRPr="00D83BD4">
        <w:rPr>
          <w:sz w:val="28"/>
          <w:szCs w:val="28"/>
          <w:shd w:val="clear" w:color="auto" w:fill="FFFFFF"/>
          <w:lang w:val="uk-UA"/>
        </w:rPr>
        <w:t xml:space="preserve">, </w:t>
      </w:r>
      <w:r w:rsidRPr="00D83BD4">
        <w:rPr>
          <w:sz w:val="28"/>
          <w:szCs w:val="28"/>
          <w:shd w:val="clear" w:color="auto" w:fill="FFFFFF"/>
          <w:lang w:val="en-US"/>
        </w:rPr>
        <w:t>Sevini F</w:t>
      </w:r>
      <w:r w:rsidRPr="00D83BD4">
        <w:rPr>
          <w:sz w:val="28"/>
          <w:szCs w:val="28"/>
          <w:shd w:val="clear" w:color="auto" w:fill="FFFFFF"/>
          <w:lang w:val="uk-UA"/>
        </w:rPr>
        <w:t xml:space="preserve">, </w:t>
      </w:r>
      <w:r w:rsidRPr="00D83BD4">
        <w:rPr>
          <w:sz w:val="28"/>
          <w:szCs w:val="28"/>
          <w:shd w:val="clear" w:color="auto" w:fill="FFFFFF"/>
          <w:lang w:val="en-US"/>
        </w:rPr>
        <w:t>et al</w:t>
      </w:r>
      <w:r w:rsidRPr="00D83BD4">
        <w:rPr>
          <w:sz w:val="28"/>
          <w:szCs w:val="28"/>
          <w:shd w:val="clear" w:color="auto" w:fill="FFFFFF"/>
          <w:lang w:val="uk-UA"/>
        </w:rPr>
        <w:t xml:space="preserve">. </w:t>
      </w:r>
      <w:r w:rsidRPr="00D83BD4">
        <w:rPr>
          <w:sz w:val="28"/>
          <w:szCs w:val="28"/>
          <w:shd w:val="clear" w:color="auto" w:fill="FFFFFF"/>
          <w:lang w:val="en-US"/>
        </w:rPr>
        <w:t>Inflammaging</w:t>
      </w:r>
      <w:r w:rsidRPr="00D83BD4">
        <w:rPr>
          <w:sz w:val="28"/>
          <w:szCs w:val="28"/>
          <w:shd w:val="clear" w:color="auto" w:fill="FFFFFF"/>
          <w:lang w:val="uk-UA"/>
        </w:rPr>
        <w:t xml:space="preserve"> </w:t>
      </w:r>
      <w:r w:rsidRPr="00D83BD4">
        <w:rPr>
          <w:sz w:val="28"/>
          <w:szCs w:val="28"/>
          <w:shd w:val="clear" w:color="auto" w:fill="FFFFFF"/>
          <w:lang w:val="en-US"/>
        </w:rPr>
        <w:t>and</w:t>
      </w:r>
      <w:r w:rsidRPr="00D83BD4">
        <w:rPr>
          <w:sz w:val="28"/>
          <w:szCs w:val="28"/>
          <w:shd w:val="clear" w:color="auto" w:fill="FFFFFF"/>
          <w:lang w:val="uk-UA"/>
        </w:rPr>
        <w:t xml:space="preserve"> </w:t>
      </w:r>
      <w:r w:rsidRPr="00D83BD4">
        <w:rPr>
          <w:sz w:val="28"/>
          <w:szCs w:val="28"/>
          <w:shd w:val="clear" w:color="auto" w:fill="FFFFFF"/>
          <w:lang w:val="en-US"/>
        </w:rPr>
        <w:t>anti</w:t>
      </w:r>
      <w:r w:rsidRPr="00D83BD4">
        <w:rPr>
          <w:sz w:val="28"/>
          <w:szCs w:val="28"/>
          <w:shd w:val="clear" w:color="auto" w:fill="FFFFFF"/>
          <w:lang w:val="uk-UA"/>
        </w:rPr>
        <w:t>-</w:t>
      </w:r>
      <w:r w:rsidRPr="00D83BD4">
        <w:rPr>
          <w:sz w:val="28"/>
          <w:szCs w:val="28"/>
          <w:shd w:val="clear" w:color="auto" w:fill="FFFFFF"/>
          <w:lang w:val="en-US"/>
        </w:rPr>
        <w:t>inflammaging</w:t>
      </w:r>
      <w:r w:rsidRPr="00D83BD4">
        <w:rPr>
          <w:sz w:val="28"/>
          <w:szCs w:val="28"/>
          <w:shd w:val="clear" w:color="auto" w:fill="FFFFFF"/>
          <w:lang w:val="uk-UA"/>
        </w:rPr>
        <w:t xml:space="preserve">: </w:t>
      </w:r>
      <w:r w:rsidRPr="00D83BD4">
        <w:rPr>
          <w:sz w:val="28"/>
          <w:szCs w:val="28"/>
          <w:shd w:val="clear" w:color="auto" w:fill="FFFFFF"/>
          <w:lang w:val="en-US"/>
        </w:rPr>
        <w:t>a</w:t>
      </w:r>
      <w:r w:rsidRPr="00D83BD4">
        <w:rPr>
          <w:sz w:val="28"/>
          <w:szCs w:val="28"/>
          <w:shd w:val="clear" w:color="auto" w:fill="FFFFFF"/>
          <w:lang w:val="uk-UA"/>
        </w:rPr>
        <w:t xml:space="preserve"> </w:t>
      </w:r>
      <w:r w:rsidRPr="00D83BD4">
        <w:rPr>
          <w:sz w:val="28"/>
          <w:szCs w:val="28"/>
          <w:shd w:val="clear" w:color="auto" w:fill="FFFFFF"/>
          <w:lang w:val="en-US"/>
        </w:rPr>
        <w:t>systemic</w:t>
      </w:r>
      <w:r w:rsidRPr="00D83BD4">
        <w:rPr>
          <w:sz w:val="28"/>
          <w:szCs w:val="28"/>
          <w:shd w:val="clear" w:color="auto" w:fill="FFFFFF"/>
          <w:lang w:val="uk-UA"/>
        </w:rPr>
        <w:t xml:space="preserve"> </w:t>
      </w:r>
      <w:r w:rsidRPr="00D83BD4">
        <w:rPr>
          <w:sz w:val="28"/>
          <w:szCs w:val="28"/>
          <w:shd w:val="clear" w:color="auto" w:fill="FFFFFF"/>
          <w:lang w:val="en-US"/>
        </w:rPr>
        <w:t>perspective</w:t>
      </w:r>
      <w:r w:rsidRPr="00D83BD4">
        <w:rPr>
          <w:sz w:val="28"/>
          <w:szCs w:val="28"/>
          <w:shd w:val="clear" w:color="auto" w:fill="FFFFFF"/>
          <w:lang w:val="uk-UA"/>
        </w:rPr>
        <w:t xml:space="preserve"> </w:t>
      </w:r>
      <w:r w:rsidRPr="00D83BD4">
        <w:rPr>
          <w:sz w:val="28"/>
          <w:szCs w:val="28"/>
          <w:shd w:val="clear" w:color="auto" w:fill="FFFFFF"/>
          <w:lang w:val="en-US"/>
        </w:rPr>
        <w:t>on</w:t>
      </w:r>
      <w:r w:rsidRPr="00D83BD4">
        <w:rPr>
          <w:sz w:val="28"/>
          <w:szCs w:val="28"/>
          <w:shd w:val="clear" w:color="auto" w:fill="FFFFFF"/>
          <w:lang w:val="uk-UA"/>
        </w:rPr>
        <w:t xml:space="preserve"> </w:t>
      </w:r>
      <w:r w:rsidRPr="00D83BD4">
        <w:rPr>
          <w:sz w:val="28"/>
          <w:szCs w:val="28"/>
          <w:shd w:val="clear" w:color="auto" w:fill="FFFFFF"/>
          <w:lang w:val="en-US"/>
        </w:rPr>
        <w:t>aging</w:t>
      </w:r>
      <w:r w:rsidRPr="00D83BD4">
        <w:rPr>
          <w:sz w:val="28"/>
          <w:szCs w:val="28"/>
          <w:shd w:val="clear" w:color="auto" w:fill="FFFFFF"/>
          <w:lang w:val="uk-UA"/>
        </w:rPr>
        <w:t xml:space="preserve"> </w:t>
      </w:r>
      <w:r w:rsidRPr="00D83BD4">
        <w:rPr>
          <w:sz w:val="28"/>
          <w:szCs w:val="28"/>
          <w:shd w:val="clear" w:color="auto" w:fill="FFFFFF"/>
          <w:lang w:val="en-US"/>
        </w:rPr>
        <w:t>and</w:t>
      </w:r>
      <w:r w:rsidRPr="00D83BD4">
        <w:rPr>
          <w:sz w:val="28"/>
          <w:szCs w:val="28"/>
          <w:shd w:val="clear" w:color="auto" w:fill="FFFFFF"/>
          <w:lang w:val="uk-UA"/>
        </w:rPr>
        <w:t xml:space="preserve"> </w:t>
      </w:r>
      <w:r w:rsidRPr="00D83BD4">
        <w:rPr>
          <w:sz w:val="28"/>
          <w:szCs w:val="28"/>
          <w:shd w:val="clear" w:color="auto" w:fill="FFFFFF"/>
          <w:lang w:val="en-US"/>
        </w:rPr>
        <w:t>longevity</w:t>
      </w:r>
      <w:r w:rsidRPr="00D83BD4">
        <w:rPr>
          <w:sz w:val="28"/>
          <w:szCs w:val="28"/>
          <w:shd w:val="clear" w:color="auto" w:fill="FFFFFF"/>
          <w:lang w:val="uk-UA"/>
        </w:rPr>
        <w:t xml:space="preserve"> </w:t>
      </w:r>
      <w:r w:rsidRPr="00D83BD4">
        <w:rPr>
          <w:sz w:val="28"/>
          <w:szCs w:val="28"/>
          <w:shd w:val="clear" w:color="auto" w:fill="FFFFFF"/>
          <w:lang w:val="en-US"/>
        </w:rPr>
        <w:t>emerged</w:t>
      </w:r>
      <w:r w:rsidRPr="00D83BD4">
        <w:rPr>
          <w:sz w:val="28"/>
          <w:szCs w:val="28"/>
          <w:shd w:val="clear" w:color="auto" w:fill="FFFFFF"/>
          <w:lang w:val="uk-UA"/>
        </w:rPr>
        <w:t xml:space="preserve"> </w:t>
      </w:r>
      <w:r w:rsidRPr="00D83BD4">
        <w:rPr>
          <w:sz w:val="28"/>
          <w:szCs w:val="28"/>
          <w:shd w:val="clear" w:color="auto" w:fill="FFFFFF"/>
          <w:lang w:val="en-US"/>
        </w:rPr>
        <w:t>from</w:t>
      </w:r>
      <w:r w:rsidRPr="00D83BD4">
        <w:rPr>
          <w:sz w:val="28"/>
          <w:szCs w:val="28"/>
          <w:shd w:val="clear" w:color="auto" w:fill="FFFFFF"/>
          <w:lang w:val="uk-UA"/>
        </w:rPr>
        <w:t xml:space="preserve"> </w:t>
      </w:r>
      <w:r w:rsidRPr="00D83BD4">
        <w:rPr>
          <w:sz w:val="28"/>
          <w:szCs w:val="28"/>
          <w:shd w:val="clear" w:color="auto" w:fill="FFFFFF"/>
          <w:lang w:val="en-US"/>
        </w:rPr>
        <w:t>studies</w:t>
      </w:r>
      <w:r w:rsidRPr="00D83BD4">
        <w:rPr>
          <w:sz w:val="28"/>
          <w:szCs w:val="28"/>
          <w:shd w:val="clear" w:color="auto" w:fill="FFFFFF"/>
          <w:lang w:val="uk-UA"/>
        </w:rPr>
        <w:t xml:space="preserve"> </w:t>
      </w:r>
      <w:r w:rsidRPr="00D83BD4">
        <w:rPr>
          <w:sz w:val="28"/>
          <w:szCs w:val="28"/>
          <w:shd w:val="clear" w:color="auto" w:fill="FFFFFF"/>
          <w:lang w:val="en-US"/>
        </w:rPr>
        <w:t>in</w:t>
      </w:r>
      <w:r w:rsidRPr="00D83BD4">
        <w:rPr>
          <w:sz w:val="28"/>
          <w:szCs w:val="28"/>
          <w:shd w:val="clear" w:color="auto" w:fill="FFFFFF"/>
          <w:lang w:val="uk-UA"/>
        </w:rPr>
        <w:t xml:space="preserve"> </w:t>
      </w:r>
      <w:r w:rsidRPr="00D83BD4">
        <w:rPr>
          <w:sz w:val="28"/>
          <w:szCs w:val="28"/>
          <w:shd w:val="clear" w:color="auto" w:fill="FFFFFF"/>
          <w:lang w:val="en-US"/>
        </w:rPr>
        <w:t>humans</w:t>
      </w:r>
      <w:r w:rsidRPr="00D83BD4">
        <w:rPr>
          <w:sz w:val="28"/>
          <w:szCs w:val="28"/>
          <w:shd w:val="clear" w:color="auto" w:fill="FFFFFF"/>
          <w:lang w:val="uk-UA"/>
        </w:rPr>
        <w:t xml:space="preserve">. </w:t>
      </w:r>
      <w:r w:rsidRPr="00D83BD4">
        <w:rPr>
          <w:sz w:val="28"/>
          <w:szCs w:val="28"/>
          <w:shd w:val="clear" w:color="auto" w:fill="FFFFFF"/>
          <w:lang w:val="en-US"/>
        </w:rPr>
        <w:t>Mech</w:t>
      </w:r>
      <w:r w:rsidRPr="00D83BD4">
        <w:rPr>
          <w:sz w:val="28"/>
          <w:szCs w:val="28"/>
          <w:shd w:val="clear" w:color="auto" w:fill="FFFFFF"/>
          <w:lang w:val="uk-UA"/>
        </w:rPr>
        <w:t xml:space="preserve"> </w:t>
      </w:r>
      <w:r w:rsidRPr="00D83BD4">
        <w:rPr>
          <w:sz w:val="28"/>
          <w:szCs w:val="28"/>
          <w:shd w:val="clear" w:color="auto" w:fill="FFFFFF"/>
          <w:lang w:val="en-US"/>
        </w:rPr>
        <w:t>Ageing</w:t>
      </w:r>
      <w:r w:rsidRPr="00D83BD4">
        <w:rPr>
          <w:sz w:val="28"/>
          <w:szCs w:val="28"/>
          <w:shd w:val="clear" w:color="auto" w:fill="FFFFFF"/>
          <w:lang w:val="uk-UA"/>
        </w:rPr>
        <w:t xml:space="preserve"> </w:t>
      </w:r>
      <w:r w:rsidRPr="00D83BD4">
        <w:rPr>
          <w:sz w:val="28"/>
          <w:szCs w:val="28"/>
          <w:shd w:val="clear" w:color="auto" w:fill="FFFFFF"/>
          <w:lang w:val="en-US"/>
        </w:rPr>
        <w:t>Dev</w:t>
      </w:r>
      <w:r w:rsidRPr="00D83BD4">
        <w:rPr>
          <w:sz w:val="28"/>
          <w:szCs w:val="28"/>
          <w:shd w:val="clear" w:color="auto" w:fill="FFFFFF"/>
          <w:lang w:val="uk-UA"/>
        </w:rPr>
        <w:t xml:space="preserve"> 2007;128</w:t>
      </w:r>
      <w:r w:rsidRPr="00D83BD4">
        <w:rPr>
          <w:sz w:val="28"/>
          <w:szCs w:val="28"/>
          <w:shd w:val="clear" w:color="auto" w:fill="FFFFFF"/>
          <w:lang w:val="en-US"/>
        </w:rPr>
        <w:t>(1)</w:t>
      </w:r>
      <w:r w:rsidRPr="00D83BD4">
        <w:rPr>
          <w:sz w:val="28"/>
          <w:szCs w:val="28"/>
          <w:shd w:val="clear" w:color="auto" w:fill="FFFFFF"/>
          <w:lang w:val="uk-UA"/>
        </w:rPr>
        <w:t>:92-105.</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Fulop T</w:t>
      </w:r>
      <w:r w:rsidRPr="00D83BD4">
        <w:rPr>
          <w:rFonts w:ascii="Times New Roman" w:hAnsi="Times New Roman"/>
          <w:sz w:val="28"/>
          <w:szCs w:val="28"/>
          <w:lang w:val="uk-UA"/>
        </w:rPr>
        <w:t xml:space="preserve">, </w:t>
      </w:r>
      <w:r w:rsidRPr="00D83BD4">
        <w:rPr>
          <w:rFonts w:ascii="Times New Roman" w:hAnsi="Times New Roman"/>
          <w:sz w:val="28"/>
          <w:szCs w:val="28"/>
          <w:lang w:val="en-US"/>
        </w:rPr>
        <w:t>Larbi A</w:t>
      </w:r>
      <w:r w:rsidRPr="00D83BD4">
        <w:rPr>
          <w:rFonts w:ascii="Times New Roman" w:hAnsi="Times New Roman"/>
          <w:sz w:val="28"/>
          <w:szCs w:val="28"/>
          <w:lang w:val="uk-UA"/>
        </w:rPr>
        <w:t xml:space="preserve">, </w:t>
      </w:r>
      <w:r w:rsidRPr="00D83BD4">
        <w:rPr>
          <w:rFonts w:ascii="Times New Roman" w:hAnsi="Times New Roman"/>
          <w:sz w:val="28"/>
          <w:szCs w:val="28"/>
          <w:lang w:val="en-US"/>
        </w:rPr>
        <w:t>Dupuis G</w:t>
      </w:r>
      <w:r w:rsidRPr="00D83BD4">
        <w:rPr>
          <w:rFonts w:ascii="Times New Roman" w:hAnsi="Times New Roman"/>
          <w:sz w:val="28"/>
          <w:szCs w:val="28"/>
          <w:lang w:val="uk-UA"/>
        </w:rPr>
        <w:t xml:space="preserve">, </w:t>
      </w:r>
      <w:r w:rsidRPr="00D83BD4">
        <w:rPr>
          <w:rFonts w:ascii="Times New Roman" w:hAnsi="Times New Roman"/>
          <w:sz w:val="28"/>
          <w:szCs w:val="28"/>
          <w:lang w:val="en-US"/>
        </w:rPr>
        <w:t>Le</w:t>
      </w:r>
      <w:r w:rsidRPr="00D83BD4">
        <w:rPr>
          <w:rFonts w:ascii="Times New Roman" w:hAnsi="Times New Roman"/>
          <w:sz w:val="28"/>
          <w:szCs w:val="28"/>
          <w:lang w:val="uk-UA"/>
        </w:rPr>
        <w:t xml:space="preserve"> </w:t>
      </w:r>
      <w:r w:rsidRPr="00D83BD4">
        <w:rPr>
          <w:rFonts w:ascii="Times New Roman" w:hAnsi="Times New Roman"/>
          <w:sz w:val="28"/>
          <w:szCs w:val="28"/>
          <w:lang w:val="en-US"/>
        </w:rPr>
        <w:t>Page A</w:t>
      </w:r>
      <w:r w:rsidRPr="00D83BD4">
        <w:rPr>
          <w:rFonts w:ascii="Times New Roman" w:hAnsi="Times New Roman"/>
          <w:sz w:val="28"/>
          <w:szCs w:val="28"/>
          <w:lang w:val="uk-UA"/>
        </w:rPr>
        <w:t xml:space="preserve">, </w:t>
      </w:r>
      <w:r w:rsidRPr="00D83BD4">
        <w:rPr>
          <w:rFonts w:ascii="Times New Roman" w:hAnsi="Times New Roman"/>
          <w:sz w:val="28"/>
          <w:szCs w:val="28"/>
          <w:lang w:val="en-US"/>
        </w:rPr>
        <w:t>Frost EH</w:t>
      </w:r>
      <w:r w:rsidRPr="00D83BD4">
        <w:rPr>
          <w:rFonts w:ascii="Times New Roman" w:hAnsi="Times New Roman"/>
          <w:sz w:val="28"/>
          <w:szCs w:val="28"/>
          <w:lang w:val="uk-UA"/>
        </w:rPr>
        <w:t xml:space="preserve">, </w:t>
      </w:r>
      <w:r w:rsidRPr="00D83BD4">
        <w:rPr>
          <w:rFonts w:ascii="Times New Roman" w:hAnsi="Times New Roman"/>
          <w:sz w:val="28"/>
          <w:szCs w:val="28"/>
          <w:lang w:val="en-US"/>
        </w:rPr>
        <w:t>Cohen AA</w:t>
      </w:r>
      <w:r w:rsidRPr="00D83BD4">
        <w:rPr>
          <w:rFonts w:ascii="Times New Roman" w:hAnsi="Times New Roman"/>
          <w:sz w:val="28"/>
          <w:szCs w:val="28"/>
          <w:lang w:val="uk-UA"/>
        </w:rPr>
        <w:t xml:space="preserve">, </w:t>
      </w:r>
      <w:r w:rsidRPr="00D83BD4">
        <w:rPr>
          <w:rFonts w:ascii="Times New Roman" w:hAnsi="Times New Roman"/>
          <w:sz w:val="28"/>
          <w:szCs w:val="28"/>
          <w:lang w:val="en-US"/>
        </w:rPr>
        <w:t>et al</w:t>
      </w:r>
      <w:r w:rsidRPr="00D83BD4">
        <w:rPr>
          <w:rFonts w:ascii="Times New Roman" w:hAnsi="Times New Roman"/>
          <w:sz w:val="28"/>
          <w:szCs w:val="28"/>
          <w:lang w:val="uk-UA"/>
        </w:rPr>
        <w:t xml:space="preserve">. </w:t>
      </w:r>
      <w:r w:rsidRPr="00D83BD4">
        <w:rPr>
          <w:rStyle w:val="afa"/>
          <w:rFonts w:ascii="Times New Roman" w:eastAsiaTheme="majorEastAsia" w:hAnsi="Times New Roman"/>
          <w:b w:val="0"/>
          <w:sz w:val="28"/>
          <w:szCs w:val="28"/>
          <w:lang w:val="en-US"/>
        </w:rPr>
        <w:t>Immunosenescence</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and</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Inflamm</w:t>
      </w:r>
      <w:r w:rsidRPr="00D83BD4">
        <w:rPr>
          <w:rStyle w:val="afa"/>
          <w:rFonts w:ascii="Times New Roman" w:eastAsiaTheme="majorEastAsia" w:hAnsi="Times New Roman"/>
          <w:b w:val="0"/>
          <w:sz w:val="28"/>
          <w:szCs w:val="28"/>
          <w:lang w:val="uk-UA"/>
        </w:rPr>
        <w:t>-</w:t>
      </w:r>
      <w:r w:rsidRPr="00D83BD4">
        <w:rPr>
          <w:rStyle w:val="afa"/>
          <w:rFonts w:ascii="Times New Roman" w:eastAsiaTheme="majorEastAsia" w:hAnsi="Times New Roman"/>
          <w:b w:val="0"/>
          <w:sz w:val="28"/>
          <w:szCs w:val="28"/>
          <w:lang w:val="en-US"/>
        </w:rPr>
        <w:t>Aging</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As</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Two</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Sides</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of</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the</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Same</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Coin</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Friends</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or</w:t>
      </w:r>
      <w:r w:rsidRPr="00D83BD4">
        <w:rPr>
          <w:rStyle w:val="afa"/>
          <w:rFonts w:ascii="Times New Roman" w:eastAsiaTheme="majorEastAsia" w:hAnsi="Times New Roman"/>
          <w:b w:val="0"/>
          <w:sz w:val="28"/>
          <w:szCs w:val="28"/>
          <w:lang w:val="uk-UA"/>
        </w:rPr>
        <w:t xml:space="preserve"> </w:t>
      </w:r>
      <w:r w:rsidRPr="00D83BD4">
        <w:rPr>
          <w:rStyle w:val="afa"/>
          <w:rFonts w:ascii="Times New Roman" w:eastAsiaTheme="majorEastAsia" w:hAnsi="Times New Roman"/>
          <w:b w:val="0"/>
          <w:sz w:val="28"/>
          <w:szCs w:val="28"/>
          <w:lang w:val="en-US"/>
        </w:rPr>
        <w:t>Foes</w:t>
      </w:r>
      <w:r w:rsidRPr="00D83BD4">
        <w:rPr>
          <w:rStyle w:val="afa"/>
          <w:rFonts w:ascii="Times New Roman" w:eastAsiaTheme="majorEastAsia" w:hAnsi="Times New Roman"/>
          <w:b w:val="0"/>
          <w:sz w:val="28"/>
          <w:szCs w:val="28"/>
          <w:lang w:val="uk-UA"/>
        </w:rPr>
        <w:t>?</w:t>
      </w:r>
      <w:r w:rsidRPr="00D83BD4">
        <w:rPr>
          <w:rStyle w:val="afa"/>
          <w:rFonts w:ascii="Times New Roman" w:eastAsiaTheme="majorEastAsia" w:hAnsi="Times New Roman"/>
          <w:b w:val="0"/>
          <w:sz w:val="28"/>
          <w:szCs w:val="28"/>
          <w:lang w:val="en-US"/>
        </w:rPr>
        <w:t xml:space="preserve"> </w:t>
      </w:r>
      <w:r w:rsidRPr="00D83BD4">
        <w:rPr>
          <w:rFonts w:ascii="Times New Roman" w:hAnsi="Times New Roman"/>
          <w:sz w:val="28"/>
          <w:szCs w:val="28"/>
          <w:lang w:val="en-US"/>
        </w:rPr>
        <w:t>Front</w:t>
      </w:r>
      <w:r w:rsidRPr="00D83BD4">
        <w:rPr>
          <w:rFonts w:ascii="Times New Roman" w:hAnsi="Times New Roman"/>
          <w:sz w:val="28"/>
          <w:szCs w:val="28"/>
          <w:lang w:val="uk-UA"/>
        </w:rPr>
        <w:t xml:space="preserve"> </w:t>
      </w:r>
      <w:r w:rsidRPr="00D83BD4">
        <w:rPr>
          <w:rFonts w:ascii="Times New Roman" w:hAnsi="Times New Roman"/>
          <w:sz w:val="28"/>
          <w:szCs w:val="28"/>
          <w:lang w:val="en-US"/>
        </w:rPr>
        <w:t xml:space="preserve">Immunol. </w:t>
      </w:r>
      <w:r w:rsidRPr="00D83BD4">
        <w:rPr>
          <w:rFonts w:ascii="Times New Roman" w:hAnsi="Times New Roman"/>
          <w:sz w:val="28"/>
          <w:szCs w:val="28"/>
          <w:lang w:val="uk-UA"/>
        </w:rPr>
        <w:t>2017</w:t>
      </w:r>
      <w:r w:rsidRPr="00D83BD4">
        <w:rPr>
          <w:rFonts w:ascii="Times New Roman" w:hAnsi="Times New Roman"/>
          <w:sz w:val="28"/>
          <w:szCs w:val="28"/>
          <w:lang w:val="en-US"/>
        </w:rPr>
        <w:t>;</w:t>
      </w:r>
      <w:r w:rsidRPr="00D83BD4">
        <w:rPr>
          <w:rFonts w:ascii="Times New Roman" w:hAnsi="Times New Roman"/>
          <w:sz w:val="28"/>
          <w:szCs w:val="28"/>
          <w:lang w:val="uk-UA"/>
        </w:rPr>
        <w:t xml:space="preserve">8 </w:t>
      </w:r>
      <w:r w:rsidRPr="00D83BD4">
        <w:rPr>
          <w:rFonts w:ascii="Times New Roman" w:hAnsi="Times New Roman"/>
          <w:sz w:val="28"/>
          <w:szCs w:val="28"/>
          <w:lang w:val="en-US"/>
        </w:rPr>
        <w:t>:</w:t>
      </w:r>
      <w:r w:rsidRPr="00D83BD4">
        <w:rPr>
          <w:rFonts w:ascii="Times New Roman" w:hAnsi="Times New Roman"/>
          <w:sz w:val="28"/>
          <w:szCs w:val="28"/>
          <w:lang w:val="uk-UA"/>
        </w:rPr>
        <w:t>1960</w:t>
      </w:r>
      <w:r w:rsidRPr="00D83BD4">
        <w:rPr>
          <w:rFonts w:ascii="Times New Roman" w:hAnsi="Times New Roman"/>
          <w:sz w:val="28"/>
          <w:szCs w:val="28"/>
          <w:lang w:val="en-US"/>
        </w:rPr>
        <w:t>.</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Gadalla</w:t>
      </w:r>
      <w:r w:rsidRPr="00D83BD4">
        <w:rPr>
          <w:rFonts w:ascii="Times New Roman" w:hAnsi="Times New Roman"/>
          <w:sz w:val="28"/>
          <w:szCs w:val="28"/>
          <w:lang w:val="uk-UA"/>
        </w:rPr>
        <w:t xml:space="preserve"> </w:t>
      </w:r>
      <w:r w:rsidRPr="00D83BD4">
        <w:rPr>
          <w:rFonts w:ascii="Times New Roman" w:hAnsi="Times New Roman"/>
          <w:sz w:val="28"/>
          <w:szCs w:val="28"/>
          <w:lang w:val="en-US"/>
        </w:rPr>
        <w:t>SM</w:t>
      </w:r>
      <w:r w:rsidRPr="00D83BD4">
        <w:rPr>
          <w:rFonts w:ascii="Times New Roman" w:hAnsi="Times New Roman"/>
          <w:sz w:val="28"/>
          <w:szCs w:val="28"/>
          <w:lang w:val="uk-UA"/>
        </w:rPr>
        <w:t xml:space="preserve">, </w:t>
      </w:r>
      <w:r w:rsidRPr="00D83BD4">
        <w:rPr>
          <w:rFonts w:ascii="Times New Roman" w:hAnsi="Times New Roman"/>
          <w:sz w:val="28"/>
          <w:szCs w:val="28"/>
          <w:lang w:val="en-US"/>
        </w:rPr>
        <w:t>Cawthon</w:t>
      </w:r>
      <w:r w:rsidRPr="00D83BD4">
        <w:rPr>
          <w:rFonts w:ascii="Times New Roman" w:hAnsi="Times New Roman"/>
          <w:sz w:val="28"/>
          <w:szCs w:val="28"/>
          <w:lang w:val="uk-UA"/>
        </w:rPr>
        <w:t xml:space="preserve"> </w:t>
      </w:r>
      <w:r w:rsidRPr="00D83BD4">
        <w:rPr>
          <w:rFonts w:ascii="Times New Roman" w:hAnsi="Times New Roman"/>
          <w:sz w:val="28"/>
          <w:szCs w:val="28"/>
          <w:lang w:val="en-US"/>
        </w:rPr>
        <w:t>R</w:t>
      </w:r>
      <w:r w:rsidRPr="00D83BD4">
        <w:rPr>
          <w:rFonts w:ascii="Times New Roman" w:hAnsi="Times New Roman"/>
          <w:sz w:val="28"/>
          <w:szCs w:val="28"/>
          <w:lang w:val="uk-UA"/>
        </w:rPr>
        <w:t xml:space="preserve">, </w:t>
      </w:r>
      <w:r w:rsidRPr="00D83BD4">
        <w:rPr>
          <w:rFonts w:ascii="Times New Roman" w:hAnsi="Times New Roman"/>
          <w:sz w:val="28"/>
          <w:szCs w:val="28"/>
          <w:lang w:val="en-US"/>
        </w:rPr>
        <w:t>Giri</w:t>
      </w:r>
      <w:r w:rsidRPr="00D83BD4">
        <w:rPr>
          <w:rFonts w:ascii="Times New Roman" w:hAnsi="Times New Roman"/>
          <w:sz w:val="28"/>
          <w:szCs w:val="28"/>
          <w:lang w:val="uk-UA"/>
        </w:rPr>
        <w:t xml:space="preserve"> </w:t>
      </w:r>
      <w:r w:rsidRPr="00D83BD4">
        <w:rPr>
          <w:rFonts w:ascii="Times New Roman" w:hAnsi="Times New Roman"/>
          <w:sz w:val="28"/>
          <w:szCs w:val="28"/>
          <w:lang w:val="en-US"/>
        </w:rPr>
        <w:t xml:space="preserve">N, </w:t>
      </w:r>
      <w:r w:rsidRPr="00D83BD4">
        <w:rPr>
          <w:rFonts w:ascii="Times New Roman" w:hAnsi="Times New Roman"/>
          <w:sz w:val="28"/>
          <w:szCs w:val="28"/>
          <w:lang w:val="uk-UA"/>
        </w:rPr>
        <w:t xml:space="preserve"> </w:t>
      </w:r>
      <w:r w:rsidRPr="00D83BD4">
        <w:rPr>
          <w:rFonts w:ascii="Times New Roman" w:hAnsi="Times New Roman"/>
          <w:sz w:val="28"/>
          <w:szCs w:val="28"/>
          <w:shd w:val="clear" w:color="auto" w:fill="FFFFFF"/>
          <w:lang w:val="en-US"/>
        </w:rPr>
        <w:t> Alter BP, Savage SA. </w:t>
      </w:r>
      <w:r w:rsidRPr="00D83BD4">
        <w:rPr>
          <w:rFonts w:ascii="Times New Roman" w:hAnsi="Times New Roman"/>
          <w:sz w:val="28"/>
          <w:szCs w:val="28"/>
          <w:lang w:val="en-US"/>
        </w:rPr>
        <w:t xml:space="preserve"> Telomere length in blood, buccal cells, and  fibroblasts  from  patients  with  inherited  bone  marrow  failure  syndromes. Aging (Albany NY). 2010;2 (11):867—874. </w:t>
      </w:r>
      <w:r w:rsidRPr="00D83BD4">
        <w:rPr>
          <w:rFonts w:ascii="Times New Roman" w:hAnsi="Times New Roman"/>
          <w:sz w:val="28"/>
          <w:szCs w:val="28"/>
          <w:shd w:val="clear" w:color="auto" w:fill="FFFFFF"/>
        </w:rPr>
        <w:t>doi: 10.18632/aging.100235.</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Gałąska R, Kulawiak-Gałąska D, Chmara M, Chlebus K, Mickiewicz A, Rynkiewicz A, et al. Carotid intima-media thickness (IMT) in patients with severe familial and non-familial hypercholesterolemia: The effect of measurement site on the IMT correlation with traditional cardiovascular risk factors and calcium scores. </w:t>
      </w:r>
      <w:r w:rsidRPr="00D83BD4">
        <w:rPr>
          <w:sz w:val="28"/>
          <w:szCs w:val="28"/>
        </w:rPr>
        <w:t>Cardiol J. 2020. doi: 10.5603/CJ.a2020.0032.</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Gao</w:t>
      </w:r>
      <w:r w:rsidRPr="00D83BD4">
        <w:rPr>
          <w:rFonts w:ascii="Times New Roman" w:hAnsi="Times New Roman"/>
          <w:sz w:val="28"/>
          <w:szCs w:val="28"/>
          <w:lang w:val="uk-UA"/>
        </w:rPr>
        <w:t xml:space="preserve"> </w:t>
      </w:r>
      <w:r w:rsidRPr="00D83BD4">
        <w:rPr>
          <w:rFonts w:ascii="Times New Roman" w:hAnsi="Times New Roman"/>
          <w:sz w:val="28"/>
          <w:szCs w:val="28"/>
          <w:lang w:val="en-US"/>
        </w:rPr>
        <w:t>N</w:t>
      </w:r>
      <w:r w:rsidRPr="00D83BD4">
        <w:rPr>
          <w:rFonts w:ascii="Times New Roman" w:hAnsi="Times New Roman"/>
          <w:sz w:val="28"/>
          <w:szCs w:val="28"/>
          <w:lang w:val="uk-UA"/>
        </w:rPr>
        <w:t xml:space="preserve">, </w:t>
      </w:r>
      <w:r w:rsidRPr="00D83BD4">
        <w:rPr>
          <w:rFonts w:ascii="Times New Roman" w:hAnsi="Times New Roman"/>
          <w:sz w:val="28"/>
          <w:szCs w:val="28"/>
          <w:lang w:val="en-US"/>
        </w:rPr>
        <w:t>Zhang</w:t>
      </w:r>
      <w:r w:rsidRPr="00D83BD4">
        <w:rPr>
          <w:rFonts w:ascii="Times New Roman" w:hAnsi="Times New Roman"/>
          <w:sz w:val="28"/>
          <w:szCs w:val="28"/>
          <w:lang w:val="uk-UA"/>
        </w:rPr>
        <w:t xml:space="preserve"> </w:t>
      </w:r>
      <w:r w:rsidRPr="00D83BD4">
        <w:rPr>
          <w:rFonts w:ascii="Times New Roman" w:hAnsi="Times New Roman"/>
          <w:sz w:val="28"/>
          <w:szCs w:val="28"/>
          <w:lang w:val="en-US"/>
        </w:rPr>
        <w:t>W</w:t>
      </w:r>
      <w:r w:rsidRPr="00D83BD4">
        <w:rPr>
          <w:rFonts w:ascii="Times New Roman" w:hAnsi="Times New Roman"/>
          <w:sz w:val="28"/>
          <w:szCs w:val="28"/>
          <w:lang w:val="uk-UA"/>
        </w:rPr>
        <w:t xml:space="preserve">, </w:t>
      </w:r>
      <w:r w:rsidRPr="00D83BD4">
        <w:rPr>
          <w:rFonts w:ascii="Times New Roman" w:hAnsi="Times New Roman"/>
          <w:sz w:val="28"/>
          <w:szCs w:val="28"/>
          <w:lang w:val="en-US"/>
        </w:rPr>
        <w:t>Zhang</w:t>
      </w:r>
      <w:r w:rsidRPr="00D83BD4">
        <w:rPr>
          <w:rFonts w:ascii="Times New Roman" w:hAnsi="Times New Roman"/>
          <w:sz w:val="28"/>
          <w:szCs w:val="28"/>
          <w:lang w:val="uk-UA"/>
        </w:rPr>
        <w:t xml:space="preserve"> </w:t>
      </w:r>
      <w:r w:rsidRPr="00D83BD4">
        <w:rPr>
          <w:rFonts w:ascii="Times New Roman" w:hAnsi="Times New Roman"/>
          <w:sz w:val="28"/>
          <w:szCs w:val="28"/>
          <w:lang w:val="en-US"/>
        </w:rPr>
        <w:t>YZ,</w:t>
      </w:r>
      <w:r w:rsidRPr="00D83BD4">
        <w:rPr>
          <w:rFonts w:ascii="Times New Roman" w:hAnsi="Times New Roman"/>
          <w:sz w:val="28"/>
          <w:szCs w:val="28"/>
          <w:lang w:val="uk-UA"/>
        </w:rPr>
        <w:t xml:space="preserve">  </w:t>
      </w:r>
      <w:r w:rsidRPr="00D83BD4">
        <w:rPr>
          <w:rFonts w:ascii="Times New Roman" w:hAnsi="Times New Roman"/>
          <w:sz w:val="28"/>
          <w:szCs w:val="28"/>
          <w:shd w:val="clear" w:color="auto" w:fill="FFFFFF"/>
          <w:lang w:val="en-US"/>
        </w:rPr>
        <w:t>Yang Q, Chen SH,</w:t>
      </w:r>
      <w:r w:rsidRPr="00D83BD4">
        <w:rPr>
          <w:rFonts w:ascii="Times New Roman" w:hAnsi="Times New Roman"/>
          <w:sz w:val="28"/>
          <w:szCs w:val="28"/>
          <w:lang w:val="en-US"/>
        </w:rPr>
        <w:t xml:space="preserve"> et</w:t>
      </w:r>
      <w:r w:rsidRPr="00D83BD4">
        <w:rPr>
          <w:rFonts w:ascii="Times New Roman" w:hAnsi="Times New Roman"/>
          <w:sz w:val="28"/>
          <w:szCs w:val="28"/>
          <w:lang w:val="uk-UA"/>
        </w:rPr>
        <w:t xml:space="preserve"> </w:t>
      </w:r>
      <w:r w:rsidRPr="00D83BD4">
        <w:rPr>
          <w:rFonts w:ascii="Times New Roman" w:hAnsi="Times New Roman"/>
          <w:sz w:val="28"/>
          <w:szCs w:val="28"/>
          <w:lang w:val="en-US"/>
        </w:rPr>
        <w:t>al</w:t>
      </w:r>
      <w:r w:rsidRPr="00D83BD4">
        <w:rPr>
          <w:rFonts w:ascii="Times New Roman" w:hAnsi="Times New Roman"/>
          <w:sz w:val="28"/>
          <w:szCs w:val="28"/>
          <w:lang w:val="uk-UA"/>
        </w:rPr>
        <w:t xml:space="preserve">.   </w:t>
      </w:r>
      <w:r w:rsidRPr="00D83BD4">
        <w:rPr>
          <w:rFonts w:ascii="Times New Roman" w:hAnsi="Times New Roman"/>
          <w:sz w:val="28"/>
          <w:szCs w:val="28"/>
          <w:lang w:val="en-US"/>
        </w:rPr>
        <w:t>Carotid</w:t>
      </w:r>
      <w:r w:rsidRPr="00D83BD4">
        <w:rPr>
          <w:rFonts w:ascii="Times New Roman" w:hAnsi="Times New Roman"/>
          <w:sz w:val="28"/>
          <w:szCs w:val="28"/>
          <w:lang w:val="uk-UA"/>
        </w:rPr>
        <w:t xml:space="preserve"> </w:t>
      </w:r>
      <w:r w:rsidRPr="00D83BD4">
        <w:rPr>
          <w:rFonts w:ascii="Times New Roman" w:hAnsi="Times New Roman"/>
          <w:sz w:val="28"/>
          <w:szCs w:val="28"/>
          <w:lang w:val="en-US"/>
        </w:rPr>
        <w:t>intima</w:t>
      </w:r>
      <w:r w:rsidRPr="00D83BD4">
        <w:rPr>
          <w:rFonts w:ascii="Times New Roman" w:hAnsi="Times New Roman"/>
          <w:sz w:val="28"/>
          <w:szCs w:val="28"/>
          <w:lang w:val="uk-UA"/>
        </w:rPr>
        <w:t>_</w:t>
      </w:r>
      <w:r w:rsidRPr="00D83BD4">
        <w:rPr>
          <w:rFonts w:ascii="Times New Roman" w:hAnsi="Times New Roman"/>
          <w:sz w:val="28"/>
          <w:szCs w:val="28"/>
          <w:lang w:val="en-US"/>
        </w:rPr>
        <w:t>media</w:t>
      </w:r>
      <w:r w:rsidRPr="00D83BD4">
        <w:rPr>
          <w:rFonts w:ascii="Times New Roman" w:hAnsi="Times New Roman"/>
          <w:sz w:val="28"/>
          <w:szCs w:val="28"/>
          <w:lang w:val="uk-UA"/>
        </w:rPr>
        <w:t xml:space="preserve"> </w:t>
      </w:r>
      <w:r w:rsidRPr="00D83BD4">
        <w:rPr>
          <w:rFonts w:ascii="Times New Roman" w:hAnsi="Times New Roman"/>
          <w:sz w:val="28"/>
          <w:szCs w:val="28"/>
          <w:lang w:val="en-US"/>
        </w:rPr>
        <w:t>thickness</w:t>
      </w:r>
      <w:r w:rsidRPr="00D83BD4">
        <w:rPr>
          <w:rFonts w:ascii="Times New Roman" w:hAnsi="Times New Roman"/>
          <w:sz w:val="28"/>
          <w:szCs w:val="28"/>
          <w:lang w:val="uk-UA"/>
        </w:rPr>
        <w:t xml:space="preserve"> </w:t>
      </w:r>
      <w:r w:rsidRPr="00D83BD4">
        <w:rPr>
          <w:rFonts w:ascii="Times New Roman" w:hAnsi="Times New Roman"/>
          <w:sz w:val="28"/>
          <w:szCs w:val="28"/>
          <w:lang w:val="en-US"/>
        </w:rPr>
        <w:t>in</w:t>
      </w:r>
      <w:r w:rsidRPr="00D83BD4">
        <w:rPr>
          <w:rFonts w:ascii="Times New Roman" w:hAnsi="Times New Roman"/>
          <w:sz w:val="28"/>
          <w:szCs w:val="28"/>
          <w:lang w:val="uk-UA"/>
        </w:rPr>
        <w:t xml:space="preserve"> </w:t>
      </w:r>
      <w:r w:rsidRPr="00D83BD4">
        <w:rPr>
          <w:rFonts w:ascii="Times New Roman" w:hAnsi="Times New Roman"/>
          <w:sz w:val="28"/>
          <w:szCs w:val="28"/>
          <w:lang w:val="en-US"/>
        </w:rPr>
        <w:t>patients</w:t>
      </w:r>
      <w:r w:rsidRPr="00D83BD4">
        <w:rPr>
          <w:rFonts w:ascii="Times New Roman" w:hAnsi="Times New Roman"/>
          <w:sz w:val="28"/>
          <w:szCs w:val="28"/>
          <w:lang w:val="uk-UA"/>
        </w:rPr>
        <w:t xml:space="preserve"> </w:t>
      </w:r>
      <w:r w:rsidRPr="00D83BD4">
        <w:rPr>
          <w:rFonts w:ascii="Times New Roman" w:hAnsi="Times New Roman"/>
          <w:sz w:val="28"/>
          <w:szCs w:val="28"/>
          <w:lang w:val="en-US"/>
        </w:rPr>
        <w:t>with</w:t>
      </w:r>
      <w:r w:rsidRPr="00D83BD4">
        <w:rPr>
          <w:rFonts w:ascii="Times New Roman" w:hAnsi="Times New Roman"/>
          <w:sz w:val="28"/>
          <w:szCs w:val="28"/>
          <w:lang w:val="uk-UA"/>
        </w:rPr>
        <w:t xml:space="preserve"> </w:t>
      </w:r>
      <w:r w:rsidRPr="00D83BD4">
        <w:rPr>
          <w:rFonts w:ascii="Times New Roman" w:hAnsi="Times New Roman"/>
          <w:sz w:val="28"/>
          <w:szCs w:val="28"/>
          <w:lang w:val="en-US"/>
        </w:rPr>
        <w:t>subclinical</w:t>
      </w:r>
      <w:r w:rsidRPr="00D83BD4">
        <w:rPr>
          <w:rFonts w:ascii="Times New Roman" w:hAnsi="Times New Roman"/>
          <w:sz w:val="28"/>
          <w:szCs w:val="28"/>
          <w:lang w:val="uk-UA"/>
        </w:rPr>
        <w:t xml:space="preserve"> </w:t>
      </w:r>
      <w:r w:rsidRPr="00D83BD4">
        <w:rPr>
          <w:rFonts w:ascii="Times New Roman" w:hAnsi="Times New Roman"/>
          <w:sz w:val="28"/>
          <w:szCs w:val="28"/>
          <w:lang w:val="en-US"/>
        </w:rPr>
        <w:t>hypothyroidism</w:t>
      </w:r>
      <w:r w:rsidRPr="00D83BD4">
        <w:rPr>
          <w:rFonts w:ascii="Times New Roman" w:hAnsi="Times New Roman"/>
          <w:sz w:val="28"/>
          <w:szCs w:val="28"/>
          <w:lang w:val="uk-UA"/>
        </w:rPr>
        <w:t xml:space="preserve">: </w:t>
      </w:r>
      <w:r w:rsidRPr="00D83BD4">
        <w:rPr>
          <w:rFonts w:ascii="Times New Roman" w:hAnsi="Times New Roman"/>
          <w:sz w:val="28"/>
          <w:szCs w:val="28"/>
          <w:lang w:val="en-US"/>
        </w:rPr>
        <w:t>A</w:t>
      </w:r>
      <w:r w:rsidRPr="00D83BD4">
        <w:rPr>
          <w:rFonts w:ascii="Times New Roman" w:hAnsi="Times New Roman"/>
          <w:sz w:val="28"/>
          <w:szCs w:val="28"/>
          <w:lang w:val="uk-UA"/>
        </w:rPr>
        <w:t xml:space="preserve"> </w:t>
      </w:r>
      <w:r w:rsidRPr="00D83BD4">
        <w:rPr>
          <w:rFonts w:ascii="Times New Roman" w:hAnsi="Times New Roman"/>
          <w:sz w:val="28"/>
          <w:szCs w:val="28"/>
          <w:lang w:val="en-US"/>
        </w:rPr>
        <w:t>meta</w:t>
      </w:r>
      <w:r w:rsidRPr="00D83BD4">
        <w:rPr>
          <w:rFonts w:ascii="Times New Roman" w:hAnsi="Times New Roman"/>
          <w:sz w:val="28"/>
          <w:szCs w:val="28"/>
          <w:lang w:val="uk-UA"/>
        </w:rPr>
        <w:t>_</w:t>
      </w:r>
      <w:r w:rsidRPr="00D83BD4">
        <w:rPr>
          <w:rFonts w:ascii="Times New Roman" w:hAnsi="Times New Roman"/>
          <w:sz w:val="28"/>
          <w:szCs w:val="28"/>
          <w:lang w:val="en-US"/>
        </w:rPr>
        <w:t>analysis</w:t>
      </w:r>
      <w:r w:rsidRPr="00D83BD4">
        <w:rPr>
          <w:rFonts w:ascii="Times New Roman" w:hAnsi="Times New Roman"/>
          <w:sz w:val="28"/>
          <w:szCs w:val="28"/>
          <w:lang w:val="uk-UA"/>
        </w:rPr>
        <w:t xml:space="preserve">.  </w:t>
      </w:r>
      <w:r w:rsidRPr="00D83BD4">
        <w:rPr>
          <w:rFonts w:ascii="Times New Roman" w:hAnsi="Times New Roman"/>
          <w:sz w:val="28"/>
          <w:szCs w:val="28"/>
          <w:lang w:val="en-US"/>
        </w:rPr>
        <w:t>Atherosclerosis</w:t>
      </w:r>
      <w:r w:rsidRPr="00D83BD4">
        <w:rPr>
          <w:rFonts w:ascii="Times New Roman" w:hAnsi="Times New Roman"/>
          <w:sz w:val="28"/>
          <w:szCs w:val="28"/>
          <w:lang w:val="uk-UA"/>
        </w:rPr>
        <w:t xml:space="preserve">. </w:t>
      </w:r>
      <w:r w:rsidRPr="00D83BD4">
        <w:rPr>
          <w:rFonts w:ascii="Times New Roman" w:hAnsi="Times New Roman"/>
          <w:sz w:val="28"/>
          <w:szCs w:val="28"/>
          <w:lang w:val="en-US"/>
        </w:rPr>
        <w:t xml:space="preserve"> </w:t>
      </w:r>
      <w:r w:rsidRPr="00D83BD4">
        <w:rPr>
          <w:rFonts w:ascii="Times New Roman" w:hAnsi="Times New Roman"/>
          <w:sz w:val="28"/>
          <w:szCs w:val="28"/>
          <w:lang w:val="uk-UA"/>
        </w:rPr>
        <w:t>2013</w:t>
      </w:r>
      <w:r w:rsidRPr="00D83BD4">
        <w:rPr>
          <w:rFonts w:ascii="Times New Roman" w:hAnsi="Times New Roman"/>
          <w:sz w:val="28"/>
          <w:szCs w:val="28"/>
          <w:lang w:val="en-US"/>
        </w:rPr>
        <w:t>;</w:t>
      </w:r>
      <w:r w:rsidRPr="00D83BD4">
        <w:rPr>
          <w:rFonts w:ascii="Times New Roman" w:hAnsi="Times New Roman"/>
          <w:sz w:val="28"/>
          <w:szCs w:val="28"/>
          <w:lang w:val="uk-UA"/>
        </w:rPr>
        <w:t xml:space="preserve"> 227(1)</w:t>
      </w:r>
      <w:r w:rsidRPr="00D83BD4">
        <w:rPr>
          <w:rFonts w:ascii="Times New Roman" w:hAnsi="Times New Roman"/>
          <w:sz w:val="28"/>
          <w:szCs w:val="28"/>
          <w:lang w:val="en-US"/>
        </w:rPr>
        <w:t>:</w:t>
      </w:r>
      <w:r w:rsidRPr="00D83BD4">
        <w:rPr>
          <w:rFonts w:ascii="Times New Roman" w:hAnsi="Times New Roman"/>
          <w:sz w:val="28"/>
          <w:szCs w:val="28"/>
          <w:lang w:val="uk-UA"/>
        </w:rPr>
        <w:t xml:space="preserve">18–25.  </w:t>
      </w:r>
      <w:r w:rsidRPr="00D83BD4">
        <w:rPr>
          <w:rFonts w:ascii="Times New Roman" w:hAnsi="Times New Roman"/>
          <w:sz w:val="28"/>
          <w:szCs w:val="28"/>
          <w:shd w:val="clear" w:color="auto" w:fill="FFFFFF"/>
        </w:rPr>
        <w:t>doi: 10.1016/</w:t>
      </w:r>
      <w:r w:rsidR="009E4B7D">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rPr>
        <w:t>j.atherosclerosis.2012.10.070.</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Garin MC, Arnold AM, Lee JS, Tracy RP, Cappola AR. Subclinical hypothyroidism, weight change, and body composition in the elderly: the Cardiovascular Health Study. </w:t>
      </w:r>
      <w:r w:rsidRPr="00D83BD4">
        <w:rPr>
          <w:sz w:val="28"/>
          <w:szCs w:val="28"/>
        </w:rPr>
        <w:t>J Clin Endocrinol Metab. 2014;99(4):1220-6. doi: 10.1210/jc.2013-3591.</w:t>
      </w:r>
    </w:p>
    <w:p w:rsidR="00E3259F" w:rsidRPr="00D83BD4" w:rsidRDefault="00E3259F" w:rsidP="00D83BD4">
      <w:pPr>
        <w:numPr>
          <w:ilvl w:val="0"/>
          <w:numId w:val="26"/>
        </w:numPr>
        <w:tabs>
          <w:tab w:val="num" w:pos="0"/>
        </w:tabs>
        <w:spacing w:line="360" w:lineRule="auto"/>
        <w:ind w:left="0" w:firstLine="0"/>
        <w:jc w:val="both"/>
        <w:rPr>
          <w:sz w:val="28"/>
          <w:szCs w:val="28"/>
        </w:rPr>
      </w:pPr>
      <w:bookmarkStart w:id="35" w:name="_Hlk43151062"/>
      <w:r w:rsidRPr="00D83BD4">
        <w:rPr>
          <w:sz w:val="28"/>
          <w:szCs w:val="28"/>
          <w:lang w:val="en-US"/>
        </w:rPr>
        <w:t xml:space="preserve">Glasser S P, Halberg D L,  Sands C,  Gamboa C M, Muntner P,  Safford M. Is Pulse Pressure an Independent Risk Factor for Incident Acute Coronary Heart Disease Events? </w:t>
      </w:r>
      <w:r w:rsidRPr="00D83BD4">
        <w:rPr>
          <w:sz w:val="28"/>
          <w:szCs w:val="28"/>
        </w:rPr>
        <w:t>The REGARDS Study. Am J Hypertens. 2014; 27(4): 555–563.</w:t>
      </w:r>
      <w:r w:rsidRPr="00D83BD4">
        <w:rPr>
          <w:sz w:val="28"/>
          <w:szCs w:val="28"/>
          <w:lang w:val="uk-UA"/>
        </w:rPr>
        <w:t xml:space="preserve"> </w:t>
      </w:r>
      <w:r w:rsidRPr="00D83BD4">
        <w:rPr>
          <w:sz w:val="28"/>
          <w:szCs w:val="28"/>
          <w:shd w:val="clear" w:color="auto" w:fill="FFFFFF"/>
        </w:rPr>
        <w:t>doi: 10.1093/ajh/hpt168.</w:t>
      </w:r>
      <w:r w:rsidRPr="00D83BD4">
        <w:rPr>
          <w:sz w:val="28"/>
          <w:szCs w:val="28"/>
        </w:rPr>
        <w:t xml:space="preserve">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Gomez-Sanchez M, Gomez-Sanchez L, Patino-Alonso MC, Cunha PG, Recio-Rodriguez JI, Alonso-Dominguez R, et al.; EVA Investigators. Vascular aging and its relationship with lifestyles and other risk factors in the general Spanish population: Early Vascular Ageing Study. </w:t>
      </w:r>
      <w:r w:rsidRPr="00D83BD4">
        <w:rPr>
          <w:rFonts w:ascii="Times New Roman" w:hAnsi="Times New Roman"/>
          <w:sz w:val="28"/>
          <w:szCs w:val="28"/>
        </w:rPr>
        <w:t>J Hypertens.</w:t>
      </w:r>
      <w:r w:rsidRPr="00D83BD4">
        <w:rPr>
          <w:rFonts w:ascii="Times New Roman" w:hAnsi="Times New Roman"/>
          <w:sz w:val="28"/>
          <w:szCs w:val="28"/>
          <w:lang w:val="en-US"/>
        </w:rPr>
        <w:t> </w:t>
      </w:r>
      <w:r w:rsidRPr="00D83BD4">
        <w:rPr>
          <w:rFonts w:ascii="Times New Roman" w:hAnsi="Times New Roman"/>
          <w:sz w:val="28"/>
          <w:szCs w:val="28"/>
          <w:shd w:val="clear" w:color="auto" w:fill="FFFFFF"/>
        </w:rPr>
        <w:t>2020;</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rPr>
        <w:t>38(6):1110-1122</w:t>
      </w:r>
      <w:r w:rsidRPr="00D83BD4">
        <w:rPr>
          <w:rFonts w:ascii="Times New Roman" w:hAnsi="Times New Roman"/>
          <w:color w:val="5B616B"/>
          <w:sz w:val="28"/>
          <w:szCs w:val="28"/>
          <w:shd w:val="clear" w:color="auto" w:fill="FFFFFF"/>
        </w:rPr>
        <w:t>.</w:t>
      </w:r>
      <w:r w:rsidRPr="00D83BD4">
        <w:rPr>
          <w:rFonts w:ascii="Times New Roman" w:hAnsi="Times New Roman"/>
          <w:sz w:val="28"/>
          <w:szCs w:val="28"/>
        </w:rPr>
        <w:t xml:space="preserve"> </w:t>
      </w:r>
      <w:r w:rsidRPr="00D83BD4">
        <w:rPr>
          <w:rFonts w:ascii="Times New Roman" w:hAnsi="Times New Roman"/>
          <w:sz w:val="28"/>
          <w:szCs w:val="28"/>
          <w:lang w:val="en-US"/>
        </w:rPr>
        <w:t>doi</w:t>
      </w:r>
      <w:r w:rsidRPr="00D83BD4">
        <w:rPr>
          <w:rFonts w:ascii="Times New Roman" w:hAnsi="Times New Roman"/>
          <w:sz w:val="28"/>
          <w:szCs w:val="28"/>
        </w:rPr>
        <w:t>: 10.1097/</w:t>
      </w:r>
      <w:r w:rsidRPr="00D83BD4">
        <w:rPr>
          <w:rFonts w:ascii="Times New Roman" w:hAnsi="Times New Roman"/>
          <w:sz w:val="28"/>
          <w:szCs w:val="28"/>
          <w:lang w:val="en-US"/>
        </w:rPr>
        <w:t>HJH</w:t>
      </w:r>
      <w:r w:rsidRPr="00D83BD4">
        <w:rPr>
          <w:rFonts w:ascii="Times New Roman" w:hAnsi="Times New Roman"/>
          <w:sz w:val="28"/>
          <w:szCs w:val="28"/>
        </w:rPr>
        <w:t>.0000000000002373.</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Gong N, Gao C, Chen X, Wang Y, Tian L. Adipokine expression and endothelial function in subclinical hypothyroidism rats. </w:t>
      </w:r>
      <w:r w:rsidRPr="00D83BD4">
        <w:rPr>
          <w:sz w:val="28"/>
          <w:szCs w:val="28"/>
        </w:rPr>
        <w:t>Endocr Connect. 2018;7(2):295-304</w:t>
      </w:r>
      <w:r w:rsidRPr="00D83BD4">
        <w:rPr>
          <w:sz w:val="28"/>
          <w:szCs w:val="28"/>
          <w:lang w:val="en-US"/>
        </w:rPr>
        <w:t>.</w:t>
      </w:r>
      <w:r w:rsidRPr="00D83BD4">
        <w:rPr>
          <w:sz w:val="28"/>
          <w:szCs w:val="28"/>
          <w:lang w:val="uk-UA"/>
        </w:rPr>
        <w:t xml:space="preserve"> </w:t>
      </w:r>
      <w:r w:rsidRPr="00D83BD4">
        <w:rPr>
          <w:sz w:val="28"/>
          <w:szCs w:val="28"/>
          <w:shd w:val="clear" w:color="auto" w:fill="FFFFFF"/>
        </w:rPr>
        <w:t>DOI: </w:t>
      </w:r>
      <w:r w:rsidRPr="009E4B7D">
        <w:rPr>
          <w:sz w:val="28"/>
          <w:szCs w:val="28"/>
          <w:bdr w:val="none" w:sz="0" w:space="0" w:color="auto" w:frame="1"/>
          <w:shd w:val="clear" w:color="auto" w:fill="FFFFFF"/>
        </w:rPr>
        <w:t>10.1530/ec-18-0007</w:t>
      </w:r>
      <w:r w:rsidRPr="00D83BD4">
        <w:rPr>
          <w:color w:val="494949"/>
          <w:sz w:val="28"/>
          <w:szCs w:val="28"/>
          <w:shd w:val="clear" w:color="auto" w:fill="FFFFFF"/>
        </w:rPr>
        <w:t> </w:t>
      </w:r>
    </w:p>
    <w:p w:rsidR="00E3259F" w:rsidRPr="00D83BD4" w:rsidRDefault="00E3259F" w:rsidP="00D83BD4">
      <w:pPr>
        <w:pStyle w:val="31"/>
        <w:numPr>
          <w:ilvl w:val="0"/>
          <w:numId w:val="26"/>
        </w:numPr>
        <w:tabs>
          <w:tab w:val="left"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Gong N, Gao C, Chen X, Fang Y, Tian L. Endothelial Function in Patients with Subclinical Hypothyroidism: A Meta-Analysis. </w:t>
      </w:r>
      <w:r w:rsidRPr="00D83BD4">
        <w:rPr>
          <w:rFonts w:ascii="Times New Roman" w:hAnsi="Times New Roman"/>
          <w:sz w:val="28"/>
          <w:szCs w:val="28"/>
        </w:rPr>
        <w:t xml:space="preserve">Horm Metab Res. 2019;51(11):691-702. </w:t>
      </w:r>
      <w:r w:rsidRPr="00D83BD4">
        <w:rPr>
          <w:rFonts w:ascii="Times New Roman" w:hAnsi="Times New Roman"/>
          <w:sz w:val="28"/>
          <w:szCs w:val="28"/>
          <w:lang w:val="en-US"/>
        </w:rPr>
        <w:t>doi</w:t>
      </w:r>
      <w:r w:rsidRPr="00D83BD4">
        <w:rPr>
          <w:rFonts w:ascii="Times New Roman" w:hAnsi="Times New Roman"/>
          <w:sz w:val="28"/>
          <w:szCs w:val="28"/>
        </w:rPr>
        <w:t>: 10.1055/</w:t>
      </w:r>
      <w:r w:rsidRPr="00D83BD4">
        <w:rPr>
          <w:rFonts w:ascii="Times New Roman" w:hAnsi="Times New Roman"/>
          <w:sz w:val="28"/>
          <w:szCs w:val="28"/>
          <w:lang w:val="en-US"/>
        </w:rPr>
        <w:t>a</w:t>
      </w:r>
      <w:r w:rsidRPr="00D83BD4">
        <w:rPr>
          <w:rFonts w:ascii="Times New Roman" w:hAnsi="Times New Roman"/>
          <w:sz w:val="28"/>
          <w:szCs w:val="28"/>
        </w:rPr>
        <w:t>-1018-9564</w:t>
      </w:r>
      <w:r w:rsidRPr="00D83BD4">
        <w:rPr>
          <w:rFonts w:ascii="Times New Roman" w:hAnsi="Times New Roman"/>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Gonzalez Gil L, de la Sierra A. Prevalence of hypertension and other cardiovascular risk factors in subjects with subclinical hypothyroidism. </w:t>
      </w:r>
      <w:r w:rsidRPr="00D83BD4">
        <w:rPr>
          <w:sz w:val="28"/>
          <w:szCs w:val="28"/>
        </w:rPr>
        <w:t>Med Clin (Barc). 2017;148(8):351-353. doi: 10.1016/j.medcli.2016.10.041</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Gozhenko AI, Kuznetsova HS</w:t>
      </w:r>
      <w:r w:rsidRPr="00D83BD4">
        <w:rPr>
          <w:rStyle w:val="afb"/>
          <w:i w:val="0"/>
          <w:sz w:val="28"/>
          <w:szCs w:val="28"/>
          <w:lang w:val="uk-UA"/>
        </w:rPr>
        <w:t xml:space="preserve">, </w:t>
      </w:r>
      <w:r w:rsidRPr="00D83BD4">
        <w:rPr>
          <w:rStyle w:val="afb"/>
          <w:i w:val="0"/>
          <w:sz w:val="28"/>
          <w:szCs w:val="28"/>
          <w:lang w:val="en-US"/>
        </w:rPr>
        <w:t>Kuznetsova</w:t>
      </w:r>
      <w:r w:rsidRPr="00D83BD4">
        <w:rPr>
          <w:rStyle w:val="afb"/>
          <w:i w:val="0"/>
          <w:sz w:val="28"/>
          <w:szCs w:val="28"/>
          <w:lang w:val="uk-UA"/>
        </w:rPr>
        <w:t xml:space="preserve"> </w:t>
      </w:r>
      <w:r w:rsidRPr="00D83BD4">
        <w:rPr>
          <w:rStyle w:val="afb"/>
          <w:i w:val="0"/>
          <w:sz w:val="28"/>
          <w:szCs w:val="28"/>
          <w:lang w:val="en-US"/>
        </w:rPr>
        <w:t>KS</w:t>
      </w:r>
      <w:r w:rsidRPr="00D83BD4">
        <w:rPr>
          <w:rStyle w:val="afb"/>
          <w:i w:val="0"/>
          <w:sz w:val="28"/>
          <w:szCs w:val="28"/>
          <w:lang w:val="uk-UA"/>
        </w:rPr>
        <w:t xml:space="preserve">, </w:t>
      </w:r>
      <w:r w:rsidRPr="00D83BD4">
        <w:rPr>
          <w:rStyle w:val="afb"/>
          <w:i w:val="0"/>
          <w:sz w:val="28"/>
          <w:szCs w:val="28"/>
          <w:lang w:val="en-US"/>
        </w:rPr>
        <w:t>Kuznetsova</w:t>
      </w:r>
      <w:r w:rsidRPr="00D83BD4">
        <w:rPr>
          <w:rStyle w:val="afb"/>
          <w:i w:val="0"/>
          <w:sz w:val="28"/>
          <w:szCs w:val="28"/>
          <w:lang w:val="uk-UA"/>
        </w:rPr>
        <w:t xml:space="preserve"> </w:t>
      </w:r>
      <w:r w:rsidRPr="00D83BD4">
        <w:rPr>
          <w:rStyle w:val="afb"/>
          <w:i w:val="0"/>
          <w:sz w:val="28"/>
          <w:szCs w:val="28"/>
          <w:lang w:val="en-US"/>
        </w:rPr>
        <w:t>OM</w:t>
      </w:r>
      <w:r w:rsidRPr="00D83BD4">
        <w:rPr>
          <w:rStyle w:val="afb"/>
          <w:i w:val="0"/>
          <w:sz w:val="28"/>
          <w:szCs w:val="28"/>
          <w:lang w:val="uk-UA"/>
        </w:rPr>
        <w:t xml:space="preserve">, </w:t>
      </w:r>
      <w:r w:rsidRPr="00D83BD4">
        <w:rPr>
          <w:rStyle w:val="afb"/>
          <w:i w:val="0"/>
          <w:sz w:val="28"/>
          <w:szCs w:val="28"/>
          <w:lang w:val="en-US"/>
        </w:rPr>
        <w:t>Byts</w:t>
      </w:r>
      <w:r w:rsidRPr="00D83BD4">
        <w:rPr>
          <w:rStyle w:val="afb"/>
          <w:i w:val="0"/>
          <w:sz w:val="28"/>
          <w:szCs w:val="28"/>
          <w:lang w:val="uk-UA"/>
        </w:rPr>
        <w:t xml:space="preserve"> </w:t>
      </w:r>
      <w:r w:rsidRPr="00D83BD4">
        <w:rPr>
          <w:rStyle w:val="afb"/>
          <w:i w:val="0"/>
          <w:sz w:val="28"/>
          <w:szCs w:val="28"/>
          <w:lang w:val="en-US"/>
        </w:rPr>
        <w:t>TM</w:t>
      </w:r>
      <w:r w:rsidRPr="00D83BD4">
        <w:rPr>
          <w:rStyle w:val="afb"/>
          <w:i w:val="0"/>
          <w:sz w:val="28"/>
          <w:szCs w:val="28"/>
          <w:lang w:val="uk-UA"/>
        </w:rPr>
        <w:t xml:space="preserve">, </w:t>
      </w:r>
      <w:r w:rsidRPr="00D83BD4">
        <w:rPr>
          <w:rStyle w:val="afb"/>
          <w:i w:val="0"/>
          <w:sz w:val="28"/>
          <w:szCs w:val="28"/>
          <w:lang w:val="en-US"/>
        </w:rPr>
        <w:t>Zukow</w:t>
      </w:r>
      <w:r w:rsidRPr="00D83BD4">
        <w:rPr>
          <w:bCs/>
          <w:i/>
          <w:caps/>
          <w:sz w:val="28"/>
          <w:szCs w:val="28"/>
          <w:lang w:val="uk-UA"/>
        </w:rPr>
        <w:t xml:space="preserve"> </w:t>
      </w:r>
      <w:r w:rsidRPr="00D83BD4">
        <w:rPr>
          <w:rStyle w:val="afb"/>
          <w:i w:val="0"/>
          <w:sz w:val="28"/>
          <w:szCs w:val="28"/>
          <w:lang w:val="en-US"/>
        </w:rPr>
        <w:t>W</w:t>
      </w:r>
      <w:r w:rsidRPr="00D83BD4">
        <w:rPr>
          <w:rStyle w:val="afb"/>
          <w:i w:val="0"/>
          <w:sz w:val="28"/>
          <w:szCs w:val="28"/>
          <w:lang w:val="uk-UA"/>
        </w:rPr>
        <w:t xml:space="preserve">. </w:t>
      </w:r>
      <w:r w:rsidRPr="00D83BD4">
        <w:rPr>
          <w:bCs/>
          <w:sz w:val="28"/>
          <w:szCs w:val="28"/>
          <w:lang w:val="en-US"/>
        </w:rPr>
        <w:t>Morpho</w:t>
      </w:r>
      <w:r w:rsidRPr="00D83BD4">
        <w:rPr>
          <w:bCs/>
          <w:sz w:val="28"/>
          <w:szCs w:val="28"/>
          <w:lang w:val="uk-UA"/>
        </w:rPr>
        <w:t>-</w:t>
      </w:r>
      <w:r w:rsidRPr="00D83BD4">
        <w:rPr>
          <w:bCs/>
          <w:sz w:val="28"/>
          <w:szCs w:val="28"/>
          <w:lang w:val="en-US"/>
        </w:rPr>
        <w:t>functional</w:t>
      </w:r>
      <w:r w:rsidRPr="00D83BD4">
        <w:rPr>
          <w:bCs/>
          <w:sz w:val="28"/>
          <w:szCs w:val="28"/>
          <w:lang w:val="uk-UA"/>
        </w:rPr>
        <w:t xml:space="preserve"> </w:t>
      </w:r>
      <w:r w:rsidRPr="00D83BD4">
        <w:rPr>
          <w:bCs/>
          <w:sz w:val="28"/>
          <w:szCs w:val="28"/>
          <w:lang w:val="en-US"/>
        </w:rPr>
        <w:t>basis</w:t>
      </w:r>
      <w:r w:rsidRPr="00D83BD4">
        <w:rPr>
          <w:bCs/>
          <w:sz w:val="28"/>
          <w:szCs w:val="28"/>
          <w:lang w:val="uk-UA"/>
        </w:rPr>
        <w:t xml:space="preserve"> </w:t>
      </w:r>
      <w:r w:rsidRPr="00D83BD4">
        <w:rPr>
          <w:bCs/>
          <w:sz w:val="28"/>
          <w:szCs w:val="28"/>
          <w:lang w:val="en-US"/>
        </w:rPr>
        <w:t>of</w:t>
      </w:r>
      <w:r w:rsidRPr="00D83BD4">
        <w:rPr>
          <w:bCs/>
          <w:sz w:val="28"/>
          <w:szCs w:val="28"/>
          <w:lang w:val="uk-UA"/>
        </w:rPr>
        <w:t xml:space="preserve"> </w:t>
      </w:r>
      <w:r w:rsidRPr="00D83BD4">
        <w:rPr>
          <w:bCs/>
          <w:sz w:val="28"/>
          <w:szCs w:val="28"/>
          <w:lang w:val="en-US"/>
        </w:rPr>
        <w:t>endothelial</w:t>
      </w:r>
      <w:r w:rsidRPr="00D83BD4">
        <w:rPr>
          <w:bCs/>
          <w:sz w:val="28"/>
          <w:szCs w:val="28"/>
          <w:lang w:val="uk-UA"/>
        </w:rPr>
        <w:t xml:space="preserve"> </w:t>
      </w:r>
      <w:r w:rsidRPr="00D83BD4">
        <w:rPr>
          <w:bCs/>
          <w:sz w:val="28"/>
          <w:szCs w:val="28"/>
          <w:lang w:val="en-US"/>
        </w:rPr>
        <w:t>dysfunction</w:t>
      </w:r>
      <w:r w:rsidRPr="00D83BD4">
        <w:rPr>
          <w:bCs/>
          <w:sz w:val="28"/>
          <w:szCs w:val="28"/>
          <w:lang w:val="uk-UA"/>
        </w:rPr>
        <w:t xml:space="preserve"> </w:t>
      </w:r>
      <w:r w:rsidRPr="00D83BD4">
        <w:rPr>
          <w:bCs/>
          <w:sz w:val="28"/>
          <w:szCs w:val="28"/>
          <w:lang w:val="en-US"/>
        </w:rPr>
        <w:t>in</w:t>
      </w:r>
      <w:r w:rsidRPr="00D83BD4">
        <w:rPr>
          <w:bCs/>
          <w:sz w:val="28"/>
          <w:szCs w:val="28"/>
          <w:lang w:val="uk-UA"/>
        </w:rPr>
        <w:t xml:space="preserve"> </w:t>
      </w:r>
      <w:r w:rsidRPr="00D83BD4">
        <w:rPr>
          <w:bCs/>
          <w:sz w:val="28"/>
          <w:szCs w:val="28"/>
          <w:lang w:val="en-US"/>
        </w:rPr>
        <w:t>diabetes</w:t>
      </w:r>
      <w:r w:rsidRPr="00D83BD4">
        <w:rPr>
          <w:bCs/>
          <w:sz w:val="28"/>
          <w:szCs w:val="28"/>
          <w:lang w:val="uk-UA"/>
        </w:rPr>
        <w:t xml:space="preserve"> </w:t>
      </w:r>
      <w:r w:rsidRPr="00D83BD4">
        <w:rPr>
          <w:bCs/>
          <w:sz w:val="28"/>
          <w:szCs w:val="28"/>
          <w:lang w:val="en-US"/>
        </w:rPr>
        <w:t>mellitus</w:t>
      </w:r>
      <w:r w:rsidRPr="00D83BD4">
        <w:rPr>
          <w:bCs/>
          <w:sz w:val="28"/>
          <w:szCs w:val="28"/>
          <w:lang w:val="uk-UA"/>
        </w:rPr>
        <w:t>.</w:t>
      </w:r>
      <w:r w:rsidRPr="00D83BD4">
        <w:rPr>
          <w:rStyle w:val="10"/>
          <w:rFonts w:eastAsiaTheme="majorEastAsia"/>
          <w:sz w:val="28"/>
          <w:szCs w:val="28"/>
          <w:shd w:val="clear" w:color="auto" w:fill="FFFFFF"/>
          <w:lang w:val="uk-UA"/>
        </w:rPr>
        <w:t xml:space="preserve"> </w:t>
      </w:r>
      <w:r w:rsidRPr="00D83BD4">
        <w:rPr>
          <w:rStyle w:val="afa"/>
          <w:rFonts w:eastAsiaTheme="majorEastAsia"/>
          <w:b w:val="0"/>
          <w:sz w:val="28"/>
          <w:szCs w:val="28"/>
          <w:shd w:val="clear" w:color="auto" w:fill="FFFFFF"/>
          <w:lang w:val="en-US"/>
        </w:rPr>
        <w:t>Journal of Education, Health and Sport</w:t>
      </w:r>
      <w:r w:rsidRPr="00D83BD4">
        <w:rPr>
          <w:rStyle w:val="afa"/>
          <w:rFonts w:eastAsiaTheme="majorEastAsia"/>
          <w:b w:val="0"/>
          <w:sz w:val="28"/>
          <w:szCs w:val="28"/>
          <w:shd w:val="clear" w:color="auto" w:fill="FFFFFF"/>
          <w:lang w:val="uk-UA"/>
        </w:rPr>
        <w:t>.</w:t>
      </w:r>
      <w:r w:rsidRPr="00D83BD4">
        <w:rPr>
          <w:rStyle w:val="afa"/>
          <w:rFonts w:eastAsiaTheme="majorEastAsia"/>
          <w:b w:val="0"/>
          <w:sz w:val="28"/>
          <w:szCs w:val="28"/>
          <w:shd w:val="clear" w:color="auto" w:fill="FFFFFF"/>
          <w:lang w:val="en-US"/>
        </w:rPr>
        <w:t xml:space="preserve"> </w:t>
      </w:r>
      <w:r w:rsidRPr="00D83BD4">
        <w:rPr>
          <w:rStyle w:val="afa"/>
          <w:rFonts w:eastAsiaTheme="majorEastAsia"/>
          <w:b w:val="0"/>
          <w:sz w:val="28"/>
          <w:szCs w:val="28"/>
          <w:shd w:val="clear" w:color="auto" w:fill="FFFFFF"/>
          <w:lang w:val="uk-UA"/>
        </w:rPr>
        <w:t>2017</w:t>
      </w:r>
      <w:r w:rsidRPr="00D83BD4">
        <w:rPr>
          <w:rStyle w:val="afa"/>
          <w:rFonts w:eastAsiaTheme="majorEastAsia"/>
          <w:b w:val="0"/>
          <w:sz w:val="28"/>
          <w:szCs w:val="28"/>
          <w:shd w:val="clear" w:color="auto" w:fill="FFFFFF"/>
          <w:lang w:val="en-US"/>
        </w:rPr>
        <w:t>;</w:t>
      </w:r>
      <w:r w:rsidRPr="00D83BD4">
        <w:rPr>
          <w:rStyle w:val="afa"/>
          <w:rFonts w:eastAsiaTheme="majorEastAsia"/>
          <w:b w:val="0"/>
          <w:sz w:val="28"/>
          <w:szCs w:val="28"/>
          <w:shd w:val="clear" w:color="auto" w:fill="FFFFFF"/>
          <w:lang w:val="uk-UA"/>
        </w:rPr>
        <w:t>7(6)</w:t>
      </w:r>
      <w:r w:rsidRPr="00D83BD4">
        <w:rPr>
          <w:rStyle w:val="afa"/>
          <w:rFonts w:eastAsiaTheme="majorEastAsia"/>
          <w:sz w:val="28"/>
          <w:szCs w:val="28"/>
          <w:shd w:val="clear" w:color="auto" w:fill="FFFFFF"/>
          <w:lang w:val="uk-UA"/>
        </w:rPr>
        <w:t>:</w:t>
      </w:r>
      <w:r w:rsidRPr="00D83BD4">
        <w:rPr>
          <w:iCs/>
          <w:sz w:val="28"/>
          <w:szCs w:val="28"/>
          <w:shd w:val="clear" w:color="auto" w:fill="FFFFFF"/>
          <w:lang w:val="uk-UA"/>
        </w:rPr>
        <w:t>516-524.</w:t>
      </w:r>
      <w:r w:rsidRPr="00D83BD4">
        <w:rPr>
          <w:sz w:val="28"/>
          <w:szCs w:val="28"/>
          <w:lang w:val="uk-UA"/>
        </w:rPr>
        <w:t xml:space="preserve"> </w:t>
      </w:r>
      <w:r w:rsidRPr="009E4B7D">
        <w:rPr>
          <w:sz w:val="28"/>
          <w:szCs w:val="28"/>
          <w:shd w:val="clear" w:color="auto" w:fill="FBFBF3"/>
        </w:rPr>
        <w:t>doi.org/10.22141/2307-1257.7.1.2018.122215</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Grossman A, Grossman E. Blood pressure control in type 2 diabetic patients. Cardiovasc Diabetol.  2017;16(1):3. </w:t>
      </w:r>
      <w:r w:rsidRPr="00D83BD4">
        <w:rPr>
          <w:sz w:val="28"/>
          <w:szCs w:val="28"/>
          <w:shd w:val="clear" w:color="auto" w:fill="FFFFFF"/>
        </w:rPr>
        <w:t>doi: 10.1186/s12933-016-0485-3.</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Grundy SM, Stone NJ, Bailey AL, Beam C, Birtcher KK, Blumenthal RS,  et al. 2018 HA/ACC/AACVPR/AAPA/ABC/ACPM/ADA/ AGS/APhA/ASPC/</w:t>
      </w:r>
    </w:p>
    <w:p w:rsidR="00E3259F" w:rsidRPr="00D83BD4" w:rsidRDefault="00E3259F" w:rsidP="00D83BD4">
      <w:pPr>
        <w:pStyle w:val="1"/>
        <w:shd w:val="clear" w:color="auto" w:fill="FFFFFF"/>
        <w:spacing w:before="0" w:beforeAutospacing="0" w:after="0" w:afterAutospacing="0" w:line="360" w:lineRule="auto"/>
        <w:jc w:val="both"/>
        <w:rPr>
          <w:b w:val="0"/>
          <w:bCs w:val="0"/>
          <w:sz w:val="28"/>
          <w:szCs w:val="28"/>
          <w:lang w:val="en-US"/>
        </w:rPr>
      </w:pPr>
      <w:r w:rsidRPr="00D83BD4">
        <w:rPr>
          <w:b w:val="0"/>
          <w:sz w:val="28"/>
          <w:szCs w:val="28"/>
          <w:shd w:val="clear" w:color="auto" w:fill="FFFFFF"/>
          <w:lang w:val="en-US"/>
        </w:rPr>
        <w:t>NLA/PCNA</w:t>
      </w:r>
      <w:r w:rsidRPr="00D83BD4">
        <w:rPr>
          <w:b w:val="0"/>
          <w:sz w:val="28"/>
          <w:szCs w:val="28"/>
          <w:shd w:val="clear" w:color="auto" w:fill="FFFFFF"/>
          <w:lang w:val="uk-UA"/>
        </w:rPr>
        <w:t xml:space="preserve"> </w:t>
      </w:r>
      <w:r w:rsidRPr="00D83BD4">
        <w:rPr>
          <w:b w:val="0"/>
          <w:sz w:val="28"/>
          <w:szCs w:val="28"/>
          <w:lang w:val="en-US"/>
        </w:rPr>
        <w:t>Guideline on the Management of Blood Cholesterol: A Report of the American College of Cardiology/American Heart Association Task Force on Clinical Practice Guidelines</w:t>
      </w:r>
      <w:r w:rsidRPr="00D83BD4">
        <w:rPr>
          <w:b w:val="0"/>
          <w:sz w:val="28"/>
          <w:szCs w:val="28"/>
          <w:lang w:val="uk-UA"/>
        </w:rPr>
        <w:t>.</w:t>
      </w:r>
      <w:r w:rsidRPr="00D83BD4">
        <w:rPr>
          <w:b w:val="0"/>
          <w:sz w:val="28"/>
          <w:szCs w:val="28"/>
          <w:shd w:val="clear" w:color="auto" w:fill="FFFFFF"/>
          <w:lang w:val="en-US"/>
        </w:rPr>
        <w:t> </w:t>
      </w:r>
      <w:r w:rsidRPr="00D83BD4">
        <w:rPr>
          <w:rStyle w:val="ref-journal"/>
          <w:b w:val="0"/>
          <w:sz w:val="28"/>
          <w:szCs w:val="28"/>
          <w:shd w:val="clear" w:color="auto" w:fill="FFFFFF"/>
          <w:lang w:val="en-US"/>
        </w:rPr>
        <w:t>Circulation. 201</w:t>
      </w:r>
      <w:r w:rsidRPr="00D83BD4">
        <w:rPr>
          <w:rStyle w:val="ref-journal"/>
          <w:b w:val="0"/>
          <w:sz w:val="28"/>
          <w:szCs w:val="28"/>
          <w:shd w:val="clear" w:color="auto" w:fill="FFFFFF"/>
          <w:lang w:val="uk-UA"/>
        </w:rPr>
        <w:t>9;139(25):е1082-е1143.</w:t>
      </w:r>
      <w:r w:rsidRPr="00D83BD4">
        <w:rPr>
          <w:b w:val="0"/>
          <w:sz w:val="28"/>
          <w:szCs w:val="28"/>
          <w:shd w:val="clear" w:color="auto" w:fill="FFFFFF"/>
        </w:rPr>
        <w:t xml:space="preserve"> doi: 10.1161/CIR.0000000000000625.</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Guo F, Zhou T, Tang J, Dong M, Wei Q. Related Risk Factors between Subclinical Carotid Atherosclerosis and Diabetic Retinopathy in Newly Diagnosed Type 2 Diabetes Mellitus in China. Exp Clin Endocrinol </w:t>
      </w:r>
      <w:r w:rsidRPr="00D83BD4">
        <w:rPr>
          <w:rStyle w:val="highlight"/>
          <w:rFonts w:ascii="Times New Roman" w:hAnsi="Times New Roman"/>
          <w:sz w:val="28"/>
          <w:szCs w:val="28"/>
          <w:lang w:val="en-US"/>
        </w:rPr>
        <w:t xml:space="preserve">Diabetes. </w:t>
      </w:r>
      <w:r w:rsidRPr="00D83BD4">
        <w:rPr>
          <w:rFonts w:ascii="Times New Roman" w:hAnsi="Times New Roman"/>
          <w:sz w:val="28"/>
          <w:szCs w:val="28"/>
          <w:lang w:val="en-US"/>
        </w:rPr>
        <w:t xml:space="preserve">2019 Apr 9. doi: 10.1055/a-0865-1754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Gupta G, Sharma P, Kumar P, Itagappa M. Study on Subclinical Hypothyroidism and its Association with Various Inflammatory Markers. J Clin Diagn Res. 2015;9(11):BC04-BC6. doi:10.7860/JCDR/2015/14640.6806</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 xml:space="preserve">Hamidi Shishavan M, Henning RH, van Buiten A, Goris M, Deelman LE, Buikema H. Metformin Improves Endothelial Function and Reduces Blood Pressure in Diabetic Spontaneously Hypertensive Rats Independent from Glycemia Control: Comparison to Vildagliptin. </w:t>
      </w:r>
      <w:r w:rsidRPr="00D83BD4">
        <w:rPr>
          <w:rFonts w:ascii="Times New Roman" w:hAnsi="Times New Roman"/>
          <w:sz w:val="28"/>
          <w:szCs w:val="28"/>
          <w:shd w:val="clear" w:color="auto" w:fill="FFFFFF"/>
        </w:rPr>
        <w:t>Sci Rep. 2017;7(1):10975. doi: 10.1038/s41598-017-11430-7</w:t>
      </w:r>
      <w:r w:rsidRPr="00D83BD4">
        <w:rPr>
          <w:rFonts w:ascii="Times New Roman" w:hAnsi="Times New Roman"/>
          <w:sz w:val="28"/>
          <w:szCs w:val="28"/>
          <w:shd w:val="clear" w:color="auto" w:fill="FFFFFF"/>
          <w:lang w:val="en-US"/>
        </w:rPr>
        <w:t xml:space="preserve"> </w:t>
      </w:r>
      <w:r w:rsidRPr="00D83BD4">
        <w:rPr>
          <w:rFonts w:ascii="Times New Roman" w:hAnsi="Times New Roman"/>
          <w:sz w:val="28"/>
          <w:szCs w:val="28"/>
          <w:shd w:val="clear" w:color="auto" w:fill="FFFFFF"/>
        </w:rPr>
        <w:t xml:space="preserve">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Hammad EV, Belousova ON, Khmelnitsky AV, Poltoratsky AN, Shchekaturov AA. Modern biomaterials of aging for stratification of risks associated with development of age-associated diseases (review). Scientific Bulletins of BelSU. Series: medicine. Available from: </w:t>
      </w:r>
      <w:r w:rsidRPr="009E4B7D">
        <w:rPr>
          <w:rStyle w:val="a3"/>
          <w:rFonts w:ascii="Times New Roman" w:hAnsi="Times New Roman"/>
          <w:color w:val="auto"/>
          <w:sz w:val="28"/>
          <w:szCs w:val="28"/>
          <w:u w:val="none"/>
          <w:shd w:val="clear" w:color="auto" w:fill="FFFFFF"/>
          <w:lang w:val="en-US"/>
        </w:rPr>
        <w:t>https://cyberleninka.ru/article/n/sovremennye-biomaterialy-stareniya-dlya-stratifikatsii-riskov-razvitiya-vozrast-assotsiirovannyh-zabolevaniy-obzor-literatury.</w:t>
      </w:r>
      <w:r w:rsidRPr="00D83BD4">
        <w:rPr>
          <w:rFonts w:ascii="Times New Roman" w:hAnsi="Times New Roman"/>
          <w:sz w:val="28"/>
          <w:szCs w:val="28"/>
          <w:shd w:val="clear" w:color="auto" w:fill="FFFFFF"/>
          <w:lang w:val="en-US"/>
        </w:rPr>
        <w:t> [Last accessed on 19 Sep 2018]</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Hammad MA, Syed Sulaiman SA, Aziz NA, Mohamed Noor DA. Prescribing statins among patients with type 2 diabetes: The clinical gap between the guidelines and practice. </w:t>
      </w:r>
      <w:r w:rsidRPr="00D83BD4">
        <w:rPr>
          <w:sz w:val="28"/>
          <w:szCs w:val="28"/>
        </w:rPr>
        <w:t>J Res Med Sci. 2019;24:15.</w:t>
      </w:r>
      <w:r w:rsidRPr="00D83BD4">
        <w:rPr>
          <w:sz w:val="28"/>
          <w:szCs w:val="28"/>
          <w:shd w:val="clear" w:color="auto" w:fill="FFFFFF"/>
        </w:rPr>
        <w:t xml:space="preserve"> doi: 10.4103/jrms.JRMS_100_18.</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Hardikar S, Song X, Risques RA, </w:t>
      </w:r>
      <w:r w:rsidRPr="00D83BD4">
        <w:rPr>
          <w:sz w:val="28"/>
          <w:szCs w:val="28"/>
          <w:shd w:val="clear" w:color="auto" w:fill="FFFFFF"/>
          <w:lang w:val="en-US"/>
        </w:rPr>
        <w:t xml:space="preserve">Montine TJ, Duggan C, Blount PL, </w:t>
      </w:r>
      <w:r w:rsidRPr="00D83BD4">
        <w:rPr>
          <w:sz w:val="28"/>
          <w:szCs w:val="28"/>
          <w:lang w:val="en-US"/>
        </w:rPr>
        <w:t xml:space="preserve">et al. Obesity and inflammation markers in relation to leukocyte telomere length in a cross-sectional study of persons with Barrett’s esophagus. BMC obes 2015; 2: 32–32. </w:t>
      </w:r>
      <w:r w:rsidRPr="00D83BD4">
        <w:rPr>
          <w:sz w:val="28"/>
          <w:szCs w:val="28"/>
          <w:shd w:val="clear" w:color="auto" w:fill="FFFFFF"/>
          <w:lang w:val="en-US"/>
        </w:rPr>
        <w:t>doi: </w:t>
      </w:r>
      <w:r w:rsidRPr="009E4B7D">
        <w:rPr>
          <w:sz w:val="28"/>
          <w:szCs w:val="28"/>
          <w:shd w:val="clear" w:color="auto" w:fill="FFFFFF"/>
          <w:lang w:val="en-US"/>
        </w:rPr>
        <w:t>10.1186/s40608-015-0063-3</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Haribabu A, Reddy VS, Pallavi Ch, Bitla AR, Sachan A, Pullaiah P, et al. Evaluation of protein oxidation and its association with lipid peroxidation and thyrotropin levels in overt and subclinical hypothyroidism. </w:t>
      </w:r>
      <w:r w:rsidRPr="00D83BD4">
        <w:rPr>
          <w:sz w:val="28"/>
          <w:szCs w:val="28"/>
        </w:rPr>
        <w:t>Endocrine.</w:t>
      </w:r>
      <w:r w:rsidRPr="00D83BD4">
        <w:rPr>
          <w:sz w:val="28"/>
          <w:szCs w:val="28"/>
          <w:lang w:val="en-US"/>
        </w:rPr>
        <w:t> 2013;44(1):152-7.</w:t>
      </w:r>
      <w:r w:rsidRPr="00D83BD4">
        <w:rPr>
          <w:sz w:val="28"/>
          <w:szCs w:val="28"/>
          <w:lang w:val="uk-UA"/>
        </w:rPr>
        <w:t xml:space="preserve"> </w:t>
      </w:r>
      <w:r w:rsidRPr="00D83BD4">
        <w:rPr>
          <w:sz w:val="28"/>
          <w:szCs w:val="28"/>
          <w:shd w:val="clear" w:color="auto" w:fill="FFFFFF"/>
        </w:rPr>
        <w:t>doi: 10.1007/s12020-012-9849-y.</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Style w:val="tlid-translation"/>
          <w:rFonts w:ascii="Times New Roman" w:hAnsi="Times New Roman"/>
          <w:bCs/>
          <w:sz w:val="28"/>
          <w:szCs w:val="28"/>
          <w:lang w:val="uk-UA"/>
        </w:rPr>
        <w:t xml:space="preserve">He W, Li S, Zhang JA, Zhang J, Mu K, Li XM. Effect of levothyroxine on blood pressure in patients with subclinical hypothyroidism: a systematic review and meta-analysis. Front Endocrinol. </w:t>
      </w:r>
      <w:r w:rsidRPr="00D83BD4">
        <w:rPr>
          <w:rStyle w:val="tlid-translation"/>
          <w:rFonts w:ascii="Times New Roman" w:hAnsi="Times New Roman"/>
          <w:bCs/>
          <w:sz w:val="28"/>
          <w:szCs w:val="28"/>
          <w:lang w:val="en-US"/>
        </w:rPr>
        <w:t xml:space="preserve"> </w:t>
      </w:r>
      <w:r w:rsidRPr="00D83BD4">
        <w:rPr>
          <w:rStyle w:val="tlid-translation"/>
          <w:rFonts w:ascii="Times New Roman" w:hAnsi="Times New Roman"/>
          <w:bCs/>
          <w:sz w:val="28"/>
          <w:szCs w:val="28"/>
          <w:lang w:val="uk-UA"/>
        </w:rPr>
        <w:t>2018</w:t>
      </w:r>
      <w:r w:rsidRPr="00D83BD4">
        <w:rPr>
          <w:rStyle w:val="tlid-translation"/>
          <w:rFonts w:ascii="Times New Roman" w:hAnsi="Times New Roman"/>
          <w:bCs/>
          <w:sz w:val="28"/>
          <w:szCs w:val="28"/>
          <w:lang w:val="en-US"/>
        </w:rPr>
        <w:t>;</w:t>
      </w:r>
      <w:r w:rsidRPr="00D83BD4">
        <w:rPr>
          <w:rStyle w:val="tlid-translation"/>
          <w:rFonts w:ascii="Times New Roman" w:hAnsi="Times New Roman"/>
          <w:bCs/>
          <w:sz w:val="28"/>
          <w:szCs w:val="28"/>
          <w:lang w:val="uk-UA"/>
        </w:rPr>
        <w:t xml:space="preserve">9:454. </w:t>
      </w:r>
      <w:r w:rsidRPr="00D83BD4">
        <w:rPr>
          <w:rStyle w:val="tlid-translation"/>
          <w:rFonts w:ascii="Times New Roman" w:hAnsi="Times New Roman"/>
          <w:bCs/>
          <w:sz w:val="28"/>
          <w:szCs w:val="28"/>
          <w:lang w:val="en-US"/>
        </w:rPr>
        <w:t>doi:</w:t>
      </w:r>
      <w:r w:rsidRPr="00D83BD4">
        <w:rPr>
          <w:rStyle w:val="tlid-translation"/>
          <w:rFonts w:ascii="Times New Roman" w:hAnsi="Times New Roman"/>
          <w:bCs/>
          <w:sz w:val="28"/>
          <w:szCs w:val="28"/>
          <w:lang w:val="uk-UA"/>
        </w:rPr>
        <w:t>10.3389 / fendo.2018.00454</w:t>
      </w:r>
    </w:p>
    <w:p w:rsidR="00E3259F" w:rsidRPr="00D83BD4" w:rsidRDefault="00E3259F" w:rsidP="00D83BD4">
      <w:pPr>
        <w:pStyle w:val="31"/>
        <w:numPr>
          <w:ilvl w:val="0"/>
          <w:numId w:val="26"/>
        </w:numPr>
        <w:tabs>
          <w:tab w:val="num" w:pos="0"/>
        </w:tabs>
        <w:spacing w:after="0" w:line="360" w:lineRule="auto"/>
        <w:ind w:left="0" w:firstLine="0"/>
        <w:jc w:val="both"/>
        <w:rPr>
          <w:rStyle w:val="element-citation"/>
          <w:rFonts w:ascii="Times New Roman" w:hAnsi="Times New Roman"/>
          <w:sz w:val="28"/>
          <w:szCs w:val="28"/>
        </w:rPr>
      </w:pPr>
      <w:r w:rsidRPr="00D83BD4">
        <w:rPr>
          <w:rFonts w:ascii="Times New Roman" w:hAnsi="Times New Roman"/>
          <w:sz w:val="28"/>
          <w:szCs w:val="28"/>
          <w:lang w:val="en-US"/>
        </w:rPr>
        <w:t>Hern</w:t>
      </w:r>
      <w:r w:rsidRPr="00D83BD4">
        <w:rPr>
          <w:rFonts w:ascii="Times New Roman" w:hAnsi="Times New Roman"/>
          <w:sz w:val="28"/>
          <w:szCs w:val="28"/>
          <w:lang w:val="uk-UA"/>
        </w:rPr>
        <w:t>á</w:t>
      </w:r>
      <w:r w:rsidRPr="00D83BD4">
        <w:rPr>
          <w:rFonts w:ascii="Times New Roman" w:hAnsi="Times New Roman"/>
          <w:sz w:val="28"/>
          <w:szCs w:val="28"/>
          <w:lang w:val="en-US"/>
        </w:rPr>
        <w:t>ndez</w:t>
      </w:r>
      <w:r w:rsidRPr="00D83BD4">
        <w:rPr>
          <w:rFonts w:ascii="Times New Roman" w:hAnsi="Times New Roman"/>
          <w:sz w:val="28"/>
          <w:szCs w:val="28"/>
          <w:lang w:val="uk-UA"/>
        </w:rPr>
        <w:t>-</w:t>
      </w:r>
      <w:r w:rsidRPr="00D83BD4">
        <w:rPr>
          <w:rFonts w:ascii="Times New Roman" w:hAnsi="Times New Roman"/>
          <w:sz w:val="28"/>
          <w:szCs w:val="28"/>
          <w:lang w:val="en-US"/>
        </w:rPr>
        <w:t>Mijares</w:t>
      </w:r>
      <w:r w:rsidRPr="00D83BD4">
        <w:rPr>
          <w:rFonts w:ascii="Times New Roman" w:hAnsi="Times New Roman"/>
          <w:sz w:val="28"/>
          <w:szCs w:val="28"/>
          <w:lang w:val="uk-UA"/>
        </w:rPr>
        <w:t xml:space="preserve"> </w:t>
      </w:r>
      <w:r w:rsidRPr="00D83BD4">
        <w:rPr>
          <w:rFonts w:ascii="Times New Roman" w:hAnsi="Times New Roman"/>
          <w:sz w:val="28"/>
          <w:szCs w:val="28"/>
          <w:lang w:val="en-US"/>
        </w:rPr>
        <w:t>A</w:t>
      </w:r>
      <w:r w:rsidRPr="00D83BD4">
        <w:rPr>
          <w:rFonts w:ascii="Times New Roman" w:hAnsi="Times New Roman"/>
          <w:sz w:val="28"/>
          <w:szCs w:val="28"/>
          <w:lang w:val="uk-UA"/>
        </w:rPr>
        <w:t xml:space="preserve">, </w:t>
      </w:r>
      <w:r w:rsidRPr="00D83BD4">
        <w:rPr>
          <w:rFonts w:ascii="Times New Roman" w:hAnsi="Times New Roman"/>
          <w:sz w:val="28"/>
          <w:szCs w:val="28"/>
          <w:lang w:val="en-US"/>
        </w:rPr>
        <w:t>Jover</w:t>
      </w:r>
      <w:r w:rsidRPr="00D83BD4">
        <w:rPr>
          <w:rFonts w:ascii="Times New Roman" w:hAnsi="Times New Roman"/>
          <w:sz w:val="28"/>
          <w:szCs w:val="28"/>
          <w:lang w:val="uk-UA"/>
        </w:rPr>
        <w:t xml:space="preserve"> </w:t>
      </w:r>
      <w:r w:rsidRPr="00D83BD4">
        <w:rPr>
          <w:rFonts w:ascii="Times New Roman" w:hAnsi="Times New Roman"/>
          <w:sz w:val="28"/>
          <w:szCs w:val="28"/>
          <w:lang w:val="en-US"/>
        </w:rPr>
        <w:t>A</w:t>
      </w:r>
      <w:r w:rsidRPr="00D83BD4">
        <w:rPr>
          <w:rFonts w:ascii="Times New Roman" w:hAnsi="Times New Roman"/>
          <w:sz w:val="28"/>
          <w:szCs w:val="28"/>
          <w:lang w:val="uk-UA"/>
        </w:rPr>
        <w:t xml:space="preserve">, </w:t>
      </w:r>
      <w:r w:rsidRPr="00D83BD4">
        <w:rPr>
          <w:rFonts w:ascii="Times New Roman" w:hAnsi="Times New Roman"/>
          <w:sz w:val="28"/>
          <w:szCs w:val="28"/>
          <w:shd w:val="clear" w:color="auto" w:fill="FFFFFF"/>
          <w:lang w:val="en-US"/>
        </w:rPr>
        <w:t>Bañuls C, Solá E, Veses S, </w:t>
      </w:r>
      <w:r w:rsidRPr="00D83BD4">
        <w:rPr>
          <w:rFonts w:ascii="Times New Roman" w:hAnsi="Times New Roman"/>
          <w:sz w:val="28"/>
          <w:szCs w:val="28"/>
          <w:lang w:val="en-US"/>
        </w:rPr>
        <w:t xml:space="preserve"> et</w:t>
      </w:r>
      <w:r w:rsidRPr="00D83BD4">
        <w:rPr>
          <w:rFonts w:ascii="Times New Roman" w:hAnsi="Times New Roman"/>
          <w:sz w:val="28"/>
          <w:szCs w:val="28"/>
          <w:lang w:val="uk-UA"/>
        </w:rPr>
        <w:t xml:space="preserve"> </w:t>
      </w:r>
      <w:r w:rsidRPr="00D83BD4">
        <w:rPr>
          <w:rFonts w:ascii="Times New Roman" w:hAnsi="Times New Roman"/>
          <w:sz w:val="28"/>
          <w:szCs w:val="28"/>
          <w:lang w:val="en-US"/>
        </w:rPr>
        <w:t>al</w:t>
      </w:r>
      <w:r w:rsidRPr="00D83BD4">
        <w:rPr>
          <w:rFonts w:ascii="Times New Roman" w:hAnsi="Times New Roman"/>
          <w:sz w:val="28"/>
          <w:szCs w:val="28"/>
          <w:lang w:val="uk-UA"/>
        </w:rPr>
        <w:t xml:space="preserve">. </w:t>
      </w:r>
      <w:r w:rsidRPr="00D83BD4">
        <w:rPr>
          <w:rFonts w:ascii="Times New Roman" w:hAnsi="Times New Roman"/>
          <w:sz w:val="28"/>
          <w:szCs w:val="28"/>
          <w:lang w:val="en-US"/>
        </w:rPr>
        <w:t>Relation</w:t>
      </w:r>
      <w:r w:rsidRPr="00D83BD4">
        <w:rPr>
          <w:rFonts w:ascii="Times New Roman" w:hAnsi="Times New Roman"/>
          <w:sz w:val="28"/>
          <w:szCs w:val="28"/>
          <w:lang w:val="uk-UA"/>
        </w:rPr>
        <w:t xml:space="preserve"> </w:t>
      </w:r>
      <w:r w:rsidRPr="00D83BD4">
        <w:rPr>
          <w:rFonts w:ascii="Times New Roman" w:hAnsi="Times New Roman"/>
          <w:sz w:val="28"/>
          <w:szCs w:val="28"/>
          <w:lang w:val="en-US"/>
        </w:rPr>
        <w:t>between</w:t>
      </w:r>
      <w:r w:rsidRPr="00D83BD4">
        <w:rPr>
          <w:rFonts w:ascii="Times New Roman" w:hAnsi="Times New Roman"/>
          <w:sz w:val="28"/>
          <w:szCs w:val="28"/>
          <w:lang w:val="uk-UA"/>
        </w:rPr>
        <w:t xml:space="preserve"> </w:t>
      </w:r>
      <w:r w:rsidRPr="00D83BD4">
        <w:rPr>
          <w:rFonts w:ascii="Times New Roman" w:hAnsi="Times New Roman"/>
          <w:sz w:val="28"/>
          <w:szCs w:val="28"/>
          <w:lang w:val="en-US"/>
        </w:rPr>
        <w:t>lipoprotein</w:t>
      </w:r>
      <w:r w:rsidRPr="00D83BD4">
        <w:rPr>
          <w:rFonts w:ascii="Times New Roman" w:hAnsi="Times New Roman"/>
          <w:sz w:val="28"/>
          <w:szCs w:val="28"/>
          <w:lang w:val="uk-UA"/>
        </w:rPr>
        <w:t xml:space="preserve"> </w:t>
      </w:r>
      <w:r w:rsidRPr="00D83BD4">
        <w:rPr>
          <w:rFonts w:ascii="Times New Roman" w:hAnsi="Times New Roman"/>
          <w:sz w:val="28"/>
          <w:szCs w:val="28"/>
          <w:lang w:val="en-US"/>
        </w:rPr>
        <w:t>subfractions</w:t>
      </w:r>
      <w:r w:rsidRPr="00D83BD4">
        <w:rPr>
          <w:rFonts w:ascii="Times New Roman" w:hAnsi="Times New Roman"/>
          <w:sz w:val="28"/>
          <w:szCs w:val="28"/>
          <w:lang w:val="uk-UA"/>
        </w:rPr>
        <w:t xml:space="preserve"> </w:t>
      </w:r>
      <w:r w:rsidRPr="00D83BD4">
        <w:rPr>
          <w:rFonts w:ascii="Times New Roman" w:hAnsi="Times New Roman"/>
          <w:sz w:val="28"/>
          <w:szCs w:val="28"/>
          <w:lang w:val="en-US"/>
        </w:rPr>
        <w:t>and</w:t>
      </w:r>
      <w:r w:rsidRPr="00D83BD4">
        <w:rPr>
          <w:rFonts w:ascii="Times New Roman" w:hAnsi="Times New Roman"/>
          <w:sz w:val="28"/>
          <w:szCs w:val="28"/>
          <w:lang w:val="uk-UA"/>
        </w:rPr>
        <w:t xml:space="preserve"> </w:t>
      </w:r>
      <w:r w:rsidRPr="00D83BD4">
        <w:rPr>
          <w:rFonts w:ascii="Times New Roman" w:hAnsi="Times New Roman"/>
          <w:sz w:val="28"/>
          <w:szCs w:val="28"/>
          <w:lang w:val="en-US"/>
        </w:rPr>
        <w:t>TSH</w:t>
      </w:r>
      <w:r w:rsidRPr="00D83BD4">
        <w:rPr>
          <w:rFonts w:ascii="Times New Roman" w:hAnsi="Times New Roman"/>
          <w:sz w:val="28"/>
          <w:szCs w:val="28"/>
          <w:lang w:val="uk-UA"/>
        </w:rPr>
        <w:t xml:space="preserve"> </w:t>
      </w:r>
      <w:r w:rsidRPr="00D83BD4">
        <w:rPr>
          <w:rFonts w:ascii="Times New Roman" w:hAnsi="Times New Roman"/>
          <w:sz w:val="28"/>
          <w:szCs w:val="28"/>
          <w:lang w:val="en-US"/>
        </w:rPr>
        <w:t>levels</w:t>
      </w:r>
      <w:r w:rsidRPr="00D83BD4">
        <w:rPr>
          <w:rFonts w:ascii="Times New Roman" w:hAnsi="Times New Roman"/>
          <w:sz w:val="28"/>
          <w:szCs w:val="28"/>
          <w:lang w:val="uk-UA"/>
        </w:rPr>
        <w:t xml:space="preserve"> </w:t>
      </w:r>
      <w:r w:rsidRPr="00D83BD4">
        <w:rPr>
          <w:rFonts w:ascii="Times New Roman" w:hAnsi="Times New Roman"/>
          <w:sz w:val="28"/>
          <w:szCs w:val="28"/>
          <w:lang w:val="en-US"/>
        </w:rPr>
        <w:t>in</w:t>
      </w:r>
      <w:r w:rsidRPr="00D83BD4">
        <w:rPr>
          <w:rFonts w:ascii="Times New Roman" w:hAnsi="Times New Roman"/>
          <w:sz w:val="28"/>
          <w:szCs w:val="28"/>
          <w:lang w:val="uk-UA"/>
        </w:rPr>
        <w:t xml:space="preserve"> </w:t>
      </w:r>
      <w:r w:rsidRPr="00D83BD4">
        <w:rPr>
          <w:rFonts w:ascii="Times New Roman" w:hAnsi="Times New Roman"/>
          <w:sz w:val="28"/>
          <w:szCs w:val="28"/>
          <w:lang w:val="en-US"/>
        </w:rPr>
        <w:t>the</w:t>
      </w:r>
      <w:r w:rsidRPr="00D83BD4">
        <w:rPr>
          <w:rFonts w:ascii="Times New Roman" w:hAnsi="Times New Roman"/>
          <w:sz w:val="28"/>
          <w:szCs w:val="28"/>
          <w:lang w:val="uk-UA"/>
        </w:rPr>
        <w:t xml:space="preserve"> </w:t>
      </w:r>
      <w:r w:rsidRPr="00D83BD4">
        <w:rPr>
          <w:rFonts w:ascii="Times New Roman" w:hAnsi="Times New Roman"/>
          <w:sz w:val="28"/>
          <w:szCs w:val="28"/>
          <w:lang w:val="en-US"/>
        </w:rPr>
        <w:t>cardiovascular</w:t>
      </w:r>
      <w:r w:rsidRPr="00D83BD4">
        <w:rPr>
          <w:rFonts w:ascii="Times New Roman" w:hAnsi="Times New Roman"/>
          <w:sz w:val="28"/>
          <w:szCs w:val="28"/>
          <w:lang w:val="uk-UA"/>
        </w:rPr>
        <w:t xml:space="preserve"> </w:t>
      </w:r>
      <w:r w:rsidRPr="00D83BD4">
        <w:rPr>
          <w:rFonts w:ascii="Times New Roman" w:hAnsi="Times New Roman"/>
          <w:sz w:val="28"/>
          <w:szCs w:val="28"/>
          <w:lang w:val="en-US"/>
        </w:rPr>
        <w:t>risk</w:t>
      </w:r>
      <w:r w:rsidRPr="00D83BD4">
        <w:rPr>
          <w:rFonts w:ascii="Times New Roman" w:hAnsi="Times New Roman"/>
          <w:sz w:val="28"/>
          <w:szCs w:val="28"/>
          <w:lang w:val="uk-UA"/>
        </w:rPr>
        <w:t xml:space="preserve"> </w:t>
      </w:r>
      <w:r w:rsidRPr="00D83BD4">
        <w:rPr>
          <w:rFonts w:ascii="Times New Roman" w:hAnsi="Times New Roman"/>
          <w:sz w:val="28"/>
          <w:szCs w:val="28"/>
          <w:lang w:val="en-US"/>
        </w:rPr>
        <w:t>among</w:t>
      </w:r>
      <w:r w:rsidRPr="00D83BD4">
        <w:rPr>
          <w:rFonts w:ascii="Times New Roman" w:hAnsi="Times New Roman"/>
          <w:sz w:val="28"/>
          <w:szCs w:val="28"/>
          <w:lang w:val="uk-UA"/>
        </w:rPr>
        <w:t xml:space="preserve"> </w:t>
      </w:r>
      <w:r w:rsidRPr="00D83BD4">
        <w:rPr>
          <w:rFonts w:ascii="Times New Roman" w:hAnsi="Times New Roman"/>
          <w:sz w:val="28"/>
          <w:szCs w:val="28"/>
          <w:lang w:val="en-US"/>
        </w:rPr>
        <w:t>women</w:t>
      </w:r>
      <w:r w:rsidRPr="00D83BD4">
        <w:rPr>
          <w:rFonts w:ascii="Times New Roman" w:hAnsi="Times New Roman"/>
          <w:sz w:val="28"/>
          <w:szCs w:val="28"/>
          <w:lang w:val="uk-UA"/>
        </w:rPr>
        <w:t xml:space="preserve"> </w:t>
      </w:r>
      <w:r w:rsidRPr="00D83BD4">
        <w:rPr>
          <w:rFonts w:ascii="Times New Roman" w:hAnsi="Times New Roman"/>
          <w:sz w:val="28"/>
          <w:szCs w:val="28"/>
          <w:lang w:val="en-US"/>
        </w:rPr>
        <w:t>with</w:t>
      </w:r>
      <w:r w:rsidRPr="00D83BD4">
        <w:rPr>
          <w:rFonts w:ascii="Times New Roman" w:hAnsi="Times New Roman"/>
          <w:sz w:val="28"/>
          <w:szCs w:val="28"/>
          <w:lang w:val="uk-UA"/>
        </w:rPr>
        <w:t xml:space="preserve"> </w:t>
      </w:r>
      <w:r w:rsidRPr="00D83BD4">
        <w:rPr>
          <w:rFonts w:ascii="Times New Roman" w:hAnsi="Times New Roman"/>
          <w:sz w:val="28"/>
          <w:szCs w:val="28"/>
          <w:lang w:val="en-US"/>
        </w:rPr>
        <w:t>subclinical</w:t>
      </w:r>
      <w:r w:rsidRPr="00D83BD4">
        <w:rPr>
          <w:rFonts w:ascii="Times New Roman" w:hAnsi="Times New Roman"/>
          <w:sz w:val="28"/>
          <w:szCs w:val="28"/>
          <w:lang w:val="uk-UA"/>
        </w:rPr>
        <w:t xml:space="preserve"> </w:t>
      </w:r>
      <w:r w:rsidRPr="00D83BD4">
        <w:rPr>
          <w:rFonts w:ascii="Times New Roman" w:hAnsi="Times New Roman"/>
          <w:sz w:val="28"/>
          <w:szCs w:val="28"/>
          <w:lang w:val="en-US"/>
        </w:rPr>
        <w:t>hypothyroidism.</w:t>
      </w:r>
      <w:r w:rsidRPr="00D83BD4">
        <w:rPr>
          <w:rFonts w:ascii="Times New Roman" w:hAnsi="Times New Roman"/>
          <w:sz w:val="28"/>
          <w:szCs w:val="28"/>
          <w:lang w:val="uk-UA"/>
        </w:rPr>
        <w:t xml:space="preserve"> </w:t>
      </w:r>
      <w:r w:rsidRPr="00D83BD4">
        <w:rPr>
          <w:rFonts w:ascii="Times New Roman" w:hAnsi="Times New Roman"/>
          <w:iCs/>
          <w:sz w:val="28"/>
          <w:szCs w:val="28"/>
          <w:lang w:val="en-US"/>
        </w:rPr>
        <w:t>Clin</w:t>
      </w:r>
      <w:r w:rsidRPr="00D83BD4">
        <w:rPr>
          <w:rFonts w:ascii="Times New Roman" w:hAnsi="Times New Roman"/>
          <w:iCs/>
          <w:sz w:val="28"/>
          <w:szCs w:val="28"/>
          <w:lang w:val="uk-UA"/>
        </w:rPr>
        <w:t xml:space="preserve"> </w:t>
      </w:r>
      <w:r w:rsidRPr="00D83BD4">
        <w:rPr>
          <w:rFonts w:ascii="Times New Roman" w:hAnsi="Times New Roman"/>
          <w:iCs/>
          <w:sz w:val="28"/>
          <w:szCs w:val="28"/>
          <w:lang w:val="en-US"/>
        </w:rPr>
        <w:t>Endocrinol</w:t>
      </w:r>
      <w:r w:rsidRPr="00D83BD4">
        <w:rPr>
          <w:rFonts w:ascii="Times New Roman" w:hAnsi="Times New Roman"/>
          <w:iCs/>
          <w:sz w:val="28"/>
          <w:szCs w:val="28"/>
          <w:lang w:val="uk-UA"/>
        </w:rPr>
        <w:t xml:space="preserve"> (</w:t>
      </w:r>
      <w:r w:rsidRPr="00D83BD4">
        <w:rPr>
          <w:rFonts w:ascii="Times New Roman" w:hAnsi="Times New Roman"/>
          <w:iCs/>
          <w:sz w:val="28"/>
          <w:szCs w:val="28"/>
          <w:lang w:val="en-US"/>
        </w:rPr>
        <w:t>Oxf</w:t>
      </w:r>
      <w:r w:rsidRPr="00D83BD4">
        <w:rPr>
          <w:rFonts w:ascii="Times New Roman" w:hAnsi="Times New Roman"/>
          <w:iCs/>
          <w:sz w:val="28"/>
          <w:szCs w:val="28"/>
          <w:lang w:val="uk-UA"/>
        </w:rPr>
        <w:t>)</w:t>
      </w:r>
      <w:r w:rsidRPr="00D83BD4">
        <w:rPr>
          <w:rFonts w:ascii="Times New Roman" w:hAnsi="Times New Roman"/>
          <w:sz w:val="28"/>
          <w:szCs w:val="28"/>
          <w:lang w:val="uk-UA"/>
        </w:rPr>
        <w:t>. 2013</w:t>
      </w:r>
      <w:r w:rsidRPr="00D83BD4">
        <w:rPr>
          <w:rFonts w:ascii="Times New Roman" w:hAnsi="Times New Roman"/>
          <w:sz w:val="28"/>
          <w:szCs w:val="28"/>
          <w:lang w:val="en-US"/>
        </w:rPr>
        <w:t>;</w:t>
      </w:r>
      <w:r w:rsidRPr="00D83BD4">
        <w:rPr>
          <w:rFonts w:ascii="Times New Roman" w:hAnsi="Times New Roman"/>
          <w:sz w:val="28"/>
          <w:szCs w:val="28"/>
          <w:lang w:val="uk-UA"/>
        </w:rPr>
        <w:t xml:space="preserve"> 78</w:t>
      </w:r>
      <w:r w:rsidRPr="00D83BD4">
        <w:rPr>
          <w:rFonts w:ascii="Times New Roman" w:hAnsi="Times New Roman"/>
          <w:sz w:val="28"/>
          <w:szCs w:val="28"/>
          <w:lang w:val="en-US"/>
        </w:rPr>
        <w:t>(5):</w:t>
      </w:r>
      <w:r w:rsidRPr="00D83BD4">
        <w:rPr>
          <w:rFonts w:ascii="Times New Roman" w:hAnsi="Times New Roman"/>
          <w:sz w:val="28"/>
          <w:szCs w:val="28"/>
          <w:lang w:val="uk-UA"/>
        </w:rPr>
        <w:t>777–82.</w:t>
      </w:r>
      <w:r w:rsidRPr="00D83BD4">
        <w:rPr>
          <w:rFonts w:ascii="Times New Roman" w:hAnsi="Times New Roman"/>
          <w:sz w:val="28"/>
          <w:szCs w:val="28"/>
          <w:shd w:val="clear" w:color="auto" w:fill="FFFFFF"/>
        </w:rPr>
        <w:t xml:space="preserve"> doi: 10.1111/cen.12064.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Hirsch GE, Heck TG. Inflammation, oxidative stress and altered heat shock response in type 2 diabetes: the basis for new pharmacological and non-pharmacological interventions. </w:t>
      </w:r>
      <w:r w:rsidRPr="00D83BD4">
        <w:rPr>
          <w:sz w:val="28"/>
          <w:szCs w:val="28"/>
        </w:rPr>
        <w:t>Arch Physiol Biochem. 2019 Nov</w:t>
      </w:r>
      <w:r w:rsidRPr="00D83BD4">
        <w:rPr>
          <w:sz w:val="28"/>
          <w:szCs w:val="28"/>
          <w:lang w:val="uk-UA"/>
        </w:rPr>
        <w:t xml:space="preserve">; </w:t>
      </w:r>
      <w:r w:rsidRPr="00D83BD4">
        <w:rPr>
          <w:sz w:val="28"/>
          <w:szCs w:val="28"/>
        </w:rPr>
        <w:t>20:1-15. doi: 10.1080/13813455.2019.1687522.</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Höhn A, Weber D, Jung T, Ott C, Hugo M, Kochlik B, Kehm R, König J, Grune T, Castro JP. Happily (n)ever after: Aging in the context of oxidative stress, proteostasis loss and cellular senescence. </w:t>
      </w:r>
      <w:r w:rsidRPr="00D83BD4">
        <w:rPr>
          <w:sz w:val="28"/>
          <w:szCs w:val="28"/>
        </w:rPr>
        <w:t>Redox Biol. 2017</w:t>
      </w:r>
      <w:r w:rsidRPr="00D83BD4">
        <w:rPr>
          <w:sz w:val="28"/>
          <w:szCs w:val="28"/>
          <w:lang w:val="en-US"/>
        </w:rPr>
        <w:t>;</w:t>
      </w:r>
      <w:r w:rsidRPr="00D83BD4">
        <w:rPr>
          <w:sz w:val="28"/>
          <w:szCs w:val="28"/>
        </w:rPr>
        <w:t>11:482-501. doi: 10.1016/j.redox.2016.12.001</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Huang TF, Tang ZP, Wang S, Hu MW, Zhan L, Yi Y, et al. Decrease in Serum Levels of Adiponectin and Increase in 8-OHdG: a Culprit for Cognitive Impairment in the Elderly Patients with Type 2 Diabetes. </w:t>
      </w:r>
      <w:r w:rsidRPr="00D83BD4">
        <w:rPr>
          <w:sz w:val="28"/>
          <w:szCs w:val="28"/>
        </w:rPr>
        <w:t>Curr Mol Med. 2019;20(1):44-50. doi: 10.2174/1566524019666190819160403</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Hussain A, Elmahdawi AM, Elzeraidi NE, Nouh F, Algathafi K. The Effects of </w:t>
      </w:r>
      <w:r w:rsidRPr="00D83BD4">
        <w:rPr>
          <w:sz w:val="28"/>
          <w:szCs w:val="28"/>
          <w:lang w:val="uk-UA"/>
        </w:rPr>
        <w:t xml:space="preserve"> </w:t>
      </w:r>
      <w:r w:rsidRPr="00D83BD4">
        <w:rPr>
          <w:sz w:val="28"/>
          <w:szCs w:val="28"/>
          <w:lang w:val="en-US"/>
        </w:rPr>
        <w:t>Dyslipidemia in Subclinical Hypothyroidism. Cureus. 2019;11(11):e6173. doi: 10.7759/cureus.6173.</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Hypothyroid Risk Questionnaire™ by Joseph J. Collins, RN, ND. URL: https://www.yourhormones.com/</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Incalza MA, D'Oria R, Natalicchio A, Perrini S, Laviola L, Giorgino F. Oxidative stress and reactive oxygen species in endothelial dysfunction associated with cardiovascular and metabolic diseases. </w:t>
      </w:r>
      <w:r w:rsidRPr="00D83BD4">
        <w:rPr>
          <w:sz w:val="28"/>
          <w:szCs w:val="28"/>
        </w:rPr>
        <w:t>Vascul Pharmacol. 2018</w:t>
      </w:r>
      <w:r w:rsidRPr="00D83BD4">
        <w:rPr>
          <w:color w:val="000000"/>
          <w:sz w:val="28"/>
          <w:szCs w:val="28"/>
          <w:lang w:val="en-US"/>
        </w:rPr>
        <w:t xml:space="preserve">;100:1-19. doi: 10.1016/j.vph.2017.05.005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Inzucchi</w:t>
      </w:r>
      <w:r w:rsidRPr="00D83BD4">
        <w:rPr>
          <w:rFonts w:ascii="Times New Roman" w:hAnsi="Times New Roman"/>
          <w:sz w:val="28"/>
          <w:szCs w:val="28"/>
          <w:lang w:val="uk-UA"/>
        </w:rPr>
        <w:t xml:space="preserve"> </w:t>
      </w:r>
      <w:r w:rsidRPr="00D83BD4">
        <w:rPr>
          <w:rFonts w:ascii="Times New Roman" w:hAnsi="Times New Roman"/>
          <w:sz w:val="28"/>
          <w:szCs w:val="28"/>
          <w:lang w:val="en-US"/>
        </w:rPr>
        <w:t>SE</w:t>
      </w:r>
      <w:r w:rsidRPr="00D83BD4">
        <w:rPr>
          <w:rFonts w:ascii="Times New Roman" w:hAnsi="Times New Roman"/>
          <w:sz w:val="28"/>
          <w:szCs w:val="28"/>
          <w:lang w:val="uk-UA"/>
        </w:rPr>
        <w:t xml:space="preserve">, </w:t>
      </w:r>
      <w:r w:rsidRPr="00D83BD4">
        <w:rPr>
          <w:rFonts w:ascii="Times New Roman" w:hAnsi="Times New Roman"/>
          <w:sz w:val="28"/>
          <w:szCs w:val="28"/>
          <w:lang w:val="en-US"/>
        </w:rPr>
        <w:t>Bergenstal</w:t>
      </w:r>
      <w:r w:rsidRPr="00D83BD4">
        <w:rPr>
          <w:rFonts w:ascii="Times New Roman" w:hAnsi="Times New Roman"/>
          <w:sz w:val="28"/>
          <w:szCs w:val="28"/>
          <w:lang w:val="uk-UA"/>
        </w:rPr>
        <w:t xml:space="preserve"> </w:t>
      </w:r>
      <w:r w:rsidRPr="00D83BD4">
        <w:rPr>
          <w:rFonts w:ascii="Times New Roman" w:hAnsi="Times New Roman"/>
          <w:sz w:val="28"/>
          <w:szCs w:val="28"/>
          <w:lang w:val="en-US"/>
        </w:rPr>
        <w:t>RM</w:t>
      </w:r>
      <w:r w:rsidRPr="00D83BD4">
        <w:rPr>
          <w:rFonts w:ascii="Times New Roman" w:hAnsi="Times New Roman"/>
          <w:sz w:val="28"/>
          <w:szCs w:val="28"/>
          <w:lang w:val="uk-UA"/>
        </w:rPr>
        <w:t xml:space="preserve">, </w:t>
      </w:r>
      <w:r w:rsidRPr="00D83BD4">
        <w:rPr>
          <w:rFonts w:ascii="Times New Roman" w:hAnsi="Times New Roman"/>
          <w:sz w:val="28"/>
          <w:szCs w:val="28"/>
          <w:lang w:val="en-US"/>
        </w:rPr>
        <w:t>Buse</w:t>
      </w:r>
      <w:r w:rsidRPr="00D83BD4">
        <w:rPr>
          <w:rFonts w:ascii="Times New Roman" w:hAnsi="Times New Roman"/>
          <w:sz w:val="28"/>
          <w:szCs w:val="28"/>
          <w:lang w:val="uk-UA"/>
        </w:rPr>
        <w:t xml:space="preserve"> </w:t>
      </w:r>
      <w:r w:rsidRPr="00D83BD4">
        <w:rPr>
          <w:rFonts w:ascii="Times New Roman" w:hAnsi="Times New Roman"/>
          <w:sz w:val="28"/>
          <w:szCs w:val="28"/>
          <w:lang w:val="en-US"/>
        </w:rPr>
        <w:t>JB</w:t>
      </w:r>
      <w:r w:rsidRPr="00D83BD4">
        <w:rPr>
          <w:rFonts w:ascii="Times New Roman" w:hAnsi="Times New Roman"/>
          <w:sz w:val="28"/>
          <w:szCs w:val="28"/>
          <w:lang w:val="uk-UA"/>
        </w:rPr>
        <w:t xml:space="preserve">, </w:t>
      </w:r>
      <w:r w:rsidRPr="00D83BD4">
        <w:rPr>
          <w:rFonts w:ascii="Times New Roman" w:hAnsi="Times New Roman"/>
          <w:sz w:val="28"/>
          <w:szCs w:val="28"/>
          <w:lang w:val="en-US"/>
        </w:rPr>
        <w:t>Diamant</w:t>
      </w:r>
      <w:r w:rsidRPr="00D83BD4">
        <w:rPr>
          <w:rFonts w:ascii="Times New Roman" w:hAnsi="Times New Roman"/>
          <w:sz w:val="28"/>
          <w:szCs w:val="28"/>
          <w:lang w:val="uk-UA"/>
        </w:rPr>
        <w:t xml:space="preserve"> </w:t>
      </w:r>
      <w:r w:rsidRPr="00D83BD4">
        <w:rPr>
          <w:rFonts w:ascii="Times New Roman" w:hAnsi="Times New Roman"/>
          <w:sz w:val="28"/>
          <w:szCs w:val="28"/>
          <w:lang w:val="en-US"/>
        </w:rPr>
        <w:t>M</w:t>
      </w:r>
      <w:r w:rsidRPr="00D83BD4">
        <w:rPr>
          <w:rFonts w:ascii="Times New Roman" w:hAnsi="Times New Roman"/>
          <w:sz w:val="28"/>
          <w:szCs w:val="28"/>
          <w:lang w:val="uk-UA"/>
        </w:rPr>
        <w:t xml:space="preserve">, </w:t>
      </w:r>
      <w:r w:rsidRPr="00D83BD4">
        <w:rPr>
          <w:rFonts w:ascii="Times New Roman" w:hAnsi="Times New Roman"/>
          <w:sz w:val="28"/>
          <w:szCs w:val="28"/>
          <w:lang w:val="en-US"/>
        </w:rPr>
        <w:t>Ferrannini</w:t>
      </w:r>
      <w:r w:rsidRPr="00D83BD4">
        <w:rPr>
          <w:rFonts w:ascii="Times New Roman" w:hAnsi="Times New Roman"/>
          <w:sz w:val="28"/>
          <w:szCs w:val="28"/>
          <w:lang w:val="uk-UA"/>
        </w:rPr>
        <w:t xml:space="preserve"> </w:t>
      </w:r>
      <w:r w:rsidRPr="00D83BD4">
        <w:rPr>
          <w:rFonts w:ascii="Times New Roman" w:hAnsi="Times New Roman"/>
          <w:sz w:val="28"/>
          <w:szCs w:val="28"/>
          <w:lang w:val="en-US"/>
        </w:rPr>
        <w:t>E</w:t>
      </w:r>
      <w:r w:rsidRPr="00D83BD4">
        <w:rPr>
          <w:rFonts w:ascii="Times New Roman" w:hAnsi="Times New Roman"/>
          <w:sz w:val="28"/>
          <w:szCs w:val="28"/>
          <w:lang w:val="uk-UA"/>
        </w:rPr>
        <w:t xml:space="preserve">, </w:t>
      </w:r>
      <w:r w:rsidRPr="00D83BD4">
        <w:rPr>
          <w:rFonts w:ascii="Times New Roman" w:hAnsi="Times New Roman"/>
          <w:sz w:val="28"/>
          <w:szCs w:val="28"/>
          <w:lang w:val="en-US"/>
        </w:rPr>
        <w:t>Nauck</w:t>
      </w:r>
      <w:r w:rsidRPr="00D83BD4">
        <w:rPr>
          <w:rFonts w:ascii="Times New Roman" w:hAnsi="Times New Roman"/>
          <w:sz w:val="28"/>
          <w:szCs w:val="28"/>
          <w:lang w:val="uk-UA"/>
        </w:rPr>
        <w:t xml:space="preserve"> </w:t>
      </w:r>
      <w:r w:rsidRPr="00D83BD4">
        <w:rPr>
          <w:rFonts w:ascii="Times New Roman" w:hAnsi="Times New Roman"/>
          <w:sz w:val="28"/>
          <w:szCs w:val="28"/>
          <w:lang w:val="en-US"/>
        </w:rPr>
        <w:t>M</w:t>
      </w:r>
      <w:r w:rsidRPr="00D83BD4">
        <w:rPr>
          <w:rFonts w:ascii="Times New Roman" w:hAnsi="Times New Roman"/>
          <w:sz w:val="28"/>
          <w:szCs w:val="28"/>
          <w:lang w:val="uk-UA"/>
        </w:rPr>
        <w:t xml:space="preserve">, </w:t>
      </w:r>
      <w:r w:rsidRPr="00D83BD4">
        <w:rPr>
          <w:rFonts w:ascii="Times New Roman" w:hAnsi="Times New Roman"/>
          <w:sz w:val="28"/>
          <w:szCs w:val="28"/>
          <w:lang w:val="en-US"/>
        </w:rPr>
        <w:t>et al</w:t>
      </w:r>
      <w:r w:rsidRPr="00D83BD4">
        <w:rPr>
          <w:rFonts w:ascii="Times New Roman" w:hAnsi="Times New Roman"/>
          <w:sz w:val="28"/>
          <w:szCs w:val="28"/>
          <w:lang w:val="uk-UA"/>
        </w:rPr>
        <w:t>.</w:t>
      </w:r>
      <w:r w:rsidRPr="00D83BD4">
        <w:rPr>
          <w:rFonts w:ascii="Times New Roman" w:hAnsi="Times New Roman"/>
          <w:bCs/>
          <w:kern w:val="36"/>
          <w:sz w:val="28"/>
          <w:szCs w:val="28"/>
          <w:lang w:val="uk-UA"/>
        </w:rPr>
        <w:t xml:space="preserve"> </w:t>
      </w:r>
      <w:r w:rsidRPr="00D83BD4">
        <w:rPr>
          <w:rFonts w:ascii="Times New Roman" w:hAnsi="Times New Roman"/>
          <w:sz w:val="28"/>
          <w:szCs w:val="28"/>
          <w:lang w:val="en-US"/>
        </w:rPr>
        <w:t>Management</w:t>
      </w:r>
      <w:r w:rsidRPr="00D83BD4">
        <w:rPr>
          <w:rFonts w:ascii="Times New Roman" w:hAnsi="Times New Roman"/>
          <w:sz w:val="28"/>
          <w:szCs w:val="28"/>
          <w:lang w:val="uk-UA"/>
        </w:rPr>
        <w:t xml:space="preserve"> </w:t>
      </w:r>
      <w:r w:rsidRPr="00D83BD4">
        <w:rPr>
          <w:rFonts w:ascii="Times New Roman" w:hAnsi="Times New Roman"/>
          <w:sz w:val="28"/>
          <w:szCs w:val="28"/>
          <w:lang w:val="en-US"/>
        </w:rPr>
        <w:t>of</w:t>
      </w:r>
      <w:r w:rsidRPr="00D83BD4">
        <w:rPr>
          <w:rFonts w:ascii="Times New Roman" w:hAnsi="Times New Roman"/>
          <w:sz w:val="28"/>
          <w:szCs w:val="28"/>
          <w:lang w:val="uk-UA"/>
        </w:rPr>
        <w:t xml:space="preserve"> </w:t>
      </w:r>
      <w:r w:rsidRPr="00D83BD4">
        <w:rPr>
          <w:rFonts w:ascii="Times New Roman" w:hAnsi="Times New Roman"/>
          <w:sz w:val="28"/>
          <w:szCs w:val="28"/>
          <w:lang w:val="en-US"/>
        </w:rPr>
        <w:t>Hyperglycemia</w:t>
      </w:r>
      <w:r w:rsidRPr="00D83BD4">
        <w:rPr>
          <w:rFonts w:ascii="Times New Roman" w:hAnsi="Times New Roman"/>
          <w:sz w:val="28"/>
          <w:szCs w:val="28"/>
          <w:lang w:val="uk-UA"/>
        </w:rPr>
        <w:t xml:space="preserve"> </w:t>
      </w:r>
      <w:r w:rsidRPr="00D83BD4">
        <w:rPr>
          <w:rFonts w:ascii="Times New Roman" w:hAnsi="Times New Roman"/>
          <w:sz w:val="28"/>
          <w:szCs w:val="28"/>
          <w:lang w:val="en-US"/>
        </w:rPr>
        <w:t>in</w:t>
      </w:r>
      <w:r w:rsidRPr="00D83BD4">
        <w:rPr>
          <w:rFonts w:ascii="Times New Roman" w:hAnsi="Times New Roman"/>
          <w:sz w:val="28"/>
          <w:szCs w:val="28"/>
          <w:lang w:val="uk-UA"/>
        </w:rPr>
        <w:t xml:space="preserve"> </w:t>
      </w:r>
      <w:r w:rsidRPr="00D83BD4">
        <w:rPr>
          <w:rFonts w:ascii="Times New Roman" w:hAnsi="Times New Roman"/>
          <w:sz w:val="28"/>
          <w:szCs w:val="28"/>
          <w:lang w:val="en-US"/>
        </w:rPr>
        <w:t>Type</w:t>
      </w:r>
      <w:r w:rsidRPr="00D83BD4">
        <w:rPr>
          <w:rFonts w:ascii="Times New Roman" w:hAnsi="Times New Roman"/>
          <w:sz w:val="28"/>
          <w:szCs w:val="28"/>
          <w:lang w:val="uk-UA"/>
        </w:rPr>
        <w:t xml:space="preserve"> 2 </w:t>
      </w:r>
      <w:r w:rsidRPr="00D83BD4">
        <w:rPr>
          <w:rFonts w:ascii="Times New Roman" w:hAnsi="Times New Roman"/>
          <w:sz w:val="28"/>
          <w:szCs w:val="28"/>
          <w:lang w:val="en-US"/>
        </w:rPr>
        <w:t>Diabetes</w:t>
      </w:r>
      <w:r w:rsidRPr="00D83BD4">
        <w:rPr>
          <w:rFonts w:ascii="Times New Roman" w:hAnsi="Times New Roman"/>
          <w:sz w:val="28"/>
          <w:szCs w:val="28"/>
          <w:lang w:val="uk-UA"/>
        </w:rPr>
        <w:t xml:space="preserve">, 2015: </w:t>
      </w:r>
      <w:r w:rsidRPr="00D83BD4">
        <w:rPr>
          <w:rFonts w:ascii="Times New Roman" w:hAnsi="Times New Roman"/>
          <w:sz w:val="28"/>
          <w:szCs w:val="28"/>
          <w:lang w:val="en-US"/>
        </w:rPr>
        <w:t>A</w:t>
      </w:r>
      <w:r w:rsidRPr="00D83BD4">
        <w:rPr>
          <w:rFonts w:ascii="Times New Roman" w:hAnsi="Times New Roman"/>
          <w:sz w:val="28"/>
          <w:szCs w:val="28"/>
          <w:lang w:val="uk-UA"/>
        </w:rPr>
        <w:t xml:space="preserve"> </w:t>
      </w:r>
      <w:r w:rsidRPr="00D83BD4">
        <w:rPr>
          <w:rFonts w:ascii="Times New Roman" w:hAnsi="Times New Roman"/>
          <w:sz w:val="28"/>
          <w:szCs w:val="28"/>
          <w:lang w:val="en-US"/>
        </w:rPr>
        <w:t>Patient</w:t>
      </w:r>
      <w:r w:rsidRPr="00D83BD4">
        <w:rPr>
          <w:rFonts w:ascii="Times New Roman" w:hAnsi="Times New Roman"/>
          <w:sz w:val="28"/>
          <w:szCs w:val="28"/>
          <w:lang w:val="uk-UA"/>
        </w:rPr>
        <w:t>-</w:t>
      </w:r>
      <w:r w:rsidRPr="00D83BD4">
        <w:rPr>
          <w:rFonts w:ascii="Times New Roman" w:hAnsi="Times New Roman"/>
          <w:sz w:val="28"/>
          <w:szCs w:val="28"/>
          <w:lang w:val="en-US"/>
        </w:rPr>
        <w:t>Centered</w:t>
      </w:r>
      <w:r w:rsidRPr="00D83BD4">
        <w:rPr>
          <w:rFonts w:ascii="Times New Roman" w:hAnsi="Times New Roman"/>
          <w:sz w:val="28"/>
          <w:szCs w:val="28"/>
          <w:lang w:val="uk-UA"/>
        </w:rPr>
        <w:t xml:space="preserve"> </w:t>
      </w:r>
      <w:r w:rsidRPr="00D83BD4">
        <w:rPr>
          <w:rFonts w:ascii="Times New Roman" w:hAnsi="Times New Roman"/>
          <w:sz w:val="28"/>
          <w:szCs w:val="28"/>
          <w:lang w:val="en-US"/>
        </w:rPr>
        <w:t>Approach</w:t>
      </w:r>
      <w:r w:rsidRPr="00D83BD4">
        <w:rPr>
          <w:rFonts w:ascii="Times New Roman" w:hAnsi="Times New Roman"/>
          <w:sz w:val="28"/>
          <w:szCs w:val="28"/>
          <w:lang w:val="uk-UA"/>
        </w:rPr>
        <w:t xml:space="preserve">: </w:t>
      </w:r>
      <w:r w:rsidRPr="00D83BD4">
        <w:rPr>
          <w:rFonts w:ascii="Times New Roman" w:hAnsi="Times New Roman"/>
          <w:sz w:val="28"/>
          <w:szCs w:val="28"/>
          <w:lang w:val="en-US"/>
        </w:rPr>
        <w:t>Update</w:t>
      </w:r>
      <w:r w:rsidRPr="00D83BD4">
        <w:rPr>
          <w:rFonts w:ascii="Times New Roman" w:hAnsi="Times New Roman"/>
          <w:sz w:val="28"/>
          <w:szCs w:val="28"/>
          <w:lang w:val="uk-UA"/>
        </w:rPr>
        <w:t xml:space="preserve"> </w:t>
      </w:r>
      <w:r w:rsidRPr="00D83BD4">
        <w:rPr>
          <w:rFonts w:ascii="Times New Roman" w:hAnsi="Times New Roman"/>
          <w:sz w:val="28"/>
          <w:szCs w:val="28"/>
          <w:lang w:val="en-US"/>
        </w:rPr>
        <w:t>to</w:t>
      </w:r>
      <w:r w:rsidRPr="00D83BD4">
        <w:rPr>
          <w:rFonts w:ascii="Times New Roman" w:hAnsi="Times New Roman"/>
          <w:sz w:val="28"/>
          <w:szCs w:val="28"/>
          <w:lang w:val="uk-UA"/>
        </w:rPr>
        <w:t xml:space="preserve"> </w:t>
      </w:r>
      <w:r w:rsidRPr="00D83BD4">
        <w:rPr>
          <w:rFonts w:ascii="Times New Roman" w:hAnsi="Times New Roman"/>
          <w:sz w:val="28"/>
          <w:szCs w:val="28"/>
          <w:lang w:val="en-US"/>
        </w:rPr>
        <w:t>a</w:t>
      </w:r>
      <w:r w:rsidRPr="00D83BD4">
        <w:rPr>
          <w:rFonts w:ascii="Times New Roman" w:hAnsi="Times New Roman"/>
          <w:sz w:val="28"/>
          <w:szCs w:val="28"/>
          <w:lang w:val="uk-UA"/>
        </w:rPr>
        <w:t xml:space="preserve"> </w:t>
      </w:r>
      <w:r w:rsidRPr="00D83BD4">
        <w:rPr>
          <w:rFonts w:ascii="Times New Roman" w:hAnsi="Times New Roman"/>
          <w:sz w:val="28"/>
          <w:szCs w:val="28"/>
          <w:lang w:val="en-US"/>
        </w:rPr>
        <w:t>Position</w:t>
      </w:r>
      <w:r w:rsidRPr="00D83BD4">
        <w:rPr>
          <w:rFonts w:ascii="Times New Roman" w:hAnsi="Times New Roman"/>
          <w:sz w:val="28"/>
          <w:szCs w:val="28"/>
          <w:lang w:val="uk-UA"/>
        </w:rPr>
        <w:t xml:space="preserve"> </w:t>
      </w:r>
      <w:r w:rsidRPr="00D83BD4">
        <w:rPr>
          <w:rFonts w:ascii="Times New Roman" w:hAnsi="Times New Roman"/>
          <w:sz w:val="28"/>
          <w:szCs w:val="28"/>
          <w:lang w:val="en-US"/>
        </w:rPr>
        <w:t>Statement</w:t>
      </w:r>
      <w:r w:rsidRPr="00D83BD4">
        <w:rPr>
          <w:rFonts w:ascii="Times New Roman" w:hAnsi="Times New Roman"/>
          <w:sz w:val="28"/>
          <w:szCs w:val="28"/>
          <w:lang w:val="uk-UA"/>
        </w:rPr>
        <w:t xml:space="preserve"> </w:t>
      </w:r>
      <w:r w:rsidRPr="00D83BD4">
        <w:rPr>
          <w:rFonts w:ascii="Times New Roman" w:hAnsi="Times New Roman"/>
          <w:sz w:val="28"/>
          <w:szCs w:val="28"/>
          <w:lang w:val="en-US"/>
        </w:rPr>
        <w:t>of</w:t>
      </w:r>
      <w:r w:rsidRPr="00D83BD4">
        <w:rPr>
          <w:rFonts w:ascii="Times New Roman" w:hAnsi="Times New Roman"/>
          <w:sz w:val="28"/>
          <w:szCs w:val="28"/>
          <w:lang w:val="uk-UA"/>
        </w:rPr>
        <w:t xml:space="preserve"> </w:t>
      </w:r>
      <w:r w:rsidRPr="00D83BD4">
        <w:rPr>
          <w:rFonts w:ascii="Times New Roman" w:hAnsi="Times New Roman"/>
          <w:sz w:val="28"/>
          <w:szCs w:val="28"/>
          <w:lang w:val="en-US"/>
        </w:rPr>
        <w:t>the</w:t>
      </w:r>
      <w:r w:rsidRPr="00D83BD4">
        <w:rPr>
          <w:rFonts w:ascii="Times New Roman" w:hAnsi="Times New Roman"/>
          <w:sz w:val="28"/>
          <w:szCs w:val="28"/>
          <w:lang w:val="uk-UA"/>
        </w:rPr>
        <w:t xml:space="preserve"> </w:t>
      </w:r>
      <w:r w:rsidRPr="00D83BD4">
        <w:rPr>
          <w:rFonts w:ascii="Times New Roman" w:hAnsi="Times New Roman"/>
          <w:sz w:val="28"/>
          <w:szCs w:val="28"/>
          <w:lang w:val="en-US"/>
        </w:rPr>
        <w:t>American</w:t>
      </w:r>
      <w:r w:rsidRPr="00D83BD4">
        <w:rPr>
          <w:rFonts w:ascii="Times New Roman" w:hAnsi="Times New Roman"/>
          <w:sz w:val="28"/>
          <w:szCs w:val="28"/>
          <w:lang w:val="uk-UA"/>
        </w:rPr>
        <w:t xml:space="preserve"> </w:t>
      </w:r>
      <w:r w:rsidRPr="00D83BD4">
        <w:rPr>
          <w:rFonts w:ascii="Times New Roman" w:hAnsi="Times New Roman"/>
          <w:sz w:val="28"/>
          <w:szCs w:val="28"/>
          <w:lang w:val="en-US"/>
        </w:rPr>
        <w:t>Diabetes</w:t>
      </w:r>
      <w:r w:rsidRPr="00D83BD4">
        <w:rPr>
          <w:rFonts w:ascii="Times New Roman" w:hAnsi="Times New Roman"/>
          <w:sz w:val="28"/>
          <w:szCs w:val="28"/>
          <w:lang w:val="uk-UA"/>
        </w:rPr>
        <w:t xml:space="preserve"> </w:t>
      </w:r>
      <w:r w:rsidRPr="00D83BD4">
        <w:rPr>
          <w:rFonts w:ascii="Times New Roman" w:hAnsi="Times New Roman"/>
          <w:sz w:val="28"/>
          <w:szCs w:val="28"/>
          <w:lang w:val="en-US"/>
        </w:rPr>
        <w:t>Association</w:t>
      </w:r>
      <w:r w:rsidRPr="00D83BD4">
        <w:rPr>
          <w:rFonts w:ascii="Times New Roman" w:hAnsi="Times New Roman"/>
          <w:sz w:val="28"/>
          <w:szCs w:val="28"/>
          <w:lang w:val="uk-UA"/>
        </w:rPr>
        <w:t xml:space="preserve"> </w:t>
      </w:r>
      <w:r w:rsidRPr="00D83BD4">
        <w:rPr>
          <w:rFonts w:ascii="Times New Roman" w:hAnsi="Times New Roman"/>
          <w:sz w:val="28"/>
          <w:szCs w:val="28"/>
          <w:lang w:val="en-US"/>
        </w:rPr>
        <w:t>and</w:t>
      </w:r>
      <w:r w:rsidRPr="00D83BD4">
        <w:rPr>
          <w:rFonts w:ascii="Times New Roman" w:hAnsi="Times New Roman"/>
          <w:sz w:val="28"/>
          <w:szCs w:val="28"/>
          <w:lang w:val="uk-UA"/>
        </w:rPr>
        <w:t xml:space="preserve"> </w:t>
      </w:r>
      <w:r w:rsidRPr="00D83BD4">
        <w:rPr>
          <w:rFonts w:ascii="Times New Roman" w:hAnsi="Times New Roman"/>
          <w:sz w:val="28"/>
          <w:szCs w:val="28"/>
          <w:lang w:val="en-US"/>
        </w:rPr>
        <w:t>the</w:t>
      </w:r>
      <w:r w:rsidRPr="00D83BD4">
        <w:rPr>
          <w:rFonts w:ascii="Times New Roman" w:hAnsi="Times New Roman"/>
          <w:sz w:val="28"/>
          <w:szCs w:val="28"/>
          <w:lang w:val="uk-UA"/>
        </w:rPr>
        <w:t xml:space="preserve"> </w:t>
      </w:r>
      <w:r w:rsidRPr="00D83BD4">
        <w:rPr>
          <w:rFonts w:ascii="Times New Roman" w:hAnsi="Times New Roman"/>
          <w:sz w:val="28"/>
          <w:szCs w:val="28"/>
          <w:lang w:val="en-US"/>
        </w:rPr>
        <w:t>European</w:t>
      </w:r>
      <w:r w:rsidRPr="00D83BD4">
        <w:rPr>
          <w:rFonts w:ascii="Times New Roman" w:hAnsi="Times New Roman"/>
          <w:sz w:val="28"/>
          <w:szCs w:val="28"/>
          <w:lang w:val="uk-UA"/>
        </w:rPr>
        <w:t xml:space="preserve"> </w:t>
      </w:r>
      <w:r w:rsidRPr="00D83BD4">
        <w:rPr>
          <w:rFonts w:ascii="Times New Roman" w:hAnsi="Times New Roman"/>
          <w:sz w:val="28"/>
          <w:szCs w:val="28"/>
          <w:lang w:val="en-US"/>
        </w:rPr>
        <w:t>Association</w:t>
      </w:r>
      <w:r w:rsidRPr="00D83BD4">
        <w:rPr>
          <w:rFonts w:ascii="Times New Roman" w:hAnsi="Times New Roman"/>
          <w:sz w:val="28"/>
          <w:szCs w:val="28"/>
          <w:lang w:val="uk-UA"/>
        </w:rPr>
        <w:t xml:space="preserve"> </w:t>
      </w:r>
      <w:r w:rsidRPr="00D83BD4">
        <w:rPr>
          <w:rFonts w:ascii="Times New Roman" w:hAnsi="Times New Roman"/>
          <w:sz w:val="28"/>
          <w:szCs w:val="28"/>
          <w:lang w:val="en-US"/>
        </w:rPr>
        <w:t>for</w:t>
      </w:r>
      <w:r w:rsidRPr="00D83BD4">
        <w:rPr>
          <w:rFonts w:ascii="Times New Roman" w:hAnsi="Times New Roman"/>
          <w:sz w:val="28"/>
          <w:szCs w:val="28"/>
          <w:lang w:val="uk-UA"/>
        </w:rPr>
        <w:t xml:space="preserve"> </w:t>
      </w:r>
      <w:r w:rsidRPr="00D83BD4">
        <w:rPr>
          <w:rFonts w:ascii="Times New Roman" w:hAnsi="Times New Roman"/>
          <w:sz w:val="28"/>
          <w:szCs w:val="28"/>
          <w:lang w:val="en-US"/>
        </w:rPr>
        <w:t>the</w:t>
      </w:r>
      <w:r w:rsidRPr="00D83BD4">
        <w:rPr>
          <w:rFonts w:ascii="Times New Roman" w:hAnsi="Times New Roman"/>
          <w:sz w:val="28"/>
          <w:szCs w:val="28"/>
          <w:lang w:val="uk-UA"/>
        </w:rPr>
        <w:t xml:space="preserve"> </w:t>
      </w:r>
      <w:r w:rsidRPr="00D83BD4">
        <w:rPr>
          <w:rFonts w:ascii="Times New Roman" w:hAnsi="Times New Roman"/>
          <w:sz w:val="28"/>
          <w:szCs w:val="28"/>
          <w:lang w:val="en-US"/>
        </w:rPr>
        <w:t>Study</w:t>
      </w:r>
      <w:r w:rsidRPr="00D83BD4">
        <w:rPr>
          <w:rFonts w:ascii="Times New Roman" w:hAnsi="Times New Roman"/>
          <w:sz w:val="28"/>
          <w:szCs w:val="28"/>
          <w:lang w:val="uk-UA"/>
        </w:rPr>
        <w:t xml:space="preserve"> </w:t>
      </w:r>
      <w:r w:rsidRPr="00D83BD4">
        <w:rPr>
          <w:rFonts w:ascii="Times New Roman" w:hAnsi="Times New Roman"/>
          <w:sz w:val="28"/>
          <w:szCs w:val="28"/>
          <w:lang w:val="en-US"/>
        </w:rPr>
        <w:t>of</w:t>
      </w:r>
      <w:r w:rsidRPr="00D83BD4">
        <w:rPr>
          <w:rFonts w:ascii="Times New Roman" w:hAnsi="Times New Roman"/>
          <w:sz w:val="28"/>
          <w:szCs w:val="28"/>
          <w:lang w:val="uk-UA"/>
        </w:rPr>
        <w:t xml:space="preserve"> </w:t>
      </w:r>
      <w:r w:rsidRPr="00D83BD4">
        <w:rPr>
          <w:rFonts w:ascii="Times New Roman" w:hAnsi="Times New Roman"/>
          <w:sz w:val="28"/>
          <w:szCs w:val="28"/>
          <w:lang w:val="en-US"/>
        </w:rPr>
        <w:t>Diabetes</w:t>
      </w:r>
      <w:r w:rsidRPr="00D83BD4">
        <w:rPr>
          <w:rFonts w:ascii="Times New Roman" w:hAnsi="Times New Roman"/>
          <w:sz w:val="28"/>
          <w:szCs w:val="28"/>
          <w:lang w:val="uk-UA"/>
        </w:rPr>
        <w:t xml:space="preserve">. </w:t>
      </w:r>
      <w:r w:rsidRPr="00D83BD4">
        <w:rPr>
          <w:rFonts w:ascii="Times New Roman" w:hAnsi="Times New Roman"/>
          <w:sz w:val="28"/>
          <w:szCs w:val="28"/>
          <w:lang w:val="en-US"/>
        </w:rPr>
        <w:t>Diabetes</w:t>
      </w:r>
      <w:r w:rsidRPr="00D83BD4">
        <w:rPr>
          <w:rFonts w:ascii="Times New Roman" w:hAnsi="Times New Roman"/>
          <w:sz w:val="28"/>
          <w:szCs w:val="28"/>
          <w:lang w:val="uk-UA"/>
        </w:rPr>
        <w:t xml:space="preserve"> </w:t>
      </w:r>
      <w:r w:rsidRPr="00D83BD4">
        <w:rPr>
          <w:rFonts w:ascii="Times New Roman" w:hAnsi="Times New Roman"/>
          <w:sz w:val="28"/>
          <w:szCs w:val="28"/>
          <w:lang w:val="en-US"/>
        </w:rPr>
        <w:t>Care</w:t>
      </w:r>
      <w:r w:rsidRPr="00D83BD4">
        <w:rPr>
          <w:rFonts w:ascii="Times New Roman" w:hAnsi="Times New Roman"/>
          <w:sz w:val="28"/>
          <w:szCs w:val="28"/>
          <w:lang w:val="uk-UA"/>
        </w:rPr>
        <w:t>.</w:t>
      </w:r>
      <w:r w:rsidRPr="00D83BD4">
        <w:rPr>
          <w:rFonts w:ascii="Times New Roman" w:hAnsi="Times New Roman"/>
          <w:sz w:val="28"/>
          <w:szCs w:val="28"/>
          <w:lang w:val="en-US"/>
        </w:rPr>
        <w:t xml:space="preserve"> </w:t>
      </w:r>
      <w:r w:rsidRPr="00D83BD4">
        <w:rPr>
          <w:rFonts w:ascii="Times New Roman" w:hAnsi="Times New Roman"/>
          <w:sz w:val="28"/>
          <w:szCs w:val="28"/>
          <w:lang w:val="uk-UA"/>
        </w:rPr>
        <w:t xml:space="preserve">2015;38(1):140-149. </w:t>
      </w:r>
      <w:r w:rsidRPr="00D83BD4">
        <w:rPr>
          <w:rFonts w:ascii="Times New Roman" w:hAnsi="Times New Roman"/>
          <w:sz w:val="28"/>
          <w:szCs w:val="28"/>
          <w:shd w:val="clear" w:color="auto" w:fill="FFFFFF"/>
        </w:rPr>
        <w:t>doi: 10.2337/dc14-2441.</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Ito F, Sono Y, Ito T. Biomarker of Oxidative Stress: Measurement and Clinical Significance of Lipid Peroxidation: Oxidative Stress in Diabetes, Atherosclerosis, and Chronic Inflammation. Antioxidants (Basel). 2019; 8 (3)</w:t>
      </w:r>
      <w:r w:rsidRPr="00D83BD4">
        <w:rPr>
          <w:rFonts w:ascii="Times New Roman" w:hAnsi="Times New Roman"/>
          <w:sz w:val="28"/>
          <w:szCs w:val="28"/>
          <w:lang w:val="uk-UA"/>
        </w:rPr>
        <w:t>:</w:t>
      </w:r>
      <w:r w:rsidRPr="00D83BD4">
        <w:rPr>
          <w:rFonts w:ascii="Times New Roman" w:hAnsi="Times New Roman"/>
          <w:sz w:val="28"/>
          <w:szCs w:val="28"/>
          <w:lang w:val="en-US"/>
        </w:rPr>
        <w:t>72.</w:t>
      </w:r>
      <w:r w:rsidRPr="00D83BD4">
        <w:rPr>
          <w:rStyle w:val="10"/>
          <w:rFonts w:eastAsiaTheme="majorEastAsia"/>
          <w:sz w:val="28"/>
          <w:szCs w:val="28"/>
          <w:shd w:val="clear" w:color="auto" w:fill="FFFFFF"/>
          <w:lang w:val="en-US"/>
        </w:rPr>
        <w:t xml:space="preserve"> </w:t>
      </w:r>
      <w:r w:rsidRPr="00D83BD4">
        <w:rPr>
          <w:rStyle w:val="fm-vol-iss-date"/>
          <w:rFonts w:ascii="Times New Roman" w:hAnsi="Times New Roman"/>
          <w:sz w:val="28"/>
          <w:szCs w:val="28"/>
          <w:shd w:val="clear" w:color="auto" w:fill="FFFFFF"/>
        </w:rPr>
        <w:t> </w:t>
      </w:r>
      <w:r w:rsidRPr="00D83BD4">
        <w:rPr>
          <w:rStyle w:val="doi"/>
          <w:rFonts w:ascii="Times New Roman" w:eastAsiaTheme="majorEastAsia" w:hAnsi="Times New Roman"/>
          <w:sz w:val="28"/>
          <w:szCs w:val="28"/>
          <w:shd w:val="clear" w:color="auto" w:fill="FFFFFF"/>
        </w:rPr>
        <w:t>doi: </w:t>
      </w:r>
      <w:r w:rsidRPr="009E4B7D">
        <w:rPr>
          <w:rFonts w:ascii="Times New Roman" w:eastAsiaTheme="majorEastAsia" w:hAnsi="Times New Roman"/>
          <w:sz w:val="28"/>
          <w:szCs w:val="28"/>
          <w:shd w:val="clear" w:color="auto" w:fill="FFFFFF"/>
        </w:rPr>
        <w:t>10.3390/antiox8030072</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Izzo C, Carrizzo A, Alfano A, Virtuoso N, Capunzo M, Calabrese M et al. The Impact of Aging on Cardio and Cerebrovascular Diseases. Int J Mol Sci. 2018 Feb; 19(2): 481. </w:t>
      </w:r>
      <w:r w:rsidRPr="00D83BD4">
        <w:rPr>
          <w:sz w:val="28"/>
          <w:szCs w:val="28"/>
          <w:shd w:val="clear" w:color="auto" w:fill="FFFFFF"/>
          <w:lang w:val="en-US"/>
        </w:rPr>
        <w:t>doi: </w:t>
      </w:r>
      <w:r w:rsidRPr="009E4B7D">
        <w:rPr>
          <w:sz w:val="28"/>
          <w:szCs w:val="28"/>
          <w:shd w:val="clear" w:color="auto" w:fill="FFFFFF"/>
          <w:lang w:val="en-US"/>
        </w:rPr>
        <w:t>10.3390/ijms19020481</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Jahangiry L, Farhangi MA, Rezaei F. Framingham risk score for estimation of 10-years of cardiovascular diseases risk in patients with metabolic syndrome. </w:t>
      </w:r>
      <w:r w:rsidRPr="00D83BD4">
        <w:rPr>
          <w:sz w:val="28"/>
          <w:szCs w:val="28"/>
        </w:rPr>
        <w:t>J Health Popul Nutr.</w:t>
      </w:r>
      <w:r w:rsidRPr="00D83BD4">
        <w:rPr>
          <w:sz w:val="28"/>
          <w:szCs w:val="28"/>
          <w:lang w:val="en-US"/>
        </w:rPr>
        <w:t xml:space="preserve"> 2017;36(1):36. doi: 10.1186/s41043-017-0114-0.</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Style w:val="element-citation"/>
          <w:rFonts w:ascii="Times New Roman" w:hAnsi="Times New Roman"/>
          <w:sz w:val="28"/>
          <w:szCs w:val="28"/>
          <w:lang w:val="en-US"/>
        </w:rPr>
        <w:t xml:space="preserve">Janić M, Lunder M, Prezelj M, Šabovič M. A combination of low-dose fluvastatin and valsartan decreases inflammation and oxidative stress in apparently healthy middle-aged males. </w:t>
      </w:r>
      <w:r w:rsidRPr="00D83BD4">
        <w:rPr>
          <w:rStyle w:val="afb"/>
          <w:rFonts w:ascii="Times New Roman" w:hAnsi="Times New Roman"/>
          <w:i w:val="0"/>
          <w:iCs w:val="0"/>
          <w:sz w:val="28"/>
          <w:szCs w:val="28"/>
          <w:lang w:val="en-US"/>
        </w:rPr>
        <w:t>Journal of Cardiopulmonary Rehabilitation and Prevention</w:t>
      </w:r>
      <w:r w:rsidRPr="00D83BD4">
        <w:rPr>
          <w:rStyle w:val="ref-journal"/>
          <w:rFonts w:ascii="Times New Roman" w:hAnsi="Times New Roman"/>
          <w:i/>
          <w:iCs/>
          <w:sz w:val="28"/>
          <w:szCs w:val="28"/>
          <w:lang w:val="en-US"/>
        </w:rPr>
        <w:t>.</w:t>
      </w:r>
      <w:r w:rsidRPr="00D83BD4">
        <w:rPr>
          <w:rStyle w:val="ref-journal"/>
          <w:rFonts w:ascii="Times New Roman" w:hAnsi="Times New Roman"/>
          <w:sz w:val="28"/>
          <w:szCs w:val="28"/>
          <w:lang w:val="en-US"/>
        </w:rPr>
        <w:t xml:space="preserve"> </w:t>
      </w:r>
      <w:r w:rsidRPr="00D83BD4">
        <w:rPr>
          <w:rStyle w:val="element-citation"/>
          <w:rFonts w:ascii="Times New Roman" w:hAnsi="Times New Roman"/>
          <w:sz w:val="28"/>
          <w:szCs w:val="28"/>
          <w:lang w:val="en-US"/>
        </w:rPr>
        <w:t>2014;</w:t>
      </w:r>
      <w:r w:rsidRPr="00D83BD4">
        <w:rPr>
          <w:rStyle w:val="ref-vol"/>
          <w:rFonts w:ascii="Times New Roman" w:hAnsi="Times New Roman"/>
          <w:sz w:val="28"/>
          <w:szCs w:val="28"/>
          <w:lang w:val="en-US"/>
        </w:rPr>
        <w:t>34</w:t>
      </w:r>
      <w:r w:rsidRPr="00D83BD4">
        <w:rPr>
          <w:rStyle w:val="element-citation"/>
          <w:rFonts w:ascii="Times New Roman" w:hAnsi="Times New Roman"/>
          <w:sz w:val="28"/>
          <w:szCs w:val="28"/>
          <w:lang w:val="en-US"/>
        </w:rPr>
        <w:t xml:space="preserve">(3):208–212. doi: 10.1097/HCR.0000000000000027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Janić M, Lunder M, Šabovič M. A low-dose combination of fluvastatin and valsartan: a new "drug" and a new approach for decreasing the arterial age. Biomed Res Int. 2015;2015:235709. doi:10.1155/2015/235709</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bCs/>
          <w:sz w:val="28"/>
          <w:szCs w:val="28"/>
          <w:lang w:val="en-US"/>
        </w:rPr>
        <w:t>Jellinger</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P</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Smith</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D</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Mehta</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Ganda</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O</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Handelsman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Y</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Rodbard</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H</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et</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al</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American Association of Clinical Endocrinologists' guidelines for management of dyslipidemia and prevention of atherosclerosis. Endocr Pract. 2012;18(Suppl 1):1–78. doi: 10.4158/EP.18.S1.1</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Jia G, Aroor AR, Jia C, Sowers JR. Endothelial cell senescence in aging-related vascular dysfunction. </w:t>
      </w:r>
      <w:r w:rsidRPr="00D83BD4">
        <w:rPr>
          <w:rFonts w:ascii="Times New Roman" w:hAnsi="Times New Roman"/>
          <w:sz w:val="28"/>
          <w:szCs w:val="28"/>
        </w:rPr>
        <w:t>Biochim Biophys Acta Mol Basis Dis. </w:t>
      </w:r>
      <w:r w:rsidRPr="00D83BD4">
        <w:rPr>
          <w:rFonts w:ascii="Times New Roman" w:hAnsi="Times New Roman"/>
          <w:color w:val="000000"/>
          <w:sz w:val="28"/>
          <w:szCs w:val="28"/>
          <w:lang w:val="en-US"/>
        </w:rPr>
        <w:t xml:space="preserve">2019;1865(7):1802-1809. doi: 10.1016/j.bbadis.2018.08.008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color w:val="212121"/>
          <w:sz w:val="28"/>
          <w:szCs w:val="28"/>
          <w:shd w:val="clear" w:color="auto" w:fill="FFFFFF"/>
          <w:lang w:val="en-US"/>
        </w:rPr>
        <w:t xml:space="preserve">Jonklaas J, Bianco AC, Bauer AJ, Burman KD, Cappola AR, Celi FS, et al.; American Thyroid Association Task Force on Thyroid Hormone Replacement. Guidelines for the treatment of hypothyroidism: prepared by the american thyroid association task force on thyroid hormone replacement. </w:t>
      </w:r>
      <w:r w:rsidRPr="00D83BD4">
        <w:rPr>
          <w:rFonts w:ascii="Times New Roman" w:hAnsi="Times New Roman"/>
          <w:color w:val="212121"/>
          <w:sz w:val="28"/>
          <w:szCs w:val="28"/>
          <w:shd w:val="clear" w:color="auto" w:fill="FFFFFF"/>
        </w:rPr>
        <w:t>Thyroid. 2014;24(12):1670-751. doi: 10.1089/thy.2014.0028</w:t>
      </w:r>
      <w:r w:rsidRPr="00D83BD4">
        <w:rPr>
          <w:rFonts w:ascii="Times New Roman" w:hAnsi="Times New Roman"/>
          <w:color w:val="212121"/>
          <w:sz w:val="28"/>
          <w:szCs w:val="28"/>
          <w:shd w:val="clear" w:color="auto" w:fill="FFFFFF"/>
          <w:lang w:val="en-US"/>
        </w:rPr>
        <w:t xml:space="preserve"> </w:t>
      </w:r>
      <w:r w:rsidRPr="00D83BD4">
        <w:rPr>
          <w:rFonts w:ascii="Times New Roman" w:hAnsi="Times New Roman"/>
          <w:color w:val="212121"/>
          <w:sz w:val="28"/>
          <w:szCs w:val="28"/>
          <w:shd w:val="clear" w:color="auto" w:fill="FFFFFF"/>
        </w:rPr>
        <w:t>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Jose</w:t>
      </w:r>
      <w:r w:rsidRPr="00D83BD4">
        <w:rPr>
          <w:rFonts w:ascii="Times New Roman" w:hAnsi="Times New Roman"/>
          <w:sz w:val="28"/>
          <w:szCs w:val="28"/>
          <w:lang w:val="uk-UA"/>
        </w:rPr>
        <w:t xml:space="preserve"> </w:t>
      </w:r>
      <w:r w:rsidRPr="00D83BD4">
        <w:rPr>
          <w:rFonts w:ascii="Times New Roman" w:hAnsi="Times New Roman"/>
          <w:sz w:val="28"/>
          <w:szCs w:val="28"/>
          <w:lang w:val="en-US"/>
        </w:rPr>
        <w:t>SS</w:t>
      </w:r>
      <w:r w:rsidRPr="00D83BD4">
        <w:rPr>
          <w:rFonts w:ascii="Times New Roman" w:hAnsi="Times New Roman"/>
          <w:sz w:val="28"/>
          <w:szCs w:val="28"/>
          <w:lang w:val="uk-UA"/>
        </w:rPr>
        <w:t xml:space="preserve">, </w:t>
      </w:r>
      <w:r w:rsidRPr="00D83BD4">
        <w:rPr>
          <w:rFonts w:ascii="Times New Roman" w:hAnsi="Times New Roman"/>
          <w:sz w:val="28"/>
          <w:szCs w:val="28"/>
          <w:lang w:val="en-US"/>
        </w:rPr>
        <w:t>Bendickova</w:t>
      </w:r>
      <w:r w:rsidRPr="00D83BD4">
        <w:rPr>
          <w:rFonts w:ascii="Times New Roman" w:hAnsi="Times New Roman"/>
          <w:sz w:val="28"/>
          <w:szCs w:val="28"/>
          <w:lang w:val="uk-UA"/>
        </w:rPr>
        <w:t xml:space="preserve"> </w:t>
      </w:r>
      <w:r w:rsidRPr="00D83BD4">
        <w:rPr>
          <w:rFonts w:ascii="Times New Roman" w:hAnsi="Times New Roman"/>
          <w:sz w:val="28"/>
          <w:szCs w:val="28"/>
          <w:lang w:val="en-US"/>
        </w:rPr>
        <w:t>K</w:t>
      </w:r>
      <w:r w:rsidRPr="00D83BD4">
        <w:rPr>
          <w:rFonts w:ascii="Times New Roman" w:hAnsi="Times New Roman"/>
          <w:sz w:val="28"/>
          <w:szCs w:val="28"/>
          <w:lang w:val="uk-UA"/>
        </w:rPr>
        <w:t xml:space="preserve">, </w:t>
      </w:r>
      <w:r w:rsidRPr="00D83BD4">
        <w:rPr>
          <w:rFonts w:ascii="Times New Roman" w:hAnsi="Times New Roman"/>
          <w:sz w:val="28"/>
          <w:szCs w:val="28"/>
          <w:lang w:val="en-US"/>
        </w:rPr>
        <w:t>Kepak</w:t>
      </w:r>
      <w:r w:rsidRPr="00D83BD4">
        <w:rPr>
          <w:rFonts w:ascii="Times New Roman" w:hAnsi="Times New Roman"/>
          <w:sz w:val="28"/>
          <w:szCs w:val="28"/>
          <w:lang w:val="uk-UA"/>
        </w:rPr>
        <w:t xml:space="preserve"> </w:t>
      </w:r>
      <w:r w:rsidRPr="00D83BD4">
        <w:rPr>
          <w:rFonts w:ascii="Times New Roman" w:hAnsi="Times New Roman"/>
          <w:sz w:val="28"/>
          <w:szCs w:val="28"/>
          <w:lang w:val="en-US"/>
        </w:rPr>
        <w:t>T</w:t>
      </w:r>
      <w:r w:rsidRPr="00D83BD4">
        <w:rPr>
          <w:rFonts w:ascii="Times New Roman" w:hAnsi="Times New Roman"/>
          <w:sz w:val="28"/>
          <w:szCs w:val="28"/>
          <w:lang w:val="uk-UA"/>
        </w:rPr>
        <w:t xml:space="preserve">, </w:t>
      </w:r>
      <w:r w:rsidRPr="00D83BD4">
        <w:rPr>
          <w:rFonts w:ascii="Times New Roman" w:hAnsi="Times New Roman"/>
          <w:sz w:val="28"/>
          <w:szCs w:val="28"/>
          <w:lang w:val="en-US"/>
        </w:rPr>
        <w:t>Krenova</w:t>
      </w:r>
      <w:r w:rsidRPr="00D83BD4">
        <w:rPr>
          <w:rFonts w:ascii="Times New Roman" w:hAnsi="Times New Roman"/>
          <w:sz w:val="28"/>
          <w:szCs w:val="28"/>
          <w:lang w:val="uk-UA"/>
        </w:rPr>
        <w:t xml:space="preserve"> </w:t>
      </w:r>
      <w:r w:rsidRPr="00D83BD4">
        <w:rPr>
          <w:rFonts w:ascii="Times New Roman" w:hAnsi="Times New Roman"/>
          <w:sz w:val="28"/>
          <w:szCs w:val="28"/>
          <w:lang w:val="en-US"/>
        </w:rPr>
        <w:t>Z</w:t>
      </w:r>
      <w:r w:rsidRPr="00D83BD4">
        <w:rPr>
          <w:rFonts w:ascii="Times New Roman" w:hAnsi="Times New Roman"/>
          <w:sz w:val="28"/>
          <w:szCs w:val="28"/>
          <w:lang w:val="uk-UA"/>
        </w:rPr>
        <w:t xml:space="preserve">, </w:t>
      </w:r>
      <w:r w:rsidRPr="00D83BD4">
        <w:rPr>
          <w:rFonts w:ascii="Times New Roman" w:hAnsi="Times New Roman"/>
          <w:sz w:val="28"/>
          <w:szCs w:val="28"/>
          <w:lang w:val="en-US"/>
        </w:rPr>
        <w:t>Fric</w:t>
      </w:r>
      <w:r w:rsidRPr="00D83BD4">
        <w:rPr>
          <w:rFonts w:ascii="Times New Roman" w:hAnsi="Times New Roman"/>
          <w:sz w:val="28"/>
          <w:szCs w:val="28"/>
          <w:lang w:val="uk-UA"/>
        </w:rPr>
        <w:t xml:space="preserve"> </w:t>
      </w:r>
      <w:r w:rsidRPr="00D83BD4">
        <w:rPr>
          <w:rFonts w:ascii="Times New Roman" w:hAnsi="Times New Roman"/>
          <w:sz w:val="28"/>
          <w:szCs w:val="28"/>
          <w:lang w:val="en-US"/>
        </w:rPr>
        <w:t>J</w:t>
      </w:r>
      <w:r w:rsidRPr="00D83BD4">
        <w:rPr>
          <w:rFonts w:ascii="Times New Roman" w:hAnsi="Times New Roman"/>
          <w:sz w:val="28"/>
          <w:szCs w:val="28"/>
          <w:lang w:val="uk-UA"/>
        </w:rPr>
        <w:t xml:space="preserve">. </w:t>
      </w:r>
      <w:r w:rsidRPr="00D83BD4">
        <w:rPr>
          <w:rFonts w:ascii="Times New Roman" w:hAnsi="Times New Roman"/>
          <w:bCs/>
          <w:sz w:val="28"/>
          <w:szCs w:val="28"/>
          <w:lang w:val="en-US"/>
        </w:rPr>
        <w:t>Chronic</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Inflammation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in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Immune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Aging</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Role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of</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Pattern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Recognition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Receptor</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Crosstalk</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with</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the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Telomere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Complex</w:t>
      </w:r>
      <w:r w:rsidRPr="00D83BD4">
        <w:rPr>
          <w:rFonts w:ascii="Times New Roman" w:hAnsi="Times New Roman"/>
          <w:bCs/>
          <w:sz w:val="28"/>
          <w:szCs w:val="28"/>
          <w:lang w:val="uk-UA"/>
        </w:rPr>
        <w:t xml:space="preserve">? </w:t>
      </w:r>
      <w:r w:rsidRPr="00D83BD4">
        <w:rPr>
          <w:rFonts w:ascii="Times New Roman" w:hAnsi="Times New Roman"/>
          <w:sz w:val="28"/>
          <w:szCs w:val="28"/>
          <w:lang w:val="en-US"/>
        </w:rPr>
        <w:t>Front</w:t>
      </w:r>
      <w:r w:rsidRPr="00D83BD4">
        <w:rPr>
          <w:rFonts w:ascii="Times New Roman" w:hAnsi="Times New Roman"/>
          <w:sz w:val="28"/>
          <w:szCs w:val="28"/>
          <w:lang w:val="uk-UA"/>
        </w:rPr>
        <w:t xml:space="preserve"> </w:t>
      </w:r>
      <w:r w:rsidRPr="00D83BD4">
        <w:rPr>
          <w:rFonts w:ascii="Times New Roman" w:hAnsi="Times New Roman"/>
          <w:sz w:val="28"/>
          <w:szCs w:val="28"/>
          <w:lang w:val="en-US"/>
        </w:rPr>
        <w:t>Immunol</w:t>
      </w:r>
      <w:r w:rsidRPr="00D83BD4">
        <w:rPr>
          <w:rFonts w:ascii="Times New Roman" w:hAnsi="Times New Roman"/>
          <w:sz w:val="28"/>
          <w:szCs w:val="28"/>
          <w:lang w:val="uk-UA"/>
        </w:rPr>
        <w:t xml:space="preserve">.  2017; 8:1078. </w:t>
      </w:r>
      <w:r w:rsidRPr="009E4B7D">
        <w:rPr>
          <w:rFonts w:ascii="Times New Roman" w:hAnsi="Times New Roman"/>
          <w:sz w:val="28"/>
          <w:szCs w:val="28"/>
          <w:shd w:val="clear" w:color="auto" w:fill="FFFFFF"/>
        </w:rPr>
        <w:t>https://doi.org/10.3389/fimmu.2017.01078</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Jura M, Kozak LP. Obesity and related consequences to ageing. </w:t>
      </w:r>
      <w:r w:rsidRPr="00D83BD4">
        <w:rPr>
          <w:rFonts w:ascii="Times New Roman" w:hAnsi="Times New Roman"/>
          <w:sz w:val="28"/>
          <w:szCs w:val="28"/>
        </w:rPr>
        <w:t>Age (Dordr).</w:t>
      </w:r>
      <w:r w:rsidRPr="00D83BD4">
        <w:rPr>
          <w:rFonts w:ascii="Times New Roman" w:hAnsi="Times New Roman"/>
          <w:sz w:val="28"/>
          <w:szCs w:val="28"/>
          <w:lang w:val="en-US"/>
        </w:rPr>
        <w:t xml:space="preserve"> 2016;38(1):23. doi: 10.1007/s11357-016-9884-3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Kalra S, Aggarwal S, Khandelwal D. Thyroid Dysfunction and Type 2 Diabetes Mellitus: Screening Strategies and Implications for Management. </w:t>
      </w:r>
      <w:r w:rsidRPr="00D83BD4">
        <w:rPr>
          <w:rFonts w:ascii="Times New Roman" w:hAnsi="Times New Roman"/>
          <w:sz w:val="28"/>
          <w:szCs w:val="28"/>
        </w:rPr>
        <w:t>Diabetes Ther. 2019;10(6):2035-2044. doi: 10.1007/s13300-019-00700-4.</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bCs/>
          <w:iCs/>
          <w:kern w:val="36"/>
          <w:sz w:val="28"/>
          <w:szCs w:val="28"/>
          <w:lang w:val="uk-UA"/>
        </w:rPr>
        <w:t>Kander MC, Cui Y, Liu Z. Gender difference in oxidative stress: a new look at the mechanisms for cardiovascular diseases. J Cell Mol Med. 2017;21(5):1024-1032. doi: 10.1111/jcmm.13038</w:t>
      </w:r>
      <w:r w:rsidRPr="00D83BD4">
        <w:rPr>
          <w:rFonts w:ascii="Times New Roman" w:hAnsi="Times New Roman"/>
          <w:bCs/>
          <w:iCs/>
          <w:kern w:val="36"/>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Kant M, Akış M, Çalan M, Arkan T, Bayraktar F, Dizdaroglu M, İşlekel H. Elevated urinary levels of 8-oxo-2'-deoxyguanosine, (5'R)- and (5'S)-8,5'-cyclo-2'-deoxyadenosines, and 8-iso-prostaglandin F2</w:t>
      </w:r>
      <w:r w:rsidRPr="00D83BD4">
        <w:rPr>
          <w:sz w:val="28"/>
          <w:szCs w:val="28"/>
        </w:rPr>
        <w:t>α</w:t>
      </w:r>
      <w:r w:rsidRPr="00D83BD4">
        <w:rPr>
          <w:sz w:val="28"/>
          <w:szCs w:val="28"/>
          <w:lang w:val="en-US"/>
        </w:rPr>
        <w:t xml:space="preserve"> as potential biomarkers of oxidative stress in patients with prediabetes. DNA Repair (Amst). 2016;48:1-7. doi: 10.1016/j.dnarep.2016.09.004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Kautzky-Willer A, Harreiter J. Sex and gender differences in therapy of type 2 diabetes. Diabetes Res Clin Pract. 2017;131:230-41  </w:t>
      </w:r>
      <w:r w:rsidRPr="00D83BD4">
        <w:rPr>
          <w:sz w:val="28"/>
          <w:szCs w:val="28"/>
          <w:shd w:val="clear" w:color="auto" w:fill="FFFFFF"/>
          <w:lang w:val="en-US"/>
        </w:rPr>
        <w:t>doi: 10.1016/j.diabres.2017.07.012.</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Khalangot MD, Krasnienkov DS, Chizhova VP, Korkushko OV, Shatilo VB, Kukharsky VM, et al.</w:t>
      </w:r>
      <w:r w:rsidRPr="00D83BD4">
        <w:rPr>
          <w:sz w:val="28"/>
          <w:szCs w:val="28"/>
          <w:lang w:val="uk-UA"/>
        </w:rPr>
        <w:t xml:space="preserve"> </w:t>
      </w:r>
      <w:r w:rsidRPr="00D83BD4">
        <w:rPr>
          <w:sz w:val="28"/>
          <w:szCs w:val="28"/>
          <w:lang w:val="en-US"/>
        </w:rPr>
        <w:t xml:space="preserve">Additional Impact of Glucose Tolerance on </w:t>
      </w:r>
      <w:r w:rsidRPr="00D83BD4">
        <w:rPr>
          <w:rStyle w:val="highlight"/>
          <w:sz w:val="28"/>
          <w:szCs w:val="28"/>
          <w:lang w:val="en-US"/>
        </w:rPr>
        <w:t>Telomere</w:t>
      </w:r>
      <w:r w:rsidRPr="00D83BD4">
        <w:rPr>
          <w:sz w:val="28"/>
          <w:szCs w:val="28"/>
          <w:lang w:val="en-US"/>
        </w:rPr>
        <w:t xml:space="preserve"> </w:t>
      </w:r>
      <w:r w:rsidRPr="00D83BD4">
        <w:rPr>
          <w:rStyle w:val="highlight"/>
          <w:sz w:val="28"/>
          <w:szCs w:val="28"/>
          <w:lang w:val="en-US"/>
        </w:rPr>
        <w:t>Length</w:t>
      </w:r>
      <w:r w:rsidRPr="00D83BD4">
        <w:rPr>
          <w:sz w:val="28"/>
          <w:szCs w:val="28"/>
          <w:lang w:val="en-US"/>
        </w:rPr>
        <w:t xml:space="preserve"> in Persons With and Without Metabolic Syndrome in the Elderly Ukraine Population. </w:t>
      </w:r>
      <w:r w:rsidRPr="00D83BD4">
        <w:rPr>
          <w:sz w:val="28"/>
          <w:szCs w:val="28"/>
        </w:rPr>
        <w:t>Front Endocrinol (Lausanne). 2019</w:t>
      </w:r>
      <w:r w:rsidRPr="00D83BD4">
        <w:rPr>
          <w:sz w:val="28"/>
          <w:szCs w:val="28"/>
          <w:lang w:val="en-US"/>
        </w:rPr>
        <w:t>;</w:t>
      </w:r>
      <w:r w:rsidRPr="00D83BD4">
        <w:rPr>
          <w:sz w:val="28"/>
          <w:szCs w:val="28"/>
        </w:rPr>
        <w:t xml:space="preserve">10:128. </w:t>
      </w:r>
      <w:r w:rsidRPr="00D83BD4">
        <w:rPr>
          <w:sz w:val="28"/>
          <w:szCs w:val="28"/>
          <w:lang w:val="en-US"/>
        </w:rPr>
        <w:t>doi</w:t>
      </w:r>
      <w:r w:rsidRPr="00D83BD4">
        <w:rPr>
          <w:sz w:val="28"/>
          <w:szCs w:val="28"/>
        </w:rPr>
        <w:t>: 10.3389/</w:t>
      </w:r>
      <w:r w:rsidRPr="00D83BD4">
        <w:rPr>
          <w:sz w:val="28"/>
          <w:szCs w:val="28"/>
          <w:lang w:val="en-US"/>
        </w:rPr>
        <w:t>fendo</w:t>
      </w:r>
      <w:r w:rsidRPr="00D83BD4">
        <w:rPr>
          <w:sz w:val="28"/>
          <w:szCs w:val="28"/>
        </w:rPr>
        <w:t xml:space="preserve">.2019.00128.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Khan SH, Fazal N, Ijaz A, Manzoor SM, Asif N, Rafi T, et al. Insulin Resistance and Glucose Levels in Subjects with Subclinical Hypothyroidism. </w:t>
      </w:r>
      <w:r w:rsidRPr="00D83BD4">
        <w:rPr>
          <w:sz w:val="28"/>
          <w:szCs w:val="28"/>
        </w:rPr>
        <w:t xml:space="preserve">J Coll Physicians Surg Pak. 2017;27(6):329-333.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Kilit C, Koçak FE, Paşalı Kilit T. Comparison of the effects of high-dose atorvastatin and high-dose rosuvastatin on oxidative stress in patients with acute myocardial infarction: A pilot study. Turk Kardiyol Dern Ars. 2017;45(3):235-243. doi: 10.5543/tkda.2017.22792.</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bCs/>
          <w:color w:val="000000"/>
          <w:sz w:val="28"/>
          <w:szCs w:val="28"/>
          <w:shd w:val="clear" w:color="auto" w:fill="FFFFFF"/>
          <w:lang w:val="en-US"/>
        </w:rPr>
        <w:t>Kim</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HJ</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Han</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SJ</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Kim</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DJ</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Jang</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HC</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Lim</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S</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Choi</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SH</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et al</w:t>
      </w:r>
      <w:r w:rsidRPr="00D83BD4">
        <w:rPr>
          <w:rFonts w:ascii="Times New Roman" w:hAnsi="Times New Roman"/>
          <w:bCs/>
          <w:color w:val="000000"/>
          <w:sz w:val="28"/>
          <w:szCs w:val="28"/>
          <w:shd w:val="clear" w:color="auto" w:fill="FFFFFF"/>
          <w:lang w:val="uk-UA"/>
        </w:rPr>
        <w:t xml:space="preserve">. </w:t>
      </w:r>
      <w:r w:rsidRPr="00D83BD4">
        <w:rPr>
          <w:rFonts w:ascii="Times New Roman" w:hAnsi="Times New Roman"/>
          <w:bCs/>
          <w:color w:val="000000"/>
          <w:sz w:val="28"/>
          <w:szCs w:val="28"/>
          <w:shd w:val="clear" w:color="auto" w:fill="FFFFFF"/>
          <w:lang w:val="en-US"/>
        </w:rPr>
        <w:t>Effects of valsartan and amlodipine on oxidative stress in type 2 diabetic patients with hypertension: a randomized, multicenter study. </w:t>
      </w:r>
      <w:r w:rsidRPr="00D83BD4">
        <w:rPr>
          <w:rFonts w:ascii="Times New Roman" w:hAnsi="Times New Roman"/>
          <w:bCs/>
          <w:sz w:val="28"/>
          <w:szCs w:val="28"/>
          <w:lang w:val="en-US"/>
        </w:rPr>
        <w:t xml:space="preserve">Korean J Intern Med. 2017;32(3):497-504. doi: 10.3904/kjim.2015.404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sz w:val="28"/>
          <w:szCs w:val="28"/>
        </w:rPr>
      </w:pPr>
      <w:r w:rsidRPr="00D83BD4">
        <w:rPr>
          <w:rFonts w:ascii="Times New Roman" w:hAnsi="Times New Roman"/>
          <w:color w:val="000000"/>
          <w:sz w:val="28"/>
          <w:szCs w:val="28"/>
          <w:lang w:val="en-US"/>
        </w:rPr>
        <w:t>Kim</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JY</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Kim</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OY</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Paik</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JK</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Kwon</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DY</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Kim</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H</w:t>
      </w:r>
      <w:r w:rsidRPr="00D83BD4">
        <w:rPr>
          <w:rFonts w:ascii="Times New Roman" w:hAnsi="Times New Roman"/>
          <w:color w:val="000000"/>
          <w:sz w:val="28"/>
          <w:szCs w:val="28"/>
          <w:lang w:val="uk-UA"/>
        </w:rPr>
        <w:t>-</w:t>
      </w:r>
      <w:r w:rsidRPr="00D83BD4">
        <w:rPr>
          <w:rFonts w:ascii="Times New Roman" w:hAnsi="Times New Roman"/>
          <w:color w:val="000000"/>
          <w:sz w:val="28"/>
          <w:szCs w:val="28"/>
          <w:lang w:val="en-US"/>
        </w:rPr>
        <w:t>J</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Lee</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JH</w:t>
      </w:r>
      <w:r w:rsidRPr="00D83BD4">
        <w:rPr>
          <w:rFonts w:ascii="Times New Roman" w:hAnsi="Times New Roman"/>
          <w:color w:val="000000"/>
          <w:sz w:val="28"/>
          <w:szCs w:val="28"/>
          <w:lang w:val="uk-UA"/>
        </w:rPr>
        <w:t xml:space="preserve">. </w:t>
      </w:r>
      <w:r w:rsidRPr="00D83BD4">
        <w:rPr>
          <w:rFonts w:ascii="Times New Roman" w:hAnsi="Times New Roman"/>
          <w:color w:val="000000"/>
          <w:sz w:val="28"/>
          <w:szCs w:val="28"/>
          <w:lang w:val="en-US"/>
        </w:rPr>
        <w:t xml:space="preserve">Association of age-related changes in circulating intermediary lipid metabolites, inflammatory and oxidative stress markers, and arterial stiffness in middle-aged men. Age (Dordr). 2013;35(4):1507-1519. </w:t>
      </w:r>
      <w:r w:rsidRPr="00D83BD4">
        <w:rPr>
          <w:rFonts w:ascii="Times New Roman" w:hAnsi="Times New Roman"/>
          <w:sz w:val="28"/>
          <w:szCs w:val="28"/>
        </w:rPr>
        <w:t>doi:10.1007/s11357-012-9454-2</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Kolesnikova E, Potapenko A. </w:t>
      </w:r>
      <w:r w:rsidRPr="00D83BD4">
        <w:rPr>
          <w:sz w:val="28"/>
          <w:szCs w:val="28"/>
        </w:rPr>
        <w:t>Е</w:t>
      </w:r>
      <w:r w:rsidRPr="00D83BD4">
        <w:rPr>
          <w:sz w:val="28"/>
          <w:szCs w:val="28"/>
          <w:lang w:val="en-US"/>
        </w:rPr>
        <w:t xml:space="preserve">ffect the cardiometabolic risk factors on vascular aging in patients with non-alcoholic fatty liver disease concomitant with subclinical hypothyroidism. </w:t>
      </w:r>
      <w:r w:rsidRPr="00D83BD4">
        <w:rPr>
          <w:sz w:val="28"/>
          <w:szCs w:val="28"/>
        </w:rPr>
        <w:t>Georgian Med News. 2017 Sep;(270):69-75.</w:t>
      </w:r>
    </w:p>
    <w:p w:rsidR="00E3259F" w:rsidRPr="00D83BD4" w:rsidRDefault="00E3259F" w:rsidP="00D83BD4">
      <w:pPr>
        <w:numPr>
          <w:ilvl w:val="0"/>
          <w:numId w:val="26"/>
        </w:numPr>
        <w:tabs>
          <w:tab w:val="num" w:pos="0"/>
        </w:tabs>
        <w:spacing w:line="360" w:lineRule="auto"/>
        <w:ind w:left="0" w:firstLine="0"/>
        <w:jc w:val="both"/>
        <w:rPr>
          <w:rStyle w:val="element-citation"/>
          <w:bCs/>
          <w:sz w:val="28"/>
          <w:szCs w:val="28"/>
          <w:lang w:val="en-US"/>
        </w:rPr>
      </w:pPr>
      <w:r w:rsidRPr="00D83BD4">
        <w:rPr>
          <w:sz w:val="28"/>
          <w:szCs w:val="28"/>
          <w:lang w:val="en-US"/>
        </w:rPr>
        <w:t>Konukoglu D, Uzun H. Endothelial Dysfunction and Hypertension. Adv Exp Med Biol. 2017;956:511-540. doi: 10.1007/5584_2016_90.</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sz w:val="28"/>
          <w:szCs w:val="28"/>
        </w:rPr>
      </w:pPr>
      <w:r w:rsidRPr="00D83BD4">
        <w:rPr>
          <w:rFonts w:ascii="Times New Roman" w:hAnsi="Times New Roman"/>
          <w:sz w:val="28"/>
          <w:szCs w:val="28"/>
          <w:lang w:val="en-US"/>
        </w:rPr>
        <w:t xml:space="preserve">Lampka </w:t>
      </w:r>
      <w:r w:rsidRPr="00D83BD4">
        <w:rPr>
          <w:rFonts w:ascii="Times New Roman" w:hAnsi="Times New Roman"/>
          <w:sz w:val="28"/>
          <w:szCs w:val="28"/>
        </w:rPr>
        <w:t>М</w:t>
      </w:r>
      <w:r w:rsidRPr="00D83BD4">
        <w:rPr>
          <w:rFonts w:ascii="Times New Roman" w:hAnsi="Times New Roman"/>
          <w:sz w:val="28"/>
          <w:szCs w:val="28"/>
          <w:lang w:val="uk-UA"/>
        </w:rPr>
        <w:t xml:space="preserve">, </w:t>
      </w:r>
      <w:r w:rsidRPr="00D83BD4">
        <w:rPr>
          <w:rFonts w:ascii="Times New Roman" w:hAnsi="Times New Roman"/>
          <w:sz w:val="28"/>
          <w:szCs w:val="28"/>
          <w:lang w:val="en-US"/>
        </w:rPr>
        <w:t>Gr</w:t>
      </w:r>
      <w:r w:rsidRPr="00D83BD4">
        <w:rPr>
          <w:rFonts w:ascii="Times New Roman" w:hAnsi="Times New Roman"/>
          <w:sz w:val="28"/>
          <w:szCs w:val="28"/>
        </w:rPr>
        <w:t>о</w:t>
      </w:r>
      <w:r w:rsidRPr="00D83BD4">
        <w:rPr>
          <w:rFonts w:ascii="Times New Roman" w:hAnsi="Times New Roman"/>
          <w:sz w:val="28"/>
          <w:szCs w:val="28"/>
          <w:lang w:val="en-US"/>
        </w:rPr>
        <w:t>bczewska Z, Jendryczka-Mackiewicz E,</w:t>
      </w:r>
      <w:r w:rsidRPr="00D83BD4">
        <w:rPr>
          <w:rFonts w:ascii="Times New Roman" w:hAnsi="Times New Roman"/>
          <w:sz w:val="28"/>
          <w:szCs w:val="28"/>
          <w:lang w:val="uk-UA"/>
        </w:rPr>
        <w:t xml:space="preserve"> </w:t>
      </w:r>
      <w:r w:rsidRPr="00D83BD4">
        <w:rPr>
          <w:rFonts w:ascii="Times New Roman" w:hAnsi="Times New Roman"/>
          <w:color w:val="212121"/>
          <w:sz w:val="28"/>
          <w:szCs w:val="28"/>
          <w:shd w:val="clear" w:color="auto" w:fill="FFFFFF"/>
          <w:lang w:val="en-US"/>
        </w:rPr>
        <w:t>Hołyńska-Iwan I, Sukiennik A, Kubica J, </w:t>
      </w:r>
      <w:r w:rsidRPr="00D83BD4">
        <w:rPr>
          <w:rFonts w:ascii="Times New Roman" w:hAnsi="Times New Roman"/>
          <w:sz w:val="28"/>
          <w:szCs w:val="28"/>
          <w:lang w:val="en-US"/>
        </w:rPr>
        <w:t xml:space="preserve"> et al.</w:t>
      </w:r>
      <w:r w:rsidRPr="00D83BD4">
        <w:rPr>
          <w:rFonts w:ascii="Times New Roman" w:hAnsi="Times New Roman"/>
          <w:sz w:val="28"/>
          <w:szCs w:val="28"/>
          <w:lang w:val="uk-UA"/>
        </w:rPr>
        <w:t xml:space="preserve"> </w:t>
      </w:r>
      <w:r w:rsidRPr="00D83BD4">
        <w:rPr>
          <w:rFonts w:ascii="Times New Roman" w:hAnsi="Times New Roman"/>
          <w:sz w:val="28"/>
          <w:szCs w:val="28"/>
          <w:lang w:val="en-US"/>
        </w:rPr>
        <w:t xml:space="preserve"> Circulating endothelial cells in coronary artery disease.</w:t>
      </w:r>
      <w:r w:rsidRPr="00D83BD4">
        <w:rPr>
          <w:rFonts w:ascii="Times New Roman" w:hAnsi="Times New Roman"/>
          <w:sz w:val="28"/>
          <w:szCs w:val="28"/>
          <w:lang w:val="uk-UA"/>
        </w:rPr>
        <w:t xml:space="preserve"> </w:t>
      </w:r>
      <w:r w:rsidRPr="00D83BD4">
        <w:rPr>
          <w:rFonts w:ascii="Times New Roman" w:hAnsi="Times New Roman"/>
          <w:sz w:val="28"/>
          <w:szCs w:val="28"/>
          <w:lang w:val="en-US"/>
        </w:rPr>
        <w:t xml:space="preserve">Kardiologia Polska. </w:t>
      </w:r>
      <w:r w:rsidRPr="00D83BD4">
        <w:rPr>
          <w:rFonts w:ascii="Times New Roman" w:hAnsi="Times New Roman"/>
          <w:sz w:val="28"/>
          <w:szCs w:val="28"/>
          <w:lang w:val="uk-UA"/>
        </w:rPr>
        <w:t xml:space="preserve"> </w:t>
      </w:r>
      <w:r w:rsidRPr="00D83BD4">
        <w:rPr>
          <w:rFonts w:ascii="Times New Roman" w:hAnsi="Times New Roman"/>
          <w:sz w:val="28"/>
          <w:szCs w:val="28"/>
          <w:lang w:val="en-US"/>
        </w:rPr>
        <w:t>2010;68(10):1100-1105.</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Lei J, Gu X, Ye Z, Shi J, Zheng X. Antiaging effects of simvastatin on vascular endothelial cells. </w:t>
      </w:r>
      <w:r w:rsidRPr="00D83BD4">
        <w:rPr>
          <w:rFonts w:ascii="Times New Roman" w:hAnsi="Times New Roman"/>
          <w:sz w:val="28"/>
          <w:szCs w:val="28"/>
        </w:rPr>
        <w:t>Clin Appl Thromb Hemost.</w:t>
      </w:r>
      <w:r w:rsidRPr="00D83BD4">
        <w:rPr>
          <w:rFonts w:ascii="Times New Roman" w:hAnsi="Times New Roman"/>
          <w:sz w:val="28"/>
          <w:szCs w:val="28"/>
          <w:lang w:val="en-US"/>
        </w:rPr>
        <w:t xml:space="preserve"> 2014;20(2):212-8. doi: 10.1177/1076029612458967 </w:t>
      </w:r>
    </w:p>
    <w:p w:rsidR="00E3259F" w:rsidRPr="00D83BD4" w:rsidRDefault="00E3259F" w:rsidP="00D83BD4">
      <w:pPr>
        <w:pStyle w:val="31"/>
        <w:numPr>
          <w:ilvl w:val="0"/>
          <w:numId w:val="26"/>
        </w:numPr>
        <w:tabs>
          <w:tab w:val="num" w:pos="0"/>
        </w:tabs>
        <w:spacing w:after="0" w:line="360" w:lineRule="auto"/>
        <w:ind w:left="0" w:firstLine="0"/>
        <w:jc w:val="both"/>
        <w:rPr>
          <w:rStyle w:val="element-citation"/>
          <w:rFonts w:ascii="Times New Roman" w:hAnsi="Times New Roman"/>
          <w:sz w:val="28"/>
          <w:szCs w:val="28"/>
        </w:rPr>
      </w:pPr>
      <w:r w:rsidRPr="00D83BD4">
        <w:rPr>
          <w:rFonts w:ascii="Times New Roman" w:hAnsi="Times New Roman"/>
          <w:bCs/>
          <w:sz w:val="28"/>
          <w:szCs w:val="28"/>
          <w:lang w:val="en-US"/>
        </w:rPr>
        <w:t>Lekakis</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J</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Abraham</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P</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Balbarinr</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w:t>
      </w:r>
      <w:r w:rsidRPr="00D83BD4">
        <w:rPr>
          <w:rFonts w:ascii="Times New Roman" w:hAnsi="Times New Roman"/>
          <w:bCs/>
          <w:sz w:val="28"/>
          <w:szCs w:val="28"/>
          <w:lang w:val="uk-UA"/>
        </w:rPr>
        <w:t xml:space="preserve">, </w:t>
      </w:r>
      <w:r w:rsidRPr="00D83BD4">
        <w:rPr>
          <w:rFonts w:ascii="Times New Roman" w:hAnsi="Times New Roman"/>
          <w:color w:val="212121"/>
          <w:sz w:val="28"/>
          <w:szCs w:val="28"/>
          <w:shd w:val="clear" w:color="auto" w:fill="FFFFFF"/>
          <w:lang w:val="en-US"/>
        </w:rPr>
        <w:t>Blann A, Boulanger CM, Cockcroft J, </w:t>
      </w:r>
      <w:r w:rsidRPr="00D83BD4">
        <w:rPr>
          <w:rFonts w:ascii="Times New Roman" w:hAnsi="Times New Roman"/>
          <w:bCs/>
          <w:sz w:val="28"/>
          <w:szCs w:val="28"/>
          <w:lang w:val="en-US"/>
        </w:rPr>
        <w:t xml:space="preserve"> et</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al</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Methods</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for</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evaluating</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endothelial</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function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position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statement</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from</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the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European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Society</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of</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Cardiology</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Working</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Group</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on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Peripheral</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Circulation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Eur</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J</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Cardiovasc</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Prev</w:t>
      </w:r>
      <w:r w:rsidRPr="00D83BD4">
        <w:rPr>
          <w:rFonts w:ascii="Times New Roman" w:hAnsi="Times New Roman"/>
          <w:bCs/>
          <w:sz w:val="28"/>
          <w:szCs w:val="28"/>
          <w:lang w:val="uk-UA"/>
        </w:rPr>
        <w:t>. 2011</w:t>
      </w:r>
      <w:r w:rsidRPr="00D83BD4">
        <w:rPr>
          <w:rFonts w:ascii="Times New Roman" w:hAnsi="Times New Roman"/>
          <w:bCs/>
          <w:sz w:val="28"/>
          <w:szCs w:val="28"/>
          <w:lang w:val="en-US"/>
        </w:rPr>
        <w:t>;</w:t>
      </w:r>
      <w:r w:rsidRPr="00D83BD4">
        <w:rPr>
          <w:rFonts w:ascii="Times New Roman" w:hAnsi="Times New Roman"/>
          <w:bCs/>
          <w:sz w:val="28"/>
          <w:szCs w:val="28"/>
          <w:lang w:val="uk-UA"/>
        </w:rPr>
        <w:t>18(6)</w:t>
      </w:r>
      <w:r w:rsidRPr="00D83BD4">
        <w:rPr>
          <w:rFonts w:ascii="Times New Roman" w:hAnsi="Times New Roman"/>
          <w:bCs/>
          <w:sz w:val="28"/>
          <w:szCs w:val="28"/>
          <w:lang w:val="en-US"/>
        </w:rPr>
        <w:t>:</w:t>
      </w:r>
      <w:r w:rsidRPr="00D83BD4">
        <w:rPr>
          <w:rFonts w:ascii="Times New Roman" w:hAnsi="Times New Roman"/>
          <w:bCs/>
          <w:sz w:val="28"/>
          <w:szCs w:val="28"/>
          <w:lang w:val="uk-UA"/>
        </w:rPr>
        <w:t xml:space="preserve">775-89. </w:t>
      </w:r>
      <w:r w:rsidRPr="00D83BD4">
        <w:rPr>
          <w:rFonts w:ascii="Times New Roman" w:hAnsi="Times New Roman"/>
          <w:bCs/>
          <w:sz w:val="28"/>
          <w:szCs w:val="28"/>
        </w:rPr>
        <w:t>doi</w:t>
      </w:r>
      <w:r w:rsidRPr="00D83BD4">
        <w:rPr>
          <w:rFonts w:ascii="Times New Roman" w:hAnsi="Times New Roman"/>
          <w:bCs/>
          <w:sz w:val="28"/>
          <w:szCs w:val="28"/>
          <w:lang w:val="uk-UA"/>
        </w:rPr>
        <w:t>: 10.1177/1741826711398179</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Li X, Yang G, Zhao G, Wu B, Edin ML, Zeldin DC, Wang DW. Rosuvastatin attenuates the elevation in blood pressure induced by overexpression of human C-reactive protein. </w:t>
      </w:r>
      <w:r w:rsidRPr="00D83BD4">
        <w:rPr>
          <w:sz w:val="28"/>
          <w:szCs w:val="28"/>
        </w:rPr>
        <w:t>Hypertens Res. 2011;34(7):869-875.</w:t>
      </w:r>
      <w:r w:rsidRPr="00D83BD4">
        <w:rPr>
          <w:sz w:val="28"/>
          <w:szCs w:val="28"/>
          <w:shd w:val="clear" w:color="auto" w:fill="FFFFFF"/>
        </w:rPr>
        <w:t xml:space="preserve"> doi: </w:t>
      </w:r>
      <w:r w:rsidRPr="009E4B7D">
        <w:rPr>
          <w:sz w:val="28"/>
          <w:szCs w:val="28"/>
          <w:shd w:val="clear" w:color="auto" w:fill="FFFFFF"/>
        </w:rPr>
        <w:t>10.1038/hr.2011.44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Libertini G, Corbi G, Cellurale M, Ferrara N.</w:t>
      </w:r>
      <w:r w:rsidRPr="00D83BD4">
        <w:rPr>
          <w:sz w:val="28"/>
          <w:szCs w:val="28"/>
          <w:lang w:val="uk-UA"/>
        </w:rPr>
        <w:t xml:space="preserve"> </w:t>
      </w:r>
      <w:r w:rsidRPr="00D83BD4">
        <w:rPr>
          <w:sz w:val="28"/>
          <w:szCs w:val="28"/>
          <w:lang w:val="en-US"/>
        </w:rPr>
        <w:t xml:space="preserve">Age-Related Dysfunctions: Evidence and Relationship with Some Risk Factors and Protective Drugs. </w:t>
      </w:r>
      <w:r w:rsidRPr="00D83BD4">
        <w:rPr>
          <w:sz w:val="28"/>
          <w:szCs w:val="28"/>
        </w:rPr>
        <w:t>Biochemistry (Mosc). 2019 Dec;84(12):1442-1450. doi: 10.1134/S0006297919120034.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Liinamaa MJ, Savolainen MJ. High vitreous concentration of vascular endothelial growth factor in diabetic patients with proliferative retinopathy using statins. </w:t>
      </w:r>
      <w:r w:rsidRPr="00D83BD4">
        <w:rPr>
          <w:sz w:val="28"/>
          <w:szCs w:val="28"/>
        </w:rPr>
        <w:t>Ann Med. 2008; 40(3):209-214.</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Liu A, Wu Q, Guo J, Ares I, Rodríguez JL, Martínez-Larrañaga MR, et al. Statins: Adverse reactions, oxidative stress and metabolic interactions. Pharmacol Ther. 2019;195:54-84. doi: 10.1016/j.pharmthera.2018.10.004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Lodovici M, Bigagli E, Luceri C, Mannucci E, Rotella CM, Raimondi L.</w:t>
      </w:r>
      <w:r w:rsidRPr="00D83BD4">
        <w:rPr>
          <w:sz w:val="28"/>
          <w:szCs w:val="28"/>
          <w:lang w:val="es-ES"/>
        </w:rPr>
        <w:t xml:space="preserve"> </w:t>
      </w:r>
      <w:r w:rsidRPr="00D83BD4">
        <w:rPr>
          <w:sz w:val="28"/>
          <w:szCs w:val="28"/>
          <w:lang w:val="en-US"/>
        </w:rPr>
        <w:t xml:space="preserve">Gender-related drug effect on several markers of oxidation </w:t>
      </w:r>
      <w:r w:rsidRPr="00D83BD4">
        <w:rPr>
          <w:rStyle w:val="highlight"/>
          <w:sz w:val="28"/>
          <w:szCs w:val="28"/>
          <w:lang w:val="en-US"/>
        </w:rPr>
        <w:t>stress</w:t>
      </w:r>
      <w:r w:rsidRPr="00D83BD4">
        <w:rPr>
          <w:sz w:val="28"/>
          <w:szCs w:val="28"/>
          <w:lang w:val="en-US"/>
        </w:rPr>
        <w:t xml:space="preserve"> in diabetes patients with and without complications. </w:t>
      </w:r>
      <w:r w:rsidRPr="00D83BD4">
        <w:rPr>
          <w:sz w:val="28"/>
          <w:szCs w:val="28"/>
        </w:rPr>
        <w:t>Eur J Pharmacol. 2015;766:86-90</w:t>
      </w:r>
      <w:r w:rsidRPr="00D83BD4">
        <w:rPr>
          <w:sz w:val="28"/>
          <w:szCs w:val="28"/>
          <w:lang w:val="en-US"/>
        </w:rPr>
        <w:t xml:space="preserve">. </w:t>
      </w:r>
      <w:r w:rsidRPr="00D83BD4">
        <w:rPr>
          <w:sz w:val="28"/>
          <w:szCs w:val="28"/>
        </w:rPr>
        <w:t>doi: 10.1016/j.ejphar.2015.09.041</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Lorza-Gil E, de Souza JC, García-Arévalo M, Vettorazzi JF, Marques AC, Salerno AG, et al. Coenzyme Q10 protects against </w:t>
      </w:r>
      <w:r w:rsidRPr="00D83BD4">
        <w:rPr>
          <w:sz w:val="28"/>
          <w:szCs w:val="28"/>
        </w:rPr>
        <w:t>β</w:t>
      </w:r>
      <w:r w:rsidRPr="00D83BD4">
        <w:rPr>
          <w:sz w:val="28"/>
          <w:szCs w:val="28"/>
          <w:lang w:val="en-US"/>
        </w:rPr>
        <w:t xml:space="preserve">-cell toxicity induced by pravastatin treatment of hypercholesterolemia. </w:t>
      </w:r>
      <w:r w:rsidRPr="00D83BD4">
        <w:rPr>
          <w:sz w:val="28"/>
          <w:szCs w:val="28"/>
        </w:rPr>
        <w:t>J Cell Physiol. 2019;234(7):11047-11059. doi: 10.1002/jcp.27932.</w:t>
      </w:r>
    </w:p>
    <w:p w:rsidR="00E3259F" w:rsidRPr="00D83BD4" w:rsidRDefault="00E3259F" w:rsidP="00D83BD4">
      <w:pPr>
        <w:pStyle w:val="31"/>
        <w:numPr>
          <w:ilvl w:val="0"/>
          <w:numId w:val="26"/>
        </w:numPr>
        <w:tabs>
          <w:tab w:val="num" w:pos="0"/>
        </w:tabs>
        <w:spacing w:after="0" w:line="360" w:lineRule="auto"/>
        <w:ind w:left="0" w:firstLine="0"/>
        <w:jc w:val="both"/>
        <w:rPr>
          <w:rStyle w:val="element-citation"/>
          <w:rFonts w:ascii="Times New Roman" w:hAnsi="Times New Roman"/>
          <w:bCs/>
          <w:sz w:val="28"/>
          <w:szCs w:val="28"/>
          <w:lang w:val="en-US"/>
        </w:rPr>
      </w:pPr>
      <w:r w:rsidRPr="00D83BD4">
        <w:rPr>
          <w:rStyle w:val="element-citation"/>
          <w:rFonts w:ascii="Times New Roman" w:hAnsi="Times New Roman"/>
          <w:sz w:val="28"/>
          <w:szCs w:val="28"/>
          <w:lang w:val="en-US"/>
        </w:rPr>
        <w:t>Lu YH, Xia ZL, Ma YY, Chen HJ, Yan LP, Xu HF. Subclinical hypothyroidism is associated with metabolic syndrome and clomiphene citrate resistance in women with polycystic ovary syndrome. </w:t>
      </w:r>
      <w:r w:rsidRPr="00D83BD4">
        <w:rPr>
          <w:rStyle w:val="ref-journal"/>
          <w:rFonts w:ascii="Times New Roman" w:hAnsi="Times New Roman"/>
          <w:sz w:val="28"/>
          <w:szCs w:val="28"/>
          <w:lang w:val="en-US"/>
        </w:rPr>
        <w:t>Gynecol. Endocrinol. </w:t>
      </w:r>
      <w:r w:rsidRPr="00D83BD4">
        <w:rPr>
          <w:rStyle w:val="element-citation"/>
          <w:rFonts w:ascii="Times New Roman" w:hAnsi="Times New Roman"/>
          <w:sz w:val="28"/>
          <w:szCs w:val="28"/>
          <w:lang w:val="en-US"/>
        </w:rPr>
        <w:t>2016;</w:t>
      </w:r>
      <w:r w:rsidRPr="00D83BD4">
        <w:rPr>
          <w:rStyle w:val="ref-vol"/>
          <w:rFonts w:ascii="Times New Roman" w:hAnsi="Times New Roman"/>
          <w:sz w:val="28"/>
          <w:szCs w:val="28"/>
          <w:lang w:val="en-US"/>
        </w:rPr>
        <w:t>32</w:t>
      </w:r>
      <w:r w:rsidRPr="00D83BD4">
        <w:rPr>
          <w:rStyle w:val="element-citation"/>
          <w:rFonts w:ascii="Times New Roman" w:hAnsi="Times New Roman"/>
          <w:sz w:val="28"/>
          <w:szCs w:val="28"/>
          <w:lang w:val="en-US"/>
        </w:rPr>
        <w:t xml:space="preserve">:852–855. doi: 10.1080/09513590.2016.1183193 </w:t>
      </w:r>
    </w:p>
    <w:p w:rsidR="00E3259F" w:rsidRPr="00D83BD4" w:rsidRDefault="00E3259F" w:rsidP="00D83BD4">
      <w:pPr>
        <w:pStyle w:val="a4"/>
        <w:numPr>
          <w:ilvl w:val="0"/>
          <w:numId w:val="26"/>
        </w:numPr>
        <w:tabs>
          <w:tab w:val="num" w:pos="0"/>
        </w:tabs>
        <w:spacing w:line="360" w:lineRule="auto"/>
        <w:ind w:left="0" w:firstLine="0"/>
        <w:jc w:val="both"/>
        <w:rPr>
          <w:rFonts w:eastAsia="Calibri"/>
          <w:sz w:val="28"/>
          <w:szCs w:val="28"/>
          <w:lang w:eastAsia="en-US"/>
        </w:rPr>
      </w:pPr>
      <w:bookmarkStart w:id="36" w:name="_Hlk43488703"/>
      <w:r w:rsidRPr="00D83BD4">
        <w:rPr>
          <w:rFonts w:eastAsia="Calibri"/>
          <w:sz w:val="28"/>
          <w:szCs w:val="28"/>
          <w:shd w:val="clear" w:color="auto" w:fill="FFFFFF"/>
          <w:lang w:val="en-US" w:eastAsia="en-US"/>
        </w:rPr>
        <w:t>Mahase E. Subclinical hypothyroidism: doctors shouldn't routinely prescribe hormones.</w:t>
      </w:r>
      <w:r w:rsidRPr="00D83BD4">
        <w:rPr>
          <w:rStyle w:val="apple-converted-space"/>
          <w:rFonts w:eastAsia="Calibri"/>
          <w:sz w:val="28"/>
          <w:szCs w:val="28"/>
          <w:shd w:val="clear" w:color="auto" w:fill="FFFFFF"/>
          <w:lang w:val="en-US" w:eastAsia="en-US"/>
        </w:rPr>
        <w:t> </w:t>
      </w:r>
      <w:r w:rsidRPr="00D83BD4">
        <w:rPr>
          <w:rFonts w:eastAsia="Calibri"/>
          <w:sz w:val="28"/>
          <w:szCs w:val="28"/>
          <w:shd w:val="clear" w:color="auto" w:fill="FFFFFF"/>
          <w:lang w:eastAsia="en-US"/>
        </w:rPr>
        <w:t>BMJ. 2019;365:l2262. doi:10.1136/bmj.l2262</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Mahdi HSh, Henning RH,  van Buiten A,  Goris M,  Deelman LE,   Buikema H. Metformin Improves Endothelial Function and Reduces Blood Pressure in Diabetic Spontaneously Hypertensive Rats Independent from Glycemia Control: Comparison to Vildagliptin. Sci Rep.   2017;7: 0975. doi:  10.1038/s41598-017-11430-7</w:t>
      </w:r>
    </w:p>
    <w:p w:rsidR="00E3259F" w:rsidRPr="00D83BD4" w:rsidRDefault="00E3259F" w:rsidP="00D83BD4">
      <w:pPr>
        <w:pStyle w:val="a4"/>
        <w:numPr>
          <w:ilvl w:val="0"/>
          <w:numId w:val="26"/>
        </w:numPr>
        <w:tabs>
          <w:tab w:val="num" w:pos="0"/>
        </w:tabs>
        <w:spacing w:line="360" w:lineRule="auto"/>
        <w:ind w:left="0" w:firstLine="0"/>
        <w:jc w:val="both"/>
        <w:rPr>
          <w:rStyle w:val="a3"/>
          <w:rFonts w:eastAsia="Calibri"/>
          <w:color w:val="auto"/>
          <w:sz w:val="28"/>
          <w:szCs w:val="28"/>
          <w:lang w:eastAsia="en-US"/>
        </w:rPr>
      </w:pPr>
      <w:r w:rsidRPr="00D83BD4">
        <w:rPr>
          <w:rFonts w:eastAsia="Calibri"/>
          <w:sz w:val="28"/>
          <w:szCs w:val="28"/>
          <w:shd w:val="clear" w:color="auto" w:fill="FFFFFF"/>
          <w:lang w:val="en-US" w:eastAsia="en-US"/>
        </w:rPr>
        <w:t xml:space="preserve">Mahmood SS, Levy D, Vasan RS, Wang TJ. The Framingham Heart Study and the epidemiology of cardiovascular disease: a historical perspective. </w:t>
      </w:r>
      <w:r w:rsidRPr="00D83BD4">
        <w:rPr>
          <w:rFonts w:eastAsia="Calibri"/>
          <w:sz w:val="28"/>
          <w:szCs w:val="28"/>
          <w:shd w:val="clear" w:color="auto" w:fill="FFFFFF"/>
          <w:lang w:eastAsia="en-US"/>
        </w:rPr>
        <w:t>Lancet. 2014;383(9921):999-1008. doi: 10.1016/S0140-6736(13)61752-3</w:t>
      </w:r>
      <w:r w:rsidRPr="00D83BD4">
        <w:rPr>
          <w:rFonts w:eastAsia="Calibri"/>
          <w:sz w:val="28"/>
          <w:szCs w:val="28"/>
          <w:shd w:val="clear" w:color="auto" w:fill="FFFFFF"/>
          <w:lang w:val="en-US" w:eastAsia="en-US"/>
        </w:rPr>
        <w:t xml:space="preserve"> </w:t>
      </w:r>
      <w:r w:rsidRPr="00D83BD4">
        <w:rPr>
          <w:rFonts w:eastAsia="Calibri"/>
          <w:sz w:val="28"/>
          <w:szCs w:val="28"/>
          <w:shd w:val="clear" w:color="auto" w:fill="FFFFFF"/>
          <w:lang w:eastAsia="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Maloberti A, Vallerio P, Triglione N, Occhi L, Panzeri F, Bassi I, et al. Vascular Aging and Disease of the Large Vessels: Role of Inflammation. </w:t>
      </w:r>
      <w:r w:rsidRPr="00D83BD4">
        <w:rPr>
          <w:sz w:val="28"/>
          <w:szCs w:val="28"/>
        </w:rPr>
        <w:t>High Blood Press Cardiovasc Prev. 2019</w:t>
      </w:r>
      <w:r w:rsidRPr="00D83BD4">
        <w:rPr>
          <w:sz w:val="28"/>
          <w:szCs w:val="28"/>
          <w:lang w:val="en-US"/>
        </w:rPr>
        <w:t>;26:</w:t>
      </w:r>
      <w:r w:rsidRPr="00D83BD4">
        <w:rPr>
          <w:sz w:val="28"/>
          <w:szCs w:val="28"/>
          <w:shd w:val="clear" w:color="auto" w:fill="FCFCFC"/>
        </w:rPr>
        <w:t>175–182</w:t>
      </w:r>
      <w:r w:rsidRPr="00D83BD4">
        <w:rPr>
          <w:sz w:val="28"/>
          <w:szCs w:val="28"/>
        </w:rPr>
        <w:t>.  </w:t>
      </w:r>
      <w:r w:rsidRPr="00D83BD4">
        <w:rPr>
          <w:sz w:val="28"/>
          <w:szCs w:val="28"/>
          <w:shd w:val="clear" w:color="auto" w:fill="FCFCFC"/>
        </w:rPr>
        <w:t>doi.org/10.1007/s40292-019-00318-4</w:t>
      </w:r>
    </w:p>
    <w:p w:rsidR="00E3259F" w:rsidRPr="00D83BD4" w:rsidRDefault="00E3259F" w:rsidP="00D83BD4">
      <w:pPr>
        <w:pStyle w:val="a4"/>
        <w:numPr>
          <w:ilvl w:val="0"/>
          <w:numId w:val="26"/>
        </w:numPr>
        <w:tabs>
          <w:tab w:val="num" w:pos="0"/>
        </w:tabs>
        <w:spacing w:line="360" w:lineRule="auto"/>
        <w:ind w:left="0" w:firstLine="0"/>
        <w:jc w:val="both"/>
        <w:rPr>
          <w:rFonts w:eastAsia="Calibri"/>
          <w:sz w:val="28"/>
          <w:szCs w:val="28"/>
          <w:lang w:val="en-US" w:eastAsia="en-US"/>
        </w:rPr>
      </w:pPr>
      <w:r w:rsidRPr="00D83BD4">
        <w:rPr>
          <w:rFonts w:eastAsia="Calibri"/>
          <w:sz w:val="28"/>
          <w:szCs w:val="28"/>
          <w:lang w:val="en-US" w:eastAsia="en-US"/>
        </w:rPr>
        <w:t>Mancia G</w:t>
      </w:r>
      <w:bookmarkEnd w:id="36"/>
      <w:r w:rsidRPr="00D83BD4">
        <w:rPr>
          <w:rFonts w:eastAsia="Calibri"/>
          <w:sz w:val="28"/>
          <w:szCs w:val="28"/>
          <w:lang w:val="en-US" w:eastAsia="en-US"/>
        </w:rPr>
        <w:t>, Fagard R, Narkiewicz K, Redón J, Zanchetti A, Böhm M, et al. 2013 ESH/ESC Guidelines for the management of arterial hypertension: the Task Force for the management of arterial</w:t>
      </w:r>
      <w:r w:rsidRPr="00D83BD4">
        <w:rPr>
          <w:rFonts w:eastAsia="Calibri"/>
          <w:sz w:val="28"/>
          <w:szCs w:val="28"/>
          <w:lang w:val="uk-UA" w:eastAsia="en-US"/>
        </w:rPr>
        <w:t xml:space="preserve"> </w:t>
      </w:r>
      <w:r w:rsidRPr="00D83BD4">
        <w:rPr>
          <w:rFonts w:eastAsia="Calibri"/>
          <w:sz w:val="28"/>
          <w:szCs w:val="28"/>
          <w:lang w:val="en-US" w:eastAsia="en-US"/>
        </w:rPr>
        <w:t xml:space="preserve">hypertension of the European Society of Hypertension (ESH) and of the European Society of Cardiology (ESC).  J  of Hypertension.  2013;31(7):1281–1357. </w:t>
      </w:r>
      <w:r w:rsidRPr="00D83BD4">
        <w:rPr>
          <w:sz w:val="28"/>
          <w:szCs w:val="28"/>
          <w:shd w:val="clear" w:color="auto" w:fill="FFFFFF"/>
        </w:rPr>
        <w:t>doi: 10.1097/01.hjh.0000431740.32696.cc.</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Mancini A, Di Segni C, Raimondo S, Olivieri G, Silvestrini A, Meucci E, Currò D. Thyroid Hormones, Oxidative Stress, and Inflammation. </w:t>
      </w:r>
      <w:r w:rsidRPr="00D83BD4">
        <w:rPr>
          <w:sz w:val="28"/>
          <w:szCs w:val="28"/>
        </w:rPr>
        <w:t>Mediators Inflamm. 2016;2016:6757154. doi: 10.1155/2016/6757154.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Marques C, Gonçalves A, Pereira PMR, Almeida D, Martins B, Fontes-Ribeiro C, et al. The dipeptidyl peptidase 4 inhibitor sitagliptin improves oxidative stress and ameliorates glomerular lesions in a rat model of type 1 diabetes. </w:t>
      </w:r>
      <w:r w:rsidRPr="00D83BD4">
        <w:rPr>
          <w:sz w:val="28"/>
          <w:szCs w:val="28"/>
        </w:rPr>
        <w:t>Life Sci. 2019;234:116738. doi: 10.1016/j.lfs.2019.116738</w:t>
      </w:r>
      <w:r w:rsidRPr="00D83BD4">
        <w:rPr>
          <w:sz w:val="28"/>
          <w:szCs w:val="28"/>
          <w:lang w:val="en-US"/>
        </w:rPr>
        <w:t xml:space="preserve"> </w:t>
      </w:r>
    </w:p>
    <w:p w:rsidR="00E3259F" w:rsidRPr="00D83BD4" w:rsidRDefault="00E3259F" w:rsidP="00D83BD4">
      <w:pPr>
        <w:pStyle w:val="31"/>
        <w:numPr>
          <w:ilvl w:val="0"/>
          <w:numId w:val="26"/>
        </w:numPr>
        <w:tabs>
          <w:tab w:val="num" w:pos="0"/>
        </w:tabs>
        <w:spacing w:after="0" w:line="360" w:lineRule="auto"/>
        <w:ind w:left="0" w:firstLine="0"/>
        <w:jc w:val="both"/>
        <w:rPr>
          <w:rStyle w:val="element-citation"/>
          <w:rFonts w:ascii="Times New Roman" w:hAnsi="Times New Roman"/>
          <w:bCs/>
          <w:sz w:val="28"/>
          <w:szCs w:val="28"/>
          <w:lang w:val="en-US"/>
        </w:rPr>
      </w:pPr>
      <w:r w:rsidRPr="00D83BD4">
        <w:rPr>
          <w:rStyle w:val="mixed-citation"/>
          <w:rFonts w:ascii="Times New Roman" w:eastAsia="Calibri" w:hAnsi="Times New Roman"/>
          <w:sz w:val="28"/>
          <w:szCs w:val="28"/>
          <w:lang w:val="en-US"/>
        </w:rPr>
        <w:t>Masi</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S</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D</w:t>
      </w:r>
      <w:r w:rsidRPr="00D83BD4">
        <w:rPr>
          <w:rStyle w:val="mixed-citation"/>
          <w:rFonts w:ascii="Times New Roman" w:eastAsia="Calibri" w:hAnsi="Times New Roman"/>
          <w:sz w:val="28"/>
          <w:szCs w:val="28"/>
          <w:lang w:val="uk-UA"/>
        </w:rPr>
        <w:t>’</w:t>
      </w:r>
      <w:r w:rsidRPr="00D83BD4">
        <w:rPr>
          <w:rStyle w:val="mixed-citation"/>
          <w:rFonts w:ascii="Times New Roman" w:eastAsia="Calibri" w:hAnsi="Times New Roman"/>
          <w:sz w:val="28"/>
          <w:szCs w:val="28"/>
          <w:lang w:val="en-US"/>
        </w:rPr>
        <w:t>Aiuto</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F</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Cooper</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J</w:t>
      </w:r>
      <w:r w:rsidRPr="00D83BD4">
        <w:rPr>
          <w:rStyle w:val="mixed-citation"/>
          <w:rFonts w:ascii="Times New Roman" w:eastAsia="Calibri" w:hAnsi="Times New Roman"/>
          <w:sz w:val="28"/>
          <w:szCs w:val="28"/>
          <w:lang w:val="uk-UA"/>
        </w:rPr>
        <w:t xml:space="preserve">, </w:t>
      </w:r>
      <w:r w:rsidRPr="00D83BD4">
        <w:rPr>
          <w:rFonts w:ascii="Times New Roman" w:hAnsi="Times New Roman"/>
          <w:sz w:val="28"/>
          <w:szCs w:val="28"/>
          <w:shd w:val="clear" w:color="auto" w:fill="FFFFFF"/>
          <w:lang w:val="en-US"/>
        </w:rPr>
        <w:t xml:space="preserve">Salpea K, Stephens JW, Hurel SJ, </w:t>
      </w:r>
      <w:r w:rsidRPr="00D83BD4">
        <w:rPr>
          <w:rStyle w:val="mixed-citation"/>
          <w:rFonts w:ascii="Times New Roman" w:eastAsia="Calibri" w:hAnsi="Times New Roman"/>
          <w:sz w:val="28"/>
          <w:szCs w:val="28"/>
          <w:lang w:val="en-US"/>
        </w:rPr>
        <w:t>et</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al</w:t>
      </w:r>
      <w:r w:rsidRPr="00D83BD4">
        <w:rPr>
          <w:rStyle w:val="mixed-citation"/>
          <w:rFonts w:ascii="Times New Roman" w:eastAsia="Calibri" w:hAnsi="Times New Roman"/>
          <w:sz w:val="28"/>
          <w:szCs w:val="28"/>
          <w:lang w:val="uk-UA"/>
        </w:rPr>
        <w:t xml:space="preserve">. </w:t>
      </w:r>
      <w:r w:rsidRPr="00D83BD4">
        <w:rPr>
          <w:rStyle w:val="ref-title"/>
          <w:rFonts w:ascii="Times New Roman" w:hAnsi="Times New Roman"/>
          <w:sz w:val="28"/>
          <w:szCs w:val="28"/>
          <w:lang w:val="en-US"/>
        </w:rPr>
        <w:t>Telomere length, antioxidant status and incidence of ischaemic heart disease in type 2 diabetes</w:t>
      </w:r>
      <w:r w:rsidRPr="00D83BD4">
        <w:rPr>
          <w:rStyle w:val="mixed-citation"/>
          <w:rFonts w:ascii="Times New Roman" w:eastAsia="Calibri" w:hAnsi="Times New Roman"/>
          <w:sz w:val="28"/>
          <w:szCs w:val="28"/>
          <w:lang w:val="en-US"/>
        </w:rPr>
        <w:t xml:space="preserve">. </w:t>
      </w:r>
      <w:r w:rsidRPr="00D83BD4">
        <w:rPr>
          <w:rStyle w:val="ref-journal"/>
          <w:rFonts w:ascii="Times New Roman" w:hAnsi="Times New Roman"/>
          <w:sz w:val="28"/>
          <w:szCs w:val="28"/>
          <w:lang w:val="en-US"/>
        </w:rPr>
        <w:t>Int J Cardiol</w:t>
      </w:r>
      <w:r w:rsidRPr="00D83BD4">
        <w:rPr>
          <w:rStyle w:val="mixed-citation"/>
          <w:rFonts w:ascii="Times New Roman" w:eastAsia="Calibri" w:hAnsi="Times New Roman"/>
          <w:sz w:val="28"/>
          <w:szCs w:val="28"/>
        </w:rPr>
        <w:t xml:space="preserve"> 2016; </w:t>
      </w:r>
      <w:r w:rsidRPr="00D83BD4">
        <w:rPr>
          <w:rStyle w:val="ref-vol"/>
          <w:rFonts w:ascii="Times New Roman" w:hAnsi="Times New Roman"/>
          <w:sz w:val="28"/>
          <w:szCs w:val="28"/>
        </w:rPr>
        <w:t>216</w:t>
      </w:r>
      <w:r w:rsidRPr="00D83BD4">
        <w:rPr>
          <w:rStyle w:val="mixed-citation"/>
          <w:rFonts w:ascii="Times New Roman" w:eastAsia="Calibri" w:hAnsi="Times New Roman"/>
          <w:sz w:val="28"/>
          <w:szCs w:val="28"/>
        </w:rPr>
        <w:t xml:space="preserve">:159–164. </w:t>
      </w:r>
      <w:r w:rsidRPr="00D83BD4">
        <w:rPr>
          <w:rFonts w:ascii="Times New Roman" w:hAnsi="Times New Roman"/>
          <w:sz w:val="28"/>
          <w:szCs w:val="28"/>
          <w:shd w:val="clear" w:color="auto" w:fill="FFFFFF"/>
        </w:rPr>
        <w:t>doi: </w:t>
      </w:r>
      <w:r w:rsidRPr="009E4B7D">
        <w:rPr>
          <w:rFonts w:ascii="Times New Roman" w:hAnsi="Times New Roman"/>
          <w:sz w:val="28"/>
          <w:szCs w:val="28"/>
          <w:shd w:val="clear" w:color="auto" w:fill="FFFFFF"/>
        </w:rPr>
        <w:t>10.1016/j.ijcard.2016.04.130</w:t>
      </w:r>
    </w:p>
    <w:p w:rsidR="00E3259F" w:rsidRPr="00D83BD4" w:rsidRDefault="00E3259F" w:rsidP="00D83BD4">
      <w:pPr>
        <w:pStyle w:val="31"/>
        <w:numPr>
          <w:ilvl w:val="0"/>
          <w:numId w:val="26"/>
        </w:numPr>
        <w:tabs>
          <w:tab w:val="num" w:pos="0"/>
        </w:tabs>
        <w:spacing w:after="0" w:line="360" w:lineRule="auto"/>
        <w:ind w:left="0" w:firstLine="0"/>
        <w:jc w:val="both"/>
        <w:rPr>
          <w:rStyle w:val="element-citation"/>
          <w:rFonts w:ascii="Times New Roman" w:hAnsi="Times New Roman"/>
          <w:bCs/>
          <w:sz w:val="28"/>
          <w:szCs w:val="28"/>
          <w:lang w:val="en-US"/>
        </w:rPr>
      </w:pPr>
      <w:r w:rsidRPr="00D83BD4">
        <w:rPr>
          <w:rFonts w:ascii="Times New Roman" w:hAnsi="Times New Roman"/>
          <w:bCs/>
          <w:color w:val="000000"/>
          <w:sz w:val="28"/>
          <w:szCs w:val="28"/>
          <w:lang w:val="uk-UA"/>
        </w:rPr>
        <w:t>McQuade C, Skugor M, Brennan DM, Hoar B, Stevenson C, Hoogwerf BJ. Hypothyroidism and moderate subclinical hypothyroidism are associated with increased all-cause mortality independent of coronary heart disease risk factors: a PreCIS database study. Thyroid. 2011;21(8):837-43. doi: 10.1089/thy.2010.0298</w:t>
      </w:r>
      <w:r w:rsidRPr="00D83BD4">
        <w:rPr>
          <w:rFonts w:ascii="Times New Roman" w:hAnsi="Times New Roman"/>
          <w:bCs/>
          <w:color w:val="000000"/>
          <w:sz w:val="28"/>
          <w:szCs w:val="28"/>
          <w:lang w:val="en-US"/>
        </w:rPr>
        <w:t xml:space="preserve">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sz w:val="28"/>
          <w:szCs w:val="28"/>
        </w:rPr>
      </w:pPr>
      <w:r w:rsidRPr="00D83BD4">
        <w:rPr>
          <w:rStyle w:val="element-citation"/>
          <w:rFonts w:ascii="Times New Roman" w:hAnsi="Times New Roman"/>
          <w:sz w:val="28"/>
          <w:szCs w:val="28"/>
          <w:lang w:val="en-US"/>
        </w:rPr>
        <w:t>Mehran</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L</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Amouzegar</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A</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Rahimabad</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PK</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Tohidi</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M</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Tahmasebinejad</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Z</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Azizi</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F</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Thyroid</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Function</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and</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Metabolic</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Syndrome</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A</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Population</w:t>
      </w:r>
      <w:r w:rsidRPr="00D83BD4">
        <w:rPr>
          <w:rStyle w:val="element-citation"/>
          <w:rFonts w:ascii="Times New Roman" w:hAnsi="Times New Roman"/>
          <w:sz w:val="28"/>
          <w:szCs w:val="28"/>
          <w:lang w:val="uk-UA"/>
        </w:rPr>
        <w:t>-</w:t>
      </w:r>
      <w:r w:rsidRPr="00D83BD4">
        <w:rPr>
          <w:rStyle w:val="element-citation"/>
          <w:rFonts w:ascii="Times New Roman" w:hAnsi="Times New Roman"/>
          <w:sz w:val="28"/>
          <w:szCs w:val="28"/>
          <w:lang w:val="en-US"/>
        </w:rPr>
        <w:t>Based</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Thyroid</w:t>
      </w:r>
      <w:r w:rsidRPr="00D83BD4">
        <w:rPr>
          <w:rStyle w:val="element-citation"/>
          <w:rFonts w:ascii="Times New Roman" w:hAnsi="Times New Roman"/>
          <w:sz w:val="28"/>
          <w:szCs w:val="28"/>
          <w:lang w:val="uk-UA"/>
        </w:rPr>
        <w:t xml:space="preserve"> </w:t>
      </w:r>
      <w:r w:rsidRPr="00D83BD4">
        <w:rPr>
          <w:rStyle w:val="element-citation"/>
          <w:rFonts w:ascii="Times New Roman" w:hAnsi="Times New Roman"/>
          <w:sz w:val="28"/>
          <w:szCs w:val="28"/>
          <w:lang w:val="en-US"/>
        </w:rPr>
        <w:t>Study</w:t>
      </w:r>
      <w:r w:rsidRPr="00D83BD4">
        <w:rPr>
          <w:rStyle w:val="element-citation"/>
          <w:rFonts w:ascii="Times New Roman" w:hAnsi="Times New Roman"/>
          <w:sz w:val="28"/>
          <w:szCs w:val="28"/>
          <w:lang w:val="uk-UA"/>
        </w:rPr>
        <w:t>.</w:t>
      </w:r>
      <w:r w:rsidRPr="00D83BD4">
        <w:rPr>
          <w:rStyle w:val="element-citation"/>
          <w:rFonts w:ascii="Times New Roman" w:hAnsi="Times New Roman"/>
          <w:sz w:val="28"/>
          <w:szCs w:val="28"/>
          <w:lang w:val="en-US"/>
        </w:rPr>
        <w:t> </w:t>
      </w:r>
      <w:r w:rsidRPr="00D83BD4">
        <w:rPr>
          <w:rStyle w:val="ref-journal"/>
          <w:rFonts w:ascii="Times New Roman" w:hAnsi="Times New Roman"/>
          <w:sz w:val="28"/>
          <w:szCs w:val="28"/>
          <w:lang w:val="en-US"/>
        </w:rPr>
        <w:t>Horm. Metab. Res. </w:t>
      </w:r>
      <w:r w:rsidRPr="00D83BD4">
        <w:rPr>
          <w:rStyle w:val="element-citation"/>
          <w:rFonts w:ascii="Times New Roman" w:hAnsi="Times New Roman"/>
          <w:sz w:val="28"/>
          <w:szCs w:val="28"/>
          <w:lang w:val="en-US"/>
        </w:rPr>
        <w:t>2017;</w:t>
      </w:r>
      <w:r w:rsidRPr="00D83BD4">
        <w:rPr>
          <w:rStyle w:val="ref-vol"/>
          <w:rFonts w:ascii="Times New Roman" w:hAnsi="Times New Roman"/>
          <w:sz w:val="28"/>
          <w:szCs w:val="28"/>
          <w:lang w:val="en-US"/>
        </w:rPr>
        <w:t>49</w:t>
      </w:r>
      <w:r w:rsidRPr="00D83BD4">
        <w:rPr>
          <w:rStyle w:val="ref-vol"/>
          <w:rFonts w:ascii="Times New Roman" w:hAnsi="Times New Roman"/>
          <w:sz w:val="28"/>
          <w:szCs w:val="28"/>
          <w:lang w:val="uk-UA"/>
        </w:rPr>
        <w:t>(3)</w:t>
      </w:r>
      <w:r w:rsidRPr="00D83BD4">
        <w:rPr>
          <w:rStyle w:val="element-citation"/>
          <w:rFonts w:ascii="Times New Roman" w:hAnsi="Times New Roman"/>
          <w:sz w:val="28"/>
          <w:szCs w:val="28"/>
          <w:lang w:val="en-US"/>
        </w:rPr>
        <w:t>:192–200. doi: 10.1055/s-0042-117279</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Mengden T, Ligges U, Mielke J,  Bramlage P, Korzinek A,   Sehnert W.  Blood pressure control and cardiovascular risk in hypertensive patients with type 2 diabetes: The German T2</w:t>
      </w:r>
      <w:r w:rsidRPr="00D83BD4">
        <w:rPr>
          <w:sz w:val="28"/>
          <w:szCs w:val="28"/>
          <w:lang w:val="uk-UA"/>
        </w:rPr>
        <w:t xml:space="preserve"> </w:t>
      </w:r>
      <w:r w:rsidRPr="00D83BD4">
        <w:rPr>
          <w:sz w:val="28"/>
          <w:szCs w:val="28"/>
          <w:lang w:val="en-US"/>
        </w:rPr>
        <w:t>Target registry.  J Clin Hypertens (Greenwich). 2017;19(8):757-763.  doi:10.1111/jch.13001</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Mihos CG, Pineda AM, Santana O. Cardiovascular effects of statins, beyond lipid-lowering properties. </w:t>
      </w:r>
      <w:r w:rsidRPr="00D83BD4">
        <w:rPr>
          <w:sz w:val="28"/>
          <w:szCs w:val="28"/>
        </w:rPr>
        <w:t>Pharmacol Res. 2014;88:12-9. doi: 10.1016/j.phrs.2014.02.009</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Molani GR, Rafraf M, Asghari JM. Evaluation of cardiovascular risk factors in women referring to health centers in Tabriz, Iran, 2017. </w:t>
      </w:r>
      <w:r w:rsidRPr="00D83BD4">
        <w:rPr>
          <w:sz w:val="28"/>
          <w:szCs w:val="28"/>
        </w:rPr>
        <w:t>Health Promot Perspect. 2018;8(4):315-322.</w:t>
      </w:r>
      <w:r w:rsidRPr="00D83BD4">
        <w:rPr>
          <w:sz w:val="28"/>
          <w:szCs w:val="28"/>
          <w:shd w:val="clear" w:color="auto" w:fill="FFFFFF"/>
        </w:rPr>
        <w:t xml:space="preserve"> doi: </w:t>
      </w:r>
      <w:r w:rsidRPr="009E4B7D">
        <w:rPr>
          <w:sz w:val="28"/>
          <w:szCs w:val="28"/>
          <w:shd w:val="clear" w:color="auto" w:fill="FFFFFF"/>
        </w:rPr>
        <w:t>10.15171/hpp.2018.45</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Murillo-Ortiz B, Albarran-Tamayo F, Arenas-Aranda D, </w:t>
      </w:r>
      <w:r w:rsidRPr="00D83BD4">
        <w:rPr>
          <w:sz w:val="28"/>
          <w:szCs w:val="28"/>
          <w:shd w:val="clear" w:color="auto" w:fill="FFFFFF"/>
          <w:lang w:val="en-US"/>
        </w:rPr>
        <w:t> Benítez-Bribiesca L, Malacara-Hernández JM, Martínez-Garza S,</w:t>
      </w:r>
      <w:r w:rsidRPr="00D83BD4">
        <w:rPr>
          <w:sz w:val="28"/>
          <w:szCs w:val="28"/>
          <w:lang w:val="en-US"/>
        </w:rPr>
        <w:t xml:space="preserve"> et al. Telomere length and type 2 diabetes in males, a premature aging syndrome. </w:t>
      </w:r>
      <w:r w:rsidRPr="00D83BD4">
        <w:rPr>
          <w:sz w:val="28"/>
          <w:szCs w:val="28"/>
        </w:rPr>
        <w:t>Aging Male</w:t>
      </w:r>
      <w:r w:rsidRPr="00D83BD4">
        <w:rPr>
          <w:sz w:val="28"/>
          <w:szCs w:val="28"/>
          <w:lang w:val="en-US"/>
        </w:rPr>
        <w:t>.</w:t>
      </w:r>
      <w:r w:rsidRPr="00D83BD4">
        <w:rPr>
          <w:sz w:val="28"/>
          <w:szCs w:val="28"/>
        </w:rPr>
        <w:t xml:space="preserve"> 2012;15</w:t>
      </w:r>
      <w:r w:rsidRPr="00D83BD4">
        <w:rPr>
          <w:sz w:val="28"/>
          <w:szCs w:val="28"/>
          <w:lang w:val="en-US"/>
        </w:rPr>
        <w:t>(1)</w:t>
      </w:r>
      <w:r w:rsidRPr="00D83BD4">
        <w:rPr>
          <w:sz w:val="28"/>
          <w:szCs w:val="28"/>
        </w:rPr>
        <w:t>: 54–58.</w:t>
      </w:r>
      <w:r w:rsidRPr="00D83BD4">
        <w:rPr>
          <w:sz w:val="28"/>
          <w:szCs w:val="28"/>
          <w:shd w:val="clear" w:color="auto" w:fill="FFFFFF"/>
        </w:rPr>
        <w:t xml:space="preserve"> doi: 10.3109/13685538.2011.593658.</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Mutlu S, Parlak A, Aydogan U, Aydogdu A, Soykut B, Akay C, et al. The effect of levothyroxine replacement therapy on lipid profile and oxidative stress parameters in patients with subclinical hypothyroid. </w:t>
      </w:r>
      <w:r w:rsidRPr="00D83BD4">
        <w:rPr>
          <w:sz w:val="28"/>
          <w:szCs w:val="28"/>
        </w:rPr>
        <w:t>Arch Pharm Res. 2013 Aug 8. doi: 10.1007/s12272-013-0227-y</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Nagao M, Kobashi G, Umesawa M, Cui R, Yamagishi K, Imano H, et al.; CIRCS Investigators. Urinary 8-Hydroxy-2'-Deoxyguanosine Levels and Cardiovascular Disease Incidence in Japan. J Atheroscler Thromb. 2020</w:t>
      </w:r>
      <w:r w:rsidRPr="00D83BD4">
        <w:rPr>
          <w:sz w:val="28"/>
          <w:szCs w:val="28"/>
          <w:lang w:val="uk-UA"/>
        </w:rPr>
        <w:t xml:space="preserve">; 27(10):1086-1096. </w:t>
      </w:r>
      <w:r w:rsidRPr="00D83BD4">
        <w:rPr>
          <w:sz w:val="28"/>
          <w:szCs w:val="28"/>
          <w:lang w:val="en-US"/>
        </w:rPr>
        <w:t xml:space="preserve"> doi: 10.5551/jat.51664.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bCs/>
          <w:sz w:val="28"/>
          <w:szCs w:val="28"/>
          <w:lang w:val="en-US"/>
        </w:rPr>
        <w:t>Nanchen D, Gussekloo J, Westendorp RG, Stott DJ, Jukema JW, Trompet S, et al.; PROSPER Group. Subclinical thyroid dysfunction and the risk of heart failure in older persons at high cardiovascular risk. J Clin Endocrinol Metab</w:t>
      </w:r>
      <w:r w:rsidRPr="00D83BD4">
        <w:rPr>
          <w:rFonts w:ascii="Times New Roman" w:hAnsi="Times New Roman"/>
          <w:bCs/>
          <w:sz w:val="28"/>
          <w:szCs w:val="28"/>
        </w:rPr>
        <w:t xml:space="preserve">. 2012;97(3):852-61. </w:t>
      </w:r>
      <w:r w:rsidRPr="00D83BD4">
        <w:rPr>
          <w:rFonts w:ascii="Times New Roman" w:hAnsi="Times New Roman"/>
          <w:bCs/>
          <w:sz w:val="28"/>
          <w:szCs w:val="28"/>
          <w:lang w:val="en-US"/>
        </w:rPr>
        <w:t>doi</w:t>
      </w:r>
      <w:r w:rsidRPr="00D83BD4">
        <w:rPr>
          <w:rFonts w:ascii="Times New Roman" w:hAnsi="Times New Roman"/>
          <w:bCs/>
          <w:sz w:val="28"/>
          <w:szCs w:val="28"/>
        </w:rPr>
        <w:t>: 10.1210/</w:t>
      </w:r>
      <w:r w:rsidRPr="00D83BD4">
        <w:rPr>
          <w:rFonts w:ascii="Times New Roman" w:hAnsi="Times New Roman"/>
          <w:bCs/>
          <w:sz w:val="28"/>
          <w:szCs w:val="28"/>
          <w:lang w:val="en-US"/>
        </w:rPr>
        <w:t>jc</w:t>
      </w:r>
      <w:r w:rsidRPr="00D83BD4">
        <w:rPr>
          <w:rFonts w:ascii="Times New Roman" w:hAnsi="Times New Roman"/>
          <w:bCs/>
          <w:sz w:val="28"/>
          <w:szCs w:val="28"/>
        </w:rPr>
        <w:t>.2011-1978</w:t>
      </w:r>
    </w:p>
    <w:p w:rsidR="00E3259F" w:rsidRPr="00D83BD4" w:rsidRDefault="00E3259F" w:rsidP="00D83BD4">
      <w:pPr>
        <w:pStyle w:val="31"/>
        <w:numPr>
          <w:ilvl w:val="0"/>
          <w:numId w:val="26"/>
        </w:numPr>
        <w:tabs>
          <w:tab w:val="num" w:pos="0"/>
        </w:tabs>
        <w:spacing w:after="0" w:line="360" w:lineRule="auto"/>
        <w:ind w:left="0" w:firstLine="0"/>
        <w:jc w:val="both"/>
        <w:rPr>
          <w:rStyle w:val="mixed-citation"/>
          <w:rFonts w:ascii="Times New Roman" w:eastAsia="Calibri" w:hAnsi="Times New Roman"/>
          <w:sz w:val="28"/>
          <w:szCs w:val="28"/>
        </w:rPr>
      </w:pPr>
      <w:r w:rsidRPr="00D83BD4">
        <w:rPr>
          <w:rFonts w:ascii="Times New Roman" w:hAnsi="Times New Roman"/>
          <w:sz w:val="28"/>
          <w:szCs w:val="28"/>
          <w:lang w:val="en-US"/>
        </w:rPr>
        <w:t xml:space="preserve">Narindrarangkura P, Bosl W, Rangsin R, Hatthachote P. Prevalence of dyslipidemia associated with complications in diabetic patients: a nationwide study in Thailand. </w:t>
      </w:r>
      <w:r w:rsidRPr="00D83BD4">
        <w:rPr>
          <w:rFonts w:ascii="Times New Roman" w:hAnsi="Times New Roman"/>
          <w:sz w:val="28"/>
          <w:szCs w:val="28"/>
        </w:rPr>
        <w:t>Lipids Health Dis. 2019;18(1):90.</w:t>
      </w:r>
      <w:r w:rsidRPr="00D83BD4">
        <w:rPr>
          <w:rFonts w:ascii="Times New Roman" w:hAnsi="Times New Roman"/>
          <w:sz w:val="28"/>
          <w:szCs w:val="28"/>
          <w:lang w:val="uk-UA"/>
        </w:rPr>
        <w:t xml:space="preserve"> </w:t>
      </w:r>
      <w:r w:rsidRPr="00D83BD4">
        <w:rPr>
          <w:rFonts w:ascii="Times New Roman" w:hAnsi="Times New Roman"/>
          <w:sz w:val="28"/>
          <w:szCs w:val="28"/>
          <w:shd w:val="clear" w:color="auto" w:fill="FFFFFF"/>
        </w:rPr>
        <w:t>doi: 10.1186/s12944-019-1034-3.</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eastAsia="Calibri" w:hAnsi="Times New Roman"/>
          <w:sz w:val="28"/>
          <w:szCs w:val="28"/>
        </w:rPr>
      </w:pPr>
      <w:r w:rsidRPr="00D83BD4">
        <w:rPr>
          <w:rStyle w:val="mixed-citation"/>
          <w:rFonts w:ascii="Times New Roman" w:eastAsia="Calibri" w:hAnsi="Times New Roman"/>
          <w:sz w:val="28"/>
          <w:szCs w:val="28"/>
          <w:lang w:val="en-US"/>
        </w:rPr>
        <w:t>Needham</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BL</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Diez</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Roux</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AV</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Bradley</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R</w:t>
      </w:r>
      <w:r w:rsidRPr="00D83BD4">
        <w:rPr>
          <w:rStyle w:val="mixed-citation"/>
          <w:rFonts w:ascii="Times New Roman" w:eastAsia="Calibri" w:hAnsi="Times New Roman"/>
          <w:sz w:val="28"/>
          <w:szCs w:val="28"/>
          <w:lang w:val="uk-UA"/>
        </w:rPr>
        <w:t xml:space="preserve">, </w:t>
      </w:r>
      <w:r w:rsidRPr="00D83BD4">
        <w:rPr>
          <w:rFonts w:ascii="Times New Roman" w:hAnsi="Times New Roman"/>
          <w:color w:val="303030"/>
          <w:sz w:val="28"/>
          <w:szCs w:val="28"/>
          <w:shd w:val="clear" w:color="auto" w:fill="FFFFFF"/>
          <w:lang w:val="en-US"/>
        </w:rPr>
        <w:t xml:space="preserve">Bradley R, Fitzpatrick AL, Jacobs DR, </w:t>
      </w:r>
      <w:r w:rsidRPr="00D83BD4">
        <w:rPr>
          <w:rStyle w:val="mixed-citation"/>
          <w:rFonts w:ascii="Times New Roman" w:eastAsia="Calibri" w:hAnsi="Times New Roman"/>
          <w:sz w:val="28"/>
          <w:szCs w:val="28"/>
          <w:lang w:val="en-US"/>
        </w:rPr>
        <w:t>et</w:t>
      </w:r>
      <w:r w:rsidRPr="00D83BD4">
        <w:rPr>
          <w:rStyle w:val="mixed-citation"/>
          <w:rFonts w:ascii="Times New Roman" w:eastAsia="Calibri" w:hAnsi="Times New Roman"/>
          <w:sz w:val="28"/>
          <w:szCs w:val="28"/>
          <w:lang w:val="uk-UA"/>
        </w:rPr>
        <w:t xml:space="preserve"> </w:t>
      </w:r>
      <w:r w:rsidRPr="00D83BD4">
        <w:rPr>
          <w:rStyle w:val="mixed-citation"/>
          <w:rFonts w:ascii="Times New Roman" w:eastAsia="Calibri" w:hAnsi="Times New Roman"/>
          <w:sz w:val="28"/>
          <w:szCs w:val="28"/>
          <w:lang w:val="en-US"/>
        </w:rPr>
        <w:t>al</w:t>
      </w:r>
      <w:r w:rsidRPr="00D83BD4">
        <w:rPr>
          <w:rStyle w:val="mixed-citation"/>
          <w:rFonts w:ascii="Times New Roman" w:eastAsia="Calibri" w:hAnsi="Times New Roman"/>
          <w:sz w:val="28"/>
          <w:szCs w:val="28"/>
          <w:lang w:val="uk-UA"/>
        </w:rPr>
        <w:t xml:space="preserve">. </w:t>
      </w:r>
      <w:r w:rsidRPr="00D83BD4">
        <w:rPr>
          <w:rStyle w:val="ref-title"/>
          <w:rFonts w:ascii="Times New Roman" w:hAnsi="Times New Roman"/>
          <w:sz w:val="28"/>
          <w:szCs w:val="28"/>
          <w:lang w:val="en-US"/>
        </w:rPr>
        <w:t>A Test of Biological and Behavioral Explanations for Gender Differences in Telomere Length: The Multi-Ethnic Study of Atherosclerosis</w:t>
      </w:r>
      <w:r w:rsidRPr="00D83BD4">
        <w:rPr>
          <w:rStyle w:val="mixed-citation"/>
          <w:rFonts w:ascii="Times New Roman" w:eastAsia="Calibri" w:hAnsi="Times New Roman"/>
          <w:sz w:val="28"/>
          <w:szCs w:val="28"/>
          <w:lang w:val="en-US"/>
        </w:rPr>
        <w:t xml:space="preserve">. </w:t>
      </w:r>
      <w:r w:rsidRPr="00D83BD4">
        <w:rPr>
          <w:rStyle w:val="ref-journal"/>
          <w:rFonts w:ascii="Times New Roman" w:hAnsi="Times New Roman"/>
          <w:sz w:val="28"/>
          <w:szCs w:val="28"/>
          <w:lang w:val="en-US"/>
        </w:rPr>
        <w:t>Biodemography Soc Biol.</w:t>
      </w:r>
      <w:r w:rsidRPr="00D83BD4">
        <w:rPr>
          <w:rStyle w:val="mixed-citation"/>
          <w:rFonts w:ascii="Times New Roman" w:eastAsia="Calibri" w:hAnsi="Times New Roman"/>
          <w:sz w:val="28"/>
          <w:szCs w:val="28"/>
          <w:lang w:val="en-US"/>
        </w:rPr>
        <w:t xml:space="preserve"> 2014;</w:t>
      </w:r>
      <w:r w:rsidRPr="00D83BD4">
        <w:rPr>
          <w:rStyle w:val="ref-vol"/>
          <w:rFonts w:ascii="Times New Roman" w:hAnsi="Times New Roman"/>
          <w:sz w:val="28"/>
          <w:szCs w:val="28"/>
          <w:lang w:val="en-US"/>
        </w:rPr>
        <w:t>60</w:t>
      </w:r>
      <w:r w:rsidRPr="00D83BD4">
        <w:rPr>
          <w:rStyle w:val="mixed-citation"/>
          <w:rFonts w:ascii="Times New Roman" w:eastAsia="Calibri" w:hAnsi="Times New Roman"/>
          <w:sz w:val="28"/>
          <w:szCs w:val="28"/>
          <w:lang w:val="en-US"/>
        </w:rPr>
        <w:t xml:space="preserve">:156–173. </w:t>
      </w:r>
      <w:r w:rsidRPr="00D83BD4">
        <w:rPr>
          <w:rFonts w:ascii="Times New Roman" w:hAnsi="Times New Roman"/>
          <w:sz w:val="28"/>
          <w:szCs w:val="28"/>
        </w:rPr>
        <w:t>doi: 10.1080/19485565.2014.947471.</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w:t>
      </w:r>
      <w:r w:rsidRPr="00D83BD4">
        <w:rPr>
          <w:sz w:val="28"/>
          <w:szCs w:val="28"/>
          <w:lang w:val="uk-UA"/>
        </w:rPr>
        <w:t xml:space="preserve"> </w:t>
      </w:r>
      <w:r w:rsidRPr="00D83BD4">
        <w:rPr>
          <w:sz w:val="28"/>
          <w:szCs w:val="28"/>
          <w:lang w:val="en-US"/>
        </w:rPr>
        <w:t>VD</w:t>
      </w:r>
      <w:r w:rsidRPr="00D83BD4">
        <w:rPr>
          <w:sz w:val="28"/>
          <w:szCs w:val="28"/>
          <w:lang w:val="uk-UA"/>
        </w:rPr>
        <w:t xml:space="preserve">. </w:t>
      </w:r>
      <w:r w:rsidRPr="00D83BD4">
        <w:rPr>
          <w:sz w:val="28"/>
          <w:szCs w:val="28"/>
          <w:lang w:val="en-US"/>
        </w:rPr>
        <w:t>Effects</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biological</w:t>
      </w:r>
      <w:r w:rsidRPr="00D83BD4">
        <w:rPr>
          <w:sz w:val="28"/>
          <w:szCs w:val="28"/>
          <w:lang w:val="uk-UA"/>
        </w:rPr>
        <w:t xml:space="preserve"> </w:t>
      </w:r>
      <w:r w:rsidRPr="00D83BD4">
        <w:rPr>
          <w:sz w:val="28"/>
          <w:szCs w:val="28"/>
          <w:lang w:val="en-US"/>
        </w:rPr>
        <w:t>age</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aging</w:t>
      </w:r>
      <w:r w:rsidRPr="00D83BD4">
        <w:rPr>
          <w:sz w:val="28"/>
          <w:szCs w:val="28"/>
          <w:lang w:val="uk-UA"/>
        </w:rPr>
        <w:t xml:space="preserve"> </w:t>
      </w:r>
      <w:r w:rsidRPr="00D83BD4">
        <w:rPr>
          <w:sz w:val="28"/>
          <w:szCs w:val="28"/>
          <w:lang w:val="en-US"/>
        </w:rPr>
        <w:t>rates</w:t>
      </w:r>
      <w:r w:rsidRPr="00D83BD4">
        <w:rPr>
          <w:sz w:val="28"/>
          <w:szCs w:val="28"/>
          <w:lang w:val="uk-UA"/>
        </w:rPr>
        <w:t xml:space="preserve"> </w:t>
      </w:r>
      <w:r w:rsidRPr="00D83BD4">
        <w:rPr>
          <w:sz w:val="28"/>
          <w:szCs w:val="28"/>
          <w:lang w:val="en-US"/>
        </w:rPr>
        <w:t>on</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expression</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risk</w:t>
      </w:r>
      <w:r w:rsidRPr="00D83BD4">
        <w:rPr>
          <w:sz w:val="28"/>
          <w:szCs w:val="28"/>
          <w:lang w:val="uk-UA"/>
        </w:rPr>
        <w:t xml:space="preserve"> </w:t>
      </w:r>
      <w:r w:rsidRPr="00D83BD4">
        <w:rPr>
          <w:sz w:val="28"/>
          <w:szCs w:val="28"/>
          <w:lang w:val="en-US"/>
        </w:rPr>
        <w:t>factors</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patients</w:t>
      </w:r>
      <w:r w:rsidRPr="00D83BD4">
        <w:rPr>
          <w:sz w:val="28"/>
          <w:szCs w:val="28"/>
          <w:lang w:val="uk-UA"/>
        </w:rPr>
        <w:t xml:space="preserve"> </w:t>
      </w:r>
      <w:r w:rsidRPr="00D83BD4">
        <w:rPr>
          <w:sz w:val="28"/>
          <w:szCs w:val="28"/>
          <w:lang w:val="en-US"/>
        </w:rPr>
        <w:t>with</w:t>
      </w:r>
      <w:r w:rsidRPr="00D83BD4">
        <w:rPr>
          <w:sz w:val="28"/>
          <w:szCs w:val="28"/>
          <w:lang w:val="uk-UA"/>
        </w:rPr>
        <w:t xml:space="preserve"> </w:t>
      </w:r>
      <w:r w:rsidRPr="00D83BD4">
        <w:rPr>
          <w:sz w:val="28"/>
          <w:szCs w:val="28"/>
          <w:lang w:val="en-US"/>
        </w:rPr>
        <w:t>arterial</w:t>
      </w:r>
      <w:r w:rsidRPr="00D83BD4">
        <w:rPr>
          <w:sz w:val="28"/>
          <w:szCs w:val="28"/>
          <w:lang w:val="uk-UA"/>
        </w:rPr>
        <w:t xml:space="preserve"> </w:t>
      </w:r>
      <w:r w:rsidRPr="00D83BD4">
        <w:rPr>
          <w:sz w:val="28"/>
          <w:szCs w:val="28"/>
          <w:lang w:val="en-US"/>
        </w:rPr>
        <w:t>hypertension</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type</w:t>
      </w:r>
      <w:r w:rsidRPr="00D83BD4">
        <w:rPr>
          <w:sz w:val="28"/>
          <w:szCs w:val="28"/>
          <w:lang w:val="uk-UA"/>
        </w:rPr>
        <w:t xml:space="preserve"> 2 </w:t>
      </w:r>
      <w:r w:rsidRPr="00D83BD4">
        <w:rPr>
          <w:sz w:val="28"/>
          <w:szCs w:val="28"/>
          <w:lang w:val="en-US"/>
        </w:rPr>
        <w:t>diabetes</w:t>
      </w:r>
      <w:r w:rsidRPr="00D83BD4">
        <w:rPr>
          <w:sz w:val="28"/>
          <w:szCs w:val="28"/>
          <w:lang w:val="uk-UA"/>
        </w:rPr>
        <w:t xml:space="preserve"> </w:t>
      </w:r>
      <w:r w:rsidRPr="00D83BD4">
        <w:rPr>
          <w:sz w:val="28"/>
          <w:szCs w:val="28"/>
          <w:lang w:val="en-US"/>
        </w:rPr>
        <w:t>mellitus</w:t>
      </w:r>
      <w:r w:rsidRPr="00D83BD4">
        <w:rPr>
          <w:sz w:val="28"/>
          <w:szCs w:val="28"/>
          <w:lang w:val="uk-UA"/>
        </w:rPr>
        <w:t>. Проблеми екології та медицини. 2019</w:t>
      </w:r>
      <w:r w:rsidRPr="00D83BD4">
        <w:rPr>
          <w:sz w:val="28"/>
          <w:szCs w:val="28"/>
          <w:lang w:val="en-US"/>
        </w:rPr>
        <w:t>;(</w:t>
      </w:r>
      <w:r w:rsidRPr="00D83BD4">
        <w:rPr>
          <w:sz w:val="28"/>
          <w:szCs w:val="28"/>
          <w:lang w:val="uk-UA"/>
        </w:rPr>
        <w:t>5-6</w:t>
      </w:r>
      <w:r w:rsidRPr="00D83BD4">
        <w:rPr>
          <w:sz w:val="28"/>
          <w:szCs w:val="28"/>
          <w:lang w:val="en-US"/>
        </w:rPr>
        <w:t>):</w:t>
      </w:r>
      <w:r w:rsidRPr="00D83BD4">
        <w:rPr>
          <w:sz w:val="28"/>
          <w:szCs w:val="28"/>
          <w:lang w:val="uk-UA"/>
        </w:rPr>
        <w:t>25-30.</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en-US"/>
        </w:rPr>
      </w:pPr>
      <w:r w:rsidRPr="00D83BD4">
        <w:rPr>
          <w:sz w:val="28"/>
          <w:szCs w:val="28"/>
          <w:lang w:val="en-US"/>
        </w:rPr>
        <w:t>Nemtsova VD.</w:t>
      </w:r>
      <w:r w:rsidRPr="00D83BD4">
        <w:rPr>
          <w:sz w:val="28"/>
          <w:szCs w:val="28"/>
          <w:lang w:val="uk-UA"/>
        </w:rPr>
        <w:t xml:space="preserve"> </w:t>
      </w:r>
      <w:r w:rsidRPr="00D83BD4">
        <w:rPr>
          <w:sz w:val="28"/>
          <w:szCs w:val="28"/>
          <w:lang w:val="en-US"/>
        </w:rPr>
        <w:t>Impact of prooxidant-antioxidant imbalance on the biological age and the rate of aging in arterial hypertension with type 2 diabetes mellitus</w:t>
      </w:r>
      <w:r w:rsidRPr="00D83BD4">
        <w:rPr>
          <w:sz w:val="28"/>
          <w:szCs w:val="28"/>
          <w:lang w:val="uk-UA"/>
        </w:rPr>
        <w:t>.</w:t>
      </w:r>
      <w:r w:rsidRPr="00D83BD4">
        <w:rPr>
          <w:sz w:val="28"/>
          <w:szCs w:val="28"/>
          <w:lang w:val="en-US"/>
        </w:rPr>
        <w:t xml:space="preserve"> Запорожский медицинский журнал. 2020;</w:t>
      </w:r>
      <w:r w:rsidRPr="00D83BD4">
        <w:rPr>
          <w:sz w:val="28"/>
          <w:szCs w:val="28"/>
          <w:lang w:val="uk-UA"/>
        </w:rPr>
        <w:t>2</w:t>
      </w:r>
      <w:r w:rsidRPr="00D83BD4">
        <w:rPr>
          <w:sz w:val="28"/>
          <w:szCs w:val="28"/>
          <w:lang w:val="en-US"/>
        </w:rPr>
        <w:t>2(</w:t>
      </w:r>
      <w:r w:rsidRPr="00D83BD4">
        <w:rPr>
          <w:sz w:val="28"/>
          <w:szCs w:val="28"/>
          <w:lang w:val="uk-UA"/>
        </w:rPr>
        <w:t>1</w:t>
      </w:r>
      <w:r w:rsidRPr="00D83BD4">
        <w:rPr>
          <w:sz w:val="28"/>
          <w:szCs w:val="28"/>
          <w:lang w:val="en-US"/>
        </w:rPr>
        <w:t>):19-25.</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en-US"/>
        </w:rPr>
      </w:pPr>
      <w:r w:rsidRPr="00D83BD4">
        <w:rPr>
          <w:sz w:val="28"/>
          <w:szCs w:val="28"/>
          <w:lang w:val="en-US"/>
        </w:rPr>
        <w:t>Nemtsova VD. The effect of statin therapy on oxidative stress indices in patients with arterial hypertension and tyre 2 diabetes mellitus</w:t>
      </w:r>
      <w:r w:rsidRPr="00D83BD4">
        <w:rPr>
          <w:sz w:val="28"/>
          <w:szCs w:val="28"/>
          <w:lang w:val="uk-UA"/>
        </w:rPr>
        <w:t>.</w:t>
      </w:r>
      <w:r w:rsidRPr="00D83BD4">
        <w:rPr>
          <w:sz w:val="28"/>
          <w:szCs w:val="28"/>
          <w:lang w:val="en-US"/>
        </w:rPr>
        <w:t xml:space="preserve"> Запорожский медицинский журнал. 2018;</w:t>
      </w:r>
      <w:r w:rsidRPr="00D83BD4">
        <w:rPr>
          <w:sz w:val="28"/>
          <w:szCs w:val="28"/>
          <w:lang w:val="uk-UA"/>
        </w:rPr>
        <w:t>20</w:t>
      </w:r>
      <w:r w:rsidRPr="00D83BD4">
        <w:rPr>
          <w:sz w:val="28"/>
          <w:szCs w:val="28"/>
          <w:lang w:val="en-US"/>
        </w:rPr>
        <w:t>(</w:t>
      </w:r>
      <w:r w:rsidRPr="00D83BD4">
        <w:rPr>
          <w:sz w:val="28"/>
          <w:szCs w:val="28"/>
          <w:lang w:val="uk-UA"/>
        </w:rPr>
        <w:t>1</w:t>
      </w:r>
      <w:r w:rsidRPr="00D83BD4">
        <w:rPr>
          <w:sz w:val="28"/>
          <w:szCs w:val="28"/>
          <w:lang w:val="en-US"/>
        </w:rPr>
        <w:t>): 26-30.</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color w:val="000000"/>
          <w:sz w:val="28"/>
          <w:szCs w:val="28"/>
          <w:shd w:val="clear" w:color="auto" w:fill="FFFFFF"/>
          <w:lang w:val="en-US"/>
        </w:rPr>
        <w:t>Nemtsova</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V</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Bilovol</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O</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Ilchenko I,</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Shalimova</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A</w:t>
      </w:r>
      <w:r w:rsidRPr="00D83BD4">
        <w:rPr>
          <w:color w:val="000000"/>
          <w:sz w:val="28"/>
          <w:szCs w:val="28"/>
          <w:shd w:val="clear" w:color="auto" w:fill="FFFFFF"/>
          <w:lang w:val="uk-UA"/>
        </w:rPr>
        <w:t>.</w:t>
      </w:r>
      <w:r w:rsidRPr="00D83BD4">
        <w:rPr>
          <w:color w:val="000000"/>
          <w:sz w:val="28"/>
          <w:szCs w:val="28"/>
          <w:shd w:val="clear" w:color="auto" w:fill="FFFFFF"/>
          <w:lang w:val="en-US"/>
        </w:rPr>
        <w:t xml:space="preserve"> Age-assocaated features of oxidative stress as marker of vascular aging in comorbid course of hypertension and type 2 diabetes mellitus</w:t>
      </w:r>
      <w:r w:rsidRPr="00D83BD4">
        <w:rPr>
          <w:color w:val="000000"/>
          <w:sz w:val="28"/>
          <w:szCs w:val="28"/>
          <w:shd w:val="clear" w:color="auto" w:fill="FFFFFF"/>
          <w:lang w:val="uk-UA"/>
        </w:rPr>
        <w:t>.</w:t>
      </w:r>
      <w:r w:rsidRPr="00D83BD4">
        <w:rPr>
          <w:color w:val="000000"/>
          <w:sz w:val="28"/>
          <w:szCs w:val="28"/>
          <w:shd w:val="clear" w:color="auto" w:fill="FFFFFF"/>
          <w:lang w:val="en-US"/>
        </w:rPr>
        <w:t>Vessel Plus.</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2018</w:t>
      </w:r>
      <w:r w:rsidRPr="00D83BD4">
        <w:rPr>
          <w:color w:val="000000"/>
          <w:sz w:val="28"/>
          <w:szCs w:val="28"/>
          <w:shd w:val="clear" w:color="auto" w:fill="FFFFFF"/>
          <w:lang w:val="uk-UA"/>
        </w:rPr>
        <w:t>;(</w:t>
      </w:r>
      <w:r w:rsidRPr="00D83BD4">
        <w:rPr>
          <w:color w:val="000000"/>
          <w:sz w:val="28"/>
          <w:szCs w:val="28"/>
          <w:shd w:val="clear" w:color="auto" w:fill="FFFFFF"/>
          <w:lang w:val="en-US"/>
        </w:rPr>
        <w:t>2</w:t>
      </w:r>
      <w:r w:rsidRPr="00D83BD4">
        <w:rPr>
          <w:color w:val="000000"/>
          <w:sz w:val="28"/>
          <w:szCs w:val="28"/>
          <w:shd w:val="clear" w:color="auto" w:fill="FFFFFF"/>
          <w:lang w:val="uk-UA"/>
        </w:rPr>
        <w:t>):</w:t>
      </w:r>
      <w:r w:rsidRPr="00D83BD4">
        <w:rPr>
          <w:color w:val="000000"/>
          <w:sz w:val="28"/>
          <w:szCs w:val="28"/>
          <w:shd w:val="clear" w:color="auto" w:fill="FFFFFF"/>
          <w:lang w:val="en-US"/>
        </w:rPr>
        <w:t xml:space="preserve">27. </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color w:val="000000"/>
          <w:sz w:val="28"/>
          <w:szCs w:val="28"/>
          <w:shd w:val="clear" w:color="auto" w:fill="FFFFFF"/>
          <w:lang w:val="en-US"/>
        </w:rPr>
        <w:t>Nemtsova VD, Bilovol OM, Ilchenko IA.</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Features of changes of antioxidant protection in patients with arterial hypertension and type 2 diabetes mellitus on the background of statins in medium doses</w:t>
      </w:r>
      <w:r w:rsidRPr="00D83BD4">
        <w:rPr>
          <w:color w:val="000000"/>
          <w:sz w:val="28"/>
          <w:szCs w:val="28"/>
          <w:shd w:val="clear" w:color="auto" w:fill="FFFFFF"/>
          <w:lang w:val="uk-UA"/>
        </w:rPr>
        <w:t xml:space="preserve">. </w:t>
      </w:r>
      <w:r w:rsidRPr="00D83BD4">
        <w:rPr>
          <w:sz w:val="28"/>
          <w:szCs w:val="28"/>
          <w:lang w:val="en-US"/>
        </w:rPr>
        <w:t>In:</w:t>
      </w:r>
      <w:r w:rsidRPr="00D83BD4">
        <w:rPr>
          <w:sz w:val="28"/>
          <w:szCs w:val="28"/>
          <w:lang w:val="uk-UA"/>
        </w:rPr>
        <w:t xml:space="preserve"> </w:t>
      </w:r>
      <w:r w:rsidRPr="00D83BD4">
        <w:rPr>
          <w:color w:val="000000"/>
          <w:sz w:val="28"/>
          <w:szCs w:val="28"/>
          <w:shd w:val="clear" w:color="auto" w:fill="FFFFFF"/>
          <w:lang w:val="en-US"/>
        </w:rPr>
        <w:t xml:space="preserve">Science and society. Proceedings of the 5th International conference. </w:t>
      </w:r>
      <w:r w:rsidRPr="00D83BD4">
        <w:rPr>
          <w:color w:val="000000"/>
          <w:sz w:val="28"/>
          <w:szCs w:val="28"/>
          <w:shd w:val="clear" w:color="auto" w:fill="FFFFFF"/>
        </w:rPr>
        <w:t>Accent Graphics Communications &amp; Publishing</w:t>
      </w:r>
      <w:r w:rsidRPr="00D83BD4">
        <w:rPr>
          <w:color w:val="000000"/>
          <w:sz w:val="28"/>
          <w:szCs w:val="28"/>
          <w:shd w:val="clear" w:color="auto" w:fill="FFFFFF"/>
          <w:lang w:val="uk-UA"/>
        </w:rPr>
        <w:t xml:space="preserve">. 2018 </w:t>
      </w:r>
      <w:r w:rsidRPr="00D83BD4">
        <w:rPr>
          <w:color w:val="000000"/>
          <w:sz w:val="28"/>
          <w:szCs w:val="28"/>
          <w:shd w:val="clear" w:color="auto" w:fill="FFFFFF"/>
        </w:rPr>
        <w:t>June</w:t>
      </w:r>
      <w:r w:rsidRPr="00D83BD4">
        <w:rPr>
          <w:color w:val="000000"/>
          <w:sz w:val="28"/>
          <w:szCs w:val="28"/>
          <w:shd w:val="clear" w:color="auto" w:fill="FFFFFF"/>
          <w:lang w:val="uk-UA"/>
        </w:rPr>
        <w:t xml:space="preserve"> 15; </w:t>
      </w:r>
      <w:r w:rsidRPr="00D83BD4">
        <w:rPr>
          <w:color w:val="000000"/>
          <w:sz w:val="28"/>
          <w:szCs w:val="28"/>
          <w:shd w:val="clear" w:color="auto" w:fill="FFFFFF"/>
        </w:rPr>
        <w:t>Hamilton</w:t>
      </w:r>
      <w:r w:rsidRPr="00D83BD4">
        <w:rPr>
          <w:color w:val="000000"/>
          <w:sz w:val="28"/>
          <w:szCs w:val="28"/>
          <w:shd w:val="clear" w:color="auto" w:fill="FFFFFF"/>
          <w:lang w:val="uk-UA"/>
        </w:rPr>
        <w:t xml:space="preserve">,   </w:t>
      </w:r>
      <w:r w:rsidRPr="00D83BD4">
        <w:rPr>
          <w:color w:val="000000"/>
          <w:sz w:val="28"/>
          <w:szCs w:val="28"/>
          <w:shd w:val="clear" w:color="auto" w:fill="FFFFFF"/>
        </w:rPr>
        <w:t>Canada</w:t>
      </w:r>
      <w:r w:rsidRPr="00D83BD4">
        <w:rPr>
          <w:color w:val="000000"/>
          <w:sz w:val="28"/>
          <w:szCs w:val="28"/>
          <w:shd w:val="clear" w:color="auto" w:fill="FFFFFF"/>
          <w:lang w:val="uk-UA"/>
        </w:rPr>
        <w:t xml:space="preserve">. </w:t>
      </w:r>
      <w:r w:rsidRPr="00D83BD4">
        <w:rPr>
          <w:color w:val="000000"/>
          <w:sz w:val="28"/>
          <w:szCs w:val="28"/>
          <w:shd w:val="clear" w:color="auto" w:fill="FFFFFF"/>
        </w:rPr>
        <w:t>Hamilton</w:t>
      </w:r>
      <w:r w:rsidRPr="00D83BD4">
        <w:rPr>
          <w:color w:val="000000"/>
          <w:sz w:val="28"/>
          <w:szCs w:val="28"/>
          <w:shd w:val="clear" w:color="auto" w:fill="FFFFFF"/>
          <w:lang w:val="uk-UA"/>
        </w:rPr>
        <w:t>;  2018. р. 879– 892.</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color w:val="000000"/>
          <w:sz w:val="28"/>
          <w:szCs w:val="28"/>
          <w:shd w:val="clear" w:color="auto" w:fill="FFFFFF"/>
          <w:lang w:val="en-US"/>
        </w:rPr>
        <w:t>Nemtsova</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VD</w:t>
      </w:r>
      <w:r w:rsidRPr="00D83BD4">
        <w:rPr>
          <w:color w:val="000000"/>
          <w:sz w:val="28"/>
          <w:szCs w:val="28"/>
          <w:shd w:val="clear" w:color="auto" w:fill="FFFFFF"/>
          <w:lang w:val="uk-UA"/>
        </w:rPr>
        <w:t>, </w:t>
      </w:r>
      <w:r w:rsidRPr="00D83BD4">
        <w:rPr>
          <w:color w:val="000000"/>
          <w:sz w:val="28"/>
          <w:szCs w:val="28"/>
          <w:shd w:val="clear" w:color="auto" w:fill="FFFFFF"/>
          <w:lang w:val="en-US"/>
        </w:rPr>
        <w:t>Bilovol</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OM</w:t>
      </w:r>
      <w:r w:rsidRPr="00D83BD4">
        <w:rPr>
          <w:color w:val="000000"/>
          <w:sz w:val="28"/>
          <w:szCs w:val="28"/>
          <w:shd w:val="clear" w:color="auto" w:fill="FFFFFF"/>
          <w:lang w:val="uk-UA"/>
        </w:rPr>
        <w:t>, </w:t>
      </w:r>
      <w:r w:rsidRPr="00D83BD4">
        <w:rPr>
          <w:color w:val="000000"/>
          <w:sz w:val="28"/>
          <w:szCs w:val="28"/>
          <w:shd w:val="clear" w:color="auto" w:fill="FFFFFF"/>
          <w:lang w:val="en-US"/>
        </w:rPr>
        <w:t>Oleynik</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OV</w:t>
      </w:r>
      <w:r w:rsidRPr="00D83BD4">
        <w:rPr>
          <w:color w:val="000000"/>
          <w:sz w:val="28"/>
          <w:szCs w:val="28"/>
          <w:shd w:val="clear" w:color="auto" w:fill="FFFFFF"/>
          <w:lang w:val="uk-UA"/>
        </w:rPr>
        <w:t>. </w:t>
      </w:r>
      <w:r w:rsidRPr="00D83BD4">
        <w:rPr>
          <w:color w:val="000000"/>
          <w:sz w:val="28"/>
          <w:szCs w:val="28"/>
          <w:shd w:val="clear" w:color="auto" w:fill="FFFFFF"/>
          <w:lang w:val="en-US"/>
        </w:rPr>
        <w:t>Endothelium</w:t>
      </w:r>
      <w:r w:rsidRPr="00D83BD4">
        <w:rPr>
          <w:color w:val="000000"/>
          <w:sz w:val="28"/>
          <w:szCs w:val="28"/>
          <w:shd w:val="clear" w:color="auto" w:fill="FFFFFF"/>
          <w:lang w:val="uk-UA"/>
        </w:rPr>
        <w:t>–</w:t>
      </w:r>
      <w:r w:rsidRPr="00D83BD4">
        <w:rPr>
          <w:color w:val="000000"/>
          <w:sz w:val="28"/>
          <w:szCs w:val="28"/>
          <w:shd w:val="clear" w:color="auto" w:fill="FFFFFF"/>
          <w:lang w:val="en-US"/>
        </w:rPr>
        <w:t>dependent</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cardio</w:t>
      </w:r>
      <w:r w:rsidRPr="00D83BD4">
        <w:rPr>
          <w:color w:val="000000"/>
          <w:sz w:val="28"/>
          <w:szCs w:val="28"/>
          <w:shd w:val="clear" w:color="auto" w:fill="FFFFFF"/>
          <w:lang w:val="uk-UA"/>
        </w:rPr>
        <w:t>-</w:t>
      </w:r>
      <w:r w:rsidRPr="00D83BD4">
        <w:rPr>
          <w:color w:val="000000"/>
          <w:sz w:val="28"/>
          <w:szCs w:val="28"/>
          <w:shd w:val="clear" w:color="auto" w:fill="FFFFFF"/>
          <w:lang w:val="en-US"/>
        </w:rPr>
        <w:t>vascular</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risk</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factors</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in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patients</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with</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arterial</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hypertension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and</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diabetes</w:t>
      </w:r>
      <w:r w:rsidRPr="00D83BD4">
        <w:rPr>
          <w:color w:val="000000"/>
          <w:sz w:val="28"/>
          <w:szCs w:val="28"/>
          <w:shd w:val="clear" w:color="auto" w:fill="FFFFFF"/>
          <w:lang w:val="uk-UA"/>
        </w:rPr>
        <w:t> 2 </w:t>
      </w:r>
      <w:r w:rsidRPr="00D83BD4">
        <w:rPr>
          <w:color w:val="000000"/>
          <w:sz w:val="28"/>
          <w:szCs w:val="28"/>
          <w:shd w:val="clear" w:color="auto" w:fill="FFFFFF"/>
          <w:lang w:val="en-US"/>
        </w:rPr>
        <w:t>type</w:t>
      </w:r>
      <w:r w:rsidRPr="00D83BD4">
        <w:rPr>
          <w:color w:val="000000"/>
          <w:sz w:val="28"/>
          <w:szCs w:val="28"/>
          <w:shd w:val="clear" w:color="auto" w:fill="FFFFFF"/>
          <w:lang w:val="uk-UA"/>
        </w:rPr>
        <w:t xml:space="preserve">. В:  Первоочередные задачи развития кардиологии и кардиохирургии в Узбекистане: матеріали Республіканській науково-практичній конференції з міжнародною участю; 2017  май 25–26;  </w:t>
      </w:r>
      <w:r w:rsidRPr="00D83BD4">
        <w:rPr>
          <w:color w:val="000000"/>
          <w:sz w:val="28"/>
          <w:szCs w:val="28"/>
          <w:shd w:val="clear" w:color="auto" w:fill="FFFFFF"/>
        </w:rPr>
        <w:t>  </w:t>
      </w:r>
      <w:r w:rsidRPr="00D83BD4">
        <w:rPr>
          <w:color w:val="000000"/>
          <w:sz w:val="28"/>
          <w:szCs w:val="28"/>
          <w:shd w:val="clear" w:color="auto" w:fill="FFFFFF"/>
          <w:lang w:val="uk-UA"/>
        </w:rPr>
        <w:t>Ташкент, Узбекистан. Ташкент; 2017. с.102.</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w:t>
      </w:r>
      <w:r w:rsidRPr="00D83BD4">
        <w:rPr>
          <w:sz w:val="28"/>
          <w:szCs w:val="28"/>
          <w:lang w:val="uk-UA"/>
        </w:rPr>
        <w:t xml:space="preserve"> </w:t>
      </w:r>
      <w:r w:rsidRPr="00D83BD4">
        <w:rPr>
          <w:sz w:val="28"/>
          <w:szCs w:val="28"/>
          <w:lang w:val="en-US"/>
        </w:rPr>
        <w:t>V</w:t>
      </w:r>
      <w:r w:rsidRPr="00D83BD4">
        <w:rPr>
          <w:sz w:val="28"/>
          <w:szCs w:val="28"/>
          <w:lang w:val="uk-UA"/>
        </w:rPr>
        <w:t xml:space="preserve">, </w:t>
      </w:r>
      <w:r w:rsidRPr="00D83BD4">
        <w:rPr>
          <w:sz w:val="28"/>
          <w:szCs w:val="28"/>
          <w:lang w:val="en-US"/>
        </w:rPr>
        <w:t>Bilovol</w:t>
      </w:r>
      <w:r w:rsidRPr="00D83BD4">
        <w:rPr>
          <w:sz w:val="28"/>
          <w:szCs w:val="28"/>
          <w:lang w:val="uk-UA"/>
        </w:rPr>
        <w:t xml:space="preserve"> </w:t>
      </w:r>
      <w:r w:rsidRPr="00D83BD4">
        <w:rPr>
          <w:sz w:val="28"/>
          <w:szCs w:val="28"/>
          <w:lang w:val="en-US"/>
        </w:rPr>
        <w:t>O</w:t>
      </w:r>
      <w:r w:rsidRPr="00D83BD4">
        <w:rPr>
          <w:sz w:val="28"/>
          <w:szCs w:val="28"/>
          <w:lang w:val="uk-UA"/>
        </w:rPr>
        <w:t xml:space="preserve">, </w:t>
      </w:r>
      <w:r w:rsidRPr="00D83BD4">
        <w:rPr>
          <w:sz w:val="28"/>
          <w:szCs w:val="28"/>
          <w:lang w:val="en-US"/>
        </w:rPr>
        <w:t>Shalimova</w:t>
      </w:r>
      <w:r w:rsidRPr="00D83BD4">
        <w:rPr>
          <w:sz w:val="28"/>
          <w:szCs w:val="28"/>
          <w:lang w:val="uk-UA"/>
        </w:rPr>
        <w:t xml:space="preserve"> </w:t>
      </w:r>
      <w:r w:rsidRPr="00D83BD4">
        <w:rPr>
          <w:sz w:val="28"/>
          <w:szCs w:val="28"/>
          <w:lang w:val="en-US"/>
        </w:rPr>
        <w:t>A</w:t>
      </w:r>
      <w:r w:rsidRPr="00D83BD4">
        <w:rPr>
          <w:sz w:val="28"/>
          <w:szCs w:val="28"/>
          <w:lang w:val="uk-UA"/>
        </w:rPr>
        <w:t xml:space="preserve">. </w:t>
      </w:r>
      <w:r w:rsidRPr="00D83BD4">
        <w:rPr>
          <w:sz w:val="28"/>
          <w:szCs w:val="28"/>
          <w:lang w:val="en-US"/>
        </w:rPr>
        <w:t>Vascular</w:t>
      </w:r>
      <w:r w:rsidRPr="00D83BD4">
        <w:rPr>
          <w:sz w:val="28"/>
          <w:szCs w:val="28"/>
          <w:lang w:val="uk-UA"/>
        </w:rPr>
        <w:t xml:space="preserve"> </w:t>
      </w:r>
      <w:r w:rsidRPr="00D83BD4">
        <w:rPr>
          <w:sz w:val="28"/>
          <w:szCs w:val="28"/>
          <w:lang w:val="en-US"/>
        </w:rPr>
        <w:t>endothelial</w:t>
      </w:r>
      <w:r w:rsidRPr="00D83BD4">
        <w:rPr>
          <w:sz w:val="28"/>
          <w:szCs w:val="28"/>
          <w:lang w:val="uk-UA"/>
        </w:rPr>
        <w:t xml:space="preserve"> </w:t>
      </w:r>
      <w:r w:rsidRPr="00D83BD4">
        <w:rPr>
          <w:sz w:val="28"/>
          <w:szCs w:val="28"/>
          <w:lang w:val="en-US"/>
        </w:rPr>
        <w:t>growth</w:t>
      </w:r>
      <w:r w:rsidRPr="00D83BD4">
        <w:rPr>
          <w:sz w:val="28"/>
          <w:szCs w:val="28"/>
          <w:lang w:val="uk-UA"/>
        </w:rPr>
        <w:t xml:space="preserve"> </w:t>
      </w:r>
      <w:r w:rsidRPr="00D83BD4">
        <w:rPr>
          <w:sz w:val="28"/>
          <w:szCs w:val="28"/>
          <w:lang w:val="en-US"/>
        </w:rPr>
        <w:t>factor</w:t>
      </w:r>
      <w:r w:rsidRPr="00D83BD4">
        <w:rPr>
          <w:sz w:val="28"/>
          <w:szCs w:val="28"/>
          <w:lang w:val="uk-UA"/>
        </w:rPr>
        <w:t xml:space="preserve"> </w:t>
      </w:r>
      <w:r w:rsidRPr="00D83BD4">
        <w:rPr>
          <w:sz w:val="28"/>
          <w:szCs w:val="28"/>
          <w:lang w:val="en-US"/>
        </w:rPr>
        <w:t>as a marker of</w:t>
      </w:r>
      <w:r w:rsidRPr="00D83BD4">
        <w:rPr>
          <w:sz w:val="28"/>
          <w:szCs w:val="28"/>
          <w:lang w:val="uk-UA"/>
        </w:rPr>
        <w:t xml:space="preserve"> </w:t>
      </w:r>
      <w:r w:rsidRPr="00D83BD4">
        <w:rPr>
          <w:sz w:val="28"/>
          <w:szCs w:val="28"/>
          <w:lang w:val="en-US"/>
        </w:rPr>
        <w:t>endothelial</w:t>
      </w:r>
      <w:r w:rsidRPr="00D83BD4">
        <w:rPr>
          <w:sz w:val="28"/>
          <w:szCs w:val="28"/>
          <w:lang w:val="uk-UA"/>
        </w:rPr>
        <w:t xml:space="preserve"> </w:t>
      </w:r>
      <w:r w:rsidRPr="00D83BD4">
        <w:rPr>
          <w:sz w:val="28"/>
          <w:szCs w:val="28"/>
          <w:lang w:val="en-US"/>
        </w:rPr>
        <w:t>dysfunction</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poly</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comorbidity</w:t>
      </w:r>
      <w:r w:rsidRPr="00D83BD4">
        <w:rPr>
          <w:sz w:val="28"/>
          <w:szCs w:val="28"/>
          <w:lang w:val="uk-UA"/>
        </w:rPr>
        <w:t xml:space="preserve">: </w:t>
      </w:r>
      <w:r w:rsidRPr="00D83BD4">
        <w:rPr>
          <w:sz w:val="28"/>
          <w:szCs w:val="28"/>
          <w:lang w:val="en-US"/>
        </w:rPr>
        <w:t>focus</w:t>
      </w:r>
      <w:r w:rsidRPr="00D83BD4">
        <w:rPr>
          <w:sz w:val="28"/>
          <w:szCs w:val="28"/>
          <w:lang w:val="uk-UA"/>
        </w:rPr>
        <w:t xml:space="preserve"> </w:t>
      </w:r>
      <w:r w:rsidRPr="00D83BD4">
        <w:rPr>
          <w:sz w:val="28"/>
          <w:szCs w:val="28"/>
          <w:lang w:val="en-US"/>
        </w:rPr>
        <w:t>on</w:t>
      </w:r>
      <w:r w:rsidRPr="00D83BD4">
        <w:rPr>
          <w:sz w:val="28"/>
          <w:szCs w:val="28"/>
          <w:lang w:val="uk-UA"/>
        </w:rPr>
        <w:t xml:space="preserve"> </w:t>
      </w:r>
      <w:r w:rsidRPr="00D83BD4">
        <w:rPr>
          <w:sz w:val="28"/>
          <w:szCs w:val="28"/>
          <w:lang w:val="en-US"/>
        </w:rPr>
        <w:t>hypertension</w:t>
      </w:r>
      <w:r w:rsidRPr="00D83BD4">
        <w:rPr>
          <w:sz w:val="28"/>
          <w:szCs w:val="28"/>
          <w:lang w:val="uk-UA"/>
        </w:rPr>
        <w:t xml:space="preserve">, </w:t>
      </w:r>
      <w:r w:rsidRPr="00D83BD4">
        <w:rPr>
          <w:sz w:val="28"/>
          <w:szCs w:val="28"/>
          <w:lang w:val="en-US"/>
        </w:rPr>
        <w:t>type</w:t>
      </w:r>
      <w:r w:rsidRPr="00D83BD4">
        <w:rPr>
          <w:sz w:val="28"/>
          <w:szCs w:val="28"/>
          <w:lang w:val="uk-UA"/>
        </w:rPr>
        <w:t xml:space="preserve"> 2 </w:t>
      </w:r>
      <w:r w:rsidRPr="00D83BD4">
        <w:rPr>
          <w:sz w:val="28"/>
          <w:szCs w:val="28"/>
          <w:lang w:val="en-US"/>
        </w:rPr>
        <w:t>diabetes</w:t>
      </w:r>
      <w:r w:rsidRPr="00D83BD4">
        <w:rPr>
          <w:sz w:val="28"/>
          <w:szCs w:val="28"/>
          <w:lang w:val="uk-UA"/>
        </w:rPr>
        <w:t xml:space="preserve"> </w:t>
      </w:r>
      <w:r w:rsidRPr="00D83BD4">
        <w:rPr>
          <w:sz w:val="28"/>
          <w:szCs w:val="28"/>
          <w:lang w:val="en-US"/>
        </w:rPr>
        <w:t>mellitus</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subclinical</w:t>
      </w:r>
      <w:r w:rsidRPr="00D83BD4">
        <w:rPr>
          <w:sz w:val="28"/>
          <w:szCs w:val="28"/>
          <w:lang w:val="uk-UA"/>
        </w:rPr>
        <w:t xml:space="preserve"> </w:t>
      </w:r>
      <w:r w:rsidRPr="00D83BD4">
        <w:rPr>
          <w:sz w:val="28"/>
          <w:szCs w:val="28"/>
          <w:lang w:val="en-US"/>
        </w:rPr>
        <w:t>hypothyroidism</w:t>
      </w:r>
      <w:r w:rsidRPr="00D83BD4">
        <w:rPr>
          <w:sz w:val="28"/>
          <w:szCs w:val="28"/>
          <w:lang w:val="uk-UA"/>
        </w:rPr>
        <w:t xml:space="preserve">. </w:t>
      </w:r>
      <w:r w:rsidRPr="00D83BD4">
        <w:rPr>
          <w:sz w:val="28"/>
          <w:szCs w:val="28"/>
          <w:lang w:val="en-US"/>
        </w:rPr>
        <w:t>Arterial</w:t>
      </w:r>
      <w:r w:rsidRPr="00D83BD4">
        <w:rPr>
          <w:sz w:val="28"/>
          <w:szCs w:val="28"/>
          <w:lang w:val="uk-UA"/>
        </w:rPr>
        <w:t xml:space="preserve"> </w:t>
      </w:r>
      <w:r w:rsidRPr="00D83BD4">
        <w:rPr>
          <w:sz w:val="28"/>
          <w:szCs w:val="28"/>
          <w:lang w:val="en-US"/>
        </w:rPr>
        <w:t>hypertension</w:t>
      </w:r>
      <w:r w:rsidRPr="00D83BD4">
        <w:rPr>
          <w:sz w:val="28"/>
          <w:szCs w:val="28"/>
          <w:lang w:val="uk-UA"/>
        </w:rPr>
        <w:t>. 2019;(23):98-104.</w:t>
      </w:r>
      <w:r w:rsidRPr="00D83BD4">
        <w:rPr>
          <w:bCs/>
          <w:sz w:val="28"/>
          <w:szCs w:val="28"/>
          <w:lang w:val="uk-UA"/>
        </w:rPr>
        <w:t xml:space="preserve"> </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w:t>
      </w:r>
      <w:r w:rsidRPr="00D83BD4">
        <w:rPr>
          <w:sz w:val="28"/>
          <w:szCs w:val="28"/>
          <w:lang w:val="uk-UA"/>
        </w:rPr>
        <w:t xml:space="preserve"> </w:t>
      </w:r>
      <w:r w:rsidRPr="00D83BD4">
        <w:rPr>
          <w:sz w:val="28"/>
          <w:szCs w:val="28"/>
          <w:lang w:val="en-US"/>
        </w:rPr>
        <w:t>V</w:t>
      </w:r>
      <w:r w:rsidRPr="00D83BD4">
        <w:rPr>
          <w:sz w:val="28"/>
          <w:szCs w:val="28"/>
          <w:lang w:val="uk-UA"/>
        </w:rPr>
        <w:t xml:space="preserve">, </w:t>
      </w:r>
      <w:r w:rsidRPr="00D83BD4">
        <w:rPr>
          <w:sz w:val="28"/>
          <w:szCs w:val="28"/>
          <w:lang w:val="en-US"/>
        </w:rPr>
        <w:t>Shalimova</w:t>
      </w:r>
      <w:r w:rsidRPr="00D83BD4">
        <w:rPr>
          <w:sz w:val="28"/>
          <w:szCs w:val="28"/>
          <w:lang w:val="uk-UA"/>
        </w:rPr>
        <w:t xml:space="preserve"> </w:t>
      </w:r>
      <w:r w:rsidRPr="00D83BD4">
        <w:rPr>
          <w:sz w:val="28"/>
          <w:szCs w:val="28"/>
          <w:lang w:val="en-US"/>
        </w:rPr>
        <w:t>A, Bondar</w:t>
      </w:r>
      <w:r w:rsidRPr="00D83BD4">
        <w:rPr>
          <w:sz w:val="28"/>
          <w:szCs w:val="28"/>
          <w:lang w:val="uk-UA"/>
        </w:rPr>
        <w:t xml:space="preserve"> </w:t>
      </w:r>
      <w:r w:rsidRPr="00D83BD4">
        <w:rPr>
          <w:sz w:val="28"/>
          <w:szCs w:val="28"/>
          <w:lang w:val="en-US"/>
        </w:rPr>
        <w:t>T. Effect of achieving blood pressure targets on the relative telomere length in hypertensive patients with and without type 2 diabetes mellitus</w:t>
      </w:r>
      <w:r w:rsidRPr="00D83BD4">
        <w:rPr>
          <w:sz w:val="28"/>
          <w:szCs w:val="28"/>
          <w:lang w:val="uk-UA"/>
        </w:rPr>
        <w:t xml:space="preserve">. </w:t>
      </w:r>
      <w:r w:rsidRPr="00D83BD4">
        <w:rPr>
          <w:sz w:val="28"/>
          <w:szCs w:val="28"/>
          <w:lang w:val="en-US"/>
        </w:rPr>
        <w:t>Arterial hypertension.</w:t>
      </w:r>
      <w:r w:rsidRPr="00D83BD4">
        <w:rPr>
          <w:iCs/>
          <w:sz w:val="28"/>
          <w:szCs w:val="28"/>
          <w:shd w:val="clear" w:color="auto" w:fill="FFFFFF"/>
          <w:lang w:val="uk-UA"/>
        </w:rPr>
        <w:t>2020.№24(2).Р.61-66.</w:t>
      </w:r>
      <w:r w:rsidRPr="00D83BD4">
        <w:rPr>
          <w:sz w:val="28"/>
          <w:szCs w:val="28"/>
          <w:shd w:val="clear" w:color="auto" w:fill="FFFFFF"/>
          <w:lang w:val="en-US"/>
        </w:rPr>
        <w:t xml:space="preserve"> doi: 10.5603/AH.a2019.0016</w:t>
      </w:r>
      <w:r w:rsidRPr="00D83BD4">
        <w:rPr>
          <w:sz w:val="28"/>
          <w:szCs w:val="28"/>
          <w:lang w:val="uk-UA"/>
        </w:rPr>
        <w:t xml:space="preserve">. </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w:t>
      </w:r>
      <w:r w:rsidRPr="00D83BD4">
        <w:rPr>
          <w:sz w:val="28"/>
          <w:szCs w:val="28"/>
          <w:lang w:val="uk-UA"/>
        </w:rPr>
        <w:t xml:space="preserve"> </w:t>
      </w:r>
      <w:r w:rsidRPr="00D83BD4">
        <w:rPr>
          <w:sz w:val="28"/>
          <w:szCs w:val="28"/>
          <w:lang w:val="en-US"/>
        </w:rPr>
        <w:t>V, Bilovol O, Zlatkina V, Ilchenko I.</w:t>
      </w:r>
      <w:r w:rsidRPr="00D83BD4">
        <w:rPr>
          <w:sz w:val="28"/>
          <w:szCs w:val="28"/>
          <w:lang w:val="uk-UA"/>
        </w:rPr>
        <w:t xml:space="preserve"> </w:t>
      </w:r>
      <w:r w:rsidRPr="00D83BD4">
        <w:rPr>
          <w:sz w:val="28"/>
          <w:szCs w:val="28"/>
          <w:lang w:val="en-US"/>
        </w:rPr>
        <w:t>Impact of subclinical hypothyroidism on the relative leukocyte telomere length in elderly patients with the different comorbidity: focus on hypertension, type 2 diabetes</w:t>
      </w:r>
      <w:r w:rsidRPr="00D83BD4">
        <w:rPr>
          <w:sz w:val="28"/>
          <w:szCs w:val="28"/>
          <w:lang w:val="uk-UA"/>
        </w:rPr>
        <w:t>.</w:t>
      </w:r>
      <w:r w:rsidRPr="00D83BD4">
        <w:rPr>
          <w:sz w:val="28"/>
          <w:szCs w:val="28"/>
          <w:lang w:val="en-US"/>
        </w:rPr>
        <w:t xml:space="preserve"> In: 15</w:t>
      </w:r>
      <w:r w:rsidRPr="00D83BD4">
        <w:rPr>
          <w:sz w:val="28"/>
          <w:szCs w:val="28"/>
          <w:vertAlign w:val="superscript"/>
          <w:lang w:val="en-US"/>
        </w:rPr>
        <w:t>th</w:t>
      </w:r>
      <w:r w:rsidRPr="00D83BD4">
        <w:rPr>
          <w:sz w:val="28"/>
          <w:szCs w:val="28"/>
          <w:lang w:val="en-US"/>
        </w:rPr>
        <w:t xml:space="preserve"> International Congress of the European Geriatric Society; 2019 Sept. 25-27; Krakow, Poland. </w:t>
      </w:r>
      <w:r w:rsidRPr="00D83BD4">
        <w:rPr>
          <w:sz w:val="28"/>
          <w:szCs w:val="28"/>
        </w:rPr>
        <w:t>Eur Geriatr Med. 2019;10(Supl):223</w:t>
      </w:r>
      <w:r w:rsidRPr="00D83BD4">
        <w:rPr>
          <w:sz w:val="28"/>
          <w:szCs w:val="28"/>
          <w:lang w:val="uk-UA"/>
        </w:rPr>
        <w:t>.</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w:t>
      </w:r>
      <w:r w:rsidRPr="00D83BD4">
        <w:rPr>
          <w:sz w:val="28"/>
          <w:szCs w:val="28"/>
          <w:lang w:val="uk-UA"/>
        </w:rPr>
        <w:t xml:space="preserve"> </w:t>
      </w:r>
      <w:r w:rsidRPr="00D83BD4">
        <w:rPr>
          <w:sz w:val="28"/>
          <w:szCs w:val="28"/>
          <w:lang w:val="en-US"/>
        </w:rPr>
        <w:t>V</w:t>
      </w:r>
      <w:r w:rsidRPr="00D83BD4">
        <w:rPr>
          <w:sz w:val="28"/>
          <w:szCs w:val="28"/>
          <w:lang w:val="uk-UA"/>
        </w:rPr>
        <w:t xml:space="preserve">, </w:t>
      </w:r>
      <w:r w:rsidRPr="00D83BD4">
        <w:rPr>
          <w:sz w:val="28"/>
          <w:szCs w:val="28"/>
          <w:lang w:val="en-US"/>
        </w:rPr>
        <w:t>Bilovol</w:t>
      </w:r>
      <w:r w:rsidRPr="00D83BD4">
        <w:rPr>
          <w:sz w:val="28"/>
          <w:szCs w:val="28"/>
          <w:lang w:val="uk-UA"/>
        </w:rPr>
        <w:t xml:space="preserve"> </w:t>
      </w:r>
      <w:r w:rsidRPr="00D83BD4">
        <w:rPr>
          <w:sz w:val="28"/>
          <w:szCs w:val="28"/>
          <w:lang w:val="en-US"/>
        </w:rPr>
        <w:t>O</w:t>
      </w:r>
      <w:r w:rsidRPr="00D83BD4">
        <w:rPr>
          <w:sz w:val="28"/>
          <w:szCs w:val="28"/>
          <w:lang w:val="uk-UA"/>
        </w:rPr>
        <w:t xml:space="preserve">, </w:t>
      </w:r>
      <w:r w:rsidRPr="00D83BD4">
        <w:rPr>
          <w:sz w:val="28"/>
          <w:szCs w:val="28"/>
          <w:lang w:val="en-US"/>
        </w:rPr>
        <w:t>Zlatkina</w:t>
      </w:r>
      <w:r w:rsidRPr="00D83BD4">
        <w:rPr>
          <w:sz w:val="28"/>
          <w:szCs w:val="28"/>
          <w:lang w:val="uk-UA"/>
        </w:rPr>
        <w:t xml:space="preserve"> </w:t>
      </w:r>
      <w:r w:rsidRPr="00D83BD4">
        <w:rPr>
          <w:sz w:val="28"/>
          <w:szCs w:val="28"/>
          <w:lang w:val="en-US"/>
        </w:rPr>
        <w:t>V</w:t>
      </w:r>
      <w:r w:rsidRPr="00D83BD4">
        <w:rPr>
          <w:sz w:val="28"/>
          <w:szCs w:val="28"/>
          <w:lang w:val="uk-UA"/>
        </w:rPr>
        <w:t xml:space="preserve">. </w:t>
      </w:r>
      <w:r w:rsidRPr="00D83BD4">
        <w:rPr>
          <w:sz w:val="28"/>
          <w:szCs w:val="28"/>
          <w:lang w:val="en-US"/>
        </w:rPr>
        <w:t>Cardiovascular</w:t>
      </w:r>
      <w:r w:rsidRPr="00D83BD4">
        <w:rPr>
          <w:sz w:val="28"/>
          <w:szCs w:val="28"/>
          <w:lang w:val="uk-UA"/>
        </w:rPr>
        <w:t xml:space="preserve"> </w:t>
      </w:r>
      <w:r w:rsidRPr="00D83BD4">
        <w:rPr>
          <w:sz w:val="28"/>
          <w:szCs w:val="28"/>
          <w:lang w:val="en-US"/>
        </w:rPr>
        <w:t>risk</w:t>
      </w:r>
      <w:r w:rsidRPr="00D83BD4">
        <w:rPr>
          <w:sz w:val="28"/>
          <w:szCs w:val="28"/>
          <w:lang w:val="uk-UA"/>
        </w:rPr>
        <w:t xml:space="preserve"> </w:t>
      </w:r>
      <w:r w:rsidRPr="00D83BD4">
        <w:rPr>
          <w:sz w:val="28"/>
          <w:szCs w:val="28"/>
          <w:lang w:val="en-US"/>
        </w:rPr>
        <w:t>factors</w:t>
      </w:r>
      <w:r w:rsidRPr="00D83BD4">
        <w:rPr>
          <w:sz w:val="28"/>
          <w:szCs w:val="28"/>
          <w:lang w:val="uk-UA"/>
        </w:rPr>
        <w:t xml:space="preserve"> </w:t>
      </w:r>
      <w:r w:rsidRPr="00D83BD4">
        <w:rPr>
          <w:sz w:val="28"/>
          <w:szCs w:val="28"/>
          <w:lang w:val="en-US"/>
        </w:rPr>
        <w:t>depending</w:t>
      </w:r>
      <w:r w:rsidRPr="00D83BD4">
        <w:rPr>
          <w:sz w:val="28"/>
          <w:szCs w:val="28"/>
          <w:lang w:val="uk-UA"/>
        </w:rPr>
        <w:t xml:space="preserve"> </w:t>
      </w:r>
      <w:r w:rsidRPr="00D83BD4">
        <w:rPr>
          <w:sz w:val="28"/>
          <w:szCs w:val="28"/>
          <w:lang w:val="en-US"/>
        </w:rPr>
        <w:t>on</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vascular</w:t>
      </w:r>
      <w:r w:rsidRPr="00D83BD4">
        <w:rPr>
          <w:sz w:val="28"/>
          <w:szCs w:val="28"/>
          <w:lang w:val="uk-UA"/>
        </w:rPr>
        <w:t xml:space="preserve"> </w:t>
      </w:r>
      <w:r w:rsidRPr="00D83BD4">
        <w:rPr>
          <w:sz w:val="28"/>
          <w:szCs w:val="28"/>
          <w:lang w:val="en-US"/>
        </w:rPr>
        <w:t>endothelium</w:t>
      </w:r>
      <w:r w:rsidRPr="00D83BD4">
        <w:rPr>
          <w:sz w:val="28"/>
          <w:szCs w:val="28"/>
          <w:lang w:val="uk-UA"/>
        </w:rPr>
        <w:t xml:space="preserve"> </w:t>
      </w:r>
      <w:r w:rsidRPr="00D83BD4">
        <w:rPr>
          <w:sz w:val="28"/>
          <w:szCs w:val="28"/>
          <w:lang w:val="en-US"/>
        </w:rPr>
        <w:t>damage</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patients</w:t>
      </w:r>
      <w:r w:rsidRPr="00D83BD4">
        <w:rPr>
          <w:sz w:val="28"/>
          <w:szCs w:val="28"/>
          <w:lang w:val="uk-UA"/>
        </w:rPr>
        <w:t xml:space="preserve"> </w:t>
      </w:r>
      <w:r w:rsidRPr="00D83BD4">
        <w:rPr>
          <w:sz w:val="28"/>
          <w:szCs w:val="28"/>
          <w:lang w:val="en-US"/>
        </w:rPr>
        <w:t>with</w:t>
      </w:r>
      <w:r w:rsidRPr="00D83BD4">
        <w:rPr>
          <w:sz w:val="28"/>
          <w:szCs w:val="28"/>
          <w:lang w:val="uk-UA"/>
        </w:rPr>
        <w:t xml:space="preserve"> </w:t>
      </w:r>
      <w:r w:rsidRPr="00D83BD4">
        <w:rPr>
          <w:sz w:val="28"/>
          <w:szCs w:val="28"/>
          <w:lang w:val="en-US"/>
        </w:rPr>
        <w:t>comorbid</w:t>
      </w:r>
      <w:r w:rsidRPr="00D83BD4">
        <w:rPr>
          <w:sz w:val="28"/>
          <w:szCs w:val="28"/>
          <w:lang w:val="uk-UA"/>
        </w:rPr>
        <w:t xml:space="preserve"> </w:t>
      </w:r>
      <w:r w:rsidRPr="00D83BD4">
        <w:rPr>
          <w:sz w:val="28"/>
          <w:szCs w:val="28"/>
          <w:lang w:val="en-US"/>
        </w:rPr>
        <w:t>course</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arterial</w:t>
      </w:r>
      <w:r w:rsidRPr="00D83BD4">
        <w:rPr>
          <w:sz w:val="28"/>
          <w:szCs w:val="28"/>
          <w:lang w:val="uk-UA"/>
        </w:rPr>
        <w:t xml:space="preserve"> </w:t>
      </w:r>
      <w:r w:rsidRPr="00D83BD4">
        <w:rPr>
          <w:sz w:val="28"/>
          <w:szCs w:val="28"/>
          <w:lang w:val="en-US"/>
        </w:rPr>
        <w:t>hypertension</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subclinical</w:t>
      </w:r>
      <w:r w:rsidRPr="00D83BD4">
        <w:rPr>
          <w:sz w:val="28"/>
          <w:szCs w:val="28"/>
          <w:lang w:val="uk-UA"/>
        </w:rPr>
        <w:t xml:space="preserve"> </w:t>
      </w:r>
      <w:r w:rsidRPr="00D83BD4">
        <w:rPr>
          <w:sz w:val="28"/>
          <w:szCs w:val="28"/>
          <w:lang w:val="en-US"/>
        </w:rPr>
        <w:t>hypothyroidism</w:t>
      </w:r>
      <w:r w:rsidRPr="00D83BD4">
        <w:rPr>
          <w:sz w:val="28"/>
          <w:szCs w:val="28"/>
          <w:lang w:val="uk-UA"/>
        </w:rPr>
        <w:t xml:space="preserve">. </w:t>
      </w:r>
      <w:r w:rsidRPr="00D83BD4">
        <w:rPr>
          <w:sz w:val="28"/>
          <w:szCs w:val="28"/>
        </w:rPr>
        <w:t>In: EuroPrevent</w:t>
      </w:r>
      <w:r w:rsidRPr="00D83BD4">
        <w:rPr>
          <w:sz w:val="28"/>
          <w:szCs w:val="28"/>
          <w:lang w:val="uk-UA"/>
        </w:rPr>
        <w:t xml:space="preserve"> 2019</w:t>
      </w:r>
      <w:r w:rsidRPr="00D83BD4">
        <w:rPr>
          <w:sz w:val="28"/>
          <w:szCs w:val="28"/>
        </w:rPr>
        <w:t xml:space="preserve">; </w:t>
      </w:r>
      <w:r w:rsidRPr="00D83BD4">
        <w:rPr>
          <w:sz w:val="28"/>
          <w:szCs w:val="28"/>
          <w:lang w:val="uk-UA"/>
        </w:rPr>
        <w:t>2019</w:t>
      </w:r>
      <w:r w:rsidRPr="00D83BD4">
        <w:rPr>
          <w:sz w:val="28"/>
          <w:szCs w:val="28"/>
        </w:rPr>
        <w:t xml:space="preserve"> Apr</w:t>
      </w:r>
      <w:r w:rsidRPr="00D83BD4">
        <w:rPr>
          <w:sz w:val="28"/>
          <w:szCs w:val="28"/>
          <w:lang w:val="uk-UA"/>
        </w:rPr>
        <w:t>. 11-13</w:t>
      </w:r>
      <w:r w:rsidRPr="00D83BD4">
        <w:rPr>
          <w:sz w:val="28"/>
          <w:szCs w:val="28"/>
        </w:rPr>
        <w:t>; Lisbon</w:t>
      </w:r>
      <w:r w:rsidRPr="00D83BD4">
        <w:rPr>
          <w:sz w:val="28"/>
          <w:szCs w:val="28"/>
          <w:lang w:val="uk-UA"/>
        </w:rPr>
        <w:t xml:space="preserve">, </w:t>
      </w:r>
      <w:r w:rsidRPr="00D83BD4">
        <w:rPr>
          <w:sz w:val="28"/>
          <w:szCs w:val="28"/>
        </w:rPr>
        <w:t xml:space="preserve">Portugal. </w:t>
      </w:r>
      <w:r w:rsidRPr="00D83BD4">
        <w:rPr>
          <w:sz w:val="28"/>
          <w:szCs w:val="28"/>
          <w:lang w:val="uk-UA"/>
        </w:rPr>
        <w:t xml:space="preserve"> </w:t>
      </w:r>
      <w:r w:rsidRPr="00D83BD4">
        <w:rPr>
          <w:sz w:val="28"/>
          <w:szCs w:val="28"/>
        </w:rPr>
        <w:t>P</w:t>
      </w:r>
      <w:r w:rsidRPr="00D83BD4">
        <w:rPr>
          <w:sz w:val="28"/>
          <w:szCs w:val="28"/>
          <w:lang w:val="uk-UA"/>
        </w:rPr>
        <w:t>216.</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w:t>
      </w:r>
      <w:r w:rsidRPr="00D83BD4">
        <w:rPr>
          <w:sz w:val="28"/>
          <w:szCs w:val="28"/>
          <w:lang w:val="uk-UA"/>
        </w:rPr>
        <w:t xml:space="preserve"> </w:t>
      </w:r>
      <w:r w:rsidRPr="00D83BD4">
        <w:rPr>
          <w:sz w:val="28"/>
          <w:szCs w:val="28"/>
          <w:lang w:val="en-US"/>
        </w:rPr>
        <w:t>V</w:t>
      </w:r>
      <w:r w:rsidRPr="00D83BD4">
        <w:rPr>
          <w:sz w:val="28"/>
          <w:szCs w:val="28"/>
          <w:lang w:val="uk-UA"/>
        </w:rPr>
        <w:t xml:space="preserve">, </w:t>
      </w:r>
      <w:r w:rsidRPr="00D83BD4">
        <w:rPr>
          <w:sz w:val="28"/>
          <w:szCs w:val="28"/>
          <w:lang w:val="en-US"/>
        </w:rPr>
        <w:t>Bilovol</w:t>
      </w:r>
      <w:r w:rsidRPr="00D83BD4">
        <w:rPr>
          <w:sz w:val="28"/>
          <w:szCs w:val="28"/>
          <w:lang w:val="uk-UA"/>
        </w:rPr>
        <w:t xml:space="preserve"> </w:t>
      </w:r>
      <w:r w:rsidRPr="00D83BD4">
        <w:rPr>
          <w:sz w:val="28"/>
          <w:szCs w:val="28"/>
          <w:lang w:val="en-US"/>
        </w:rPr>
        <w:t>O</w:t>
      </w:r>
      <w:r w:rsidRPr="00D83BD4">
        <w:rPr>
          <w:sz w:val="28"/>
          <w:szCs w:val="28"/>
          <w:lang w:val="uk-UA"/>
        </w:rPr>
        <w:t xml:space="preserve">, </w:t>
      </w:r>
      <w:r w:rsidRPr="00D83BD4">
        <w:rPr>
          <w:sz w:val="28"/>
          <w:szCs w:val="28"/>
          <w:lang w:val="en-US"/>
        </w:rPr>
        <w:t>Zlatkina</w:t>
      </w:r>
      <w:r w:rsidRPr="00D83BD4">
        <w:rPr>
          <w:sz w:val="28"/>
          <w:szCs w:val="28"/>
          <w:lang w:val="uk-UA"/>
        </w:rPr>
        <w:t xml:space="preserve"> </w:t>
      </w:r>
      <w:r w:rsidRPr="00D83BD4">
        <w:rPr>
          <w:sz w:val="28"/>
          <w:szCs w:val="28"/>
          <w:lang w:val="en-US"/>
        </w:rPr>
        <w:t>V</w:t>
      </w:r>
      <w:r w:rsidRPr="00D83BD4">
        <w:rPr>
          <w:sz w:val="28"/>
          <w:szCs w:val="28"/>
          <w:lang w:val="uk-UA"/>
        </w:rPr>
        <w:t xml:space="preserve">, </w:t>
      </w:r>
      <w:r w:rsidRPr="00D83BD4">
        <w:rPr>
          <w:sz w:val="28"/>
          <w:szCs w:val="28"/>
          <w:lang w:val="en-US"/>
        </w:rPr>
        <w:t>Ilchenko</w:t>
      </w:r>
      <w:r w:rsidRPr="00D83BD4">
        <w:rPr>
          <w:sz w:val="28"/>
          <w:szCs w:val="28"/>
          <w:lang w:val="uk-UA"/>
        </w:rPr>
        <w:t xml:space="preserve"> </w:t>
      </w:r>
      <w:r w:rsidRPr="00D83BD4">
        <w:rPr>
          <w:sz w:val="28"/>
          <w:szCs w:val="28"/>
          <w:lang w:val="en-US"/>
        </w:rPr>
        <w:t>I</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effect</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middle</w:t>
      </w:r>
      <w:r w:rsidRPr="00D83BD4">
        <w:rPr>
          <w:sz w:val="28"/>
          <w:szCs w:val="28"/>
          <w:lang w:val="uk-UA"/>
        </w:rPr>
        <w:t>-</w:t>
      </w:r>
      <w:r w:rsidRPr="00D83BD4">
        <w:rPr>
          <w:sz w:val="28"/>
          <w:szCs w:val="28"/>
          <w:lang w:val="en-US"/>
        </w:rPr>
        <w:t>dose</w:t>
      </w:r>
      <w:r w:rsidRPr="00D83BD4">
        <w:rPr>
          <w:sz w:val="28"/>
          <w:szCs w:val="28"/>
          <w:lang w:val="uk-UA"/>
        </w:rPr>
        <w:t xml:space="preserve"> </w:t>
      </w:r>
      <w:r w:rsidRPr="00D83BD4">
        <w:rPr>
          <w:sz w:val="28"/>
          <w:szCs w:val="28"/>
          <w:lang w:val="en-US"/>
        </w:rPr>
        <w:t>statin</w:t>
      </w:r>
      <w:r w:rsidRPr="00D83BD4">
        <w:rPr>
          <w:sz w:val="28"/>
          <w:szCs w:val="28"/>
          <w:lang w:val="uk-UA"/>
        </w:rPr>
        <w:t xml:space="preserve"> </w:t>
      </w:r>
      <w:r w:rsidRPr="00D83BD4">
        <w:rPr>
          <w:sz w:val="28"/>
          <w:szCs w:val="28"/>
          <w:lang w:val="en-US"/>
        </w:rPr>
        <w:t>therapy</w:t>
      </w:r>
      <w:r w:rsidRPr="00D83BD4">
        <w:rPr>
          <w:sz w:val="28"/>
          <w:szCs w:val="28"/>
          <w:lang w:val="uk-UA"/>
        </w:rPr>
        <w:t xml:space="preserve"> </w:t>
      </w:r>
      <w:r w:rsidRPr="00D83BD4">
        <w:rPr>
          <w:sz w:val="28"/>
          <w:szCs w:val="28"/>
          <w:lang w:val="en-US"/>
        </w:rPr>
        <w:t>on</w:t>
      </w:r>
      <w:r w:rsidRPr="00D83BD4">
        <w:rPr>
          <w:sz w:val="28"/>
          <w:szCs w:val="28"/>
          <w:lang w:val="uk-UA"/>
        </w:rPr>
        <w:t xml:space="preserve"> </w:t>
      </w:r>
      <w:r w:rsidRPr="00D83BD4">
        <w:rPr>
          <w:sz w:val="28"/>
          <w:szCs w:val="28"/>
          <w:lang w:val="en-US"/>
        </w:rPr>
        <w:t>the</w:t>
      </w:r>
      <w:r w:rsidRPr="00D83BD4">
        <w:rPr>
          <w:sz w:val="28"/>
          <w:szCs w:val="28"/>
          <w:lang w:val="uk-UA"/>
        </w:rPr>
        <w:t xml:space="preserve"> </w:t>
      </w:r>
      <w:r w:rsidRPr="00D83BD4">
        <w:rPr>
          <w:sz w:val="28"/>
          <w:szCs w:val="28"/>
          <w:lang w:val="en-US"/>
        </w:rPr>
        <w:t>vascular</w:t>
      </w:r>
      <w:r w:rsidRPr="00D83BD4">
        <w:rPr>
          <w:sz w:val="28"/>
          <w:szCs w:val="28"/>
          <w:lang w:val="uk-UA"/>
        </w:rPr>
        <w:t xml:space="preserve"> </w:t>
      </w:r>
      <w:r w:rsidRPr="00D83BD4">
        <w:rPr>
          <w:sz w:val="28"/>
          <w:szCs w:val="28"/>
          <w:lang w:val="en-US"/>
        </w:rPr>
        <w:t>endothelium</w:t>
      </w:r>
      <w:r w:rsidRPr="00D83BD4">
        <w:rPr>
          <w:sz w:val="28"/>
          <w:szCs w:val="28"/>
          <w:lang w:val="uk-UA"/>
        </w:rPr>
        <w:t xml:space="preserve"> </w:t>
      </w:r>
      <w:r w:rsidRPr="00D83BD4">
        <w:rPr>
          <w:sz w:val="28"/>
          <w:szCs w:val="28"/>
          <w:lang w:val="en-US"/>
        </w:rPr>
        <w:t>function</w:t>
      </w:r>
      <w:r w:rsidRPr="00D83BD4">
        <w:rPr>
          <w:sz w:val="28"/>
          <w:szCs w:val="28"/>
          <w:lang w:val="uk-UA"/>
        </w:rPr>
        <w:t xml:space="preserve"> </w:t>
      </w:r>
      <w:r w:rsidRPr="00D83BD4">
        <w:rPr>
          <w:sz w:val="28"/>
          <w:szCs w:val="28"/>
          <w:lang w:val="en-US"/>
        </w:rPr>
        <w:t>in</w:t>
      </w:r>
      <w:r w:rsidRPr="00D83BD4">
        <w:rPr>
          <w:sz w:val="28"/>
          <w:szCs w:val="28"/>
          <w:lang w:val="uk-UA"/>
        </w:rPr>
        <w:t xml:space="preserve"> </w:t>
      </w:r>
      <w:r w:rsidRPr="00D83BD4">
        <w:rPr>
          <w:sz w:val="28"/>
          <w:szCs w:val="28"/>
          <w:lang w:val="en-US"/>
        </w:rPr>
        <w:t>patients</w:t>
      </w:r>
      <w:r w:rsidRPr="00D83BD4">
        <w:rPr>
          <w:sz w:val="28"/>
          <w:szCs w:val="28"/>
          <w:lang w:val="uk-UA"/>
        </w:rPr>
        <w:t xml:space="preserve"> </w:t>
      </w:r>
      <w:r w:rsidRPr="00D83BD4">
        <w:rPr>
          <w:sz w:val="28"/>
          <w:szCs w:val="28"/>
          <w:lang w:val="en-US"/>
        </w:rPr>
        <w:t>with</w:t>
      </w:r>
      <w:r w:rsidRPr="00D83BD4">
        <w:rPr>
          <w:sz w:val="28"/>
          <w:szCs w:val="28"/>
          <w:lang w:val="uk-UA"/>
        </w:rPr>
        <w:t xml:space="preserve"> </w:t>
      </w:r>
      <w:r w:rsidRPr="00D83BD4">
        <w:rPr>
          <w:sz w:val="28"/>
          <w:szCs w:val="28"/>
          <w:lang w:val="en-US"/>
        </w:rPr>
        <w:t>a</w:t>
      </w:r>
      <w:r w:rsidRPr="00D83BD4">
        <w:rPr>
          <w:sz w:val="28"/>
          <w:szCs w:val="28"/>
          <w:lang w:val="uk-UA"/>
        </w:rPr>
        <w:t xml:space="preserve"> </w:t>
      </w:r>
      <w:r w:rsidRPr="00D83BD4">
        <w:rPr>
          <w:sz w:val="28"/>
          <w:szCs w:val="28"/>
          <w:lang w:val="en-US"/>
        </w:rPr>
        <w:t>combined</w:t>
      </w:r>
      <w:r w:rsidRPr="00D83BD4">
        <w:rPr>
          <w:sz w:val="28"/>
          <w:szCs w:val="28"/>
          <w:lang w:val="uk-UA"/>
        </w:rPr>
        <w:t xml:space="preserve"> </w:t>
      </w:r>
      <w:r w:rsidRPr="00D83BD4">
        <w:rPr>
          <w:sz w:val="28"/>
          <w:szCs w:val="28"/>
          <w:lang w:val="en-US"/>
        </w:rPr>
        <w:t>course</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hypertension</w:t>
      </w:r>
      <w:r w:rsidRPr="00D83BD4">
        <w:rPr>
          <w:sz w:val="28"/>
          <w:szCs w:val="28"/>
          <w:lang w:val="uk-UA"/>
        </w:rPr>
        <w:t xml:space="preserve">, </w:t>
      </w:r>
      <w:r w:rsidRPr="00D83BD4">
        <w:rPr>
          <w:sz w:val="28"/>
          <w:szCs w:val="28"/>
          <w:lang w:val="en-US"/>
        </w:rPr>
        <w:t>type</w:t>
      </w:r>
      <w:r w:rsidRPr="00D83BD4">
        <w:rPr>
          <w:sz w:val="28"/>
          <w:szCs w:val="28"/>
          <w:lang w:val="uk-UA"/>
        </w:rPr>
        <w:t xml:space="preserve"> 2 </w:t>
      </w:r>
      <w:r w:rsidRPr="00D83BD4">
        <w:rPr>
          <w:sz w:val="28"/>
          <w:szCs w:val="28"/>
          <w:lang w:val="en-US"/>
        </w:rPr>
        <w:t>diabetes</w:t>
      </w:r>
      <w:r w:rsidRPr="00D83BD4">
        <w:rPr>
          <w:sz w:val="28"/>
          <w:szCs w:val="28"/>
          <w:lang w:val="uk-UA"/>
        </w:rPr>
        <w:t xml:space="preserve"> </w:t>
      </w:r>
      <w:r w:rsidRPr="00D83BD4">
        <w:rPr>
          <w:sz w:val="28"/>
          <w:szCs w:val="28"/>
          <w:lang w:val="en-US"/>
        </w:rPr>
        <w:t>and</w:t>
      </w:r>
      <w:r w:rsidRPr="00D83BD4">
        <w:rPr>
          <w:sz w:val="28"/>
          <w:szCs w:val="28"/>
          <w:lang w:val="uk-UA"/>
        </w:rPr>
        <w:t xml:space="preserve"> </w:t>
      </w:r>
      <w:r w:rsidRPr="00D83BD4">
        <w:rPr>
          <w:sz w:val="28"/>
          <w:szCs w:val="28"/>
          <w:lang w:val="en-US"/>
        </w:rPr>
        <w:t>subclinical</w:t>
      </w:r>
      <w:r w:rsidRPr="00D83BD4">
        <w:rPr>
          <w:sz w:val="28"/>
          <w:szCs w:val="28"/>
          <w:lang w:val="uk-UA"/>
        </w:rPr>
        <w:t xml:space="preserve"> </w:t>
      </w:r>
      <w:r w:rsidRPr="00D83BD4">
        <w:rPr>
          <w:sz w:val="28"/>
          <w:szCs w:val="28"/>
          <w:lang w:val="en-US"/>
        </w:rPr>
        <w:t>hypothyroidism</w:t>
      </w:r>
      <w:r w:rsidRPr="00D83BD4">
        <w:rPr>
          <w:sz w:val="28"/>
          <w:szCs w:val="28"/>
          <w:lang w:val="uk-UA"/>
        </w:rPr>
        <w:t xml:space="preserve">. </w:t>
      </w:r>
      <w:r w:rsidRPr="00D83BD4">
        <w:rPr>
          <w:sz w:val="28"/>
          <w:szCs w:val="28"/>
          <w:lang w:val="en-US"/>
        </w:rPr>
        <w:t xml:space="preserve">In: </w:t>
      </w:r>
      <w:r w:rsidRPr="00D83BD4">
        <w:rPr>
          <w:sz w:val="28"/>
          <w:szCs w:val="28"/>
          <w:lang w:val="uk-UA"/>
        </w:rPr>
        <w:t>87</w:t>
      </w:r>
      <w:r w:rsidRPr="00D83BD4">
        <w:rPr>
          <w:sz w:val="28"/>
          <w:szCs w:val="28"/>
          <w:vertAlign w:val="superscript"/>
          <w:lang w:val="en-US"/>
        </w:rPr>
        <w:t>th</w:t>
      </w:r>
      <w:r w:rsidRPr="00D83BD4">
        <w:rPr>
          <w:sz w:val="28"/>
          <w:szCs w:val="28"/>
          <w:lang w:val="uk-UA"/>
        </w:rPr>
        <w:t xml:space="preserve"> </w:t>
      </w:r>
      <w:r w:rsidRPr="00D83BD4">
        <w:rPr>
          <w:sz w:val="28"/>
          <w:szCs w:val="28"/>
          <w:lang w:val="en-US"/>
        </w:rPr>
        <w:t>European</w:t>
      </w:r>
      <w:r w:rsidRPr="00D83BD4">
        <w:rPr>
          <w:sz w:val="28"/>
          <w:szCs w:val="28"/>
          <w:lang w:val="uk-UA"/>
        </w:rPr>
        <w:t xml:space="preserve"> </w:t>
      </w:r>
      <w:r w:rsidRPr="00D83BD4">
        <w:rPr>
          <w:sz w:val="28"/>
          <w:szCs w:val="28"/>
          <w:lang w:val="en-US"/>
        </w:rPr>
        <w:t>Atherosclerosis</w:t>
      </w:r>
      <w:r w:rsidRPr="00D83BD4">
        <w:rPr>
          <w:sz w:val="28"/>
          <w:szCs w:val="28"/>
          <w:lang w:val="uk-UA"/>
        </w:rPr>
        <w:t xml:space="preserve"> </w:t>
      </w:r>
      <w:r w:rsidRPr="00D83BD4">
        <w:rPr>
          <w:sz w:val="28"/>
          <w:szCs w:val="28"/>
          <w:lang w:val="en-US"/>
        </w:rPr>
        <w:t>society</w:t>
      </w:r>
      <w:r w:rsidRPr="00D83BD4">
        <w:rPr>
          <w:sz w:val="28"/>
          <w:szCs w:val="28"/>
          <w:lang w:val="uk-UA"/>
        </w:rPr>
        <w:t xml:space="preserve"> </w:t>
      </w:r>
      <w:r w:rsidRPr="00D83BD4">
        <w:rPr>
          <w:sz w:val="28"/>
          <w:szCs w:val="28"/>
          <w:lang w:val="en-US"/>
        </w:rPr>
        <w:t>Congress;</w:t>
      </w:r>
      <w:r w:rsidRPr="00D83BD4">
        <w:rPr>
          <w:sz w:val="28"/>
          <w:szCs w:val="28"/>
          <w:lang w:val="uk-UA"/>
        </w:rPr>
        <w:t xml:space="preserve"> 2019</w:t>
      </w:r>
      <w:r w:rsidRPr="00D83BD4">
        <w:rPr>
          <w:sz w:val="28"/>
          <w:szCs w:val="28"/>
          <w:lang w:val="en-US"/>
        </w:rPr>
        <w:t xml:space="preserve"> May </w:t>
      </w:r>
      <w:r w:rsidRPr="00D83BD4">
        <w:rPr>
          <w:sz w:val="28"/>
          <w:szCs w:val="28"/>
          <w:lang w:val="uk-UA"/>
        </w:rPr>
        <w:t>26-29</w:t>
      </w:r>
      <w:r w:rsidRPr="00D83BD4">
        <w:rPr>
          <w:sz w:val="28"/>
          <w:szCs w:val="28"/>
          <w:lang w:val="en-US"/>
        </w:rPr>
        <w:t>; Maastricht</w:t>
      </w:r>
      <w:r w:rsidRPr="00D83BD4">
        <w:rPr>
          <w:sz w:val="28"/>
          <w:szCs w:val="28"/>
          <w:lang w:val="uk-UA"/>
        </w:rPr>
        <w:t xml:space="preserve">, </w:t>
      </w:r>
      <w:r w:rsidRPr="00D83BD4">
        <w:rPr>
          <w:sz w:val="28"/>
          <w:szCs w:val="28"/>
          <w:shd w:val="clear" w:color="auto" w:fill="FFFFFF"/>
          <w:lang w:val="en-US"/>
        </w:rPr>
        <w:t>Netherlands</w:t>
      </w:r>
      <w:r w:rsidRPr="00D83BD4">
        <w:rPr>
          <w:sz w:val="28"/>
          <w:szCs w:val="28"/>
          <w:shd w:val="clear" w:color="auto" w:fill="FFFFFF"/>
          <w:lang w:val="uk-UA"/>
        </w:rPr>
        <w:t>.</w:t>
      </w:r>
      <w:r w:rsidRPr="00D83BD4">
        <w:rPr>
          <w:sz w:val="28"/>
          <w:szCs w:val="28"/>
          <w:shd w:val="clear" w:color="auto" w:fill="FFFFFF"/>
          <w:lang w:val="en-US"/>
        </w:rPr>
        <w:t xml:space="preserve"> </w:t>
      </w:r>
      <w:r w:rsidRPr="00D83BD4">
        <w:rPr>
          <w:sz w:val="28"/>
          <w:szCs w:val="28"/>
          <w:shd w:val="clear" w:color="auto" w:fill="FFFFFF"/>
          <w:lang w:val="uk-UA"/>
        </w:rPr>
        <w:t xml:space="preserve"> </w:t>
      </w:r>
      <w:r w:rsidRPr="00D83BD4">
        <w:rPr>
          <w:sz w:val="28"/>
          <w:szCs w:val="28"/>
          <w:shd w:val="clear" w:color="auto" w:fill="FFFFFF"/>
          <w:lang w:val="en-US"/>
        </w:rPr>
        <w:t>Atherosclerosis</w:t>
      </w:r>
      <w:r w:rsidRPr="00D83BD4">
        <w:rPr>
          <w:sz w:val="28"/>
          <w:szCs w:val="28"/>
          <w:shd w:val="clear" w:color="auto" w:fill="FFFFFF"/>
          <w:lang w:val="uk-UA"/>
        </w:rPr>
        <w:t xml:space="preserve">. </w:t>
      </w:r>
      <w:r w:rsidRPr="00D83BD4">
        <w:rPr>
          <w:sz w:val="28"/>
          <w:szCs w:val="28"/>
          <w:shd w:val="clear" w:color="auto" w:fill="FFFFFF"/>
          <w:lang w:val="en-US"/>
        </w:rPr>
        <w:t xml:space="preserve"> </w:t>
      </w:r>
      <w:r w:rsidRPr="00D83BD4">
        <w:rPr>
          <w:sz w:val="28"/>
          <w:szCs w:val="28"/>
          <w:shd w:val="clear" w:color="auto" w:fill="FFFFFF"/>
          <w:lang w:val="uk-UA"/>
        </w:rPr>
        <w:t xml:space="preserve"> 2019</w:t>
      </w:r>
      <w:r w:rsidRPr="00D83BD4">
        <w:rPr>
          <w:sz w:val="28"/>
          <w:szCs w:val="28"/>
          <w:shd w:val="clear" w:color="auto" w:fill="FFFFFF"/>
        </w:rPr>
        <w:t>;</w:t>
      </w:r>
      <w:r w:rsidRPr="00D83BD4">
        <w:rPr>
          <w:sz w:val="28"/>
          <w:szCs w:val="28"/>
          <w:shd w:val="clear" w:color="auto" w:fill="FFFFFF"/>
          <w:lang w:val="uk-UA"/>
        </w:rPr>
        <w:t>287</w:t>
      </w:r>
      <w:r w:rsidRPr="00D83BD4">
        <w:rPr>
          <w:sz w:val="28"/>
          <w:szCs w:val="28"/>
          <w:shd w:val="clear" w:color="auto" w:fill="FFFFFF"/>
        </w:rPr>
        <w:t>:e</w:t>
      </w:r>
      <w:r w:rsidRPr="00D83BD4">
        <w:rPr>
          <w:sz w:val="28"/>
          <w:szCs w:val="28"/>
          <w:shd w:val="clear" w:color="auto" w:fill="FFFFFF"/>
          <w:lang w:val="uk-UA"/>
        </w:rPr>
        <w:t>260.</w:t>
      </w:r>
    </w:p>
    <w:p w:rsidR="00E3259F" w:rsidRPr="00D83BD4" w:rsidRDefault="00E3259F" w:rsidP="00D83BD4">
      <w:pPr>
        <w:pStyle w:val="a4"/>
        <w:numPr>
          <w:ilvl w:val="0"/>
          <w:numId w:val="26"/>
        </w:numPr>
        <w:tabs>
          <w:tab w:val="num" w:pos="0"/>
        </w:tabs>
        <w:spacing w:line="360" w:lineRule="auto"/>
        <w:ind w:left="0" w:firstLine="0"/>
        <w:jc w:val="both"/>
        <w:rPr>
          <w:sz w:val="28"/>
          <w:szCs w:val="28"/>
          <w:lang w:val="uk-UA"/>
        </w:rPr>
      </w:pPr>
      <w:r w:rsidRPr="00D83BD4">
        <w:rPr>
          <w:sz w:val="28"/>
          <w:szCs w:val="28"/>
          <w:lang w:val="en-US"/>
        </w:rPr>
        <w:t>Nemtsova V, Bilovol O, Zlatkina V. Dependence of cardiovascular risk factors on vascular endothelium damage in patients with comorbidity of arterial hypertension and subclinical hypothyroidism. B:</w:t>
      </w:r>
      <w:r w:rsidRPr="00D83BD4">
        <w:rPr>
          <w:sz w:val="28"/>
          <w:szCs w:val="28"/>
        </w:rPr>
        <w:t xml:space="preserve">  ХХ Національний  конгрес кардіологів України; 2019 вер. 25-27; Київ, Україна.</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 xml:space="preserve">Niknam N, Khalili N, Khosravi E, Nourbakhsh M. Endothelial dysfunction in patients with subclinical hypothyroidism and the effects of treatment with levothyroxine. Adv Biomed Res. 2016;5:38. doi: 10.4103/2277-9175.178783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Nilsson PM</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Boutouyrie P</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Laurent S</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Vascular</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aging</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tale</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of</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EVA</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and</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ADAM</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in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cardiovascular</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risk</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assessment</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and</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prevention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Hypertension</w:t>
      </w:r>
      <w:r w:rsidRPr="00D83BD4">
        <w:rPr>
          <w:rFonts w:ascii="Times New Roman" w:hAnsi="Times New Roman"/>
          <w:sz w:val="28"/>
          <w:szCs w:val="28"/>
          <w:shd w:val="clear" w:color="auto" w:fill="FFFFFF"/>
          <w:lang w:val="uk-UA"/>
        </w:rPr>
        <w:t xml:space="preserve"> 2009;54:3-10. </w:t>
      </w:r>
      <w:r w:rsidRPr="00D83BD4">
        <w:rPr>
          <w:rFonts w:ascii="Times New Roman" w:hAnsi="Times New Roman"/>
          <w:sz w:val="28"/>
          <w:szCs w:val="28"/>
          <w:shd w:val="clear" w:color="auto" w:fill="FFFFFF"/>
        </w:rPr>
        <w:t>doi: 10.1161/HYPERTENSIONAHA.109.129114.</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 xml:space="preserve">North </w:t>
      </w:r>
      <w:r w:rsidRPr="00D83BD4">
        <w:rPr>
          <w:rFonts w:ascii="Times New Roman" w:hAnsi="Times New Roman"/>
          <w:sz w:val="28"/>
          <w:szCs w:val="28"/>
        </w:rPr>
        <w:t>В</w:t>
      </w:r>
      <w:r w:rsidRPr="00D83BD4">
        <w:rPr>
          <w:rFonts w:ascii="Times New Roman" w:hAnsi="Times New Roman"/>
          <w:sz w:val="28"/>
          <w:szCs w:val="28"/>
          <w:lang w:val="en-US"/>
        </w:rPr>
        <w:t xml:space="preserve">J, Sinclair DA.  The Intersection Between Aging and Cardiovascular Disease. </w:t>
      </w:r>
      <w:r w:rsidRPr="00D83BD4">
        <w:rPr>
          <w:rStyle w:val="cit"/>
          <w:rFonts w:ascii="Times New Roman" w:hAnsi="Times New Roman"/>
          <w:sz w:val="28"/>
          <w:szCs w:val="28"/>
          <w:shd w:val="clear" w:color="auto" w:fill="FFFFFF"/>
          <w:lang w:val="en-US"/>
        </w:rPr>
        <w:t>Circ Res. 2012 Apr 13; 110(8): 1097–1108.</w:t>
      </w:r>
      <w:r w:rsidRPr="00D83BD4">
        <w:rPr>
          <w:rStyle w:val="cit"/>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rPr>
        <w:t> </w:t>
      </w:r>
      <w:r w:rsidRPr="00D83BD4">
        <w:rPr>
          <w:rStyle w:val="citation-doi"/>
          <w:rFonts w:ascii="Times New Roman" w:hAnsi="Times New Roman"/>
          <w:sz w:val="28"/>
          <w:szCs w:val="28"/>
          <w:shd w:val="clear" w:color="auto" w:fill="FFFFFF"/>
        </w:rPr>
        <w:t>doi: 10.1161/CIRCRESAHA.111.246876.</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sz w:val="28"/>
          <w:szCs w:val="28"/>
          <w:lang w:val="en-US"/>
        </w:rPr>
      </w:pPr>
      <w:r w:rsidRPr="00D83BD4">
        <w:rPr>
          <w:rFonts w:ascii="Times New Roman" w:hAnsi="Times New Roman"/>
          <w:sz w:val="28"/>
          <w:szCs w:val="28"/>
          <w:lang w:val="en-US"/>
        </w:rPr>
        <w:t>Norton CE, Jacobsen NL, Sinkler SY, Manrique-Acevedo C, Segal SS. Female sex and Western-style diet protect mouse resistance arteries during acute oxidative stress. Am J Physiol Cell Physiol.</w:t>
      </w:r>
      <w:r w:rsidRPr="00D83BD4">
        <w:rPr>
          <w:rFonts w:ascii="Times New Roman" w:hAnsi="Times New Roman"/>
          <w:color w:val="000000"/>
          <w:sz w:val="28"/>
          <w:szCs w:val="28"/>
          <w:lang w:val="en-US"/>
        </w:rPr>
        <w:t> 20</w:t>
      </w:r>
      <w:r w:rsidRPr="00D83BD4">
        <w:rPr>
          <w:rFonts w:ascii="Times New Roman" w:hAnsi="Times New Roman"/>
          <w:color w:val="000000"/>
          <w:sz w:val="28"/>
          <w:szCs w:val="28"/>
          <w:lang w:val="uk-UA"/>
        </w:rPr>
        <w:t>20;318(3):С627-С639.</w:t>
      </w:r>
      <w:r w:rsidRPr="00D83BD4">
        <w:rPr>
          <w:rFonts w:ascii="Times New Roman" w:hAnsi="Times New Roman"/>
          <w:color w:val="000000"/>
          <w:sz w:val="28"/>
          <w:szCs w:val="28"/>
          <w:lang w:val="en-US"/>
        </w:rPr>
        <w:t xml:space="preserve"> doi: 10.1152/ajpcell.00342.2019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sz w:val="28"/>
          <w:szCs w:val="28"/>
          <w:lang w:val="en-US"/>
        </w:rPr>
      </w:pPr>
      <w:r w:rsidRPr="009E4B7D">
        <w:rPr>
          <w:rStyle w:val="a3"/>
          <w:rFonts w:ascii="Times New Roman" w:hAnsi="Times New Roman"/>
          <w:color w:val="auto"/>
          <w:sz w:val="28"/>
          <w:szCs w:val="28"/>
          <w:u w:val="none"/>
          <w:lang w:val="en-US"/>
        </w:rPr>
        <w:t>Obuchowicz</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E</w:t>
      </w:r>
      <w:r w:rsidRPr="009E4B7D">
        <w:rPr>
          <w:rFonts w:ascii="Times New Roman" w:hAnsi="Times New Roman"/>
          <w:sz w:val="28"/>
          <w:szCs w:val="28"/>
          <w:lang w:val="uk-UA"/>
        </w:rPr>
        <w:t>,</w:t>
      </w:r>
      <w:r w:rsidRPr="009E4B7D">
        <w:rPr>
          <w:rFonts w:ascii="Times New Roman" w:hAnsi="Times New Roman"/>
          <w:sz w:val="28"/>
          <w:szCs w:val="28"/>
          <w:lang w:val="en-US"/>
        </w:rPr>
        <w:t> </w:t>
      </w:r>
      <w:r w:rsidRPr="009E4B7D">
        <w:rPr>
          <w:rStyle w:val="a3"/>
          <w:rFonts w:ascii="Times New Roman" w:hAnsi="Times New Roman"/>
          <w:color w:val="auto"/>
          <w:sz w:val="28"/>
          <w:szCs w:val="28"/>
          <w:u w:val="none"/>
          <w:lang w:val="en-US"/>
        </w:rPr>
        <w:t>Nowacka</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M</w:t>
      </w:r>
      <w:r w:rsidRPr="009E4B7D">
        <w:rPr>
          <w:rFonts w:ascii="Times New Roman" w:hAnsi="Times New Roman"/>
          <w:sz w:val="28"/>
          <w:szCs w:val="28"/>
          <w:lang w:val="uk-UA"/>
        </w:rPr>
        <w:t>,</w:t>
      </w:r>
      <w:r w:rsidRPr="009E4B7D">
        <w:rPr>
          <w:rFonts w:ascii="Times New Roman" w:hAnsi="Times New Roman"/>
          <w:sz w:val="28"/>
          <w:szCs w:val="28"/>
          <w:lang w:val="en-US"/>
        </w:rPr>
        <w:t> </w:t>
      </w:r>
      <w:r w:rsidRPr="009E4B7D">
        <w:rPr>
          <w:rStyle w:val="a3"/>
          <w:rFonts w:ascii="Times New Roman" w:hAnsi="Times New Roman"/>
          <w:color w:val="auto"/>
          <w:sz w:val="28"/>
          <w:szCs w:val="28"/>
          <w:u w:val="none"/>
          <w:lang w:val="en-US"/>
        </w:rPr>
        <w:t>Paul</w:t>
      </w:r>
      <w:r w:rsidRPr="009E4B7D">
        <w:rPr>
          <w:rStyle w:val="a3"/>
          <w:rFonts w:ascii="Times New Roman" w:hAnsi="Times New Roman"/>
          <w:color w:val="auto"/>
          <w:sz w:val="28"/>
          <w:szCs w:val="28"/>
          <w:u w:val="none"/>
          <w:lang w:val="uk-UA"/>
        </w:rPr>
        <w:t>-</w:t>
      </w:r>
      <w:r w:rsidRPr="009E4B7D">
        <w:rPr>
          <w:rStyle w:val="a3"/>
          <w:rFonts w:ascii="Times New Roman" w:hAnsi="Times New Roman"/>
          <w:color w:val="auto"/>
          <w:sz w:val="28"/>
          <w:szCs w:val="28"/>
          <w:u w:val="none"/>
          <w:lang w:val="en-US"/>
        </w:rPr>
        <w:t>Samojedny</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M</w:t>
      </w:r>
      <w:r w:rsidRPr="009E4B7D">
        <w:rPr>
          <w:rFonts w:ascii="Times New Roman" w:hAnsi="Times New Roman"/>
          <w:sz w:val="28"/>
          <w:szCs w:val="28"/>
          <w:lang w:val="uk-UA"/>
        </w:rPr>
        <w:t>,</w:t>
      </w:r>
      <w:r w:rsidRPr="009E4B7D">
        <w:rPr>
          <w:rFonts w:ascii="Times New Roman" w:hAnsi="Times New Roman"/>
          <w:sz w:val="28"/>
          <w:szCs w:val="28"/>
          <w:lang w:val="en-US"/>
        </w:rPr>
        <w:t> </w:t>
      </w:r>
      <w:r w:rsidRPr="009E4B7D">
        <w:rPr>
          <w:rStyle w:val="a3"/>
          <w:rFonts w:ascii="Times New Roman" w:hAnsi="Times New Roman"/>
          <w:color w:val="auto"/>
          <w:sz w:val="28"/>
          <w:szCs w:val="28"/>
          <w:u w:val="none"/>
          <w:lang w:val="en-US"/>
        </w:rPr>
        <w:t>Bielecka</w:t>
      </w:r>
      <w:r w:rsidRPr="009E4B7D">
        <w:rPr>
          <w:rStyle w:val="a3"/>
          <w:rFonts w:ascii="Times New Roman" w:hAnsi="Times New Roman"/>
          <w:color w:val="auto"/>
          <w:sz w:val="28"/>
          <w:szCs w:val="28"/>
          <w:u w:val="none"/>
          <w:lang w:val="uk-UA"/>
        </w:rPr>
        <w:t>-</w:t>
      </w:r>
      <w:r w:rsidRPr="009E4B7D">
        <w:rPr>
          <w:rStyle w:val="a3"/>
          <w:rFonts w:ascii="Times New Roman" w:hAnsi="Times New Roman"/>
          <w:color w:val="auto"/>
          <w:sz w:val="28"/>
          <w:szCs w:val="28"/>
          <w:u w:val="none"/>
          <w:lang w:val="en-US"/>
        </w:rPr>
        <w:t>Wajdman</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AM</w:t>
      </w:r>
      <w:r w:rsidRPr="009E4B7D">
        <w:rPr>
          <w:rFonts w:ascii="Times New Roman" w:hAnsi="Times New Roman"/>
          <w:sz w:val="28"/>
          <w:szCs w:val="28"/>
          <w:lang w:val="uk-UA"/>
        </w:rPr>
        <w:t>,</w:t>
      </w:r>
      <w:r w:rsidRPr="009E4B7D">
        <w:rPr>
          <w:rFonts w:ascii="Times New Roman" w:hAnsi="Times New Roman"/>
          <w:sz w:val="28"/>
          <w:szCs w:val="28"/>
          <w:lang w:val="en-US"/>
        </w:rPr>
        <w:t> </w:t>
      </w:r>
      <w:r w:rsidRPr="009E4B7D">
        <w:rPr>
          <w:rStyle w:val="a3"/>
          <w:rFonts w:ascii="Times New Roman" w:hAnsi="Times New Roman"/>
          <w:color w:val="auto"/>
          <w:sz w:val="28"/>
          <w:szCs w:val="28"/>
          <w:u w:val="none"/>
          <w:lang w:val="en-US"/>
        </w:rPr>
        <w:t>Ma</w:t>
      </w:r>
      <w:r w:rsidRPr="009E4B7D">
        <w:rPr>
          <w:rStyle w:val="a3"/>
          <w:rFonts w:ascii="Times New Roman" w:hAnsi="Times New Roman"/>
          <w:color w:val="auto"/>
          <w:sz w:val="28"/>
          <w:szCs w:val="28"/>
          <w:u w:val="none"/>
          <w:lang w:val="uk-UA"/>
        </w:rPr>
        <w:t>ł</w:t>
      </w:r>
      <w:r w:rsidRPr="009E4B7D">
        <w:rPr>
          <w:rStyle w:val="a3"/>
          <w:rFonts w:ascii="Times New Roman" w:hAnsi="Times New Roman"/>
          <w:color w:val="auto"/>
          <w:sz w:val="28"/>
          <w:szCs w:val="28"/>
          <w:u w:val="none"/>
          <w:lang w:val="en-US"/>
        </w:rPr>
        <w:t>ecki</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A</w:t>
      </w:r>
      <w:r w:rsidRPr="009E4B7D">
        <w:rPr>
          <w:rFonts w:ascii="Times New Roman" w:hAnsi="Times New Roman"/>
          <w:sz w:val="28"/>
          <w:szCs w:val="28"/>
          <w:lang w:val="uk-UA"/>
        </w:rPr>
        <w:t>.</w:t>
      </w:r>
      <w:r w:rsidRPr="009E4B7D">
        <w:rPr>
          <w:rStyle w:val="highlight"/>
          <w:rFonts w:ascii="Times New Roman" w:hAnsi="Times New Roman"/>
          <w:sz w:val="28"/>
          <w:szCs w:val="28"/>
          <w:lang w:val="uk-UA"/>
        </w:rPr>
        <w:t xml:space="preserve"> </w:t>
      </w:r>
      <w:r w:rsidRPr="00D83BD4">
        <w:rPr>
          <w:rStyle w:val="highlight"/>
          <w:rFonts w:ascii="Times New Roman" w:hAnsi="Times New Roman"/>
          <w:sz w:val="28"/>
          <w:szCs w:val="28"/>
          <w:lang w:val="en-US"/>
        </w:rPr>
        <w:t>Sex differences</w:t>
      </w:r>
      <w:r w:rsidRPr="00D83BD4">
        <w:rPr>
          <w:rFonts w:ascii="Times New Roman" w:hAnsi="Times New Roman"/>
          <w:sz w:val="28"/>
          <w:szCs w:val="28"/>
          <w:lang w:val="en-US"/>
        </w:rPr>
        <w:t> in the effect of acute peripheral IL-1</w:t>
      </w:r>
      <w:r w:rsidRPr="00D83BD4">
        <w:rPr>
          <w:rFonts w:ascii="Times New Roman" w:hAnsi="Times New Roman"/>
          <w:sz w:val="28"/>
          <w:szCs w:val="28"/>
        </w:rPr>
        <w:t>β</w:t>
      </w:r>
      <w:r w:rsidRPr="00D83BD4">
        <w:rPr>
          <w:rFonts w:ascii="Times New Roman" w:hAnsi="Times New Roman"/>
          <w:sz w:val="28"/>
          <w:szCs w:val="28"/>
          <w:lang w:val="en-US"/>
        </w:rPr>
        <w:t xml:space="preserve"> administration on the brain and serum BDNF and </w:t>
      </w:r>
      <w:r w:rsidRPr="00D83BD4">
        <w:rPr>
          <w:rStyle w:val="highlight"/>
          <w:rFonts w:ascii="Times New Roman" w:hAnsi="Times New Roman"/>
          <w:sz w:val="28"/>
          <w:szCs w:val="28"/>
          <w:lang w:val="en-US"/>
        </w:rPr>
        <w:t>VEGF</w:t>
      </w:r>
      <w:r w:rsidRPr="00D83BD4">
        <w:rPr>
          <w:rFonts w:ascii="Times New Roman" w:hAnsi="Times New Roman"/>
          <w:sz w:val="28"/>
          <w:szCs w:val="28"/>
          <w:lang w:val="en-US"/>
        </w:rPr>
        <w:t xml:space="preserve"> expression in rats. Cytokine. 2017;90:6-13. doi: 10.1016/j.cyto.2016.10.001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lang w:val="en-US"/>
        </w:rPr>
        <w:t>Ohara</w:t>
      </w:r>
      <w:r w:rsidRPr="00D83BD4">
        <w:rPr>
          <w:rFonts w:ascii="Times New Roman" w:hAnsi="Times New Roman"/>
          <w:sz w:val="28"/>
          <w:szCs w:val="28"/>
          <w:lang w:val="uk-UA"/>
        </w:rPr>
        <w:t xml:space="preserve"> </w:t>
      </w:r>
      <w:r w:rsidRPr="00D83BD4">
        <w:rPr>
          <w:rFonts w:ascii="Times New Roman" w:hAnsi="Times New Roman"/>
          <w:sz w:val="28"/>
          <w:szCs w:val="28"/>
          <w:lang w:val="en-US"/>
        </w:rPr>
        <w:t>M</w:t>
      </w:r>
      <w:r w:rsidRPr="00D83BD4">
        <w:rPr>
          <w:rFonts w:ascii="Times New Roman" w:hAnsi="Times New Roman"/>
          <w:sz w:val="28"/>
          <w:szCs w:val="28"/>
          <w:lang w:val="uk-UA"/>
        </w:rPr>
        <w:t xml:space="preserve">, </w:t>
      </w:r>
      <w:r w:rsidRPr="00D83BD4">
        <w:rPr>
          <w:rFonts w:ascii="Times New Roman" w:hAnsi="Times New Roman"/>
          <w:sz w:val="28"/>
          <w:szCs w:val="28"/>
          <w:lang w:val="en-US"/>
        </w:rPr>
        <w:t>Kohata</w:t>
      </w:r>
      <w:r w:rsidRPr="00D83BD4">
        <w:rPr>
          <w:rFonts w:ascii="Times New Roman" w:hAnsi="Times New Roman"/>
          <w:sz w:val="28"/>
          <w:szCs w:val="28"/>
          <w:lang w:val="uk-UA"/>
        </w:rPr>
        <w:t xml:space="preserve"> </w:t>
      </w:r>
      <w:r w:rsidRPr="00D83BD4">
        <w:rPr>
          <w:rFonts w:ascii="Times New Roman" w:hAnsi="Times New Roman"/>
          <w:sz w:val="28"/>
          <w:szCs w:val="28"/>
          <w:lang w:val="en-US"/>
        </w:rPr>
        <w:t>Y</w:t>
      </w:r>
      <w:r w:rsidRPr="00D83BD4">
        <w:rPr>
          <w:rFonts w:ascii="Times New Roman" w:hAnsi="Times New Roman"/>
          <w:sz w:val="28"/>
          <w:szCs w:val="28"/>
          <w:lang w:val="uk-UA"/>
        </w:rPr>
        <w:t xml:space="preserve">, </w:t>
      </w:r>
      <w:r w:rsidRPr="00D83BD4">
        <w:rPr>
          <w:rFonts w:ascii="Times New Roman" w:hAnsi="Times New Roman"/>
          <w:sz w:val="28"/>
          <w:szCs w:val="28"/>
          <w:lang w:val="en-US"/>
        </w:rPr>
        <w:t>Nagaike</w:t>
      </w:r>
      <w:r w:rsidRPr="00D83BD4">
        <w:rPr>
          <w:rFonts w:ascii="Times New Roman" w:hAnsi="Times New Roman"/>
          <w:sz w:val="28"/>
          <w:szCs w:val="28"/>
          <w:lang w:val="uk-UA"/>
        </w:rPr>
        <w:t xml:space="preserve"> </w:t>
      </w:r>
      <w:r w:rsidRPr="00D83BD4">
        <w:rPr>
          <w:rFonts w:ascii="Times New Roman" w:hAnsi="Times New Roman"/>
          <w:sz w:val="28"/>
          <w:szCs w:val="28"/>
          <w:lang w:val="en-US"/>
        </w:rPr>
        <w:t>H</w:t>
      </w:r>
      <w:r w:rsidRPr="00D83BD4">
        <w:rPr>
          <w:rFonts w:ascii="Times New Roman" w:hAnsi="Times New Roman"/>
          <w:sz w:val="28"/>
          <w:szCs w:val="28"/>
          <w:lang w:val="uk-UA"/>
        </w:rPr>
        <w:t xml:space="preserve">, </w:t>
      </w:r>
      <w:r w:rsidRPr="00D83BD4">
        <w:rPr>
          <w:rFonts w:ascii="Times New Roman" w:hAnsi="Times New Roman"/>
          <w:sz w:val="28"/>
          <w:szCs w:val="28"/>
          <w:lang w:val="en-US"/>
        </w:rPr>
        <w:t>Koshibu</w:t>
      </w:r>
      <w:r w:rsidRPr="00D83BD4">
        <w:rPr>
          <w:rFonts w:ascii="Times New Roman" w:hAnsi="Times New Roman"/>
          <w:sz w:val="28"/>
          <w:szCs w:val="28"/>
          <w:lang w:val="uk-UA"/>
        </w:rPr>
        <w:t xml:space="preserve"> </w:t>
      </w:r>
      <w:r w:rsidRPr="00D83BD4">
        <w:rPr>
          <w:rFonts w:ascii="Times New Roman" w:hAnsi="Times New Roman"/>
          <w:sz w:val="28"/>
          <w:szCs w:val="28"/>
          <w:lang w:val="en-US"/>
        </w:rPr>
        <w:t>M</w:t>
      </w:r>
      <w:r w:rsidRPr="00D83BD4">
        <w:rPr>
          <w:rFonts w:ascii="Times New Roman" w:hAnsi="Times New Roman"/>
          <w:sz w:val="28"/>
          <w:szCs w:val="28"/>
          <w:lang w:val="uk-UA"/>
        </w:rPr>
        <w:t xml:space="preserve">, </w:t>
      </w:r>
      <w:r w:rsidRPr="00D83BD4">
        <w:rPr>
          <w:rFonts w:ascii="Times New Roman" w:hAnsi="Times New Roman"/>
          <w:sz w:val="28"/>
          <w:szCs w:val="28"/>
          <w:lang w:val="en-US"/>
        </w:rPr>
        <w:t>Gima</w:t>
      </w:r>
      <w:r w:rsidRPr="00D83BD4">
        <w:rPr>
          <w:rFonts w:ascii="Times New Roman" w:hAnsi="Times New Roman"/>
          <w:sz w:val="28"/>
          <w:szCs w:val="28"/>
          <w:lang w:val="uk-UA"/>
        </w:rPr>
        <w:t xml:space="preserve"> </w:t>
      </w:r>
      <w:r w:rsidRPr="00D83BD4">
        <w:rPr>
          <w:rFonts w:ascii="Times New Roman" w:hAnsi="Times New Roman"/>
          <w:sz w:val="28"/>
          <w:szCs w:val="28"/>
          <w:lang w:val="en-US"/>
        </w:rPr>
        <w:t>H</w:t>
      </w:r>
      <w:r w:rsidRPr="00D83BD4">
        <w:rPr>
          <w:rFonts w:ascii="Times New Roman" w:hAnsi="Times New Roman"/>
          <w:sz w:val="28"/>
          <w:szCs w:val="28"/>
          <w:lang w:val="uk-UA"/>
        </w:rPr>
        <w:t xml:space="preserve">, </w:t>
      </w:r>
      <w:r w:rsidRPr="00D83BD4">
        <w:rPr>
          <w:rFonts w:ascii="Times New Roman" w:hAnsi="Times New Roman"/>
          <w:sz w:val="28"/>
          <w:szCs w:val="28"/>
          <w:lang w:val="en-US"/>
        </w:rPr>
        <w:t>Hiromura</w:t>
      </w:r>
      <w:r w:rsidRPr="00D83BD4">
        <w:rPr>
          <w:rFonts w:ascii="Times New Roman" w:hAnsi="Times New Roman"/>
          <w:sz w:val="28"/>
          <w:szCs w:val="28"/>
          <w:lang w:val="uk-UA"/>
        </w:rPr>
        <w:t xml:space="preserve"> </w:t>
      </w:r>
      <w:r w:rsidRPr="00D83BD4">
        <w:rPr>
          <w:rFonts w:ascii="Times New Roman" w:hAnsi="Times New Roman"/>
          <w:sz w:val="28"/>
          <w:szCs w:val="28"/>
          <w:lang w:val="en-US"/>
        </w:rPr>
        <w:t>M</w:t>
      </w:r>
      <w:r w:rsidRPr="00D83BD4">
        <w:rPr>
          <w:rFonts w:ascii="Times New Roman" w:hAnsi="Times New Roman"/>
          <w:sz w:val="28"/>
          <w:szCs w:val="28"/>
          <w:lang w:val="uk-UA"/>
        </w:rPr>
        <w:t xml:space="preserve">, </w:t>
      </w:r>
      <w:r w:rsidRPr="00D83BD4">
        <w:rPr>
          <w:rFonts w:ascii="Times New Roman" w:hAnsi="Times New Roman"/>
          <w:sz w:val="28"/>
          <w:szCs w:val="28"/>
          <w:lang w:val="en-US"/>
        </w:rPr>
        <w:t>et al</w:t>
      </w:r>
      <w:r w:rsidRPr="00D83BD4">
        <w:rPr>
          <w:rFonts w:ascii="Times New Roman" w:hAnsi="Times New Roman"/>
          <w:sz w:val="28"/>
          <w:szCs w:val="28"/>
          <w:lang w:val="uk-UA"/>
        </w:rPr>
        <w:t xml:space="preserve">. </w:t>
      </w:r>
      <w:r w:rsidRPr="00D83BD4">
        <w:rPr>
          <w:rFonts w:ascii="Times New Roman" w:hAnsi="Times New Roman"/>
          <w:sz w:val="28"/>
          <w:szCs w:val="28"/>
          <w:lang w:val="en-US"/>
        </w:rPr>
        <w:t>Diabetes</w:t>
      </w:r>
      <w:r w:rsidRPr="00D83BD4">
        <w:rPr>
          <w:rFonts w:ascii="Times New Roman" w:hAnsi="Times New Roman"/>
          <w:sz w:val="28"/>
          <w:szCs w:val="28"/>
          <w:lang w:val="uk-UA"/>
        </w:rPr>
        <w:t xml:space="preserve"> </w:t>
      </w:r>
      <w:r w:rsidRPr="00D83BD4">
        <w:rPr>
          <w:rFonts w:ascii="Times New Roman" w:hAnsi="Times New Roman"/>
          <w:sz w:val="28"/>
          <w:szCs w:val="28"/>
          <w:lang w:val="en-US"/>
        </w:rPr>
        <w:t>mellitus</w:t>
      </w:r>
      <w:r w:rsidRPr="00D83BD4">
        <w:rPr>
          <w:rFonts w:ascii="Times New Roman" w:hAnsi="Times New Roman"/>
          <w:sz w:val="28"/>
          <w:szCs w:val="28"/>
          <w:lang w:val="uk-UA"/>
        </w:rPr>
        <w:t xml:space="preserve"> </w:t>
      </w:r>
      <w:r w:rsidRPr="00D83BD4">
        <w:rPr>
          <w:rFonts w:ascii="Times New Roman" w:hAnsi="Times New Roman"/>
          <w:sz w:val="28"/>
          <w:szCs w:val="28"/>
          <w:lang w:val="en-US"/>
        </w:rPr>
        <w:t>and</w:t>
      </w:r>
      <w:r w:rsidRPr="00D83BD4">
        <w:rPr>
          <w:rFonts w:ascii="Times New Roman" w:hAnsi="Times New Roman"/>
          <w:sz w:val="28"/>
          <w:szCs w:val="28"/>
          <w:lang w:val="uk-UA"/>
        </w:rPr>
        <w:t xml:space="preserve"> </w:t>
      </w:r>
      <w:r w:rsidRPr="00D83BD4">
        <w:rPr>
          <w:rFonts w:ascii="Times New Roman" w:hAnsi="Times New Roman"/>
          <w:sz w:val="28"/>
          <w:szCs w:val="28"/>
          <w:lang w:val="en-US"/>
        </w:rPr>
        <w:t>hypertension</w:t>
      </w:r>
      <w:r w:rsidRPr="00D83BD4">
        <w:rPr>
          <w:rFonts w:ascii="Times New Roman" w:hAnsi="Times New Roman"/>
          <w:sz w:val="28"/>
          <w:szCs w:val="28"/>
          <w:lang w:val="uk-UA"/>
        </w:rPr>
        <w:t xml:space="preserve">: </w:t>
      </w:r>
      <w:r w:rsidRPr="00D83BD4">
        <w:rPr>
          <w:rFonts w:ascii="Times New Roman" w:hAnsi="Times New Roman"/>
          <w:sz w:val="28"/>
          <w:szCs w:val="28"/>
          <w:lang w:val="en-US"/>
        </w:rPr>
        <w:t>a</w:t>
      </w:r>
      <w:r w:rsidRPr="00D83BD4">
        <w:rPr>
          <w:rFonts w:ascii="Times New Roman" w:hAnsi="Times New Roman"/>
          <w:sz w:val="28"/>
          <w:szCs w:val="28"/>
          <w:lang w:val="uk-UA"/>
        </w:rPr>
        <w:t xml:space="preserve"> </w:t>
      </w:r>
      <w:r w:rsidRPr="00D83BD4">
        <w:rPr>
          <w:rFonts w:ascii="Times New Roman" w:hAnsi="Times New Roman"/>
          <w:sz w:val="28"/>
          <w:szCs w:val="28"/>
          <w:lang w:val="en-US"/>
        </w:rPr>
        <w:t>cross</w:t>
      </w:r>
      <w:r w:rsidRPr="00D83BD4">
        <w:rPr>
          <w:rFonts w:ascii="Times New Roman" w:hAnsi="Times New Roman"/>
          <w:sz w:val="28"/>
          <w:szCs w:val="28"/>
          <w:lang w:val="uk-UA"/>
        </w:rPr>
        <w:t>-</w:t>
      </w:r>
      <w:r w:rsidRPr="00D83BD4">
        <w:rPr>
          <w:rFonts w:ascii="Times New Roman" w:hAnsi="Times New Roman"/>
          <w:sz w:val="28"/>
          <w:szCs w:val="28"/>
          <w:lang w:val="en-US"/>
        </w:rPr>
        <w:t>sectional</w:t>
      </w:r>
      <w:r w:rsidRPr="00D83BD4">
        <w:rPr>
          <w:rFonts w:ascii="Times New Roman" w:hAnsi="Times New Roman"/>
          <w:sz w:val="28"/>
          <w:szCs w:val="28"/>
          <w:lang w:val="uk-UA"/>
        </w:rPr>
        <w:t xml:space="preserve"> </w:t>
      </w:r>
      <w:r w:rsidRPr="00D83BD4">
        <w:rPr>
          <w:rFonts w:ascii="Times New Roman" w:hAnsi="Times New Roman"/>
          <w:sz w:val="28"/>
          <w:szCs w:val="28"/>
          <w:lang w:val="en-US"/>
        </w:rPr>
        <w:t>study</w:t>
      </w:r>
      <w:r w:rsidRPr="00D83BD4">
        <w:rPr>
          <w:rFonts w:ascii="Times New Roman" w:hAnsi="Times New Roman"/>
          <w:sz w:val="28"/>
          <w:szCs w:val="28"/>
          <w:lang w:val="uk-UA"/>
        </w:rPr>
        <w:t xml:space="preserve">. </w:t>
      </w:r>
      <w:r w:rsidRPr="00D83BD4">
        <w:rPr>
          <w:rFonts w:ascii="Times New Roman" w:hAnsi="Times New Roman"/>
          <w:sz w:val="28"/>
          <w:szCs w:val="28"/>
          <w:lang w:val="en-US"/>
        </w:rPr>
        <w:t xml:space="preserve">Diabetol Metab Syndr. 2019; 11: 29. doi: 10.1186 / s13098-019-0425-y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Palui R, Sahoo J, Kamalanathan S, </w:t>
      </w:r>
      <w:r w:rsidRPr="00D83BD4">
        <w:rPr>
          <w:sz w:val="28"/>
          <w:szCs w:val="28"/>
          <w:shd w:val="clear" w:color="auto" w:fill="FFFFFF"/>
          <w:lang w:val="en-US"/>
        </w:rPr>
        <w:t>Kar SS, Sridharan K, Durgia H, Raj H, Patil M. </w:t>
      </w:r>
      <w:r w:rsidRPr="00D83BD4">
        <w:rPr>
          <w:sz w:val="28"/>
          <w:szCs w:val="28"/>
          <w:lang w:val="en-US"/>
        </w:rPr>
        <w:t xml:space="preserve"> Effect of metformin on thyroid function tests in patients with subclinical hypothyroidism: an open-label randomised controlled trial.  J Endocrinol Invest. 2019;</w:t>
      </w:r>
      <w:r w:rsidRPr="00D83BD4">
        <w:rPr>
          <w:sz w:val="28"/>
          <w:szCs w:val="28"/>
          <w:shd w:val="clear" w:color="auto" w:fill="FFFFFF"/>
          <w:lang w:val="en-US"/>
        </w:rPr>
        <w:t>42(12):1451-1458. doi:10.1007/s40618-019-01059-w</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9E4B7D">
        <w:rPr>
          <w:rStyle w:val="a3"/>
          <w:rFonts w:ascii="Times New Roman" w:hAnsi="Times New Roman"/>
          <w:bCs/>
          <w:color w:val="auto"/>
          <w:sz w:val="28"/>
          <w:szCs w:val="28"/>
          <w:u w:val="none"/>
          <w:lang w:val="en-US"/>
        </w:rPr>
        <w:t>Pandrc</w:t>
      </w:r>
      <w:r w:rsidRPr="009E4B7D">
        <w:rPr>
          <w:rStyle w:val="a3"/>
          <w:rFonts w:ascii="Times New Roman" w:hAnsi="Times New Roman"/>
          <w:bCs/>
          <w:color w:val="auto"/>
          <w:sz w:val="28"/>
          <w:szCs w:val="28"/>
          <w:u w:val="none"/>
          <w:lang w:val="uk-UA"/>
        </w:rPr>
        <w:t xml:space="preserve"> </w:t>
      </w:r>
      <w:r w:rsidRPr="009E4B7D">
        <w:rPr>
          <w:rStyle w:val="a3"/>
          <w:rFonts w:ascii="Times New Roman" w:hAnsi="Times New Roman"/>
          <w:bCs/>
          <w:color w:val="auto"/>
          <w:sz w:val="28"/>
          <w:szCs w:val="28"/>
          <w:u w:val="none"/>
          <w:lang w:val="en-US"/>
        </w:rPr>
        <w:t>MS</w:t>
      </w:r>
      <w:r w:rsidRPr="009E4B7D">
        <w:rPr>
          <w:rFonts w:ascii="Times New Roman" w:hAnsi="Times New Roman"/>
          <w:bCs/>
          <w:sz w:val="28"/>
          <w:szCs w:val="28"/>
          <w:lang w:val="uk-UA"/>
        </w:rPr>
        <w:t xml:space="preserve">, </w:t>
      </w:r>
      <w:r w:rsidRPr="009E4B7D">
        <w:rPr>
          <w:rStyle w:val="a3"/>
          <w:rFonts w:ascii="Times New Roman" w:hAnsi="Times New Roman"/>
          <w:bCs/>
          <w:color w:val="auto"/>
          <w:sz w:val="28"/>
          <w:szCs w:val="28"/>
          <w:u w:val="none"/>
          <w:lang w:val="en-US"/>
        </w:rPr>
        <w:t>Risti</w:t>
      </w:r>
      <w:r w:rsidRPr="009E4B7D">
        <w:rPr>
          <w:rStyle w:val="a3"/>
          <w:rFonts w:ascii="Times New Roman" w:hAnsi="Times New Roman"/>
          <w:bCs/>
          <w:color w:val="auto"/>
          <w:sz w:val="28"/>
          <w:szCs w:val="28"/>
          <w:u w:val="none"/>
          <w:lang w:val="uk-UA"/>
        </w:rPr>
        <w:t xml:space="preserve">ć </w:t>
      </w:r>
      <w:r w:rsidRPr="009E4B7D">
        <w:rPr>
          <w:rStyle w:val="a3"/>
          <w:rFonts w:ascii="Times New Roman" w:hAnsi="Times New Roman"/>
          <w:bCs/>
          <w:color w:val="auto"/>
          <w:sz w:val="28"/>
          <w:szCs w:val="28"/>
          <w:u w:val="none"/>
          <w:lang w:val="en-US"/>
        </w:rPr>
        <w:t>A</w:t>
      </w:r>
      <w:r w:rsidRPr="009E4B7D">
        <w:rPr>
          <w:rFonts w:ascii="Times New Roman" w:hAnsi="Times New Roman"/>
          <w:bCs/>
          <w:sz w:val="28"/>
          <w:szCs w:val="28"/>
          <w:lang w:val="uk-UA"/>
        </w:rPr>
        <w:t xml:space="preserve">, </w:t>
      </w:r>
      <w:r w:rsidRPr="009E4B7D">
        <w:rPr>
          <w:rStyle w:val="a3"/>
          <w:rFonts w:ascii="Times New Roman" w:hAnsi="Times New Roman"/>
          <w:bCs/>
          <w:color w:val="auto"/>
          <w:sz w:val="28"/>
          <w:szCs w:val="28"/>
          <w:u w:val="none"/>
          <w:lang w:val="en-US"/>
        </w:rPr>
        <w:t>Kostovski</w:t>
      </w:r>
      <w:r w:rsidRPr="009E4B7D">
        <w:rPr>
          <w:rStyle w:val="a3"/>
          <w:rFonts w:ascii="Times New Roman" w:hAnsi="Times New Roman"/>
          <w:bCs/>
          <w:color w:val="auto"/>
          <w:sz w:val="28"/>
          <w:szCs w:val="28"/>
          <w:u w:val="none"/>
          <w:lang w:val="uk-UA"/>
        </w:rPr>
        <w:t xml:space="preserve"> </w:t>
      </w:r>
      <w:r w:rsidRPr="009E4B7D">
        <w:rPr>
          <w:rStyle w:val="a3"/>
          <w:rFonts w:ascii="Times New Roman" w:hAnsi="Times New Roman"/>
          <w:bCs/>
          <w:color w:val="auto"/>
          <w:sz w:val="28"/>
          <w:szCs w:val="28"/>
          <w:u w:val="none"/>
          <w:lang w:val="en-US"/>
        </w:rPr>
        <w:t>V</w:t>
      </w:r>
      <w:r w:rsidRPr="009E4B7D">
        <w:rPr>
          <w:rFonts w:ascii="Times New Roman" w:hAnsi="Times New Roman"/>
          <w:bCs/>
          <w:sz w:val="28"/>
          <w:szCs w:val="28"/>
          <w:lang w:val="uk-UA"/>
        </w:rPr>
        <w:t xml:space="preserve">, </w:t>
      </w:r>
      <w:r w:rsidRPr="009E4B7D">
        <w:rPr>
          <w:rStyle w:val="a3"/>
          <w:rFonts w:ascii="Times New Roman" w:hAnsi="Times New Roman"/>
          <w:bCs/>
          <w:color w:val="auto"/>
          <w:sz w:val="28"/>
          <w:szCs w:val="28"/>
          <w:u w:val="none"/>
          <w:lang w:val="en-US"/>
        </w:rPr>
        <w:t>Stankovi</w:t>
      </w:r>
      <w:r w:rsidRPr="009E4B7D">
        <w:rPr>
          <w:rStyle w:val="a3"/>
          <w:rFonts w:ascii="Times New Roman" w:hAnsi="Times New Roman"/>
          <w:bCs/>
          <w:color w:val="auto"/>
          <w:sz w:val="28"/>
          <w:szCs w:val="28"/>
          <w:u w:val="none"/>
          <w:lang w:val="uk-UA"/>
        </w:rPr>
        <w:t xml:space="preserve">ć </w:t>
      </w:r>
      <w:r w:rsidRPr="009E4B7D">
        <w:rPr>
          <w:rStyle w:val="a3"/>
          <w:rFonts w:ascii="Times New Roman" w:hAnsi="Times New Roman"/>
          <w:bCs/>
          <w:color w:val="auto"/>
          <w:sz w:val="28"/>
          <w:szCs w:val="28"/>
          <w:u w:val="none"/>
          <w:lang w:val="en-US"/>
        </w:rPr>
        <w:t>M</w:t>
      </w:r>
      <w:r w:rsidRPr="009E4B7D">
        <w:rPr>
          <w:rFonts w:ascii="Times New Roman" w:hAnsi="Times New Roman"/>
          <w:bCs/>
          <w:sz w:val="28"/>
          <w:szCs w:val="28"/>
          <w:lang w:val="uk-UA"/>
        </w:rPr>
        <w:t xml:space="preserve">, </w:t>
      </w:r>
      <w:r w:rsidRPr="009E4B7D">
        <w:rPr>
          <w:rStyle w:val="a3"/>
          <w:rFonts w:ascii="Times New Roman" w:hAnsi="Times New Roman"/>
          <w:bCs/>
          <w:color w:val="auto"/>
          <w:sz w:val="28"/>
          <w:szCs w:val="28"/>
          <w:u w:val="none"/>
          <w:lang w:val="en-US"/>
        </w:rPr>
        <w:t>Anti</w:t>
      </w:r>
      <w:r w:rsidRPr="009E4B7D">
        <w:rPr>
          <w:rStyle w:val="a3"/>
          <w:rFonts w:ascii="Times New Roman" w:hAnsi="Times New Roman"/>
          <w:bCs/>
          <w:color w:val="auto"/>
          <w:sz w:val="28"/>
          <w:szCs w:val="28"/>
          <w:u w:val="none"/>
          <w:lang w:val="uk-UA"/>
        </w:rPr>
        <w:t xml:space="preserve">ć </w:t>
      </w:r>
      <w:r w:rsidRPr="009E4B7D">
        <w:rPr>
          <w:rStyle w:val="a3"/>
          <w:rFonts w:ascii="Times New Roman" w:hAnsi="Times New Roman"/>
          <w:bCs/>
          <w:color w:val="auto"/>
          <w:sz w:val="28"/>
          <w:szCs w:val="28"/>
          <w:u w:val="none"/>
          <w:lang w:val="en-US"/>
        </w:rPr>
        <w:t>V</w:t>
      </w:r>
      <w:r w:rsidRPr="009E4B7D">
        <w:rPr>
          <w:rFonts w:ascii="Times New Roman" w:hAnsi="Times New Roman"/>
          <w:bCs/>
          <w:sz w:val="28"/>
          <w:szCs w:val="28"/>
          <w:lang w:val="uk-UA"/>
        </w:rPr>
        <w:t xml:space="preserve">, </w:t>
      </w:r>
      <w:r w:rsidRPr="009E4B7D">
        <w:rPr>
          <w:rStyle w:val="a3"/>
          <w:rFonts w:ascii="Times New Roman" w:hAnsi="Times New Roman"/>
          <w:bCs/>
          <w:color w:val="auto"/>
          <w:sz w:val="28"/>
          <w:szCs w:val="28"/>
          <w:u w:val="none"/>
          <w:lang w:val="en-US"/>
        </w:rPr>
        <w:t>Milin</w:t>
      </w:r>
      <w:r w:rsidRPr="009E4B7D">
        <w:rPr>
          <w:rStyle w:val="a3"/>
          <w:rFonts w:ascii="Times New Roman" w:hAnsi="Times New Roman"/>
          <w:bCs/>
          <w:color w:val="auto"/>
          <w:sz w:val="28"/>
          <w:szCs w:val="28"/>
          <w:u w:val="none"/>
          <w:lang w:val="uk-UA"/>
        </w:rPr>
        <w:t>-</w:t>
      </w:r>
      <w:r w:rsidRPr="009E4B7D">
        <w:rPr>
          <w:rStyle w:val="a3"/>
          <w:rFonts w:ascii="Times New Roman" w:hAnsi="Times New Roman"/>
          <w:bCs/>
          <w:color w:val="auto"/>
          <w:sz w:val="28"/>
          <w:szCs w:val="28"/>
          <w:u w:val="none"/>
          <w:lang w:val="en-US"/>
        </w:rPr>
        <w:t>Lazovi</w:t>
      </w:r>
      <w:r w:rsidRPr="009E4B7D">
        <w:rPr>
          <w:rStyle w:val="a3"/>
          <w:rFonts w:ascii="Times New Roman" w:hAnsi="Times New Roman"/>
          <w:bCs/>
          <w:color w:val="auto"/>
          <w:sz w:val="28"/>
          <w:szCs w:val="28"/>
          <w:u w:val="none"/>
          <w:lang w:val="uk-UA"/>
        </w:rPr>
        <w:t xml:space="preserve">ć </w:t>
      </w:r>
      <w:r w:rsidRPr="009E4B7D">
        <w:rPr>
          <w:rStyle w:val="a3"/>
          <w:rFonts w:ascii="Times New Roman" w:hAnsi="Times New Roman"/>
          <w:bCs/>
          <w:color w:val="auto"/>
          <w:sz w:val="28"/>
          <w:szCs w:val="28"/>
          <w:u w:val="none"/>
          <w:lang w:val="en-US"/>
        </w:rPr>
        <w:t>J</w:t>
      </w:r>
      <w:r w:rsidRPr="009E4B7D">
        <w:rPr>
          <w:rFonts w:ascii="Times New Roman" w:hAnsi="Times New Roman"/>
          <w:bCs/>
          <w:sz w:val="28"/>
          <w:szCs w:val="28"/>
          <w:lang w:val="uk-UA"/>
        </w:rPr>
        <w:t xml:space="preserve">, </w:t>
      </w:r>
      <w:r w:rsidRPr="009E4B7D">
        <w:rPr>
          <w:rStyle w:val="a3"/>
          <w:rFonts w:ascii="Times New Roman" w:hAnsi="Times New Roman"/>
          <w:bCs/>
          <w:color w:val="auto"/>
          <w:sz w:val="28"/>
          <w:szCs w:val="28"/>
          <w:u w:val="none"/>
          <w:lang w:val="uk-UA"/>
        </w:rPr>
        <w:t>Ć</w:t>
      </w:r>
      <w:r w:rsidRPr="009E4B7D">
        <w:rPr>
          <w:rStyle w:val="a3"/>
          <w:rFonts w:ascii="Times New Roman" w:hAnsi="Times New Roman"/>
          <w:bCs/>
          <w:color w:val="auto"/>
          <w:sz w:val="28"/>
          <w:szCs w:val="28"/>
          <w:u w:val="none"/>
          <w:lang w:val="en-US"/>
        </w:rPr>
        <w:t>iri</w:t>
      </w:r>
      <w:r w:rsidRPr="009E4B7D">
        <w:rPr>
          <w:rStyle w:val="a3"/>
          <w:rFonts w:ascii="Times New Roman" w:hAnsi="Times New Roman"/>
          <w:bCs/>
          <w:color w:val="auto"/>
          <w:sz w:val="28"/>
          <w:szCs w:val="28"/>
          <w:u w:val="none"/>
          <w:lang w:val="uk-UA"/>
        </w:rPr>
        <w:t xml:space="preserve">ć </w:t>
      </w:r>
      <w:r w:rsidRPr="009E4B7D">
        <w:rPr>
          <w:rStyle w:val="a3"/>
          <w:rFonts w:ascii="Times New Roman" w:hAnsi="Times New Roman"/>
          <w:bCs/>
          <w:color w:val="auto"/>
          <w:sz w:val="28"/>
          <w:szCs w:val="28"/>
          <w:u w:val="none"/>
          <w:lang w:val="en-US"/>
        </w:rPr>
        <w:t>J</w:t>
      </w:r>
      <w:r w:rsidRPr="009E4B7D">
        <w:rPr>
          <w:rFonts w:ascii="Times New Roman" w:hAnsi="Times New Roman"/>
          <w:bCs/>
          <w:sz w:val="28"/>
          <w:szCs w:val="28"/>
          <w:lang w:val="uk-UA"/>
        </w:rPr>
        <w:t xml:space="preserve">. </w:t>
      </w:r>
      <w:r w:rsidRPr="00D83BD4">
        <w:rPr>
          <w:rFonts w:ascii="Times New Roman" w:hAnsi="Times New Roman"/>
          <w:bCs/>
          <w:sz w:val="28"/>
          <w:szCs w:val="28"/>
          <w:lang w:val="en-US"/>
        </w:rPr>
        <w:t xml:space="preserve">The </w:t>
      </w:r>
      <w:r w:rsidRPr="00D83BD4">
        <w:rPr>
          <w:rStyle w:val="highlight"/>
          <w:rFonts w:ascii="Times New Roman" w:hAnsi="Times New Roman"/>
          <w:bCs/>
          <w:sz w:val="28"/>
          <w:szCs w:val="28"/>
          <w:lang w:val="en-US"/>
        </w:rPr>
        <w:t>Effect</w:t>
      </w:r>
      <w:r w:rsidRPr="00D83BD4">
        <w:rPr>
          <w:rFonts w:ascii="Times New Roman" w:hAnsi="Times New Roman"/>
          <w:bCs/>
          <w:sz w:val="28"/>
          <w:szCs w:val="28"/>
          <w:lang w:val="en-US"/>
        </w:rPr>
        <w:t xml:space="preserve"> of Early Substitution of Subclinical Hypothyroidism on Biochemical Blood Parameters and the Quality of Life. </w:t>
      </w:r>
      <w:r w:rsidRPr="009E4B7D">
        <w:rPr>
          <w:rStyle w:val="a3"/>
          <w:rFonts w:ascii="Times New Roman" w:hAnsi="Times New Roman"/>
          <w:bCs/>
          <w:color w:val="auto"/>
          <w:sz w:val="28"/>
          <w:szCs w:val="28"/>
          <w:u w:val="none"/>
          <w:lang w:val="en-US"/>
        </w:rPr>
        <w:t>J Med Biochem.</w:t>
      </w:r>
      <w:r w:rsidRPr="009E4B7D">
        <w:rPr>
          <w:rFonts w:ascii="Times New Roman" w:hAnsi="Times New Roman"/>
          <w:bCs/>
          <w:sz w:val="28"/>
          <w:szCs w:val="28"/>
          <w:lang w:val="en-US"/>
        </w:rPr>
        <w:t xml:space="preserve"> </w:t>
      </w:r>
      <w:r w:rsidRPr="00D83BD4">
        <w:rPr>
          <w:rFonts w:ascii="Times New Roman" w:hAnsi="Times New Roman"/>
          <w:bCs/>
          <w:sz w:val="28"/>
          <w:szCs w:val="28"/>
          <w:lang w:val="en-US"/>
        </w:rPr>
        <w:t xml:space="preserve">2017;36(2):127-136. doi: 10.1515/jomb-2017-0007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9E4B7D">
        <w:rPr>
          <w:rStyle w:val="a3"/>
          <w:rFonts w:ascii="Times New Roman" w:hAnsi="Times New Roman"/>
          <w:color w:val="auto"/>
          <w:sz w:val="28"/>
          <w:szCs w:val="28"/>
          <w:u w:val="none"/>
          <w:lang w:val="en-US"/>
        </w:rPr>
        <w:t>Park</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ZH</w:t>
      </w:r>
      <w:r w:rsidRPr="009E4B7D">
        <w:rPr>
          <w:rFonts w:ascii="Times New Roman" w:hAnsi="Times New Roman"/>
          <w:sz w:val="28"/>
          <w:szCs w:val="28"/>
          <w:lang w:val="uk-UA"/>
        </w:rPr>
        <w:t xml:space="preserve">, </w:t>
      </w:r>
      <w:r w:rsidRPr="009E4B7D">
        <w:rPr>
          <w:rStyle w:val="a3"/>
          <w:rFonts w:ascii="Times New Roman" w:hAnsi="Times New Roman"/>
          <w:color w:val="auto"/>
          <w:sz w:val="28"/>
          <w:szCs w:val="28"/>
          <w:u w:val="none"/>
          <w:lang w:val="en-US"/>
        </w:rPr>
        <w:t>Juska</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A</w:t>
      </w:r>
      <w:r w:rsidRPr="009E4B7D">
        <w:rPr>
          <w:rFonts w:ascii="Times New Roman" w:hAnsi="Times New Roman"/>
          <w:sz w:val="28"/>
          <w:szCs w:val="28"/>
          <w:lang w:val="uk-UA"/>
        </w:rPr>
        <w:t xml:space="preserve">, </w:t>
      </w:r>
      <w:r w:rsidRPr="009E4B7D">
        <w:rPr>
          <w:rStyle w:val="a3"/>
          <w:rFonts w:ascii="Times New Roman" w:hAnsi="Times New Roman"/>
          <w:color w:val="auto"/>
          <w:sz w:val="28"/>
          <w:szCs w:val="28"/>
          <w:u w:val="none"/>
          <w:lang w:val="en-US"/>
        </w:rPr>
        <w:t>Dyakov</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D</w:t>
      </w:r>
      <w:r w:rsidRPr="009E4B7D">
        <w:rPr>
          <w:rFonts w:ascii="Times New Roman" w:hAnsi="Times New Roman"/>
          <w:sz w:val="28"/>
          <w:szCs w:val="28"/>
          <w:lang w:val="uk-UA"/>
        </w:rPr>
        <w:t xml:space="preserve">, </w:t>
      </w:r>
      <w:r w:rsidRPr="009E4B7D">
        <w:rPr>
          <w:rStyle w:val="a3"/>
          <w:rFonts w:ascii="Times New Roman" w:hAnsi="Times New Roman"/>
          <w:color w:val="auto"/>
          <w:sz w:val="28"/>
          <w:szCs w:val="28"/>
          <w:u w:val="none"/>
          <w:lang w:val="en-US"/>
        </w:rPr>
        <w:t>Patel</w:t>
      </w:r>
      <w:r w:rsidRPr="009E4B7D">
        <w:rPr>
          <w:rStyle w:val="a3"/>
          <w:rFonts w:ascii="Times New Roman" w:hAnsi="Times New Roman"/>
          <w:color w:val="auto"/>
          <w:sz w:val="28"/>
          <w:szCs w:val="28"/>
          <w:u w:val="none"/>
          <w:lang w:val="uk-UA"/>
        </w:rPr>
        <w:t xml:space="preserve"> </w:t>
      </w:r>
      <w:r w:rsidRPr="009E4B7D">
        <w:rPr>
          <w:rStyle w:val="a3"/>
          <w:rFonts w:ascii="Times New Roman" w:hAnsi="Times New Roman"/>
          <w:color w:val="auto"/>
          <w:sz w:val="28"/>
          <w:szCs w:val="28"/>
          <w:u w:val="none"/>
          <w:lang w:val="en-US"/>
        </w:rPr>
        <w:t>RV</w:t>
      </w:r>
      <w:r w:rsidRPr="009E4B7D">
        <w:rPr>
          <w:rFonts w:ascii="Times New Roman" w:hAnsi="Times New Roman"/>
          <w:sz w:val="28"/>
          <w:szCs w:val="28"/>
          <w:lang w:val="uk-UA"/>
        </w:rPr>
        <w:t>.</w:t>
      </w:r>
      <w:r w:rsidRPr="009E4B7D">
        <w:rPr>
          <w:rStyle w:val="highlight"/>
          <w:rFonts w:ascii="Times New Roman" w:hAnsi="Times New Roman"/>
          <w:sz w:val="28"/>
          <w:szCs w:val="28"/>
          <w:lang w:val="uk-UA"/>
        </w:rPr>
        <w:t xml:space="preserve"> </w:t>
      </w:r>
      <w:r w:rsidRPr="00D83BD4">
        <w:rPr>
          <w:rStyle w:val="highlight"/>
          <w:rFonts w:ascii="Times New Roman" w:hAnsi="Times New Roman"/>
          <w:sz w:val="28"/>
          <w:szCs w:val="28"/>
          <w:lang w:val="en-US"/>
        </w:rPr>
        <w:t>Statin</w:t>
      </w:r>
      <w:r w:rsidRPr="00D83BD4">
        <w:rPr>
          <w:rFonts w:ascii="Times New Roman" w:hAnsi="Times New Roman"/>
          <w:sz w:val="28"/>
          <w:szCs w:val="28"/>
          <w:lang w:val="en-US"/>
        </w:rPr>
        <w:t xml:space="preserve">-associated incident diabetes: a literature review. </w:t>
      </w:r>
      <w:r w:rsidRPr="009E4B7D">
        <w:rPr>
          <w:rStyle w:val="a3"/>
          <w:rFonts w:ascii="Times New Roman" w:hAnsi="Times New Roman"/>
          <w:color w:val="auto"/>
          <w:sz w:val="28"/>
          <w:szCs w:val="28"/>
          <w:u w:val="none"/>
          <w:lang w:val="en-US"/>
        </w:rPr>
        <w:t>Consult Pharm.</w:t>
      </w:r>
      <w:r w:rsidRPr="00D83BD4">
        <w:rPr>
          <w:rFonts w:ascii="Times New Roman" w:hAnsi="Times New Roman"/>
          <w:sz w:val="28"/>
          <w:szCs w:val="28"/>
          <w:lang w:val="en-US"/>
        </w:rPr>
        <w:t xml:space="preserve"> 2014;29(5):317-34. doi: 10.4140/TCP.n.2014.317 </w:t>
      </w:r>
    </w:p>
    <w:p w:rsidR="009E4B7D" w:rsidRPr="009E4B7D" w:rsidRDefault="009E4B7D" w:rsidP="009E4B7D">
      <w:pPr>
        <w:pStyle w:val="31"/>
        <w:numPr>
          <w:ilvl w:val="0"/>
          <w:numId w:val="26"/>
        </w:numPr>
        <w:spacing w:after="0" w:line="360" w:lineRule="auto"/>
        <w:jc w:val="both"/>
        <w:rPr>
          <w:rStyle w:val="a3"/>
          <w:rFonts w:ascii="Times New Roman" w:hAnsi="Times New Roman"/>
          <w:color w:val="auto"/>
          <w:sz w:val="28"/>
          <w:szCs w:val="28"/>
          <w:u w:val="none"/>
          <w:lang w:val="en-US"/>
        </w:rPr>
      </w:pPr>
      <w:r w:rsidRPr="009E4B7D">
        <w:rPr>
          <w:rStyle w:val="a3"/>
          <w:rFonts w:ascii="Times New Roman" w:hAnsi="Times New Roman"/>
          <w:color w:val="auto"/>
          <w:sz w:val="28"/>
          <w:szCs w:val="28"/>
          <w:u w:val="none"/>
          <w:lang w:val="en-US"/>
        </w:rPr>
        <w:t>Pasandideh R, Hosseini SM, Veghari G, Hezarkhani S. The effects of 8 weeks of levothyroxine replacement treatment on metabolic and anthropometric indices of insulin resistance in hypothyroid patients. Endocr Metab Immune Disord Drug Targets. 2020; 20 (5): 745-752. doi: 10.2174 / 1871530319666191105123005</w:t>
      </w:r>
    </w:p>
    <w:p w:rsidR="009E4B7D" w:rsidRPr="009E4B7D" w:rsidRDefault="009E4B7D" w:rsidP="009E4B7D">
      <w:pPr>
        <w:pStyle w:val="afc"/>
        <w:numPr>
          <w:ilvl w:val="0"/>
          <w:numId w:val="26"/>
        </w:numPr>
        <w:spacing w:line="360" w:lineRule="auto"/>
        <w:jc w:val="both"/>
        <w:rPr>
          <w:sz w:val="28"/>
          <w:szCs w:val="28"/>
          <w:lang w:val="en-US"/>
        </w:rPr>
      </w:pPr>
      <w:r w:rsidRPr="009E4B7D">
        <w:rPr>
          <w:sz w:val="28"/>
          <w:szCs w:val="28"/>
          <w:lang w:val="en-US"/>
        </w:rPr>
        <w:t>Paseban M, Mohebbati R, Niazmand S, Sathyapalan T, Sahebkar A. Comparison of the Neuroprotective Effects of Aspirin, Atorvastatin, Captopril and Metformin in Diabetes Mellitus. Biomolecules. 2019; 9 (4). pii: E118. doi: 10.3390 / biom9040118</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bCs/>
          <w:sz w:val="28"/>
          <w:szCs w:val="28"/>
          <w:lang w:val="en-US"/>
        </w:rPr>
        <w:t>Pearce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EN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Update</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in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lipid</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alterations</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in</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subclinical</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hypothyroidism</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 xml:space="preserve">J </w:t>
      </w:r>
      <w:r w:rsidRPr="00D83BD4">
        <w:rPr>
          <w:rFonts w:ascii="Times New Roman" w:hAnsi="Times New Roman"/>
          <w:bCs/>
          <w:sz w:val="28"/>
          <w:szCs w:val="28"/>
          <w:lang w:val="uk-UA"/>
        </w:rPr>
        <w:t xml:space="preserve"> </w:t>
      </w:r>
      <w:r w:rsidRPr="00D83BD4">
        <w:rPr>
          <w:rFonts w:ascii="Times New Roman" w:hAnsi="Times New Roman"/>
          <w:bCs/>
          <w:sz w:val="28"/>
          <w:szCs w:val="28"/>
          <w:lang w:val="en-US"/>
        </w:rPr>
        <w:t>Clin Endocr</w:t>
      </w:r>
      <w:r w:rsidRPr="00D83BD4">
        <w:rPr>
          <w:rFonts w:ascii="Times New Roman" w:hAnsi="Times New Roman"/>
          <w:bCs/>
          <w:sz w:val="28"/>
          <w:szCs w:val="28"/>
          <w:lang w:val="uk-UA"/>
        </w:rPr>
        <w:t>. 2012; 97(2): 326—33.</w:t>
      </w:r>
      <w:r w:rsidRPr="00D83BD4">
        <w:rPr>
          <w:rFonts w:ascii="Times New Roman" w:hAnsi="Times New Roman"/>
          <w:sz w:val="28"/>
          <w:szCs w:val="28"/>
          <w:shd w:val="clear" w:color="auto" w:fill="FFFFFF"/>
        </w:rPr>
        <w:t xml:space="preserve"> doi: 10.1210/jc.2011-2532. </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bCs/>
          <w:color w:val="212121"/>
          <w:sz w:val="28"/>
          <w:szCs w:val="28"/>
          <w:shd w:val="clear" w:color="auto" w:fill="FFFFFF"/>
          <w:lang w:val="en-US"/>
        </w:rPr>
        <w:t xml:space="preserve">Pearce SH, </w:t>
      </w:r>
      <w:bookmarkEnd w:id="35"/>
      <w:r w:rsidRPr="00D83BD4">
        <w:rPr>
          <w:rFonts w:ascii="Times New Roman" w:hAnsi="Times New Roman"/>
          <w:bCs/>
          <w:color w:val="212121"/>
          <w:sz w:val="28"/>
          <w:szCs w:val="28"/>
          <w:shd w:val="clear" w:color="auto" w:fill="FFFFFF"/>
          <w:lang w:val="en-US"/>
        </w:rPr>
        <w:t xml:space="preserve">Brabant G, Duntas LH, Monzani F, Peeters RP, Razvi S, Wemeau JL. 2013 ETA Guideline: Management of Subclinical Hypothyroidism. Eur Thyroid J. 2013;2(4):215-28. doi: 10.1159/000356507 </w:t>
      </w:r>
    </w:p>
    <w:p w:rsidR="00E3259F" w:rsidRPr="00D83BD4" w:rsidRDefault="00E3259F" w:rsidP="00D83BD4">
      <w:pPr>
        <w:numPr>
          <w:ilvl w:val="0"/>
          <w:numId w:val="26"/>
        </w:numPr>
        <w:spacing w:line="360" w:lineRule="auto"/>
        <w:ind w:left="0" w:firstLine="0"/>
        <w:jc w:val="both"/>
        <w:rPr>
          <w:sz w:val="28"/>
          <w:szCs w:val="28"/>
          <w:lang w:val="en-US"/>
        </w:rPr>
      </w:pPr>
      <w:r w:rsidRPr="00D83BD4">
        <w:rPr>
          <w:sz w:val="28"/>
          <w:szCs w:val="28"/>
          <w:lang w:val="en-US"/>
        </w:rPr>
        <w:t>Pearce SHS, Gan EH. Low-dose levothyroxine did not improve symptoms in asymptomatic older people with subclinical hypothyroidism. Gen. Med. 2018; 23(1): 1–3.</w:t>
      </w:r>
      <w:r w:rsidRPr="00D83BD4">
        <w:rPr>
          <w:sz w:val="28"/>
          <w:szCs w:val="28"/>
          <w:lang w:val="uk-UA"/>
        </w:rPr>
        <w:t xml:space="preserve"> </w:t>
      </w:r>
      <w:r w:rsidRPr="00D83BD4">
        <w:rPr>
          <w:sz w:val="28"/>
          <w:szCs w:val="28"/>
          <w:shd w:val="clear" w:color="auto" w:fill="FFFFFF"/>
        </w:rPr>
        <w:t>doi: 10.1136 / ebmed-2017-110819.</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Peixoto</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de</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Miranda</w:t>
      </w:r>
      <w:r w:rsidRPr="00D83BD4">
        <w:rPr>
          <w:rFonts w:ascii="Times New Roman" w:hAnsi="Times New Roman"/>
          <w:sz w:val="28"/>
          <w:szCs w:val="28"/>
          <w:shd w:val="clear" w:color="auto" w:fill="FFFFFF"/>
          <w:lang w:val="uk-UA"/>
        </w:rPr>
        <w:t xml:space="preserve"> É</w:t>
      </w:r>
      <w:r w:rsidRPr="00D83BD4">
        <w:rPr>
          <w:rFonts w:ascii="Times New Roman" w:hAnsi="Times New Roman"/>
          <w:sz w:val="28"/>
          <w:szCs w:val="28"/>
          <w:shd w:val="clear" w:color="auto" w:fill="FFFFFF"/>
          <w:lang w:val="en-US"/>
        </w:rPr>
        <w:t>JF</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Bittencourt</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MS</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Santos</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IS</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Lotufo</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PA</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Bense</w:t>
      </w:r>
      <w:r w:rsidRPr="00D83BD4">
        <w:rPr>
          <w:rFonts w:ascii="Times New Roman" w:hAnsi="Times New Roman"/>
          <w:sz w:val="28"/>
          <w:szCs w:val="28"/>
          <w:shd w:val="clear" w:color="auto" w:fill="FFFFFF"/>
          <w:lang w:val="uk-UA"/>
        </w:rPr>
        <w:t>ñ</w:t>
      </w:r>
      <w:r w:rsidRPr="00D83BD4">
        <w:rPr>
          <w:rFonts w:ascii="Times New Roman" w:hAnsi="Times New Roman"/>
          <w:sz w:val="28"/>
          <w:szCs w:val="28"/>
          <w:shd w:val="clear" w:color="auto" w:fill="FFFFFF"/>
          <w:lang w:val="en-US"/>
        </w:rPr>
        <w:t>or</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IM</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Thyroid</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Function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and</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High</w:t>
      </w:r>
      <w:r w:rsidRPr="00D83BD4">
        <w:rPr>
          <w:rFonts w:ascii="Times New Roman" w:hAnsi="Times New Roman"/>
          <w:sz w:val="28"/>
          <w:szCs w:val="28"/>
          <w:shd w:val="clear" w:color="auto" w:fill="FFFFFF"/>
          <w:lang w:val="uk-UA"/>
        </w:rPr>
        <w:t>-</w:t>
      </w:r>
      <w:r w:rsidRPr="00D83BD4">
        <w:rPr>
          <w:rFonts w:ascii="Times New Roman" w:hAnsi="Times New Roman"/>
          <w:sz w:val="28"/>
          <w:szCs w:val="28"/>
          <w:shd w:val="clear" w:color="auto" w:fill="FFFFFF"/>
          <w:lang w:val="en-US"/>
        </w:rPr>
        <w:t>Sensitivity</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C</w:t>
      </w:r>
      <w:r w:rsidRPr="00D83BD4">
        <w:rPr>
          <w:rFonts w:ascii="Times New Roman" w:hAnsi="Times New Roman"/>
          <w:sz w:val="28"/>
          <w:szCs w:val="28"/>
          <w:shd w:val="clear" w:color="auto" w:fill="FFFFFF"/>
          <w:lang w:val="uk-UA"/>
        </w:rPr>
        <w:t>-</w:t>
      </w:r>
      <w:r w:rsidRPr="00D83BD4">
        <w:rPr>
          <w:rFonts w:ascii="Times New Roman" w:hAnsi="Times New Roman"/>
          <w:sz w:val="28"/>
          <w:szCs w:val="28"/>
          <w:shd w:val="clear" w:color="auto" w:fill="FFFFFF"/>
          <w:lang w:val="en-US"/>
        </w:rPr>
        <w:t>Reactive</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Protein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in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Cross</w:t>
      </w:r>
      <w:r w:rsidRPr="00D83BD4">
        <w:rPr>
          <w:rFonts w:ascii="Times New Roman" w:hAnsi="Times New Roman"/>
          <w:sz w:val="28"/>
          <w:szCs w:val="28"/>
          <w:shd w:val="clear" w:color="auto" w:fill="FFFFFF"/>
          <w:lang w:val="uk-UA"/>
        </w:rPr>
        <w:t>-</w:t>
      </w:r>
      <w:r w:rsidRPr="00D83BD4">
        <w:rPr>
          <w:rFonts w:ascii="Times New Roman" w:hAnsi="Times New Roman"/>
          <w:sz w:val="28"/>
          <w:szCs w:val="28"/>
          <w:shd w:val="clear" w:color="auto" w:fill="FFFFFF"/>
          <w:lang w:val="en-US"/>
        </w:rPr>
        <w:t>Sectional</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Results</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from</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the</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Brazilian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Longitudinal</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Study</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of</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Adult</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Health</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ELSA</w:t>
      </w:r>
      <w:r w:rsidRPr="00D83BD4">
        <w:rPr>
          <w:rFonts w:ascii="Times New Roman" w:hAnsi="Times New Roman"/>
          <w:sz w:val="28"/>
          <w:szCs w:val="28"/>
          <w:shd w:val="clear" w:color="auto" w:fill="FFFFFF"/>
          <w:lang w:val="uk-UA"/>
        </w:rPr>
        <w:t>-</w:t>
      </w:r>
      <w:r w:rsidRPr="00D83BD4">
        <w:rPr>
          <w:rFonts w:ascii="Times New Roman" w:hAnsi="Times New Roman"/>
          <w:sz w:val="28"/>
          <w:szCs w:val="28"/>
          <w:shd w:val="clear" w:color="auto" w:fill="FFFFFF"/>
          <w:lang w:val="en-US"/>
        </w:rPr>
        <w:t>Brasil</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Effect</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of</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Adiposity</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and</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Insulin</w:t>
      </w:r>
      <w:r w:rsidRPr="00D83BD4">
        <w:rPr>
          <w:rFonts w:ascii="Times New Roman" w:hAnsi="Times New Roman"/>
          <w:sz w:val="28"/>
          <w:szCs w:val="28"/>
          <w:shd w:val="clear" w:color="auto" w:fill="FFFFFF"/>
          <w:lang w:val="uk-UA"/>
        </w:rPr>
        <w:t xml:space="preserve"> </w:t>
      </w:r>
      <w:r w:rsidRPr="00D83BD4">
        <w:rPr>
          <w:rFonts w:ascii="Times New Roman" w:hAnsi="Times New Roman"/>
          <w:sz w:val="28"/>
          <w:szCs w:val="28"/>
          <w:shd w:val="clear" w:color="auto" w:fill="FFFFFF"/>
          <w:lang w:val="en-US"/>
        </w:rPr>
        <w:t>Resistance</w:t>
      </w:r>
      <w:r w:rsidRPr="00D83BD4">
        <w:rPr>
          <w:rFonts w:ascii="Times New Roman" w:hAnsi="Times New Roman"/>
          <w:sz w:val="28"/>
          <w:szCs w:val="28"/>
          <w:shd w:val="clear" w:color="auto" w:fill="FFFFFF"/>
          <w:lang w:val="uk-UA"/>
        </w:rPr>
        <w:t>.</w:t>
      </w:r>
      <w:r w:rsidRPr="00D83BD4">
        <w:rPr>
          <w:rFonts w:ascii="Times New Roman" w:hAnsi="Times New Roman"/>
          <w:sz w:val="28"/>
          <w:szCs w:val="28"/>
          <w:shd w:val="clear" w:color="auto" w:fill="FFFFFF"/>
          <w:lang w:val="en-US"/>
        </w:rPr>
        <w:t> </w:t>
      </w:r>
      <w:r w:rsidRPr="00D83BD4">
        <w:rPr>
          <w:rStyle w:val="ref-journal"/>
          <w:rFonts w:ascii="Times New Roman" w:hAnsi="Times New Roman"/>
          <w:sz w:val="28"/>
          <w:szCs w:val="28"/>
          <w:shd w:val="clear" w:color="auto" w:fill="FFFFFF"/>
          <w:lang w:val="en-US"/>
        </w:rPr>
        <w:t>Eur. Thyroid J. </w:t>
      </w:r>
      <w:r w:rsidRPr="00D83BD4">
        <w:rPr>
          <w:rFonts w:ascii="Times New Roman" w:hAnsi="Times New Roman"/>
          <w:sz w:val="28"/>
          <w:szCs w:val="28"/>
          <w:shd w:val="clear" w:color="auto" w:fill="FFFFFF"/>
          <w:lang w:val="en-US"/>
        </w:rPr>
        <w:t>2016;</w:t>
      </w:r>
      <w:r w:rsidRPr="00D83BD4">
        <w:rPr>
          <w:rStyle w:val="ref-vol"/>
          <w:rFonts w:ascii="Times New Roman" w:hAnsi="Times New Roman"/>
          <w:sz w:val="28"/>
          <w:szCs w:val="28"/>
          <w:shd w:val="clear" w:color="auto" w:fill="FFFFFF"/>
          <w:lang w:val="en-US"/>
        </w:rPr>
        <w:t>5</w:t>
      </w:r>
      <w:r w:rsidRPr="00D83BD4">
        <w:rPr>
          <w:rFonts w:ascii="Times New Roman" w:hAnsi="Times New Roman"/>
          <w:sz w:val="28"/>
          <w:szCs w:val="28"/>
          <w:shd w:val="clear" w:color="auto" w:fill="FFFFFF"/>
          <w:lang w:val="en-US"/>
        </w:rPr>
        <w:t>:240–246. doi: 10.1159/000448683</w:t>
      </w:r>
    </w:p>
    <w:p w:rsidR="00E3259F" w:rsidRPr="00D83BD4" w:rsidRDefault="00E3259F" w:rsidP="00D83BD4">
      <w:pPr>
        <w:pStyle w:val="31"/>
        <w:numPr>
          <w:ilvl w:val="0"/>
          <w:numId w:val="26"/>
        </w:numPr>
        <w:tabs>
          <w:tab w:val="num" w:pos="0"/>
        </w:tabs>
        <w:spacing w:after="0" w:line="360" w:lineRule="auto"/>
        <w:ind w:left="0" w:firstLine="0"/>
        <w:jc w:val="both"/>
        <w:rPr>
          <w:rFonts w:ascii="Times New Roman" w:hAnsi="Times New Roman"/>
          <w:bCs/>
          <w:sz w:val="28"/>
          <w:szCs w:val="28"/>
          <w:lang w:val="en-US"/>
        </w:rPr>
      </w:pPr>
      <w:r w:rsidRPr="00D83BD4">
        <w:rPr>
          <w:rFonts w:ascii="Times New Roman" w:hAnsi="Times New Roman"/>
          <w:sz w:val="28"/>
          <w:szCs w:val="28"/>
          <w:shd w:val="clear" w:color="auto" w:fill="FFFFFF"/>
          <w:lang w:val="en-US"/>
        </w:rPr>
        <w:t xml:space="preserve">Perrone-Filardi P, Coca A, Galderisi M, Paolillo S, Alpendurada F, de Simone G, et al. Non-invasive cardiovascular imaging for evaluating subclinical target organ damage in hypertensive patients: A consensus paper from the European Association of Cardiovascular Imaging (EACVI), the European Society of Cardiology Council on Hypertension, and the European Society of Hypertension (ESH). </w:t>
      </w:r>
      <w:r w:rsidRPr="00D83BD4">
        <w:rPr>
          <w:rFonts w:ascii="Times New Roman" w:hAnsi="Times New Roman"/>
          <w:sz w:val="28"/>
          <w:szCs w:val="28"/>
          <w:shd w:val="clear" w:color="auto" w:fill="FFFFFF"/>
        </w:rPr>
        <w:t>Eur Heart J Cardiovasc Imaging. 2017;18(9):945-960. doi: 10.1093/ehjci/jex094.</w:t>
      </w:r>
    </w:p>
    <w:p w:rsidR="009E4B7D" w:rsidRPr="009E4B7D" w:rsidRDefault="002E0FFA" w:rsidP="002E0FFA">
      <w:pPr>
        <w:pStyle w:val="31"/>
        <w:numPr>
          <w:ilvl w:val="0"/>
          <w:numId w:val="26"/>
        </w:numPr>
        <w:tabs>
          <w:tab w:val="clear" w:pos="360"/>
          <w:tab w:val="num" w:pos="0"/>
        </w:tabs>
        <w:spacing w:after="0" w:line="360" w:lineRule="auto"/>
        <w:ind w:left="142" w:hanging="142"/>
        <w:jc w:val="both"/>
        <w:rPr>
          <w:rStyle w:val="a3"/>
          <w:rFonts w:ascii="Times New Roman" w:hAnsi="Times New Roman"/>
          <w:bCs/>
          <w:color w:val="auto"/>
          <w:sz w:val="28"/>
          <w:szCs w:val="28"/>
          <w:u w:val="none"/>
          <w:lang w:val="en-US"/>
        </w:rPr>
      </w:pPr>
      <w:r w:rsidRPr="002E0FFA">
        <w:rPr>
          <w:rStyle w:val="a3"/>
          <w:rFonts w:ascii="Times New Roman" w:hAnsi="Times New Roman"/>
          <w:bCs/>
          <w:color w:val="auto"/>
          <w:sz w:val="28"/>
          <w:szCs w:val="28"/>
          <w:u w:val="none"/>
          <w:lang w:val="en-US"/>
        </w:rPr>
        <w:t>Peters KE, Chubb SAP, Bruce DG, Davis WA, Davis TME. Pr</w:t>
      </w:r>
      <w:r>
        <w:rPr>
          <w:rStyle w:val="a3"/>
          <w:rFonts w:ascii="Times New Roman" w:hAnsi="Times New Roman"/>
          <w:bCs/>
          <w:color w:val="auto"/>
          <w:sz w:val="28"/>
          <w:szCs w:val="28"/>
          <w:u w:val="none"/>
          <w:lang w:val="en-US"/>
        </w:rPr>
        <w:t>evalence and</w:t>
      </w:r>
      <w:r>
        <w:rPr>
          <w:rStyle w:val="a3"/>
          <w:rFonts w:ascii="Times New Roman" w:hAnsi="Times New Roman"/>
          <w:bCs/>
          <w:color w:val="auto"/>
          <w:sz w:val="28"/>
          <w:szCs w:val="28"/>
          <w:u w:val="none"/>
          <w:lang w:val="uk-UA"/>
        </w:rPr>
        <w:t xml:space="preserve"> </w:t>
      </w:r>
      <w:r w:rsidRPr="002E0FFA">
        <w:rPr>
          <w:rStyle w:val="a3"/>
          <w:rFonts w:ascii="Times New Roman" w:hAnsi="Times New Roman"/>
          <w:bCs/>
          <w:color w:val="auto"/>
          <w:sz w:val="28"/>
          <w:szCs w:val="28"/>
          <w:u w:val="none"/>
          <w:lang w:val="en-US"/>
        </w:rPr>
        <w:t>incidence of thyroid dysfunction in type 1 diabetes, type 2 diabetes and latent autoimmune diabetes of adults: The Fremantle Diabetes Study Phase II. Clin Endocrinol (Oxf). 2020;92(4):373-382. doi: 10.1111/cen.14164.</w:t>
      </w:r>
    </w:p>
    <w:p w:rsidR="00E3259F" w:rsidRPr="00D83BD4" w:rsidRDefault="002E0FFA" w:rsidP="002E0FFA">
      <w:pPr>
        <w:pStyle w:val="31"/>
        <w:numPr>
          <w:ilvl w:val="0"/>
          <w:numId w:val="26"/>
        </w:numPr>
        <w:tabs>
          <w:tab w:val="clear" w:pos="360"/>
          <w:tab w:val="num" w:pos="142"/>
        </w:tabs>
        <w:spacing w:after="0" w:line="360" w:lineRule="auto"/>
        <w:ind w:left="142" w:hanging="142"/>
        <w:jc w:val="both"/>
        <w:rPr>
          <w:rFonts w:ascii="Times New Roman" w:hAnsi="Times New Roman"/>
          <w:bCs/>
          <w:sz w:val="28"/>
          <w:szCs w:val="28"/>
          <w:lang w:val="en-US"/>
        </w:rPr>
      </w:pPr>
      <w:r w:rsidRPr="002E0FFA">
        <w:rPr>
          <w:rFonts w:ascii="Times New Roman" w:hAnsi="Times New Roman"/>
          <w:bCs/>
          <w:sz w:val="28"/>
          <w:szCs w:val="28"/>
          <w:lang w:val="en-US"/>
        </w:rPr>
        <w:t>Piepoli MF, Hoes AW, Agewall S, Albus C, Brotons C, Catapano AL</w:t>
      </w:r>
      <w:r>
        <w:rPr>
          <w:rFonts w:ascii="Times New Roman" w:hAnsi="Times New Roman"/>
          <w:bCs/>
          <w:sz w:val="28"/>
          <w:szCs w:val="28"/>
          <w:lang w:val="uk-UA"/>
        </w:rPr>
        <w:t>,</w:t>
      </w:r>
      <w:r w:rsidR="00E3259F" w:rsidRPr="00D83BD4">
        <w:rPr>
          <w:rFonts w:ascii="Times New Roman" w:hAnsi="Times New Roman"/>
          <w:bCs/>
          <w:sz w:val="28"/>
          <w:szCs w:val="28"/>
          <w:lang w:val="en-US"/>
        </w:rPr>
        <w:t> et al. 2016 European Guidelines on cardiovascular disease prevention in clinical practice: The Sixth Joint Task Force of the European Society of Cardiology and Other Societies on Cardiovascular Disease Prevention in Clinical Practice (constituted by representatives of 10 societies and by invited experts) Developed with the special contribution of the European Association for Cardiovascular Prevention &amp; Rehabilitation (EACPR).</w:t>
      </w:r>
      <w:r w:rsidRPr="002E0FFA">
        <w:rPr>
          <w:lang w:val="en-US"/>
        </w:rPr>
        <w:t xml:space="preserve"> </w:t>
      </w:r>
      <w:r w:rsidRPr="002E0FFA">
        <w:rPr>
          <w:rFonts w:ascii="Times New Roman" w:hAnsi="Times New Roman"/>
          <w:bCs/>
          <w:sz w:val="28"/>
          <w:szCs w:val="28"/>
          <w:lang w:val="en-US"/>
        </w:rPr>
        <w:t>Atherosclerosis</w:t>
      </w:r>
      <w:r w:rsidR="00E3259F" w:rsidRPr="00D83BD4">
        <w:rPr>
          <w:rFonts w:ascii="Times New Roman" w:hAnsi="Times New Roman"/>
          <w:bCs/>
          <w:sz w:val="28"/>
          <w:szCs w:val="28"/>
          <w:lang w:val="en-US"/>
        </w:rPr>
        <w:t xml:space="preserve"> 2016;252:207-274. </w:t>
      </w:r>
      <w:r w:rsidR="00E3259F" w:rsidRPr="009E4B7D">
        <w:rPr>
          <w:rFonts w:ascii="Times New Roman" w:hAnsi="Times New Roman"/>
          <w:sz w:val="28"/>
          <w:szCs w:val="28"/>
          <w:shd w:val="clear" w:color="auto" w:fill="FFFFFF"/>
          <w:lang w:val="en-US"/>
        </w:rPr>
        <w:t>doi: 10.1016/j.atherosclerosis.2016.05.037</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bookmarkStart w:id="37" w:name="_Hlk43152727"/>
      <w:r w:rsidRPr="00D83BD4">
        <w:rPr>
          <w:sz w:val="28"/>
          <w:szCs w:val="28"/>
          <w:shd w:val="clear" w:color="auto" w:fill="FFFFFF"/>
          <w:lang w:val="en-US"/>
        </w:rPr>
        <w:t>Polat Canbolat I, Belen E, Bayyigit A, Helvaci A, Kilickesmez K. Evaluation of Daily Blood Pressure Alteration in Subclinical Hypothyroidism. </w:t>
      </w:r>
      <w:r w:rsidRPr="00D83BD4">
        <w:rPr>
          <w:sz w:val="28"/>
          <w:szCs w:val="28"/>
          <w:shd w:val="clear" w:color="auto" w:fill="FFFFFF"/>
        </w:rPr>
        <w:t>Acta Cardiol Sin. 2017;33(5):489-494. doi:10.6515/acs20170220b</w:t>
      </w:r>
    </w:p>
    <w:p w:rsidR="00E3259F" w:rsidRPr="00D83BD4" w:rsidRDefault="002E0FFA" w:rsidP="002E0FFA">
      <w:pPr>
        <w:numPr>
          <w:ilvl w:val="0"/>
          <w:numId w:val="26"/>
        </w:numPr>
        <w:tabs>
          <w:tab w:val="clear" w:pos="360"/>
          <w:tab w:val="num" w:pos="0"/>
        </w:tabs>
        <w:spacing w:line="360" w:lineRule="auto"/>
        <w:ind w:left="0" w:firstLine="0"/>
        <w:jc w:val="both"/>
        <w:rPr>
          <w:bCs/>
          <w:sz w:val="28"/>
          <w:szCs w:val="28"/>
          <w:lang w:val="en-US"/>
        </w:rPr>
      </w:pPr>
      <w:r w:rsidRPr="002E0FFA">
        <w:rPr>
          <w:sz w:val="28"/>
          <w:szCs w:val="28"/>
          <w:lang w:val="uk-UA"/>
        </w:rPr>
        <w:t>Prabu P, Poongothai S, Shanthirani CS, Anjana RM, Mohan V, Balasubramanyam M</w:t>
      </w:r>
      <w:r w:rsidR="00E3259F" w:rsidRPr="00D83BD4">
        <w:rPr>
          <w:sz w:val="28"/>
          <w:szCs w:val="28"/>
          <w:lang w:val="uk-UA"/>
        </w:rPr>
        <w:t xml:space="preserve">. </w:t>
      </w:r>
      <w:r w:rsidR="00E3259F" w:rsidRPr="00D83BD4">
        <w:rPr>
          <w:sz w:val="28"/>
          <w:szCs w:val="28"/>
          <w:lang w:val="en-US"/>
        </w:rPr>
        <w:t xml:space="preserve">Altered circulatory levels of miR-128, BDNF, cortisol and shortened telomeres in patients with type 2 </w:t>
      </w:r>
      <w:r w:rsidR="00E3259F" w:rsidRPr="00D83BD4">
        <w:rPr>
          <w:rStyle w:val="highlight"/>
          <w:sz w:val="28"/>
          <w:szCs w:val="28"/>
          <w:lang w:val="en-US"/>
        </w:rPr>
        <w:t>diabetes</w:t>
      </w:r>
      <w:r w:rsidR="00E3259F" w:rsidRPr="00D83BD4">
        <w:rPr>
          <w:sz w:val="28"/>
          <w:szCs w:val="28"/>
          <w:lang w:val="en-US"/>
        </w:rPr>
        <w:t xml:space="preserve"> and depression. </w:t>
      </w:r>
      <w:r w:rsidR="00E3259F" w:rsidRPr="002E0FFA">
        <w:rPr>
          <w:sz w:val="28"/>
          <w:szCs w:val="28"/>
          <w:lang w:val="en-US"/>
        </w:rPr>
        <w:t xml:space="preserve">Acta Diabetol. 2020 </w:t>
      </w:r>
      <w:r w:rsidR="00E3259F" w:rsidRPr="00D83BD4">
        <w:rPr>
          <w:sz w:val="28"/>
          <w:szCs w:val="28"/>
          <w:lang w:val="en-US"/>
        </w:rPr>
        <w:t>Feb</w:t>
      </w:r>
      <w:r w:rsidR="00E3259F" w:rsidRPr="002E0FFA">
        <w:rPr>
          <w:sz w:val="28"/>
          <w:szCs w:val="28"/>
          <w:lang w:val="en-US"/>
        </w:rPr>
        <w:t xml:space="preserve"> 6. </w:t>
      </w:r>
      <w:r w:rsidR="00E3259F" w:rsidRPr="00D83BD4">
        <w:rPr>
          <w:sz w:val="28"/>
          <w:szCs w:val="28"/>
          <w:lang w:val="en-US"/>
        </w:rPr>
        <w:t>doi</w:t>
      </w:r>
      <w:r w:rsidR="00E3259F" w:rsidRPr="002E0FFA">
        <w:rPr>
          <w:sz w:val="28"/>
          <w:szCs w:val="28"/>
          <w:lang w:val="en-US"/>
        </w:rPr>
        <w:t>: 10.1007/</w:t>
      </w:r>
      <w:r w:rsidR="00E3259F" w:rsidRPr="00D83BD4">
        <w:rPr>
          <w:sz w:val="28"/>
          <w:szCs w:val="28"/>
          <w:lang w:val="en-US"/>
        </w:rPr>
        <w:t>s</w:t>
      </w:r>
      <w:r w:rsidR="00E3259F" w:rsidRPr="002E0FFA">
        <w:rPr>
          <w:sz w:val="28"/>
          <w:szCs w:val="28"/>
          <w:lang w:val="en-US"/>
        </w:rPr>
        <w:t>00592-020-01486-9</w:t>
      </w:r>
      <w:r w:rsidR="00E3259F"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Qiu YL, Zhu H, Ma SG,  Liu H, Li Q, Ji CM. Evaluation of inflammatory and oxidative biomarkers in children with well-controlled congenital hypothyroidism.  </w:t>
      </w:r>
      <w:r w:rsidRPr="00D83BD4">
        <w:rPr>
          <w:sz w:val="28"/>
          <w:szCs w:val="28"/>
        </w:rPr>
        <w:t>J Pediatr Endocrinol Metab</w:t>
      </w:r>
      <w:r w:rsidRPr="00D83BD4">
        <w:rPr>
          <w:sz w:val="28"/>
          <w:szCs w:val="28"/>
          <w:lang w:val="en-US"/>
        </w:rPr>
        <w:t xml:space="preserve">. </w:t>
      </w:r>
      <w:r w:rsidRPr="00D83BD4">
        <w:rPr>
          <w:sz w:val="28"/>
          <w:szCs w:val="28"/>
        </w:rPr>
        <w:t>2015;28(7-8):761-5. doi: 10.1515/jpem-2014-0428</w:t>
      </w:r>
      <w:r w:rsidRPr="00D83BD4">
        <w:rPr>
          <w:sz w:val="28"/>
          <w:szCs w:val="28"/>
          <w:lang w:val="en-US"/>
        </w:rPr>
        <w:t xml:space="preserve"> </w:t>
      </w:r>
      <w:r w:rsidRPr="00D83BD4">
        <w:rPr>
          <w:sz w:val="28"/>
          <w:szCs w:val="28"/>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Rajec J, Tisonova J, Kriska M, Kristova V, Vojtko R, Dukat A, et al. </w:t>
      </w:r>
      <w:r w:rsidRPr="00D83BD4">
        <w:rPr>
          <w:sz w:val="28"/>
          <w:szCs w:val="28"/>
        </w:rPr>
        <w:t>Endothelaemia-a marker of vascular damage. Bratisl Lek Listy. 2007</w:t>
      </w:r>
      <w:r w:rsidRPr="00D83BD4">
        <w:rPr>
          <w:sz w:val="28"/>
          <w:szCs w:val="28"/>
          <w:lang w:val="en-US"/>
        </w:rPr>
        <w:t>;</w:t>
      </w:r>
      <w:r w:rsidRPr="00D83BD4">
        <w:rPr>
          <w:sz w:val="28"/>
          <w:szCs w:val="28"/>
        </w:rPr>
        <w:t>108(9)</w:t>
      </w:r>
      <w:r w:rsidRPr="00D83BD4">
        <w:rPr>
          <w:sz w:val="28"/>
          <w:szCs w:val="28"/>
          <w:lang w:val="en-US"/>
        </w:rPr>
        <w:t>:</w:t>
      </w:r>
      <w:r w:rsidRPr="00D83BD4">
        <w:rPr>
          <w:sz w:val="28"/>
          <w:szCs w:val="28"/>
        </w:rPr>
        <w:t>403-5.</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Raschenberger J, Kollerits B, Titze S, Köttgen A, Bärthlein B, Ekici AB, et al.; GCKD study Investigators. Association of relative telomere length with cardiovascular disease in a large chronic kidney disease cohort: the GCKD study. </w:t>
      </w:r>
      <w:r w:rsidRPr="00D83BD4">
        <w:rPr>
          <w:sz w:val="28"/>
          <w:szCs w:val="28"/>
        </w:rPr>
        <w:t xml:space="preserve">Atherosclerosis. 2015;242(2):529-34. doi: 10.1016/j.atherosclerosis.2015.08.020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Raschenberger J, Kollerits B, Titze S, </w:t>
      </w:r>
      <w:r w:rsidRPr="00D83BD4">
        <w:rPr>
          <w:sz w:val="28"/>
          <w:szCs w:val="28"/>
          <w:shd w:val="clear" w:color="auto" w:fill="FFFFFF"/>
          <w:lang w:val="en-US"/>
        </w:rPr>
        <w:t>Köttgen A, Bärthlein B, Ekici AB,</w:t>
      </w:r>
      <w:r w:rsidRPr="00D83BD4">
        <w:rPr>
          <w:color w:val="212121"/>
          <w:sz w:val="28"/>
          <w:szCs w:val="28"/>
          <w:shd w:val="clear" w:color="auto" w:fill="FFFFFF"/>
          <w:lang w:val="en-US"/>
        </w:rPr>
        <w:t xml:space="preserve"> </w:t>
      </w:r>
      <w:r w:rsidRPr="00D83BD4">
        <w:rPr>
          <w:sz w:val="28"/>
          <w:szCs w:val="28"/>
          <w:lang w:val="en-US"/>
        </w:rPr>
        <w:t xml:space="preserve"> et al. Do telomeres have a higher plasticity than thought? Results from the German Chronic Kidney Disease (GCKD) study as a high-risk population. </w:t>
      </w:r>
      <w:r w:rsidRPr="00D83BD4">
        <w:rPr>
          <w:sz w:val="28"/>
          <w:szCs w:val="28"/>
        </w:rPr>
        <w:t>Exp Gerontol. 2015;72:162-166</w:t>
      </w:r>
      <w:r w:rsidRPr="00D83BD4">
        <w:rPr>
          <w:sz w:val="28"/>
          <w:szCs w:val="28"/>
          <w:lang w:val="en-US"/>
        </w:rPr>
        <w:t xml:space="preserve">. </w:t>
      </w:r>
      <w:r w:rsidRPr="00D83BD4">
        <w:rPr>
          <w:sz w:val="28"/>
          <w:szCs w:val="28"/>
        </w:rPr>
        <w:t>doi: 10.1016/j.exger.2015.09.019</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Rastgooye Haghi A, Solhjoo M, Tavakoli MH. Correlation Between Subclinical Hypothyroidism and Dyslipidemia. </w:t>
      </w:r>
      <w:r w:rsidRPr="00D83BD4">
        <w:rPr>
          <w:sz w:val="28"/>
          <w:szCs w:val="28"/>
          <w:shd w:val="clear" w:color="auto" w:fill="FFFFFF"/>
        </w:rPr>
        <w:t>Iran J Pathol. 2017;12(2):106-111.</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rStyle w:val="mixed-citation"/>
          <w:rFonts w:eastAsia="Calibri"/>
          <w:sz w:val="28"/>
          <w:szCs w:val="28"/>
          <w:lang w:val="en-US"/>
        </w:rPr>
        <w:t>Ray S, Ghosh S. Thyroid disorders and diabetes mellitus: double trouble. J Diabetes Res Ther. 2016;2:1–7.</w:t>
      </w:r>
      <w:r w:rsidRPr="00D83BD4">
        <w:rPr>
          <w:sz w:val="28"/>
          <w:szCs w:val="28"/>
          <w:shd w:val="clear" w:color="auto" w:fill="FFFFFF"/>
        </w:rPr>
        <w:t xml:space="preserve"> doi.org/10.16966/2380-5544.113</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shd w:val="clear" w:color="auto" w:fill="FFFFFF"/>
          <w:lang w:val="en-US"/>
        </w:rPr>
        <w:t>Raza SA</w:t>
      </w:r>
      <w:bookmarkEnd w:id="37"/>
      <w:r w:rsidRPr="00D83BD4">
        <w:rPr>
          <w:bCs/>
          <w:sz w:val="28"/>
          <w:szCs w:val="28"/>
          <w:shd w:val="clear" w:color="auto" w:fill="FFFFFF"/>
          <w:lang w:val="en-US"/>
        </w:rPr>
        <w:t>, Mahmood N. Subclinical hypothyroidism: Controversies to consensus. Indian J Endocrinol Metab. 2013;17(Suppl3):S636-S642. doi:10.4103/2230-8210.123555</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Reckelhoff JF. Gender differences in hypertension. Curr Opin Nephrol Hypertens. 2018;27(3):176-81. </w:t>
      </w:r>
      <w:r w:rsidRPr="00D83BD4">
        <w:rPr>
          <w:sz w:val="28"/>
          <w:szCs w:val="28"/>
          <w:shd w:val="clear" w:color="auto" w:fill="FFFFFF"/>
          <w:lang w:val="en-US"/>
        </w:rPr>
        <w:t>doi: 10.1097/MNH.0000000000000404</w:t>
      </w:r>
      <w:r w:rsidRPr="00D83BD4">
        <w:rPr>
          <w:color w:val="5B616B"/>
          <w:sz w:val="28"/>
          <w:szCs w:val="28"/>
          <w:shd w:val="clear" w:color="auto" w:fill="FFFFFF"/>
          <w:lang w:val="en-US"/>
        </w:rPr>
        <w:t>.</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Reckelhoff JF, Romero DG, Yanes Cardozo LL. Sex, Oxidative Stress, and Hypertension: Insights From Animal Models. </w:t>
      </w:r>
      <w:r w:rsidRPr="00D83BD4">
        <w:rPr>
          <w:sz w:val="28"/>
          <w:szCs w:val="28"/>
        </w:rPr>
        <w:t>Physiology (Bethesda). 2019;34(3):178-188. doi: 10.1152/physiol.00035.2018</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Reddy VS, Gouroju S, Suchitra MM, Suresh V, Sachan A, Srinivasa Rao PV, Bitla AR. Antioxidant defense in overt and subclinical hypothyroidism. Horm Metab Res. 2013;45(10):754-8. doi: 10.1055/s-0033-1348262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Redford </w:t>
      </w:r>
      <w:r w:rsidRPr="00D83BD4">
        <w:rPr>
          <w:sz w:val="28"/>
          <w:szCs w:val="28"/>
        </w:rPr>
        <w:t>С</w:t>
      </w:r>
      <w:r w:rsidRPr="00D83BD4">
        <w:rPr>
          <w:sz w:val="28"/>
          <w:szCs w:val="28"/>
          <w:lang w:val="en-US"/>
        </w:rPr>
        <w:t xml:space="preserve">,  Vaidya </w:t>
      </w:r>
      <w:r w:rsidRPr="00D83BD4">
        <w:rPr>
          <w:sz w:val="28"/>
          <w:szCs w:val="28"/>
        </w:rPr>
        <w:t>В</w:t>
      </w:r>
      <w:r w:rsidRPr="00D83BD4">
        <w:rPr>
          <w:sz w:val="28"/>
          <w:szCs w:val="28"/>
          <w:lang w:val="en-US"/>
        </w:rPr>
        <w:t xml:space="preserve">. Redford </w:t>
      </w:r>
      <w:r w:rsidRPr="00D83BD4">
        <w:rPr>
          <w:sz w:val="28"/>
          <w:szCs w:val="28"/>
        </w:rPr>
        <w:t>С</w:t>
      </w:r>
      <w:r w:rsidRPr="00D83BD4">
        <w:rPr>
          <w:sz w:val="28"/>
          <w:szCs w:val="28"/>
          <w:lang w:val="en-US"/>
        </w:rPr>
        <w:t xml:space="preserve">. Subclinical hypothyroidism: Should we treat? </w:t>
      </w:r>
      <w:r w:rsidRPr="00D83BD4">
        <w:rPr>
          <w:sz w:val="28"/>
          <w:szCs w:val="28"/>
        </w:rPr>
        <w:t>Post Reprod Health.  2017;23(2):55–62.  doi: 10.1177/2053369117705058</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Rehman K,Akash MSH.</w:t>
      </w:r>
      <w:r w:rsidRPr="00D83BD4">
        <w:rPr>
          <w:sz w:val="28"/>
          <w:szCs w:val="28"/>
          <w:lang w:val="uk-UA"/>
        </w:rPr>
        <w:t xml:space="preserve"> </w:t>
      </w:r>
      <w:r w:rsidRPr="00D83BD4">
        <w:rPr>
          <w:sz w:val="28"/>
          <w:szCs w:val="28"/>
          <w:lang w:val="en-US"/>
        </w:rPr>
        <w:t>Mechanism of Generation of Oxidative</w:t>
      </w:r>
      <w:r w:rsidRPr="00D83BD4">
        <w:rPr>
          <w:sz w:val="28"/>
          <w:szCs w:val="28"/>
          <w:lang w:val="uk-UA"/>
        </w:rPr>
        <w:t xml:space="preserve"> </w:t>
      </w:r>
      <w:r w:rsidRPr="00D83BD4">
        <w:rPr>
          <w:sz w:val="28"/>
          <w:szCs w:val="28"/>
          <w:lang w:val="en-US"/>
        </w:rPr>
        <w:t>Stress And Pathophysiology</w:t>
      </w:r>
      <w:r w:rsidRPr="00D83BD4">
        <w:rPr>
          <w:sz w:val="28"/>
          <w:szCs w:val="28"/>
          <w:lang w:val="uk-UA"/>
        </w:rPr>
        <w:t xml:space="preserve"> </w:t>
      </w:r>
      <w:r w:rsidRPr="00D83BD4">
        <w:rPr>
          <w:sz w:val="28"/>
          <w:szCs w:val="28"/>
          <w:lang w:val="en-US"/>
        </w:rPr>
        <w:t>of</w:t>
      </w:r>
      <w:r w:rsidRPr="00D83BD4">
        <w:rPr>
          <w:sz w:val="28"/>
          <w:szCs w:val="28"/>
          <w:lang w:val="uk-UA"/>
        </w:rPr>
        <w:t xml:space="preserve"> </w:t>
      </w:r>
      <w:r w:rsidRPr="00D83BD4">
        <w:rPr>
          <w:sz w:val="28"/>
          <w:szCs w:val="28"/>
          <w:lang w:val="en-US"/>
        </w:rPr>
        <w:t>Type</w:t>
      </w:r>
      <w:r w:rsidRPr="00D83BD4">
        <w:rPr>
          <w:sz w:val="28"/>
          <w:szCs w:val="28"/>
          <w:lang w:val="uk-UA"/>
        </w:rPr>
        <w:t xml:space="preserve"> </w:t>
      </w:r>
      <w:r w:rsidRPr="00D83BD4">
        <w:rPr>
          <w:sz w:val="28"/>
          <w:szCs w:val="28"/>
          <w:lang w:val="en-US"/>
        </w:rPr>
        <w:t>2</w:t>
      </w:r>
      <w:r w:rsidRPr="00D83BD4">
        <w:rPr>
          <w:sz w:val="28"/>
          <w:szCs w:val="28"/>
          <w:lang w:val="uk-UA"/>
        </w:rPr>
        <w:t xml:space="preserve"> </w:t>
      </w:r>
      <w:r w:rsidRPr="00D83BD4">
        <w:rPr>
          <w:sz w:val="28"/>
          <w:szCs w:val="28"/>
          <w:lang w:val="en-US"/>
        </w:rPr>
        <w:t>Diabetes</w:t>
      </w:r>
      <w:r w:rsidRPr="00D83BD4">
        <w:rPr>
          <w:sz w:val="28"/>
          <w:szCs w:val="28"/>
          <w:lang w:val="uk-UA"/>
        </w:rPr>
        <w:t xml:space="preserve"> </w:t>
      </w:r>
      <w:r w:rsidRPr="00D83BD4">
        <w:rPr>
          <w:sz w:val="28"/>
          <w:szCs w:val="28"/>
          <w:lang w:val="en-US"/>
        </w:rPr>
        <w:t>Mellitus: How Are They</w:t>
      </w:r>
      <w:r w:rsidRPr="00D83BD4">
        <w:rPr>
          <w:sz w:val="28"/>
          <w:szCs w:val="28"/>
          <w:lang w:val="uk-UA"/>
        </w:rPr>
        <w:t xml:space="preserve"> </w:t>
      </w:r>
      <w:r w:rsidRPr="00D83BD4">
        <w:rPr>
          <w:sz w:val="28"/>
          <w:szCs w:val="28"/>
          <w:lang w:val="en-US"/>
        </w:rPr>
        <w:t>Interlinked? J Cell Biochem.</w:t>
      </w:r>
      <w:r w:rsidRPr="00D83BD4">
        <w:rPr>
          <w:sz w:val="28"/>
          <w:szCs w:val="28"/>
          <w:lang w:val="uk-UA"/>
        </w:rPr>
        <w:t xml:space="preserve"> </w:t>
      </w:r>
      <w:r w:rsidRPr="00D83BD4">
        <w:rPr>
          <w:sz w:val="28"/>
          <w:szCs w:val="28"/>
          <w:lang w:val="en-US"/>
        </w:rPr>
        <w:t xml:space="preserve">2017;118(11):3577-3585. doi: 10.1002/jcb.26097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Ren H,</w:t>
      </w:r>
      <w:r w:rsidRPr="00D83BD4">
        <w:rPr>
          <w:sz w:val="28"/>
          <w:szCs w:val="28"/>
          <w:lang w:val="uk-UA"/>
        </w:rPr>
        <w:t xml:space="preserve"> </w:t>
      </w:r>
      <w:r w:rsidRPr="00D83BD4">
        <w:rPr>
          <w:sz w:val="28"/>
          <w:szCs w:val="28"/>
          <w:lang w:val="en-US"/>
        </w:rPr>
        <w:t>Shao Y,</w:t>
      </w:r>
      <w:r w:rsidRPr="00D83BD4">
        <w:rPr>
          <w:sz w:val="28"/>
          <w:szCs w:val="28"/>
          <w:lang w:val="uk-UA"/>
        </w:rPr>
        <w:t xml:space="preserve"> </w:t>
      </w:r>
      <w:r w:rsidRPr="00D83BD4">
        <w:rPr>
          <w:sz w:val="28"/>
          <w:szCs w:val="28"/>
          <w:lang w:val="en-US"/>
        </w:rPr>
        <w:t>Wu C,</w:t>
      </w:r>
      <w:r w:rsidRPr="00D83BD4">
        <w:rPr>
          <w:sz w:val="28"/>
          <w:szCs w:val="28"/>
          <w:lang w:val="uk-UA"/>
        </w:rPr>
        <w:t xml:space="preserve"> </w:t>
      </w:r>
      <w:r w:rsidRPr="00D83BD4">
        <w:rPr>
          <w:sz w:val="28"/>
          <w:szCs w:val="28"/>
          <w:lang w:val="en-US"/>
        </w:rPr>
        <w:t>Ma X,</w:t>
      </w:r>
      <w:r w:rsidRPr="00D83BD4">
        <w:rPr>
          <w:sz w:val="28"/>
          <w:szCs w:val="28"/>
          <w:lang w:val="uk-UA"/>
        </w:rPr>
        <w:t xml:space="preserve"> </w:t>
      </w:r>
      <w:r w:rsidRPr="00D83BD4">
        <w:rPr>
          <w:sz w:val="28"/>
          <w:szCs w:val="28"/>
          <w:lang w:val="en-US"/>
        </w:rPr>
        <w:t>Lv C,</w:t>
      </w:r>
      <w:r w:rsidRPr="00D83BD4">
        <w:rPr>
          <w:sz w:val="28"/>
          <w:szCs w:val="28"/>
          <w:lang w:val="uk-UA"/>
        </w:rPr>
        <w:t xml:space="preserve"> </w:t>
      </w:r>
      <w:r w:rsidRPr="00D83BD4">
        <w:rPr>
          <w:sz w:val="28"/>
          <w:szCs w:val="28"/>
          <w:lang w:val="en-US"/>
        </w:rPr>
        <w:t>Wang Q. Metformin</w:t>
      </w:r>
      <w:r w:rsidRPr="00D83BD4">
        <w:rPr>
          <w:sz w:val="28"/>
          <w:szCs w:val="28"/>
          <w:lang w:val="uk-UA"/>
        </w:rPr>
        <w:t xml:space="preserve"> </w:t>
      </w:r>
      <w:r w:rsidRPr="00D83BD4">
        <w:rPr>
          <w:sz w:val="28"/>
          <w:szCs w:val="28"/>
          <w:lang w:val="en-US"/>
        </w:rPr>
        <w:t>alleviates</w:t>
      </w:r>
      <w:r w:rsidRPr="00D83BD4">
        <w:rPr>
          <w:sz w:val="28"/>
          <w:szCs w:val="28"/>
          <w:lang w:val="uk-UA"/>
        </w:rPr>
        <w:t xml:space="preserve"> </w:t>
      </w:r>
      <w:r w:rsidRPr="00D83BD4">
        <w:rPr>
          <w:sz w:val="28"/>
          <w:szCs w:val="28"/>
          <w:lang w:val="en-US"/>
        </w:rPr>
        <w:t>oxidative stress</w:t>
      </w:r>
      <w:r w:rsidRPr="00D83BD4">
        <w:rPr>
          <w:sz w:val="28"/>
          <w:szCs w:val="28"/>
          <w:lang w:val="uk-UA"/>
        </w:rPr>
        <w:t xml:space="preserve"> </w:t>
      </w:r>
      <w:r w:rsidRPr="00D83BD4">
        <w:rPr>
          <w:sz w:val="28"/>
          <w:szCs w:val="28"/>
          <w:lang w:val="en-US"/>
        </w:rPr>
        <w:t>and enhances autophagy in diabetic kidney disease via AMPK/SIRT1-FoxO1 pathway. Mol Cell Endocrinol.</w:t>
      </w:r>
      <w:r w:rsidRPr="00D83BD4">
        <w:rPr>
          <w:sz w:val="28"/>
          <w:szCs w:val="28"/>
          <w:lang w:val="uk-UA"/>
        </w:rPr>
        <w:t xml:space="preserve"> </w:t>
      </w:r>
      <w:r w:rsidRPr="00D83BD4">
        <w:rPr>
          <w:sz w:val="28"/>
          <w:szCs w:val="28"/>
          <w:lang w:val="en-US"/>
        </w:rPr>
        <w:t xml:space="preserve">2020;500:110628. doi: 10.1016/j.mce.2019.110628 </w:t>
      </w:r>
    </w:p>
    <w:p w:rsidR="00E3259F" w:rsidRPr="00D83BD4" w:rsidRDefault="00E3259F" w:rsidP="00D83BD4">
      <w:pPr>
        <w:numPr>
          <w:ilvl w:val="0"/>
          <w:numId w:val="26"/>
        </w:numPr>
        <w:tabs>
          <w:tab w:val="num" w:pos="0"/>
        </w:tabs>
        <w:spacing w:line="360" w:lineRule="auto"/>
        <w:ind w:left="0" w:firstLine="0"/>
        <w:jc w:val="both"/>
        <w:rPr>
          <w:sz w:val="28"/>
          <w:szCs w:val="28"/>
          <w:lang w:val="en-US"/>
        </w:rPr>
      </w:pPr>
      <w:r w:rsidRPr="00D83BD4">
        <w:rPr>
          <w:sz w:val="28"/>
          <w:szCs w:val="28"/>
          <w:lang w:val="en-US"/>
        </w:rPr>
        <w:t xml:space="preserve">Rizvi S, Raza ST, Mahdi F. Telomere length variations in aging and </w:t>
      </w:r>
      <w:r w:rsidRPr="00D83BD4">
        <w:rPr>
          <w:sz w:val="28"/>
          <w:szCs w:val="28"/>
          <w:lang w:val="uk-UA"/>
        </w:rPr>
        <w:t xml:space="preserve">                        </w:t>
      </w:r>
      <w:r w:rsidRPr="00D83BD4">
        <w:rPr>
          <w:sz w:val="28"/>
          <w:szCs w:val="28"/>
          <w:lang w:val="en-US"/>
        </w:rPr>
        <w:t xml:space="preserve">age-related diseases. Curr Aging Sci. 2014;(3):161-167. </w:t>
      </w:r>
      <w:r w:rsidRPr="00D83BD4">
        <w:rPr>
          <w:sz w:val="28"/>
          <w:szCs w:val="28"/>
          <w:shd w:val="clear" w:color="auto" w:fill="FFFFFF"/>
          <w:lang w:val="en-US"/>
        </w:rPr>
        <w:t>doi: 10.2174/1874609808666150122153151.</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 xml:space="preserve">Rodondi N, den Elzen WP, Bauer DC, Cappola AR, Razvi S, Walsh JP, et al; Thyroid Studies Collaboration. Subclinical hypothyroidism and the risk of coronary heart disease and mortality. </w:t>
      </w:r>
      <w:r w:rsidRPr="00D83BD4">
        <w:rPr>
          <w:sz w:val="28"/>
          <w:szCs w:val="28"/>
          <w:shd w:val="clear" w:color="auto" w:fill="FFFFFF"/>
        </w:rPr>
        <w:t>JAMA. 2010;304(12):1365-74. doi: 10.1001/jama.2010.1361.</w:t>
      </w:r>
      <w:r w:rsidRPr="00D83BD4">
        <w:rPr>
          <w:color w:val="212121"/>
          <w:sz w:val="28"/>
          <w:szCs w:val="28"/>
          <w:shd w:val="clear" w:color="auto" w:fill="FFFFFF"/>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Rodríguez-Lara SQ, Trujillo-Rangel WA, Castillo-Romero A, Totsuka-Sutto SE, Garcia-Cobián TA, Cardona-Muñoz EG, et al. Effect of Telmisartan in the Oxidative Stress Components Induced by Ischemia Reperfusion in Rats. </w:t>
      </w:r>
      <w:r w:rsidRPr="00D83BD4">
        <w:rPr>
          <w:sz w:val="28"/>
          <w:szCs w:val="28"/>
        </w:rPr>
        <w:t>Oxid Med Cell Longev.</w:t>
      </w:r>
      <w:r w:rsidRPr="00D83BD4">
        <w:rPr>
          <w:color w:val="000000"/>
          <w:sz w:val="28"/>
          <w:szCs w:val="28"/>
          <w:lang w:val="en-US"/>
        </w:rPr>
        <w:t> </w:t>
      </w:r>
      <w:r w:rsidRPr="00D83BD4">
        <w:rPr>
          <w:color w:val="000000"/>
          <w:sz w:val="28"/>
          <w:szCs w:val="28"/>
        </w:rPr>
        <w:t xml:space="preserve">2019;2019:1302985. </w:t>
      </w:r>
      <w:r w:rsidRPr="00D83BD4">
        <w:rPr>
          <w:color w:val="000000"/>
          <w:sz w:val="28"/>
          <w:szCs w:val="28"/>
          <w:lang w:val="en-US"/>
        </w:rPr>
        <w:t>doi</w:t>
      </w:r>
      <w:r w:rsidRPr="00D83BD4">
        <w:rPr>
          <w:color w:val="000000"/>
          <w:sz w:val="28"/>
          <w:szCs w:val="28"/>
        </w:rPr>
        <w:t>: 10.1155/2019/1302985</w:t>
      </w:r>
      <w:r w:rsidRPr="00D83BD4">
        <w:rPr>
          <w:color w:val="000000"/>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Rosário PWS, Calsolari MR. Subclinical Hypothyroidism with TSH&gt;7 mIU/l and≤10 mIU/l and Coronary Artery Disease. </w:t>
      </w:r>
      <w:r w:rsidRPr="00D83BD4">
        <w:rPr>
          <w:sz w:val="28"/>
          <w:szCs w:val="28"/>
        </w:rPr>
        <w:t>Horm Metab Res. 2020;52(2):85-88. doi: 10.1055/a-1083-6509</w:t>
      </w:r>
      <w:r w:rsidRPr="00D83BD4">
        <w:rPr>
          <w:sz w:val="28"/>
          <w:szCs w:val="28"/>
          <w:lang w:val="en-US"/>
        </w:rPr>
        <w:t xml:space="preserve"> </w:t>
      </w:r>
    </w:p>
    <w:p w:rsidR="00E3259F" w:rsidRPr="00D83BD4" w:rsidRDefault="00E3259F" w:rsidP="00D83BD4">
      <w:pPr>
        <w:numPr>
          <w:ilvl w:val="0"/>
          <w:numId w:val="26"/>
        </w:numPr>
        <w:spacing w:line="360" w:lineRule="auto"/>
        <w:ind w:left="0" w:firstLine="0"/>
        <w:jc w:val="both"/>
        <w:rPr>
          <w:sz w:val="28"/>
          <w:szCs w:val="28"/>
        </w:rPr>
      </w:pPr>
      <w:r w:rsidRPr="00D83BD4">
        <w:rPr>
          <w:color w:val="212121"/>
          <w:sz w:val="28"/>
          <w:szCs w:val="28"/>
          <w:shd w:val="clear" w:color="auto" w:fill="FFFFFF"/>
          <w:lang w:val="en-US"/>
        </w:rPr>
        <w:t xml:space="preserve">Ross DS, Burch HB, Cooper DS, Greenlee MC, Laurberg P, Maia AL, et al. 2016 American Thyroid Association Guidelines for Diagnosis and Management of Hyperthyroidism and Other Causes of Thyrotoxicosis. </w:t>
      </w:r>
      <w:r w:rsidRPr="00D83BD4">
        <w:rPr>
          <w:color w:val="212121"/>
          <w:sz w:val="28"/>
          <w:szCs w:val="28"/>
          <w:shd w:val="clear" w:color="auto" w:fill="FFFFFF"/>
        </w:rPr>
        <w:t xml:space="preserve">Thyroid. 2016;26(10):1343-1421. doi: 10.1089/thy.2016.0229. Erratum in: Thyroid. 2017 ;27(11):1462.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Roth  SM. Physical Activity May Improve Aging Through Impacts on Telomere. </w:t>
      </w:r>
      <w:r w:rsidRPr="00D83BD4">
        <w:rPr>
          <w:sz w:val="28"/>
          <w:szCs w:val="28"/>
        </w:rPr>
        <w:t>Human Kinetics Journals. 2015</w:t>
      </w:r>
      <w:r w:rsidRPr="00D83BD4">
        <w:rPr>
          <w:sz w:val="28"/>
          <w:szCs w:val="28"/>
          <w:lang w:val="en-US"/>
        </w:rPr>
        <w:t>;</w:t>
      </w:r>
      <w:r w:rsidRPr="00D83BD4">
        <w:rPr>
          <w:sz w:val="28"/>
          <w:szCs w:val="28"/>
        </w:rPr>
        <w:t> 4</w:t>
      </w:r>
      <w:r w:rsidRPr="00D83BD4">
        <w:rPr>
          <w:sz w:val="28"/>
          <w:szCs w:val="28"/>
          <w:lang w:val="en-US"/>
        </w:rPr>
        <w:t>(</w:t>
      </w:r>
      <w:r w:rsidRPr="00D83BD4">
        <w:rPr>
          <w:sz w:val="28"/>
          <w:szCs w:val="28"/>
        </w:rPr>
        <w:t>1</w:t>
      </w:r>
      <w:r w:rsidRPr="00D83BD4">
        <w:rPr>
          <w:sz w:val="28"/>
          <w:szCs w:val="28"/>
          <w:lang w:val="en-US"/>
        </w:rPr>
        <w:t>):</w:t>
      </w:r>
      <w:r w:rsidRPr="00D83BD4">
        <w:rPr>
          <w:sz w:val="28"/>
          <w:szCs w:val="28"/>
        </w:rPr>
        <w:t>99-106. doi.org/10.1123/kr.2014-0083</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 xml:space="preserve">Rugge JB, Bougatsos C, Chou R. Screening for and Treatment of Thyroid Dysfunction: An Evidence Review for the U.S. Preventive Services Task Force [Internet]. Rockville (MD): Agency for Healthcare Research and Quality (US); 2014 Oct. (Evidence Syntheses, No. 118.). </w:t>
      </w:r>
      <w:r w:rsidRPr="00D83BD4">
        <w:rPr>
          <w:rStyle w:val="bkciteavail"/>
          <w:sz w:val="28"/>
          <w:szCs w:val="28"/>
          <w:shd w:val="clear" w:color="auto" w:fill="FFFFFF"/>
          <w:lang w:val="en-US"/>
        </w:rPr>
        <w:t> URL: https://www.ncbi.nlm.nih.gov/books/NBK285869/</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shd w:val="clear" w:color="auto" w:fill="FFFFFF"/>
          <w:lang w:val="en-US"/>
        </w:rPr>
        <w:t>Sadeghabadi  ZA, Abbasalipourkabir  R, Mohseni  R,   Ziamajidi  N. Investigation of oxidative stress markers and antioxidant enzymes activity in newly diagnosed type 2 diabetes patients and healthy subjects, association with IL-6 level. </w:t>
      </w:r>
      <w:r w:rsidRPr="00D83BD4">
        <w:rPr>
          <w:rStyle w:val="afb"/>
          <w:i w:val="0"/>
          <w:iCs w:val="0"/>
          <w:sz w:val="28"/>
          <w:szCs w:val="28"/>
          <w:shd w:val="clear" w:color="auto" w:fill="FFFFFF"/>
          <w:lang w:val="en-US"/>
        </w:rPr>
        <w:t>Journal of Diabetes &amp; Metabolic Disorders</w:t>
      </w:r>
      <w:r w:rsidRPr="00D83BD4">
        <w:rPr>
          <w:rStyle w:val="afb"/>
          <w:sz w:val="28"/>
          <w:szCs w:val="28"/>
          <w:shd w:val="clear" w:color="auto" w:fill="FFFFFF"/>
          <w:lang w:val="en-US"/>
        </w:rPr>
        <w:t>.</w:t>
      </w:r>
      <w:r w:rsidRPr="00D83BD4">
        <w:rPr>
          <w:sz w:val="28"/>
          <w:szCs w:val="28"/>
          <w:shd w:val="clear" w:color="auto" w:fill="FFFFFF"/>
          <w:lang w:val="en-US"/>
        </w:rPr>
        <w:t>2019;</w:t>
      </w:r>
      <w:r w:rsidRPr="00D83BD4">
        <w:rPr>
          <w:rStyle w:val="afb"/>
          <w:i w:val="0"/>
          <w:iCs w:val="0"/>
          <w:sz w:val="28"/>
          <w:szCs w:val="28"/>
          <w:shd w:val="clear" w:color="auto" w:fill="FFFFFF"/>
          <w:lang w:val="en-US"/>
        </w:rPr>
        <w:t>18</w:t>
      </w:r>
      <w:r w:rsidRPr="00D83BD4">
        <w:rPr>
          <w:sz w:val="28"/>
          <w:szCs w:val="28"/>
          <w:shd w:val="clear" w:color="auto" w:fill="FFFFFF"/>
          <w:lang w:val="en-US"/>
        </w:rPr>
        <w:t xml:space="preserve">:437-443. </w:t>
      </w:r>
      <w:r w:rsidRPr="00D83BD4">
        <w:rPr>
          <w:bCs/>
          <w:sz w:val="28"/>
          <w:szCs w:val="28"/>
          <w:lang w:val="en-US"/>
        </w:rPr>
        <w:t xml:space="preserve">doi: 10.1007/s40200-019-00437-8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Sahebkar A, Ponziani MC, Goitre I, Bo S. Does statin therapy reduce plasma VEGF levels in humans? A systematic review and meta-analysis of randomized controlled trials. </w:t>
      </w:r>
      <w:r w:rsidRPr="00D83BD4">
        <w:rPr>
          <w:sz w:val="28"/>
          <w:szCs w:val="28"/>
        </w:rPr>
        <w:t>Metabolism. 2015;64(11)</w:t>
      </w:r>
      <w:r w:rsidRPr="00D83BD4">
        <w:rPr>
          <w:sz w:val="28"/>
          <w:szCs w:val="28"/>
          <w:lang w:val="en-US"/>
        </w:rPr>
        <w:t>:</w:t>
      </w:r>
      <w:r w:rsidRPr="00D83BD4">
        <w:rPr>
          <w:sz w:val="28"/>
          <w:szCs w:val="28"/>
        </w:rPr>
        <w:t>1466-1476.</w:t>
      </w:r>
      <w:r w:rsidRPr="00D83BD4">
        <w:rPr>
          <w:sz w:val="28"/>
          <w:szCs w:val="28"/>
          <w:lang w:val="uk-UA"/>
        </w:rPr>
        <w:t xml:space="preserve"> </w:t>
      </w:r>
      <w:r w:rsidRPr="00D83BD4">
        <w:rPr>
          <w:sz w:val="28"/>
          <w:szCs w:val="28"/>
          <w:shd w:val="clear" w:color="auto" w:fill="FFFFFF"/>
        </w:rPr>
        <w:t>doi: 10.1016/j.metabol.2015.08.002.</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Saif A, Mousa S, Assem M, Tharwat N, Abdelhamid A. Endothelial dysfunction and the risk of atherosclerosis in overt and subclinical hypothyroidism. </w:t>
      </w:r>
      <w:r w:rsidRPr="00D83BD4">
        <w:rPr>
          <w:sz w:val="28"/>
          <w:szCs w:val="28"/>
        </w:rPr>
        <w:t>Endocr Connect. 2018;7(10):1075-1080. doi: 10.1530/EC-18-0194</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Sanders JL, Newman AB. Telomere length in epidemiology: a biomarker of aging, age-related disease, both, or neither? </w:t>
      </w:r>
      <w:r w:rsidRPr="00D83BD4">
        <w:rPr>
          <w:sz w:val="28"/>
          <w:szCs w:val="28"/>
        </w:rPr>
        <w:t>Epidemiol Rev. 2013</w:t>
      </w:r>
      <w:r w:rsidRPr="00D83BD4">
        <w:rPr>
          <w:sz w:val="28"/>
          <w:szCs w:val="28"/>
          <w:lang w:val="en-US"/>
        </w:rPr>
        <w:t>;</w:t>
      </w:r>
      <w:r w:rsidRPr="00D83BD4">
        <w:rPr>
          <w:sz w:val="28"/>
          <w:szCs w:val="28"/>
        </w:rPr>
        <w:t>35</w:t>
      </w:r>
      <w:r w:rsidRPr="00D83BD4">
        <w:rPr>
          <w:sz w:val="28"/>
          <w:szCs w:val="28"/>
          <w:lang w:val="en-US"/>
        </w:rPr>
        <w:t>:</w:t>
      </w:r>
      <w:r w:rsidRPr="00D83BD4">
        <w:rPr>
          <w:sz w:val="28"/>
          <w:szCs w:val="28"/>
        </w:rPr>
        <w:t>112-31. doi: 10.1093/epirev/mxs008</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rStyle w:val="tlid-translation"/>
          <w:sz w:val="28"/>
          <w:szCs w:val="28"/>
          <w:lang w:val="uk-UA"/>
        </w:rPr>
        <w:t>Scheller Madrid, L. Rode, B.G. Nordestgaard, S.E. BojesenShort Telomere Length and Ischemic Heart Disease: Observational and Genetic Studies in 290 022 Individuals. Clin Chem.  2016</w:t>
      </w:r>
      <w:r w:rsidRPr="00D83BD4">
        <w:rPr>
          <w:sz w:val="28"/>
          <w:szCs w:val="28"/>
          <w:shd w:val="clear" w:color="auto" w:fill="FFFFFF"/>
        </w:rPr>
        <w:t>;62(8):1140-9. doi: 10.1373/clinchem.2016.258566</w:t>
      </w:r>
      <w:r w:rsidRPr="00D83BD4">
        <w:rPr>
          <w:color w:val="212121"/>
          <w:sz w:val="28"/>
          <w:szCs w:val="28"/>
          <w:shd w:val="clear" w:color="auto" w:fill="FFFFFF"/>
        </w:rPr>
        <w:t xml:space="preserve"> </w:t>
      </w:r>
    </w:p>
    <w:p w:rsidR="00E3259F" w:rsidRPr="00D83BD4" w:rsidRDefault="00E3259F" w:rsidP="00D83BD4">
      <w:pPr>
        <w:numPr>
          <w:ilvl w:val="0"/>
          <w:numId w:val="26"/>
        </w:numPr>
        <w:tabs>
          <w:tab w:val="left" w:pos="0"/>
          <w:tab w:val="left" w:pos="540"/>
        </w:tabs>
        <w:spacing w:line="360" w:lineRule="auto"/>
        <w:ind w:left="0" w:firstLine="0"/>
        <w:jc w:val="both"/>
        <w:rPr>
          <w:rStyle w:val="a3"/>
          <w:sz w:val="28"/>
          <w:szCs w:val="28"/>
        </w:rPr>
      </w:pPr>
      <w:r w:rsidRPr="00D83BD4">
        <w:rPr>
          <w:sz w:val="28"/>
          <w:szCs w:val="28"/>
          <w:lang w:val="en-US"/>
        </w:rPr>
        <w:t xml:space="preserve">   Schofield JD, Liu Y, Rao-Balakrishna P, Malik RA, Soran H. Diabetes Dyslipidemia. </w:t>
      </w:r>
      <w:r w:rsidRPr="00D83BD4">
        <w:rPr>
          <w:sz w:val="28"/>
          <w:szCs w:val="28"/>
        </w:rPr>
        <w:t>Diabetes Ther. 2016;7(2):203-19</w:t>
      </w:r>
      <w:r w:rsidRPr="00D83BD4">
        <w:rPr>
          <w:sz w:val="28"/>
          <w:szCs w:val="28"/>
          <w:lang w:val="en-US"/>
        </w:rPr>
        <w:t>.</w:t>
      </w:r>
      <w:r w:rsidRPr="00D83BD4">
        <w:rPr>
          <w:sz w:val="28"/>
          <w:szCs w:val="28"/>
          <w:lang w:val="uk-UA"/>
        </w:rPr>
        <w:t xml:space="preserve"> </w:t>
      </w:r>
      <w:r w:rsidRPr="00D83BD4">
        <w:rPr>
          <w:sz w:val="28"/>
          <w:szCs w:val="28"/>
          <w:shd w:val="clear" w:color="auto" w:fill="FFFFFF"/>
        </w:rPr>
        <w:t>doi: 10.1007/s13300-016-0167-x.</w:t>
      </w:r>
    </w:p>
    <w:p w:rsidR="00E3259F" w:rsidRPr="00D83BD4" w:rsidRDefault="00E3259F" w:rsidP="00D83BD4">
      <w:pPr>
        <w:pStyle w:val="a4"/>
        <w:numPr>
          <w:ilvl w:val="0"/>
          <w:numId w:val="26"/>
        </w:numPr>
        <w:shd w:val="clear" w:color="auto" w:fill="FFFFFF"/>
        <w:spacing w:line="360" w:lineRule="auto"/>
        <w:ind w:left="0" w:firstLine="0"/>
        <w:jc w:val="both"/>
        <w:rPr>
          <w:sz w:val="28"/>
          <w:szCs w:val="28"/>
          <w:lang w:val="en-US"/>
        </w:rPr>
      </w:pPr>
      <w:r w:rsidRPr="00D83BD4">
        <w:rPr>
          <w:sz w:val="28"/>
          <w:szCs w:val="28"/>
          <w:lang w:val="en-US"/>
        </w:rPr>
        <w:t>S</w:t>
      </w:r>
      <w:r w:rsidRPr="00D83BD4">
        <w:rPr>
          <w:sz w:val="28"/>
          <w:szCs w:val="28"/>
          <w:lang w:val="uk-UA"/>
        </w:rPr>
        <w:t>е</w:t>
      </w:r>
      <w:r w:rsidRPr="00D83BD4">
        <w:rPr>
          <w:sz w:val="28"/>
          <w:szCs w:val="28"/>
          <w:lang w:val="en-US"/>
        </w:rPr>
        <w:t>lbarán TA, Silva ER, Maestre G.</w:t>
      </w:r>
      <w:r w:rsidRPr="00D83BD4">
        <w:rPr>
          <w:sz w:val="28"/>
          <w:szCs w:val="28"/>
          <w:lang w:val="uk-UA"/>
        </w:rPr>
        <w:t xml:space="preserve"> </w:t>
      </w:r>
      <w:r w:rsidRPr="00D83BD4">
        <w:rPr>
          <w:sz w:val="28"/>
          <w:szCs w:val="28"/>
          <w:lang w:val="en-US"/>
        </w:rPr>
        <w:t>Isolated systolic hypertension: a new challenge in medicine.</w:t>
      </w:r>
      <w:r w:rsidRPr="00D83BD4">
        <w:rPr>
          <w:sz w:val="28"/>
          <w:szCs w:val="28"/>
          <w:lang w:val="uk-UA"/>
        </w:rPr>
        <w:t xml:space="preserve"> </w:t>
      </w:r>
      <w:r w:rsidRPr="00D83BD4">
        <w:rPr>
          <w:sz w:val="28"/>
          <w:szCs w:val="28"/>
          <w:lang w:val="en-US"/>
        </w:rPr>
        <w:t>J Hum Hypertens. 2002</w:t>
      </w:r>
      <w:r w:rsidRPr="00D83BD4">
        <w:rPr>
          <w:sz w:val="28"/>
          <w:szCs w:val="28"/>
          <w:lang w:val="uk-UA"/>
        </w:rPr>
        <w:t>;</w:t>
      </w:r>
      <w:r w:rsidRPr="00D83BD4">
        <w:rPr>
          <w:sz w:val="28"/>
          <w:szCs w:val="28"/>
          <w:lang w:val="en-US"/>
        </w:rPr>
        <w:t>16</w:t>
      </w:r>
      <w:r w:rsidRPr="00D83BD4">
        <w:rPr>
          <w:sz w:val="28"/>
          <w:szCs w:val="28"/>
          <w:lang w:val="uk-UA"/>
        </w:rPr>
        <w:t xml:space="preserve"> (</w:t>
      </w:r>
      <w:r w:rsidRPr="00D83BD4">
        <w:rPr>
          <w:sz w:val="28"/>
          <w:szCs w:val="28"/>
          <w:lang w:val="en-US"/>
        </w:rPr>
        <w:t>1</w:t>
      </w:r>
      <w:r w:rsidRPr="00D83BD4">
        <w:rPr>
          <w:sz w:val="28"/>
          <w:szCs w:val="28"/>
          <w:lang w:val="uk-UA"/>
        </w:rPr>
        <w:t>)</w:t>
      </w:r>
      <w:r w:rsidRPr="00D83BD4">
        <w:rPr>
          <w:sz w:val="28"/>
          <w:szCs w:val="28"/>
          <w:lang w:val="en-US"/>
        </w:rPr>
        <w:t>:S44-7. doi: 10.1038/sj.jhh.1001341.</w:t>
      </w:r>
    </w:p>
    <w:p w:rsidR="00E3259F" w:rsidRPr="00D83BD4" w:rsidRDefault="00E3259F" w:rsidP="00D83BD4">
      <w:pPr>
        <w:numPr>
          <w:ilvl w:val="0"/>
          <w:numId w:val="26"/>
        </w:numPr>
        <w:spacing w:line="360" w:lineRule="auto"/>
        <w:ind w:left="0" w:firstLine="0"/>
        <w:jc w:val="both"/>
        <w:rPr>
          <w:sz w:val="28"/>
          <w:szCs w:val="28"/>
        </w:rPr>
      </w:pPr>
      <w:r w:rsidRPr="00D83BD4">
        <w:rPr>
          <w:sz w:val="28"/>
          <w:szCs w:val="28"/>
          <w:lang w:val="en-US"/>
        </w:rPr>
        <w:t xml:space="preserve">Senior R, Becher H, Monaghan M, Agati L, Zamorano J, Vanoverschelde JL, et al.; EACVI Scientific Documents Committee for 2014–16 and 2016–18; EACVI Scientific Documents Committee for 2014–16 and 2016–18. Clinical practice of contrast echocardiography: recommendation by the European Association of Cardiovascular Imaging (EACVI) 2017. </w:t>
      </w:r>
      <w:r w:rsidRPr="00D83BD4">
        <w:rPr>
          <w:sz w:val="28"/>
          <w:szCs w:val="28"/>
        </w:rPr>
        <w:t>Eur Heart J Cardiovasc Imaging. 2017;18(11):1205-1205af. doi: 10.1093/ehjci/jex182</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rStyle w:val="mixed-citation"/>
          <w:rFonts w:eastAsia="Calibri"/>
          <w:sz w:val="28"/>
          <w:szCs w:val="28"/>
          <w:lang w:val="en-US"/>
        </w:rPr>
        <w:t xml:space="preserve">Shen Q, Zhao X, Yu L, </w:t>
      </w:r>
      <w:r w:rsidRPr="00D83BD4">
        <w:rPr>
          <w:sz w:val="28"/>
          <w:szCs w:val="28"/>
          <w:lang w:val="en-US"/>
        </w:rPr>
        <w:t>Zhang Z, Zhou D, Kan M,</w:t>
      </w:r>
      <w:r w:rsidRPr="00D83BD4">
        <w:rPr>
          <w:color w:val="212121"/>
          <w:sz w:val="28"/>
          <w:szCs w:val="28"/>
          <w:shd w:val="clear" w:color="auto" w:fill="FFFFFF"/>
          <w:lang w:val="en-US"/>
        </w:rPr>
        <w:t xml:space="preserve"> </w:t>
      </w:r>
      <w:r w:rsidRPr="00D83BD4">
        <w:rPr>
          <w:rStyle w:val="mixed-citation"/>
          <w:rFonts w:eastAsia="Calibri"/>
          <w:sz w:val="28"/>
          <w:szCs w:val="28"/>
          <w:lang w:val="en-US"/>
        </w:rPr>
        <w:t xml:space="preserve">et al. </w:t>
      </w:r>
      <w:r w:rsidRPr="00D83BD4">
        <w:rPr>
          <w:rStyle w:val="ref-title"/>
          <w:sz w:val="28"/>
          <w:szCs w:val="28"/>
          <w:lang w:val="en-US"/>
        </w:rPr>
        <w:t>Association of Leukocyte telomere length with type 2 diabetes in mainland Chinese populations</w:t>
      </w:r>
      <w:r w:rsidRPr="00D83BD4">
        <w:rPr>
          <w:rStyle w:val="mixed-citation"/>
          <w:rFonts w:eastAsia="Calibri"/>
          <w:sz w:val="28"/>
          <w:szCs w:val="28"/>
          <w:lang w:val="en-US"/>
        </w:rPr>
        <w:t xml:space="preserve">. </w:t>
      </w:r>
      <w:r w:rsidRPr="00D83BD4">
        <w:rPr>
          <w:rStyle w:val="ref-journal"/>
          <w:sz w:val="28"/>
          <w:szCs w:val="28"/>
          <w:lang w:val="en-US"/>
        </w:rPr>
        <w:t>J Clin Endocrinol Metab.</w:t>
      </w:r>
      <w:r w:rsidRPr="00D83BD4">
        <w:rPr>
          <w:rStyle w:val="mixed-citation"/>
          <w:rFonts w:eastAsia="Calibri"/>
          <w:sz w:val="28"/>
          <w:szCs w:val="28"/>
          <w:lang w:val="en-US"/>
        </w:rPr>
        <w:t xml:space="preserve"> 2012;</w:t>
      </w:r>
      <w:r w:rsidRPr="00D83BD4">
        <w:rPr>
          <w:rStyle w:val="ref-vol"/>
          <w:sz w:val="28"/>
          <w:szCs w:val="28"/>
          <w:lang w:val="en-US"/>
        </w:rPr>
        <w:t>97(4)</w:t>
      </w:r>
      <w:r w:rsidRPr="00D83BD4">
        <w:rPr>
          <w:rStyle w:val="mixed-citation"/>
          <w:rFonts w:eastAsia="Calibri"/>
          <w:sz w:val="28"/>
          <w:szCs w:val="28"/>
          <w:lang w:val="en-US"/>
        </w:rPr>
        <w:t xml:space="preserve">:1371–1374. </w:t>
      </w:r>
      <w:r w:rsidRPr="00D83BD4">
        <w:rPr>
          <w:sz w:val="28"/>
          <w:szCs w:val="28"/>
        </w:rPr>
        <w:t>doi: 10.1210/jc.2011-1562</w:t>
      </w:r>
      <w:r w:rsidRPr="00D83BD4">
        <w:rPr>
          <w:color w:val="212121"/>
          <w:sz w:val="28"/>
          <w:szCs w:val="28"/>
          <w:shd w:val="clear" w:color="auto" w:fill="FFFFFF"/>
          <w:lang w:val="en-US"/>
        </w:rPr>
        <w:t xml:space="preserve"> </w:t>
      </w:r>
      <w:r w:rsidRPr="00D83BD4">
        <w:rPr>
          <w:color w:val="212121"/>
          <w:sz w:val="28"/>
          <w:szCs w:val="28"/>
          <w:shd w:val="clear" w:color="auto" w:fill="FFFFFF"/>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Shinkov A, Borissova AM, Kovatcheva R, Atanassova I, Vlahov J, Dakovska L</w:t>
      </w:r>
      <w:r w:rsidRPr="00D83BD4">
        <w:rPr>
          <w:sz w:val="28"/>
          <w:szCs w:val="28"/>
          <w:lang w:val="uk-UA"/>
        </w:rPr>
        <w:t>.</w:t>
      </w:r>
      <w:r w:rsidRPr="00D83BD4">
        <w:rPr>
          <w:sz w:val="28"/>
          <w:szCs w:val="28"/>
          <w:lang w:val="en-US"/>
        </w:rPr>
        <w:t xml:space="preserve"> </w:t>
      </w:r>
      <w:r w:rsidRPr="00D83BD4">
        <w:rPr>
          <w:sz w:val="28"/>
          <w:szCs w:val="28"/>
          <w:shd w:val="clear" w:color="auto" w:fill="FFFFFF"/>
          <w:lang w:val="en-US"/>
        </w:rPr>
        <w:t>The prevalence of the metabolic syndrome increases through the quartiles of thyroid stimulating hormone in a population-based sample of euthyroid subjects.</w:t>
      </w:r>
      <w:r w:rsidRPr="00D83BD4">
        <w:rPr>
          <w:sz w:val="28"/>
          <w:szCs w:val="28"/>
          <w:shd w:val="clear" w:color="auto" w:fill="FFFFFF"/>
          <w:lang w:val="uk-UA"/>
        </w:rPr>
        <w:t xml:space="preserve"> </w:t>
      </w:r>
      <w:r w:rsidRPr="00D83BD4">
        <w:rPr>
          <w:sz w:val="28"/>
          <w:szCs w:val="28"/>
          <w:lang w:val="en-US"/>
        </w:rPr>
        <w:t>Arq</w:t>
      </w:r>
      <w:r w:rsidRPr="00D83BD4">
        <w:rPr>
          <w:sz w:val="28"/>
          <w:szCs w:val="28"/>
          <w:lang w:val="uk-UA"/>
        </w:rPr>
        <w:t xml:space="preserve"> </w:t>
      </w:r>
      <w:r w:rsidRPr="00D83BD4">
        <w:rPr>
          <w:sz w:val="28"/>
          <w:szCs w:val="28"/>
          <w:lang w:val="en-US"/>
        </w:rPr>
        <w:t>Bras</w:t>
      </w:r>
      <w:r w:rsidRPr="00D83BD4">
        <w:rPr>
          <w:sz w:val="28"/>
          <w:szCs w:val="28"/>
          <w:lang w:val="uk-UA"/>
        </w:rPr>
        <w:t xml:space="preserve"> </w:t>
      </w:r>
      <w:r w:rsidRPr="00D83BD4">
        <w:rPr>
          <w:sz w:val="28"/>
          <w:szCs w:val="28"/>
          <w:lang w:val="en-US"/>
        </w:rPr>
        <w:t>Endocrinol</w:t>
      </w:r>
      <w:r w:rsidRPr="00D83BD4">
        <w:rPr>
          <w:sz w:val="28"/>
          <w:szCs w:val="28"/>
          <w:lang w:val="uk-UA"/>
        </w:rPr>
        <w:t xml:space="preserve"> </w:t>
      </w:r>
      <w:r w:rsidRPr="00D83BD4">
        <w:rPr>
          <w:sz w:val="28"/>
          <w:szCs w:val="28"/>
          <w:lang w:val="en-US"/>
        </w:rPr>
        <w:t>Metabol</w:t>
      </w:r>
      <w:r w:rsidRPr="00D83BD4">
        <w:rPr>
          <w:i/>
          <w:iCs/>
          <w:sz w:val="28"/>
          <w:szCs w:val="28"/>
          <w:lang w:val="uk-UA"/>
        </w:rPr>
        <w:t xml:space="preserve">. </w:t>
      </w:r>
      <w:r w:rsidRPr="00D83BD4">
        <w:rPr>
          <w:sz w:val="28"/>
          <w:szCs w:val="28"/>
          <w:lang w:val="uk-UA"/>
        </w:rPr>
        <w:t>2014;58(9):926-32.</w:t>
      </w:r>
      <w:r w:rsidRPr="00D83BD4">
        <w:rPr>
          <w:sz w:val="28"/>
          <w:szCs w:val="28"/>
          <w:shd w:val="clear" w:color="auto" w:fill="FFFFFF"/>
        </w:rPr>
        <w:t xml:space="preserve"> doi: 10.1590/0004-2730000003538.</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lang w:val="en-US"/>
        </w:rPr>
        <w:t>Silvia</w:t>
      </w:r>
      <w:r w:rsidRPr="00D83BD4">
        <w:rPr>
          <w:bCs/>
          <w:sz w:val="28"/>
          <w:szCs w:val="28"/>
          <w:lang w:val="uk-UA"/>
        </w:rPr>
        <w:t xml:space="preserve"> </w:t>
      </w:r>
      <w:r w:rsidRPr="00D83BD4">
        <w:rPr>
          <w:bCs/>
          <w:sz w:val="28"/>
          <w:szCs w:val="28"/>
          <w:lang w:val="en-US"/>
        </w:rPr>
        <w:t>WD</w:t>
      </w:r>
      <w:r w:rsidRPr="00D83BD4">
        <w:rPr>
          <w:bCs/>
          <w:sz w:val="28"/>
          <w:szCs w:val="28"/>
          <w:lang w:val="uk-UA"/>
        </w:rPr>
        <w:t xml:space="preserve">, </w:t>
      </w:r>
      <w:r w:rsidRPr="00D83BD4">
        <w:rPr>
          <w:bCs/>
          <w:sz w:val="28"/>
          <w:szCs w:val="28"/>
          <w:lang w:val="en-US"/>
        </w:rPr>
        <w:t>Gandham</w:t>
      </w:r>
      <w:r w:rsidRPr="00D83BD4">
        <w:rPr>
          <w:bCs/>
          <w:sz w:val="28"/>
          <w:szCs w:val="28"/>
          <w:lang w:val="uk-UA"/>
        </w:rPr>
        <w:t xml:space="preserve"> </w:t>
      </w:r>
      <w:r w:rsidRPr="00D83BD4">
        <w:rPr>
          <w:bCs/>
          <w:sz w:val="28"/>
          <w:szCs w:val="28"/>
          <w:lang w:val="en-US"/>
        </w:rPr>
        <w:t>Rajeev</w:t>
      </w:r>
      <w:r w:rsidRPr="00D83BD4">
        <w:rPr>
          <w:bCs/>
          <w:sz w:val="28"/>
          <w:szCs w:val="28"/>
          <w:lang w:val="uk-UA"/>
        </w:rPr>
        <w:t xml:space="preserve">, </w:t>
      </w:r>
      <w:r w:rsidRPr="00D83BD4">
        <w:rPr>
          <w:bCs/>
          <w:sz w:val="28"/>
          <w:szCs w:val="28"/>
          <w:lang w:val="en-US"/>
        </w:rPr>
        <w:t>Venkata</w:t>
      </w:r>
      <w:r w:rsidRPr="00D83BD4">
        <w:rPr>
          <w:bCs/>
          <w:sz w:val="28"/>
          <w:szCs w:val="28"/>
          <w:lang w:val="uk-UA"/>
        </w:rPr>
        <w:t xml:space="preserve"> </w:t>
      </w:r>
      <w:r w:rsidRPr="00D83BD4">
        <w:rPr>
          <w:bCs/>
          <w:sz w:val="28"/>
          <w:szCs w:val="28"/>
          <w:lang w:val="en-US"/>
        </w:rPr>
        <w:t>Bharat</w:t>
      </w:r>
      <w:r w:rsidRPr="00D83BD4">
        <w:rPr>
          <w:bCs/>
          <w:sz w:val="28"/>
          <w:szCs w:val="28"/>
          <w:lang w:val="uk-UA"/>
        </w:rPr>
        <w:t xml:space="preserve"> </w:t>
      </w:r>
      <w:r w:rsidRPr="00D83BD4">
        <w:rPr>
          <w:bCs/>
          <w:sz w:val="28"/>
          <w:szCs w:val="28"/>
          <w:lang w:val="en-US"/>
        </w:rPr>
        <w:t>Kumar</w:t>
      </w:r>
      <w:r w:rsidRPr="00D83BD4">
        <w:rPr>
          <w:bCs/>
          <w:sz w:val="28"/>
          <w:szCs w:val="28"/>
          <w:lang w:val="uk-UA"/>
        </w:rPr>
        <w:t xml:space="preserve"> </w:t>
      </w:r>
      <w:r w:rsidRPr="00D83BD4">
        <w:rPr>
          <w:bCs/>
          <w:sz w:val="28"/>
          <w:szCs w:val="28"/>
          <w:lang w:val="en-US"/>
        </w:rPr>
        <w:t>Pinnelli</w:t>
      </w:r>
      <w:r w:rsidRPr="00D83BD4">
        <w:rPr>
          <w:bCs/>
          <w:sz w:val="28"/>
          <w:szCs w:val="28"/>
          <w:lang w:val="uk-UA"/>
        </w:rPr>
        <w:t xml:space="preserve">. </w:t>
      </w:r>
      <w:r w:rsidRPr="00D83BD4">
        <w:rPr>
          <w:bCs/>
          <w:sz w:val="28"/>
          <w:szCs w:val="28"/>
          <w:lang w:val="en-US"/>
        </w:rPr>
        <w:t>Thyroid Dysfunction in Type 2 Diabetes Mellitus</w:t>
      </w:r>
      <w:r w:rsidRPr="00D83BD4">
        <w:rPr>
          <w:bCs/>
          <w:sz w:val="28"/>
          <w:szCs w:val="28"/>
          <w:lang w:val="uk-UA"/>
        </w:rPr>
        <w:t>.</w:t>
      </w:r>
      <w:r w:rsidRPr="00D83BD4">
        <w:rPr>
          <w:bCs/>
          <w:sz w:val="28"/>
          <w:szCs w:val="28"/>
          <w:lang w:val="en-US"/>
        </w:rPr>
        <w:t xml:space="preserve"> International Journal of Clinical And Diagnostic Research. 2014;1(1).</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Sirenko Y, Radchenko G; PERSPECTIVA Study Group. Impact of Statin Therapy on the Blood Pressure-Lowering Efficacy of a Single-Pill Perindopril/Amlodipine Combination in Hypertensive Patients with Hypercholesterolemia. </w:t>
      </w:r>
      <w:r w:rsidRPr="00D83BD4">
        <w:rPr>
          <w:sz w:val="28"/>
          <w:szCs w:val="28"/>
        </w:rPr>
        <w:t>High Blood Press Cardiovasc Prev. </w:t>
      </w:r>
      <w:r w:rsidRPr="00D83BD4">
        <w:rPr>
          <w:color w:val="000000"/>
          <w:sz w:val="28"/>
          <w:szCs w:val="28"/>
        </w:rPr>
        <w:t>2017;24(1):85-93. doi: 10.1007/s40292-017-0184-5</w:t>
      </w:r>
      <w:r w:rsidRPr="00D83BD4">
        <w:rPr>
          <w:color w:val="000000"/>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lang w:val="en-US"/>
        </w:rPr>
        <w:t>Somwaru LL, Rariy CM, Arnold AM, Cappola AR. The natural history of subclinical hypothyroidism in the elderly: the cardiovascular health study. J. Clin. Endocrinol. Metab. 2012; 97:1962-1969.</w:t>
      </w:r>
      <w:r w:rsidRPr="00D83BD4">
        <w:rPr>
          <w:sz w:val="28"/>
          <w:szCs w:val="28"/>
          <w:shd w:val="clear" w:color="auto" w:fill="FFFFFF"/>
        </w:rPr>
        <w:t xml:space="preserve"> doi: 10.1210/jc.2011-3047.</w:t>
      </w:r>
    </w:p>
    <w:p w:rsidR="00E3259F" w:rsidRPr="00D83BD4" w:rsidRDefault="00E3259F" w:rsidP="00D83BD4">
      <w:pPr>
        <w:numPr>
          <w:ilvl w:val="0"/>
          <w:numId w:val="26"/>
        </w:numPr>
        <w:tabs>
          <w:tab w:val="num" w:pos="0"/>
        </w:tabs>
        <w:spacing w:line="360" w:lineRule="auto"/>
        <w:ind w:left="0" w:firstLine="0"/>
        <w:jc w:val="both"/>
        <w:rPr>
          <w:rStyle w:val="a3"/>
          <w:sz w:val="28"/>
          <w:szCs w:val="28"/>
        </w:rPr>
      </w:pPr>
      <w:r w:rsidRPr="00D83BD4">
        <w:rPr>
          <w:sz w:val="28"/>
          <w:szCs w:val="28"/>
          <w:lang w:val="en-US"/>
        </w:rPr>
        <w:t xml:space="preserve">Song F, Bao C, Deng M, </w:t>
      </w:r>
      <w:r w:rsidRPr="00D83BD4">
        <w:rPr>
          <w:sz w:val="28"/>
          <w:szCs w:val="28"/>
          <w:shd w:val="clear" w:color="auto" w:fill="FFFFFF"/>
          <w:lang w:val="en-US"/>
        </w:rPr>
        <w:t>Xu H, Fan M, Paillard-Borg S,</w:t>
      </w:r>
      <w:r w:rsidRPr="00D83BD4">
        <w:rPr>
          <w:color w:val="212121"/>
          <w:sz w:val="28"/>
          <w:szCs w:val="28"/>
          <w:shd w:val="clear" w:color="auto" w:fill="FFFFFF"/>
          <w:lang w:val="en-US"/>
        </w:rPr>
        <w:t xml:space="preserve"> </w:t>
      </w:r>
      <w:r w:rsidRPr="00D83BD4">
        <w:rPr>
          <w:sz w:val="28"/>
          <w:szCs w:val="28"/>
          <w:lang w:val="en-US"/>
        </w:rPr>
        <w:t xml:space="preserve"> et el. The prevalence and determinants of hypothyroidism in hospitalized patients with type 2 diabetes mellitus. </w:t>
      </w:r>
      <w:r w:rsidRPr="00D83BD4">
        <w:rPr>
          <w:sz w:val="28"/>
          <w:szCs w:val="28"/>
        </w:rPr>
        <w:t>Endocrine.</w:t>
      </w:r>
      <w:r w:rsidRPr="00D83BD4">
        <w:rPr>
          <w:sz w:val="28"/>
          <w:szCs w:val="28"/>
          <w:lang w:val="en-US"/>
        </w:rPr>
        <w:t xml:space="preserve"> </w:t>
      </w:r>
      <w:r w:rsidRPr="00D83BD4">
        <w:rPr>
          <w:sz w:val="28"/>
          <w:szCs w:val="28"/>
        </w:rPr>
        <w:t>2017</w:t>
      </w:r>
      <w:r w:rsidRPr="00D83BD4">
        <w:rPr>
          <w:sz w:val="28"/>
          <w:szCs w:val="28"/>
          <w:lang w:val="en-US"/>
        </w:rPr>
        <w:t>;55</w:t>
      </w:r>
      <w:r w:rsidRPr="00D83BD4">
        <w:rPr>
          <w:sz w:val="28"/>
          <w:szCs w:val="28"/>
        </w:rPr>
        <w:t>(1)</w:t>
      </w:r>
      <w:r w:rsidRPr="00D83BD4">
        <w:rPr>
          <w:sz w:val="28"/>
          <w:szCs w:val="28"/>
          <w:lang w:val="en-US"/>
        </w:rPr>
        <w:t>:</w:t>
      </w:r>
      <w:r w:rsidRPr="00D83BD4">
        <w:rPr>
          <w:sz w:val="28"/>
          <w:szCs w:val="28"/>
        </w:rPr>
        <w:t>179-185</w:t>
      </w:r>
      <w:r w:rsidRPr="00D83BD4">
        <w:rPr>
          <w:sz w:val="28"/>
          <w:szCs w:val="28"/>
          <w:lang w:val="en-US"/>
        </w:rPr>
        <w:t xml:space="preserve">. </w:t>
      </w:r>
      <w:r w:rsidRPr="00D83BD4">
        <w:rPr>
          <w:sz w:val="28"/>
          <w:szCs w:val="28"/>
          <w:shd w:val="clear" w:color="auto" w:fill="FFFFFF"/>
        </w:rPr>
        <w:t>doi:10.1007/s12020-016-1095-2</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 xml:space="preserve">Sørensen AL, Hasselbalch HC, Nielsen CH, Poulsen HE, Ellervik C. Statin treatment, oxidative stress and inflammation in a Danish population. </w:t>
      </w:r>
      <w:r w:rsidRPr="00D83BD4">
        <w:rPr>
          <w:sz w:val="28"/>
          <w:szCs w:val="28"/>
        </w:rPr>
        <w:t>Redox Biol. 2019;21:101088. doi: 10.1016/j.redox.2018.101088</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lang w:val="en-US"/>
        </w:rPr>
        <w:t xml:space="preserve">Spannella F, Filipponi A, Giulietti F, Di Pentima C, Bordoni V, Sarzani R. Statin therapy is associated with better ambulatory blood pressure control: a propensity score analysis. </w:t>
      </w:r>
      <w:r w:rsidRPr="00D83BD4">
        <w:rPr>
          <w:sz w:val="28"/>
          <w:szCs w:val="28"/>
        </w:rPr>
        <w:t xml:space="preserve">J Hypertens. 2020;38(3):546-552. </w:t>
      </w:r>
      <w:r w:rsidRPr="00D83BD4">
        <w:rPr>
          <w:sz w:val="28"/>
          <w:szCs w:val="28"/>
          <w:lang w:val="en-US"/>
        </w:rPr>
        <w:t>doi</w:t>
      </w:r>
      <w:r w:rsidRPr="00D83BD4">
        <w:rPr>
          <w:sz w:val="28"/>
          <w:szCs w:val="28"/>
        </w:rPr>
        <w:t>: 10.1097/</w:t>
      </w:r>
      <w:r w:rsidRPr="00D83BD4">
        <w:rPr>
          <w:sz w:val="28"/>
          <w:szCs w:val="28"/>
          <w:lang w:val="en-US"/>
        </w:rPr>
        <w:t>HJH</w:t>
      </w:r>
      <w:r w:rsidRPr="00D83BD4">
        <w:rPr>
          <w:sz w:val="28"/>
          <w:szCs w:val="28"/>
        </w:rPr>
        <w:t>.0000000000002276</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shd w:val="clear" w:color="auto" w:fill="FFFFFF"/>
          <w:lang w:val="uk-UA"/>
        </w:rPr>
      </w:pPr>
      <w:bookmarkStart w:id="38" w:name="_Hlk43492669"/>
      <w:r w:rsidRPr="00D83BD4">
        <w:rPr>
          <w:sz w:val="28"/>
          <w:szCs w:val="28"/>
          <w:lang w:val="en-US"/>
        </w:rPr>
        <w:t xml:space="preserve">Stamatouli A, Bedoya P, Yavuz S. Hypothyroidism: Cardiovascular Endpoints of Thyroid Hormone Replacement. </w:t>
      </w:r>
      <w:r w:rsidRPr="00D83BD4">
        <w:rPr>
          <w:sz w:val="28"/>
          <w:szCs w:val="28"/>
        </w:rPr>
        <w:t>Front Endocrinol (Lausanne).</w:t>
      </w:r>
      <w:r w:rsidRPr="00D83BD4">
        <w:rPr>
          <w:sz w:val="28"/>
          <w:szCs w:val="28"/>
          <w:lang w:val="en-US"/>
        </w:rPr>
        <w:t xml:space="preserve"> </w:t>
      </w:r>
      <w:r w:rsidRPr="00D83BD4">
        <w:rPr>
          <w:sz w:val="28"/>
          <w:szCs w:val="28"/>
        </w:rPr>
        <w:t>20</w:t>
      </w:r>
      <w:r w:rsidRPr="00D83BD4">
        <w:rPr>
          <w:sz w:val="28"/>
          <w:szCs w:val="28"/>
          <w:lang w:val="uk-UA"/>
        </w:rPr>
        <w:t>19</w:t>
      </w:r>
      <w:r w:rsidRPr="00D83BD4">
        <w:rPr>
          <w:sz w:val="28"/>
          <w:szCs w:val="28"/>
        </w:rPr>
        <w:t xml:space="preserve">;10:888. </w:t>
      </w:r>
      <w:r w:rsidRPr="00D83BD4">
        <w:rPr>
          <w:sz w:val="28"/>
          <w:szCs w:val="28"/>
          <w:lang w:val="en-US"/>
        </w:rPr>
        <w:t>doi</w:t>
      </w:r>
      <w:r w:rsidRPr="00D83BD4">
        <w:rPr>
          <w:sz w:val="28"/>
          <w:szCs w:val="28"/>
        </w:rPr>
        <w:t>: 10.3389/</w:t>
      </w:r>
      <w:r w:rsidRPr="00D83BD4">
        <w:rPr>
          <w:sz w:val="28"/>
          <w:szCs w:val="28"/>
          <w:lang w:val="en-US"/>
        </w:rPr>
        <w:t>fendo</w:t>
      </w:r>
      <w:r w:rsidRPr="00D83BD4">
        <w:rPr>
          <w:sz w:val="28"/>
          <w:szCs w:val="28"/>
        </w:rPr>
        <w:t>.2019.00888</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shd w:val="clear" w:color="auto" w:fill="FFFFFF"/>
          <w:lang w:val="uk-UA"/>
        </w:rPr>
      </w:pPr>
      <w:r w:rsidRPr="00D83BD4">
        <w:rPr>
          <w:sz w:val="28"/>
          <w:szCs w:val="28"/>
          <w:lang w:val="en-US"/>
        </w:rPr>
        <w:t>Standards of Medical Care in Diabetes-2016</w:t>
      </w:r>
      <w:bookmarkEnd w:id="38"/>
      <w:r w:rsidRPr="00D83BD4">
        <w:rPr>
          <w:sz w:val="28"/>
          <w:szCs w:val="28"/>
          <w:lang w:val="en-US"/>
        </w:rPr>
        <w:t>. American Diabetes Association</w:t>
      </w:r>
      <w:r w:rsidRPr="00D83BD4">
        <w:rPr>
          <w:sz w:val="28"/>
          <w:szCs w:val="28"/>
          <w:lang w:val="uk-UA"/>
        </w:rPr>
        <w:t xml:space="preserve">. </w:t>
      </w:r>
      <w:r w:rsidRPr="00D83BD4">
        <w:rPr>
          <w:sz w:val="28"/>
          <w:szCs w:val="28"/>
          <w:lang w:val="en-US"/>
        </w:rPr>
        <w:t xml:space="preserve"> Diabetes Care 2016;39(Suppl. 1):S60–S71</w:t>
      </w:r>
      <w:r w:rsidRPr="00D83BD4">
        <w:rPr>
          <w:sz w:val="28"/>
          <w:szCs w:val="28"/>
          <w:lang w:val="uk-UA"/>
        </w:rPr>
        <w:t>.</w:t>
      </w:r>
      <w:r w:rsidRPr="00D83BD4">
        <w:rPr>
          <w:sz w:val="28"/>
          <w:szCs w:val="28"/>
          <w:lang w:val="en-US"/>
        </w:rPr>
        <w:t xml:space="preserve">  doi: 10.2337/dc16-S011</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shd w:val="clear" w:color="auto" w:fill="FFFFFF"/>
          <w:lang w:val="en-US"/>
        </w:rPr>
        <w:t>Stein JH</w:t>
      </w:r>
      <w:r w:rsidRPr="00D83BD4">
        <w:rPr>
          <w:sz w:val="28"/>
          <w:szCs w:val="28"/>
          <w:shd w:val="clear" w:color="auto" w:fill="FFFFFF"/>
          <w:lang w:val="uk-UA"/>
        </w:rPr>
        <w:t xml:space="preserve">, </w:t>
      </w:r>
      <w:r w:rsidRPr="00D83BD4">
        <w:rPr>
          <w:sz w:val="28"/>
          <w:szCs w:val="28"/>
          <w:shd w:val="clear" w:color="auto" w:fill="FFFFFF"/>
          <w:lang w:val="en-US"/>
        </w:rPr>
        <w:t>Fraizer MC</w:t>
      </w:r>
      <w:r w:rsidRPr="00D83BD4">
        <w:rPr>
          <w:sz w:val="28"/>
          <w:szCs w:val="28"/>
          <w:shd w:val="clear" w:color="auto" w:fill="FFFFFF"/>
          <w:lang w:val="uk-UA"/>
        </w:rPr>
        <w:t xml:space="preserve">, </w:t>
      </w:r>
      <w:r w:rsidRPr="00D83BD4">
        <w:rPr>
          <w:sz w:val="28"/>
          <w:szCs w:val="28"/>
          <w:shd w:val="clear" w:color="auto" w:fill="FFFFFF"/>
          <w:lang w:val="en-US"/>
        </w:rPr>
        <w:t>Aeschlimann SE</w:t>
      </w:r>
      <w:r w:rsidRPr="00D83BD4">
        <w:rPr>
          <w:sz w:val="28"/>
          <w:szCs w:val="28"/>
          <w:shd w:val="clear" w:color="auto" w:fill="FFFFFF"/>
          <w:lang w:val="uk-UA"/>
        </w:rPr>
        <w:t xml:space="preserve">, </w:t>
      </w:r>
      <w:r w:rsidRPr="00D83BD4">
        <w:rPr>
          <w:sz w:val="28"/>
          <w:szCs w:val="28"/>
          <w:shd w:val="clear" w:color="auto" w:fill="FFFFFF"/>
          <w:lang w:val="en-US"/>
        </w:rPr>
        <w:t>Nelson</w:t>
      </w:r>
      <w:r w:rsidRPr="00D83BD4">
        <w:rPr>
          <w:sz w:val="28"/>
          <w:szCs w:val="28"/>
          <w:shd w:val="clear" w:color="auto" w:fill="FFFFFF"/>
          <w:lang w:val="uk-UA"/>
        </w:rPr>
        <w:t>-</w:t>
      </w:r>
      <w:r w:rsidRPr="00D83BD4">
        <w:rPr>
          <w:sz w:val="28"/>
          <w:szCs w:val="28"/>
          <w:shd w:val="clear" w:color="auto" w:fill="FFFFFF"/>
          <w:lang w:val="en-US"/>
        </w:rPr>
        <w:t>Worel J</w:t>
      </w:r>
      <w:r w:rsidRPr="00D83BD4">
        <w:rPr>
          <w:sz w:val="28"/>
          <w:szCs w:val="28"/>
          <w:shd w:val="clear" w:color="auto" w:fill="FFFFFF"/>
          <w:lang w:val="uk-UA"/>
        </w:rPr>
        <w:t xml:space="preserve">, </w:t>
      </w:r>
      <w:r w:rsidRPr="00D83BD4">
        <w:rPr>
          <w:sz w:val="28"/>
          <w:szCs w:val="28"/>
          <w:shd w:val="clear" w:color="auto" w:fill="FFFFFF"/>
          <w:lang w:val="en-US"/>
        </w:rPr>
        <w:t>McBride PE</w:t>
      </w:r>
      <w:r w:rsidRPr="00D83BD4">
        <w:rPr>
          <w:sz w:val="28"/>
          <w:szCs w:val="28"/>
          <w:shd w:val="clear" w:color="auto" w:fill="FFFFFF"/>
          <w:lang w:val="uk-UA"/>
        </w:rPr>
        <w:t xml:space="preserve">, </w:t>
      </w:r>
      <w:r w:rsidRPr="00D83BD4">
        <w:rPr>
          <w:sz w:val="28"/>
          <w:szCs w:val="28"/>
          <w:shd w:val="clear" w:color="auto" w:fill="FFFFFF"/>
          <w:lang w:val="en-US"/>
        </w:rPr>
        <w:t>Douglas PS</w:t>
      </w:r>
      <w:r w:rsidRPr="00D83BD4">
        <w:rPr>
          <w:sz w:val="28"/>
          <w:szCs w:val="28"/>
          <w:shd w:val="clear" w:color="auto" w:fill="FFFFFF"/>
          <w:lang w:val="uk-UA"/>
        </w:rPr>
        <w:t xml:space="preserve">. </w:t>
      </w:r>
      <w:r w:rsidRPr="00D83BD4">
        <w:rPr>
          <w:sz w:val="28"/>
          <w:szCs w:val="28"/>
          <w:shd w:val="clear" w:color="auto" w:fill="FFFFFF"/>
          <w:lang w:val="en-US"/>
        </w:rPr>
        <w:t>Vascular age: integrating carotid intima-media thickness measurements with global coronary risk assessment. Clin Cardiol 2004;27:388-92.</w:t>
      </w:r>
      <w:r w:rsidRPr="00D83BD4">
        <w:rPr>
          <w:sz w:val="28"/>
          <w:szCs w:val="28"/>
          <w:shd w:val="clear" w:color="auto" w:fill="FFFFFF"/>
        </w:rPr>
        <w:t xml:space="preserve"> doi: 10.1002/clc.4960270704.</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rStyle w:val="tlid-translation"/>
          <w:bCs/>
          <w:sz w:val="28"/>
          <w:szCs w:val="28"/>
          <w:lang w:val="uk-UA"/>
        </w:rPr>
        <w:t xml:space="preserve">Stott DJ, Rodondi N, Bauer DC, Group TS. Thyroid hormone therapy for older adults with subclinical hypothyroidism. N Engl J Med. </w:t>
      </w:r>
      <w:r w:rsidRPr="00D83BD4">
        <w:rPr>
          <w:rStyle w:val="tlid-translation"/>
          <w:bCs/>
          <w:sz w:val="28"/>
          <w:szCs w:val="28"/>
          <w:lang w:val="en-US"/>
        </w:rPr>
        <w:t xml:space="preserve"> </w:t>
      </w:r>
      <w:r w:rsidRPr="00D83BD4">
        <w:rPr>
          <w:rStyle w:val="tlid-translation"/>
          <w:bCs/>
          <w:sz w:val="28"/>
          <w:szCs w:val="28"/>
          <w:lang w:val="uk-UA"/>
        </w:rPr>
        <w:t>2017</w:t>
      </w:r>
      <w:r w:rsidRPr="00D83BD4">
        <w:rPr>
          <w:rStyle w:val="tlid-translation"/>
          <w:bCs/>
          <w:sz w:val="28"/>
          <w:szCs w:val="28"/>
          <w:lang w:val="en-US"/>
        </w:rPr>
        <w:t>;</w:t>
      </w:r>
      <w:r w:rsidRPr="00D83BD4">
        <w:rPr>
          <w:sz w:val="28"/>
          <w:szCs w:val="28"/>
          <w:shd w:val="clear" w:color="auto" w:fill="FFFFFF"/>
        </w:rPr>
        <w:t xml:space="preserve"> 376(26):2534-2544.</w:t>
      </w:r>
      <w:r w:rsidRPr="00D83BD4">
        <w:rPr>
          <w:rStyle w:val="tlid-translation"/>
          <w:bCs/>
          <w:sz w:val="28"/>
          <w:szCs w:val="28"/>
          <w:lang w:val="uk-UA"/>
        </w:rPr>
        <w:t xml:space="preserve"> </w:t>
      </w:r>
      <w:r w:rsidRPr="00D83BD4">
        <w:rPr>
          <w:rStyle w:val="citation-doi"/>
          <w:sz w:val="28"/>
          <w:szCs w:val="28"/>
          <w:shd w:val="clear" w:color="auto" w:fill="FFFFFF"/>
        </w:rPr>
        <w:t>doi: 10.1056/NEJMoa1603825.</w:t>
      </w:r>
      <w:r w:rsidRPr="00D83BD4">
        <w:rPr>
          <w:sz w:val="28"/>
          <w:szCs w:val="28"/>
          <w:shd w:val="clear" w:color="auto" w:fill="FFFFFF"/>
        </w:rPr>
        <w:t>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 xml:space="preserve">Strandberg TE, Saijonmaa O, Fyhrquist F, </w:t>
      </w:r>
      <w:r w:rsidRPr="00D83BD4">
        <w:rPr>
          <w:color w:val="212121"/>
          <w:sz w:val="28"/>
          <w:szCs w:val="28"/>
          <w:shd w:val="clear" w:color="auto" w:fill="FFFFFF"/>
          <w:lang w:val="en-US"/>
        </w:rPr>
        <w:t xml:space="preserve">Tilvis RS, Strandberg AY, Miettinen TA, </w:t>
      </w:r>
      <w:r w:rsidRPr="00D83BD4">
        <w:rPr>
          <w:sz w:val="28"/>
          <w:szCs w:val="28"/>
          <w:lang w:val="en-US"/>
        </w:rPr>
        <w:t>et al. Telomere length in old age and cholesterol across the life course</w:t>
      </w:r>
      <w:r w:rsidRPr="00D83BD4">
        <w:rPr>
          <w:sz w:val="28"/>
          <w:szCs w:val="28"/>
          <w:lang w:val="uk-UA"/>
        </w:rPr>
        <w:t xml:space="preserve">. </w:t>
      </w:r>
      <w:r w:rsidRPr="00D83BD4">
        <w:rPr>
          <w:iCs/>
          <w:sz w:val="28"/>
          <w:szCs w:val="28"/>
          <w:lang w:val="en-US"/>
        </w:rPr>
        <w:t xml:space="preserve">J Am Geriatr Soc. </w:t>
      </w:r>
      <w:r w:rsidRPr="00D83BD4">
        <w:rPr>
          <w:bCs/>
          <w:sz w:val="28"/>
          <w:szCs w:val="28"/>
          <w:lang w:val="en-US"/>
        </w:rPr>
        <w:t>2011</w:t>
      </w:r>
      <w:r w:rsidRPr="00D83BD4">
        <w:rPr>
          <w:sz w:val="28"/>
          <w:szCs w:val="28"/>
          <w:lang w:val="en-US"/>
        </w:rPr>
        <w:t>;</w:t>
      </w:r>
      <w:r w:rsidRPr="00D83BD4">
        <w:rPr>
          <w:iCs/>
          <w:sz w:val="28"/>
          <w:szCs w:val="28"/>
          <w:lang w:val="en-US"/>
        </w:rPr>
        <w:t>59(10):</w:t>
      </w:r>
      <w:r w:rsidRPr="00D83BD4">
        <w:rPr>
          <w:sz w:val="28"/>
          <w:szCs w:val="28"/>
          <w:lang w:val="en-US"/>
        </w:rPr>
        <w:t xml:space="preserve">1979–81. </w:t>
      </w:r>
      <w:r w:rsidRPr="00D83BD4">
        <w:rPr>
          <w:sz w:val="28"/>
          <w:szCs w:val="28"/>
          <w:shd w:val="clear" w:color="auto" w:fill="FFFFFF"/>
        </w:rPr>
        <w:t>doi: 10.1111/j.1532-5415.2011.03610_13.x</w:t>
      </w:r>
      <w:r w:rsidRPr="00D83BD4">
        <w:rPr>
          <w:sz w:val="28"/>
          <w:szCs w:val="28"/>
          <w:shd w:val="clear" w:color="auto" w:fill="FFFFFF"/>
          <w:lang w:val="en-US"/>
        </w:rPr>
        <w:t xml:space="preserve"> </w:t>
      </w:r>
      <w:r w:rsidRPr="00D83BD4">
        <w:rPr>
          <w:sz w:val="28"/>
          <w:szCs w:val="28"/>
          <w:shd w:val="clear" w:color="auto" w:fill="FFFFFF"/>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Strandberg</w:t>
      </w:r>
      <w:r w:rsidRPr="00D83BD4">
        <w:rPr>
          <w:sz w:val="28"/>
          <w:szCs w:val="28"/>
          <w:lang w:val="uk-UA"/>
        </w:rPr>
        <w:t xml:space="preserve"> </w:t>
      </w:r>
      <w:r w:rsidRPr="00D83BD4">
        <w:rPr>
          <w:sz w:val="28"/>
          <w:szCs w:val="28"/>
          <w:lang w:val="en-US"/>
        </w:rPr>
        <w:t>TE</w:t>
      </w:r>
      <w:r w:rsidRPr="00D83BD4">
        <w:rPr>
          <w:sz w:val="28"/>
          <w:szCs w:val="28"/>
          <w:lang w:val="uk-UA"/>
        </w:rPr>
        <w:t xml:space="preserve">, </w:t>
      </w:r>
      <w:r w:rsidRPr="00D83BD4">
        <w:rPr>
          <w:sz w:val="28"/>
          <w:szCs w:val="28"/>
          <w:lang w:val="en-US"/>
        </w:rPr>
        <w:t>Saijonmaa</w:t>
      </w:r>
      <w:r w:rsidRPr="00D83BD4">
        <w:rPr>
          <w:sz w:val="28"/>
          <w:szCs w:val="28"/>
          <w:lang w:val="uk-UA"/>
        </w:rPr>
        <w:t xml:space="preserve"> </w:t>
      </w:r>
      <w:r w:rsidRPr="00D83BD4">
        <w:rPr>
          <w:sz w:val="28"/>
          <w:szCs w:val="28"/>
          <w:lang w:val="en-US"/>
        </w:rPr>
        <w:t>O</w:t>
      </w:r>
      <w:r w:rsidRPr="00D83BD4">
        <w:rPr>
          <w:sz w:val="28"/>
          <w:szCs w:val="28"/>
          <w:lang w:val="uk-UA"/>
        </w:rPr>
        <w:t xml:space="preserve">, </w:t>
      </w:r>
      <w:r w:rsidRPr="00D83BD4">
        <w:rPr>
          <w:sz w:val="28"/>
          <w:szCs w:val="28"/>
          <w:lang w:val="en-US"/>
        </w:rPr>
        <w:t>Tilvis</w:t>
      </w:r>
      <w:r w:rsidRPr="00D83BD4">
        <w:rPr>
          <w:sz w:val="28"/>
          <w:szCs w:val="28"/>
          <w:lang w:val="uk-UA"/>
        </w:rPr>
        <w:t xml:space="preserve"> </w:t>
      </w:r>
      <w:r w:rsidRPr="00D83BD4">
        <w:rPr>
          <w:sz w:val="28"/>
          <w:szCs w:val="28"/>
          <w:lang w:val="en-US"/>
        </w:rPr>
        <w:t>RS</w:t>
      </w:r>
      <w:r w:rsidRPr="00D83BD4">
        <w:rPr>
          <w:sz w:val="28"/>
          <w:szCs w:val="28"/>
          <w:lang w:val="uk-UA"/>
        </w:rPr>
        <w:t xml:space="preserve">, </w:t>
      </w:r>
      <w:r w:rsidRPr="00D83BD4">
        <w:rPr>
          <w:sz w:val="28"/>
          <w:szCs w:val="28"/>
          <w:shd w:val="clear" w:color="auto" w:fill="FFFFFF"/>
          <w:lang w:val="en-US"/>
        </w:rPr>
        <w:t>Pitkälä KH, Strandberg AY, Miettinen TA, Fyhrquist F.</w:t>
      </w:r>
      <w:r w:rsidRPr="00D83BD4">
        <w:rPr>
          <w:color w:val="212121"/>
          <w:sz w:val="28"/>
          <w:szCs w:val="28"/>
          <w:shd w:val="clear" w:color="auto" w:fill="FFFFFF"/>
          <w:lang w:val="en-US"/>
        </w:rPr>
        <w:t xml:space="preserve"> </w:t>
      </w:r>
      <w:r w:rsidRPr="00D83BD4">
        <w:rPr>
          <w:sz w:val="28"/>
          <w:szCs w:val="28"/>
          <w:lang w:val="en-US"/>
        </w:rPr>
        <w:t xml:space="preserve">Association of telomere length in older men with mortality and midlife body mass index and smoking. J  Gerontol  A Biol  Sci  Med  Sci. 2011;66(7):815-20. </w:t>
      </w:r>
      <w:r w:rsidRPr="00D83BD4">
        <w:rPr>
          <w:sz w:val="28"/>
          <w:szCs w:val="28"/>
          <w:shd w:val="clear" w:color="auto" w:fill="FFFFFF"/>
        </w:rPr>
        <w:t>doi: 10.1093/gerona/glr064</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bCs/>
          <w:sz w:val="28"/>
          <w:szCs w:val="28"/>
          <w:lang w:val="en-US"/>
        </w:rPr>
        <w:t>Sun J</w:t>
      </w:r>
      <w:r w:rsidRPr="00D83BD4">
        <w:rPr>
          <w:bCs/>
          <w:color w:val="000000"/>
          <w:sz w:val="28"/>
          <w:szCs w:val="28"/>
          <w:lang w:val="en-US"/>
        </w:rPr>
        <w:t>, </w:t>
      </w:r>
      <w:r w:rsidRPr="00D83BD4">
        <w:rPr>
          <w:bCs/>
          <w:sz w:val="28"/>
          <w:szCs w:val="28"/>
          <w:lang w:val="en-US"/>
        </w:rPr>
        <w:t>Yao L</w:t>
      </w:r>
      <w:r w:rsidRPr="00D83BD4">
        <w:rPr>
          <w:bCs/>
          <w:color w:val="000000"/>
          <w:sz w:val="28"/>
          <w:szCs w:val="28"/>
          <w:lang w:val="en-US"/>
        </w:rPr>
        <w:t>, </w:t>
      </w:r>
      <w:r w:rsidRPr="00D83BD4">
        <w:rPr>
          <w:bCs/>
          <w:sz w:val="28"/>
          <w:szCs w:val="28"/>
          <w:lang w:val="en-US"/>
        </w:rPr>
        <w:t>Fang Y</w:t>
      </w:r>
      <w:r w:rsidRPr="00D83BD4">
        <w:rPr>
          <w:bCs/>
          <w:color w:val="000000"/>
          <w:sz w:val="28"/>
          <w:szCs w:val="28"/>
          <w:lang w:val="en-US"/>
        </w:rPr>
        <w:t>, </w:t>
      </w:r>
      <w:r w:rsidRPr="00D83BD4">
        <w:rPr>
          <w:bCs/>
          <w:sz w:val="28"/>
          <w:szCs w:val="28"/>
          <w:lang w:val="en-US"/>
        </w:rPr>
        <w:t>Yang R</w:t>
      </w:r>
      <w:r w:rsidRPr="00D83BD4">
        <w:rPr>
          <w:bCs/>
          <w:color w:val="000000"/>
          <w:sz w:val="28"/>
          <w:szCs w:val="28"/>
          <w:lang w:val="en-US"/>
        </w:rPr>
        <w:t>, </w:t>
      </w:r>
      <w:r w:rsidRPr="00D83BD4">
        <w:rPr>
          <w:bCs/>
          <w:sz w:val="28"/>
          <w:szCs w:val="28"/>
          <w:lang w:val="en-US"/>
        </w:rPr>
        <w:t>Chen Y</w:t>
      </w:r>
      <w:r w:rsidRPr="00D83BD4">
        <w:rPr>
          <w:bCs/>
          <w:color w:val="000000"/>
          <w:sz w:val="28"/>
          <w:szCs w:val="28"/>
          <w:lang w:val="en-US"/>
        </w:rPr>
        <w:t>, </w:t>
      </w:r>
      <w:r w:rsidRPr="00D83BD4">
        <w:rPr>
          <w:bCs/>
          <w:sz w:val="28"/>
          <w:szCs w:val="28"/>
          <w:lang w:val="en-US"/>
        </w:rPr>
        <w:t>Yang K</w:t>
      </w:r>
      <w:r w:rsidRPr="00D83BD4">
        <w:rPr>
          <w:bCs/>
          <w:color w:val="000000"/>
          <w:sz w:val="28"/>
          <w:szCs w:val="28"/>
          <w:lang w:val="en-US"/>
        </w:rPr>
        <w:t>, </w:t>
      </w:r>
      <w:r w:rsidRPr="00D83BD4">
        <w:rPr>
          <w:bCs/>
          <w:sz w:val="28"/>
          <w:szCs w:val="28"/>
          <w:lang w:val="en-US"/>
        </w:rPr>
        <w:t>Tian L</w:t>
      </w:r>
      <w:r w:rsidRPr="00D83BD4">
        <w:rPr>
          <w:bCs/>
          <w:color w:val="000000"/>
          <w:sz w:val="28"/>
          <w:szCs w:val="28"/>
          <w:lang w:val="en-US"/>
        </w:rPr>
        <w:t>. Relationship between </w:t>
      </w:r>
      <w:r w:rsidRPr="00D83BD4">
        <w:rPr>
          <w:rStyle w:val="highlight"/>
          <w:bCs/>
          <w:color w:val="000000"/>
          <w:sz w:val="28"/>
          <w:szCs w:val="28"/>
          <w:lang w:val="en-US"/>
        </w:rPr>
        <w:t>Subclinical</w:t>
      </w:r>
      <w:r w:rsidRPr="00D83BD4">
        <w:rPr>
          <w:bCs/>
          <w:color w:val="000000"/>
          <w:sz w:val="28"/>
          <w:szCs w:val="28"/>
          <w:lang w:val="en-US"/>
        </w:rPr>
        <w:t> Thyroid Dysfunction and the Risk of Cardiovascular Outcomes: A Systematic Review and Meta-Analysis of Prospective Cohort Studies.</w:t>
      </w:r>
      <w:r w:rsidRPr="00D83BD4">
        <w:rPr>
          <w:bCs/>
          <w:sz w:val="28"/>
          <w:szCs w:val="28"/>
          <w:lang w:val="en-US"/>
        </w:rPr>
        <w:t xml:space="preserve"> Int</w:t>
      </w:r>
      <w:r w:rsidRPr="00D83BD4">
        <w:rPr>
          <w:bCs/>
          <w:sz w:val="28"/>
          <w:szCs w:val="28"/>
          <w:lang w:val="uk-UA"/>
        </w:rPr>
        <w:t xml:space="preserve"> </w:t>
      </w:r>
      <w:r w:rsidRPr="00D83BD4">
        <w:rPr>
          <w:bCs/>
          <w:sz w:val="28"/>
          <w:szCs w:val="28"/>
          <w:lang w:val="en-US"/>
        </w:rPr>
        <w:t>J</w:t>
      </w:r>
      <w:r w:rsidRPr="00D83BD4">
        <w:rPr>
          <w:bCs/>
          <w:sz w:val="28"/>
          <w:szCs w:val="28"/>
          <w:lang w:val="uk-UA"/>
        </w:rPr>
        <w:t xml:space="preserve"> </w:t>
      </w:r>
      <w:r w:rsidRPr="00D83BD4">
        <w:rPr>
          <w:bCs/>
          <w:sz w:val="28"/>
          <w:szCs w:val="28"/>
          <w:lang w:val="en-US"/>
        </w:rPr>
        <w:t>Endocrinol</w:t>
      </w:r>
      <w:r w:rsidRPr="00D83BD4">
        <w:rPr>
          <w:bCs/>
          <w:sz w:val="28"/>
          <w:szCs w:val="28"/>
          <w:lang w:val="uk-UA"/>
        </w:rPr>
        <w:t>.</w:t>
      </w:r>
      <w:r w:rsidRPr="00D83BD4">
        <w:rPr>
          <w:bCs/>
          <w:color w:val="000000"/>
          <w:sz w:val="28"/>
          <w:szCs w:val="28"/>
          <w:lang w:val="en-US"/>
        </w:rPr>
        <w:t> 2017;2017:8130796.</w:t>
      </w:r>
      <w:r w:rsidRPr="00D83BD4">
        <w:rPr>
          <w:bCs/>
          <w:color w:val="000000"/>
          <w:sz w:val="28"/>
          <w:szCs w:val="28"/>
          <w:lang w:val="uk-UA"/>
        </w:rPr>
        <w:t xml:space="preserve"> </w:t>
      </w:r>
      <w:r w:rsidRPr="00D83BD4">
        <w:rPr>
          <w:bCs/>
          <w:color w:val="000000"/>
          <w:sz w:val="28"/>
          <w:szCs w:val="28"/>
          <w:lang w:val="en-US"/>
        </w:rPr>
        <w:t>doi</w:t>
      </w:r>
      <w:r w:rsidRPr="00D83BD4">
        <w:rPr>
          <w:bCs/>
          <w:color w:val="000000"/>
          <w:sz w:val="28"/>
          <w:szCs w:val="28"/>
        </w:rPr>
        <w:t>: 10.1155/2017/8130796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Swaid B, Kheiri B, Sundus S, Shah Miran M, Haykal T, Zayed Y, Bachuwa G. The effect of levothyroxine treatment in individuals with subclinical hypothyroidism on surrogate markers of atherosclerosis: a meta-analysis of randomized controlled trials. </w:t>
      </w:r>
      <w:r w:rsidRPr="00D83BD4">
        <w:rPr>
          <w:sz w:val="28"/>
          <w:szCs w:val="28"/>
        </w:rPr>
        <w:t>J Community Hosp Intern Med Perspect. 2019;9(4):305-309. doi: 10.1080/20009666.2019.1625704</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Szosland K, Lewinski A. Insulin resistance – «the good or the bad and ugly». </w:t>
      </w:r>
      <w:r w:rsidRPr="00D83BD4">
        <w:rPr>
          <w:sz w:val="28"/>
          <w:szCs w:val="28"/>
        </w:rPr>
        <w:t>Neuro Endocrinol Lett. 2018;39(5):355-362.</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Talwalkar P, Deshmukh V, Bhole M. Prevalence of hypothyroidism in patients with type 2 diabetes mellitus and hypertension in India: a cross-sectional observational study. </w:t>
      </w:r>
      <w:r w:rsidRPr="00D83BD4">
        <w:rPr>
          <w:sz w:val="28"/>
          <w:szCs w:val="28"/>
        </w:rPr>
        <w:t>Diabetes Metab Syndr Obes. 2019;12:369-376. doi:10.2147/DMSO.S181470</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lang w:val="en-US"/>
        </w:rPr>
        <w:t>Tangelloju S, Little BB, Esterhay RJ, Brock G, LaJoie S. Statins are associated with new onset type 2 diabetes mellitus (T2DM) in Medicare patients ≥65</w:t>
      </w:r>
      <w:r w:rsidRPr="00D83BD4">
        <w:rPr>
          <w:rFonts w:eastAsia="Arial Unicode MS"/>
          <w:sz w:val="28"/>
          <w:szCs w:val="28"/>
          <w:lang w:val="en-US"/>
        </w:rPr>
        <w:t> </w:t>
      </w:r>
      <w:r w:rsidRPr="00D83BD4">
        <w:rPr>
          <w:sz w:val="28"/>
          <w:szCs w:val="28"/>
          <w:lang w:val="en-US"/>
        </w:rPr>
        <w:t xml:space="preserve">years. </w:t>
      </w:r>
      <w:r w:rsidRPr="00D83BD4">
        <w:rPr>
          <w:sz w:val="28"/>
          <w:szCs w:val="28"/>
        </w:rPr>
        <w:t xml:space="preserve">Diabetes Metab Res Rev. 2020 </w:t>
      </w:r>
      <w:r w:rsidRPr="00D83BD4">
        <w:rPr>
          <w:sz w:val="28"/>
          <w:szCs w:val="28"/>
          <w:lang w:val="en-US"/>
        </w:rPr>
        <w:t>Mar</w:t>
      </w:r>
      <w:r w:rsidRPr="00D83BD4">
        <w:rPr>
          <w:sz w:val="28"/>
          <w:szCs w:val="28"/>
        </w:rPr>
        <w:t xml:space="preserve"> 12:</w:t>
      </w:r>
      <w:r w:rsidRPr="00D83BD4">
        <w:rPr>
          <w:sz w:val="28"/>
          <w:szCs w:val="28"/>
          <w:lang w:val="en-US"/>
        </w:rPr>
        <w:t>e</w:t>
      </w:r>
      <w:r w:rsidRPr="00D83BD4">
        <w:rPr>
          <w:sz w:val="28"/>
          <w:szCs w:val="28"/>
        </w:rPr>
        <w:t xml:space="preserve">3310. </w:t>
      </w:r>
      <w:r w:rsidRPr="00D83BD4">
        <w:rPr>
          <w:sz w:val="28"/>
          <w:szCs w:val="28"/>
          <w:lang w:val="en-US"/>
        </w:rPr>
        <w:t>doi</w:t>
      </w:r>
      <w:r w:rsidRPr="00D83BD4">
        <w:rPr>
          <w:sz w:val="28"/>
          <w:szCs w:val="28"/>
        </w:rPr>
        <w:t>: 10.1002/</w:t>
      </w:r>
      <w:r w:rsidRPr="00D83BD4">
        <w:rPr>
          <w:sz w:val="28"/>
          <w:szCs w:val="28"/>
          <w:lang w:val="en-US"/>
        </w:rPr>
        <w:t>dmrr</w:t>
      </w:r>
      <w:r w:rsidRPr="00D83BD4">
        <w:rPr>
          <w:sz w:val="28"/>
          <w:szCs w:val="28"/>
        </w:rPr>
        <w:t>.3310</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bCs/>
          <w:sz w:val="28"/>
          <w:szCs w:val="28"/>
          <w:lang w:val="en-US"/>
        </w:rPr>
        <w:t>Taylor</w:t>
      </w:r>
      <w:r w:rsidRPr="00D83BD4">
        <w:rPr>
          <w:bCs/>
          <w:sz w:val="28"/>
          <w:szCs w:val="28"/>
          <w:lang w:val="uk-UA"/>
        </w:rPr>
        <w:t xml:space="preserve"> </w:t>
      </w:r>
      <w:r w:rsidRPr="00D83BD4">
        <w:rPr>
          <w:bCs/>
          <w:sz w:val="28"/>
          <w:szCs w:val="28"/>
          <w:lang w:val="en-US"/>
        </w:rPr>
        <w:t>PN</w:t>
      </w:r>
      <w:r w:rsidRPr="00D83BD4">
        <w:rPr>
          <w:bCs/>
          <w:sz w:val="28"/>
          <w:szCs w:val="28"/>
          <w:lang w:val="uk-UA"/>
        </w:rPr>
        <w:t xml:space="preserve">, </w:t>
      </w:r>
      <w:r w:rsidRPr="00D83BD4">
        <w:rPr>
          <w:bCs/>
          <w:sz w:val="28"/>
          <w:szCs w:val="28"/>
          <w:lang w:val="en-US"/>
        </w:rPr>
        <w:t>Albrecht</w:t>
      </w:r>
      <w:r w:rsidRPr="00D83BD4">
        <w:rPr>
          <w:bCs/>
          <w:sz w:val="28"/>
          <w:szCs w:val="28"/>
          <w:lang w:val="uk-UA"/>
        </w:rPr>
        <w:t xml:space="preserve"> </w:t>
      </w:r>
      <w:r w:rsidRPr="00D83BD4">
        <w:rPr>
          <w:bCs/>
          <w:sz w:val="28"/>
          <w:szCs w:val="28"/>
          <w:lang w:val="en-US"/>
        </w:rPr>
        <w:t>D</w:t>
      </w:r>
      <w:r w:rsidRPr="00D83BD4">
        <w:rPr>
          <w:bCs/>
          <w:sz w:val="28"/>
          <w:szCs w:val="28"/>
          <w:lang w:val="uk-UA"/>
        </w:rPr>
        <w:t xml:space="preserve">,  </w:t>
      </w:r>
      <w:r w:rsidRPr="00D83BD4">
        <w:rPr>
          <w:bCs/>
          <w:sz w:val="28"/>
          <w:szCs w:val="28"/>
          <w:lang w:val="en-US"/>
        </w:rPr>
        <w:t>Scholz</w:t>
      </w:r>
      <w:r w:rsidRPr="00D83BD4">
        <w:rPr>
          <w:bCs/>
          <w:sz w:val="28"/>
          <w:szCs w:val="28"/>
          <w:lang w:val="uk-UA"/>
        </w:rPr>
        <w:t xml:space="preserve"> </w:t>
      </w:r>
      <w:r w:rsidRPr="00D83BD4">
        <w:rPr>
          <w:bCs/>
          <w:sz w:val="28"/>
          <w:szCs w:val="28"/>
          <w:lang w:val="en-US"/>
        </w:rPr>
        <w:t>A</w:t>
      </w:r>
      <w:r w:rsidRPr="00D83BD4">
        <w:rPr>
          <w:bCs/>
          <w:sz w:val="28"/>
          <w:szCs w:val="28"/>
          <w:lang w:val="uk-UA"/>
        </w:rPr>
        <w:t xml:space="preserve">. </w:t>
      </w:r>
      <w:r w:rsidRPr="00D83BD4">
        <w:rPr>
          <w:bCs/>
          <w:sz w:val="28"/>
          <w:szCs w:val="28"/>
          <w:lang w:val="en-US"/>
        </w:rPr>
        <w:t>Global</w:t>
      </w:r>
      <w:r w:rsidRPr="00D83BD4">
        <w:rPr>
          <w:bCs/>
          <w:sz w:val="28"/>
          <w:szCs w:val="28"/>
          <w:lang w:val="uk-UA"/>
        </w:rPr>
        <w:t xml:space="preserve"> </w:t>
      </w:r>
      <w:r w:rsidRPr="00D83BD4">
        <w:rPr>
          <w:bCs/>
          <w:sz w:val="28"/>
          <w:szCs w:val="28"/>
          <w:lang w:val="en-US"/>
        </w:rPr>
        <w:t>epidemiology</w:t>
      </w:r>
      <w:r w:rsidRPr="00D83BD4">
        <w:rPr>
          <w:bCs/>
          <w:sz w:val="28"/>
          <w:szCs w:val="28"/>
          <w:lang w:val="uk-UA"/>
        </w:rPr>
        <w:t xml:space="preserve"> </w:t>
      </w:r>
      <w:r w:rsidRPr="00D83BD4">
        <w:rPr>
          <w:bCs/>
          <w:sz w:val="28"/>
          <w:szCs w:val="28"/>
          <w:lang w:val="en-US"/>
        </w:rPr>
        <w:t>of</w:t>
      </w:r>
      <w:r w:rsidRPr="00D83BD4">
        <w:rPr>
          <w:bCs/>
          <w:sz w:val="28"/>
          <w:szCs w:val="28"/>
          <w:lang w:val="uk-UA"/>
        </w:rPr>
        <w:t xml:space="preserve"> </w:t>
      </w:r>
      <w:r w:rsidRPr="00D83BD4">
        <w:rPr>
          <w:bCs/>
          <w:sz w:val="28"/>
          <w:szCs w:val="28"/>
          <w:lang w:val="en-US"/>
        </w:rPr>
        <w:t>hyperthyroidism</w:t>
      </w:r>
      <w:r w:rsidRPr="00D83BD4">
        <w:rPr>
          <w:bCs/>
          <w:sz w:val="28"/>
          <w:szCs w:val="28"/>
          <w:lang w:val="uk-UA"/>
        </w:rPr>
        <w:t xml:space="preserve"> </w:t>
      </w:r>
      <w:r w:rsidRPr="00D83BD4">
        <w:rPr>
          <w:bCs/>
          <w:sz w:val="28"/>
          <w:szCs w:val="28"/>
          <w:lang w:val="en-US"/>
        </w:rPr>
        <w:t>and</w:t>
      </w:r>
      <w:r w:rsidRPr="00D83BD4">
        <w:rPr>
          <w:bCs/>
          <w:sz w:val="28"/>
          <w:szCs w:val="28"/>
          <w:lang w:val="uk-UA"/>
        </w:rPr>
        <w:t xml:space="preserve"> </w:t>
      </w:r>
      <w:r w:rsidRPr="00D83BD4">
        <w:rPr>
          <w:bCs/>
          <w:sz w:val="28"/>
          <w:szCs w:val="28"/>
          <w:lang w:val="en-US"/>
        </w:rPr>
        <w:t>hypothyroidism</w:t>
      </w:r>
      <w:r w:rsidRPr="00D83BD4">
        <w:rPr>
          <w:bCs/>
          <w:sz w:val="28"/>
          <w:szCs w:val="28"/>
          <w:lang w:val="uk-UA"/>
        </w:rPr>
        <w:t xml:space="preserve">. </w:t>
      </w:r>
      <w:r w:rsidRPr="00D83BD4">
        <w:rPr>
          <w:bCs/>
          <w:sz w:val="28"/>
          <w:szCs w:val="28"/>
        </w:rPr>
        <w:t>Nat</w:t>
      </w:r>
      <w:r w:rsidRPr="00D83BD4">
        <w:rPr>
          <w:bCs/>
          <w:sz w:val="28"/>
          <w:szCs w:val="28"/>
          <w:lang w:val="uk-UA"/>
        </w:rPr>
        <w:t xml:space="preserve"> </w:t>
      </w:r>
      <w:r w:rsidRPr="00D83BD4">
        <w:rPr>
          <w:bCs/>
          <w:sz w:val="28"/>
          <w:szCs w:val="28"/>
        </w:rPr>
        <w:t>Rev</w:t>
      </w:r>
      <w:r w:rsidRPr="00D83BD4">
        <w:rPr>
          <w:bCs/>
          <w:sz w:val="28"/>
          <w:szCs w:val="28"/>
          <w:lang w:val="uk-UA"/>
        </w:rPr>
        <w:t xml:space="preserve"> </w:t>
      </w:r>
      <w:r w:rsidRPr="00D83BD4">
        <w:rPr>
          <w:bCs/>
          <w:sz w:val="28"/>
          <w:szCs w:val="28"/>
        </w:rPr>
        <w:t>Endocrinol</w:t>
      </w:r>
      <w:r w:rsidRPr="00D83BD4">
        <w:rPr>
          <w:bCs/>
          <w:sz w:val="28"/>
          <w:szCs w:val="28"/>
          <w:lang w:val="uk-UA"/>
        </w:rPr>
        <w:t>.2018</w:t>
      </w:r>
      <w:r w:rsidRPr="00D83BD4">
        <w:rPr>
          <w:bCs/>
          <w:sz w:val="28"/>
          <w:szCs w:val="28"/>
          <w:lang w:val="en-US"/>
        </w:rPr>
        <w:t>;</w:t>
      </w:r>
      <w:r w:rsidRPr="00D83BD4">
        <w:rPr>
          <w:bCs/>
          <w:sz w:val="28"/>
          <w:szCs w:val="28"/>
          <w:lang w:val="uk-UA"/>
        </w:rPr>
        <w:t>14(5)</w:t>
      </w:r>
      <w:r w:rsidRPr="00D83BD4">
        <w:rPr>
          <w:bCs/>
          <w:sz w:val="28"/>
          <w:szCs w:val="28"/>
          <w:lang w:val="en-US"/>
        </w:rPr>
        <w:t>:</w:t>
      </w:r>
      <w:r w:rsidRPr="00D83BD4">
        <w:rPr>
          <w:bCs/>
          <w:sz w:val="28"/>
          <w:szCs w:val="28"/>
          <w:lang w:val="uk-UA"/>
        </w:rPr>
        <w:t>301-316</w:t>
      </w:r>
      <w:r w:rsidRPr="00D83BD4">
        <w:rPr>
          <w:bCs/>
          <w:sz w:val="28"/>
          <w:szCs w:val="28"/>
          <w:lang w:val="en-US"/>
        </w:rPr>
        <w:t>.</w:t>
      </w:r>
      <w:r w:rsidRPr="00D83BD4">
        <w:rPr>
          <w:sz w:val="28"/>
          <w:szCs w:val="28"/>
          <w:shd w:val="clear" w:color="auto" w:fill="FFFFFF"/>
        </w:rPr>
        <w:t xml:space="preserve"> doi: 10.1038/nrendo.2018.18.</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Tellechea ML, Pirola CJ. The impact of hypertension on leukocyte telomere length: a systematic review and meta-analysis of human studies. </w:t>
      </w:r>
      <w:r w:rsidRPr="00D83BD4">
        <w:rPr>
          <w:sz w:val="28"/>
          <w:szCs w:val="28"/>
        </w:rPr>
        <w:t>J Hum Hypertens. 2017</w:t>
      </w:r>
      <w:r w:rsidRPr="00D83BD4">
        <w:rPr>
          <w:sz w:val="28"/>
          <w:szCs w:val="28"/>
          <w:lang w:val="en-US"/>
        </w:rPr>
        <w:t>;</w:t>
      </w:r>
      <w:r w:rsidRPr="00D83BD4">
        <w:rPr>
          <w:sz w:val="28"/>
          <w:szCs w:val="28"/>
        </w:rPr>
        <w:t>31(2)</w:t>
      </w:r>
      <w:r w:rsidRPr="00D83BD4">
        <w:rPr>
          <w:sz w:val="28"/>
          <w:szCs w:val="28"/>
          <w:lang w:val="en-US"/>
        </w:rPr>
        <w:t>:</w:t>
      </w:r>
      <w:r w:rsidRPr="00D83BD4">
        <w:rPr>
          <w:sz w:val="28"/>
          <w:szCs w:val="28"/>
        </w:rPr>
        <w:t>99-105. doi: 10.1038/jhh.2016.45</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Tesauro M, Mauriello A,</w:t>
      </w:r>
      <w:r w:rsidRPr="00D83BD4">
        <w:rPr>
          <w:sz w:val="28"/>
          <w:szCs w:val="28"/>
          <w:lang w:val="uk-UA"/>
        </w:rPr>
        <w:t xml:space="preserve"> </w:t>
      </w:r>
      <w:r w:rsidRPr="00D83BD4">
        <w:rPr>
          <w:sz w:val="28"/>
          <w:szCs w:val="28"/>
          <w:lang w:val="en-US"/>
        </w:rPr>
        <w:t>Rovella V,</w:t>
      </w:r>
      <w:r w:rsidRPr="00D83BD4">
        <w:rPr>
          <w:sz w:val="28"/>
          <w:szCs w:val="28"/>
          <w:lang w:val="uk-UA"/>
        </w:rPr>
        <w:t xml:space="preserve"> </w:t>
      </w:r>
      <w:r w:rsidRPr="00D83BD4">
        <w:rPr>
          <w:sz w:val="28"/>
          <w:szCs w:val="28"/>
          <w:lang w:val="en-US"/>
        </w:rPr>
        <w:t>Annicchiarico-Petruzzelli M,</w:t>
      </w:r>
      <w:r w:rsidRPr="00D83BD4">
        <w:rPr>
          <w:sz w:val="28"/>
          <w:szCs w:val="28"/>
          <w:lang w:val="uk-UA"/>
        </w:rPr>
        <w:t xml:space="preserve"> </w:t>
      </w:r>
      <w:r w:rsidRPr="00D83BD4">
        <w:rPr>
          <w:sz w:val="28"/>
          <w:szCs w:val="28"/>
          <w:lang w:val="en-US"/>
        </w:rPr>
        <w:t>Cardillo C,</w:t>
      </w:r>
      <w:r w:rsidRPr="00D83BD4">
        <w:rPr>
          <w:sz w:val="28"/>
          <w:szCs w:val="28"/>
          <w:lang w:val="uk-UA"/>
        </w:rPr>
        <w:t xml:space="preserve"> </w:t>
      </w:r>
      <w:r w:rsidRPr="00D83BD4">
        <w:rPr>
          <w:sz w:val="28"/>
          <w:szCs w:val="28"/>
          <w:lang w:val="en-US"/>
        </w:rPr>
        <w:t>Melino G,</w:t>
      </w:r>
      <w:r w:rsidRPr="00D83BD4">
        <w:rPr>
          <w:sz w:val="28"/>
          <w:szCs w:val="28"/>
          <w:lang w:val="uk-UA"/>
        </w:rPr>
        <w:t xml:space="preserve"> </w:t>
      </w:r>
      <w:r w:rsidRPr="00D83BD4">
        <w:rPr>
          <w:sz w:val="28"/>
          <w:szCs w:val="28"/>
          <w:lang w:val="en-US"/>
        </w:rPr>
        <w:t>Di Daniele N. Arterial ageing:</w:t>
      </w:r>
      <w:r w:rsidRPr="00D83BD4">
        <w:rPr>
          <w:sz w:val="28"/>
          <w:szCs w:val="28"/>
          <w:lang w:val="uk-UA"/>
        </w:rPr>
        <w:t xml:space="preserve"> </w:t>
      </w:r>
      <w:r w:rsidRPr="00D83BD4">
        <w:rPr>
          <w:sz w:val="28"/>
          <w:szCs w:val="28"/>
          <w:lang w:val="en-US"/>
        </w:rPr>
        <w:t xml:space="preserve"> from</w:t>
      </w:r>
      <w:r w:rsidRPr="00D83BD4">
        <w:rPr>
          <w:sz w:val="28"/>
          <w:szCs w:val="28"/>
          <w:lang w:val="uk-UA"/>
        </w:rPr>
        <w:t xml:space="preserve"> </w:t>
      </w:r>
      <w:r w:rsidRPr="00D83BD4">
        <w:rPr>
          <w:sz w:val="28"/>
          <w:szCs w:val="28"/>
          <w:lang w:val="en-US"/>
        </w:rPr>
        <w:t>endothelial</w:t>
      </w:r>
      <w:r w:rsidRPr="00D83BD4">
        <w:rPr>
          <w:sz w:val="28"/>
          <w:szCs w:val="28"/>
          <w:lang w:val="uk-UA"/>
        </w:rPr>
        <w:t xml:space="preserve"> </w:t>
      </w:r>
      <w:r w:rsidRPr="00D83BD4">
        <w:rPr>
          <w:sz w:val="28"/>
          <w:szCs w:val="28"/>
          <w:lang w:val="en-US"/>
        </w:rPr>
        <w:t>dysfunction</w:t>
      </w:r>
      <w:r w:rsidRPr="00D83BD4">
        <w:rPr>
          <w:sz w:val="28"/>
          <w:szCs w:val="28"/>
          <w:lang w:val="uk-UA"/>
        </w:rPr>
        <w:t xml:space="preserve"> </w:t>
      </w:r>
      <w:r w:rsidRPr="00D83BD4">
        <w:rPr>
          <w:sz w:val="28"/>
          <w:szCs w:val="28"/>
          <w:lang w:val="en-US"/>
        </w:rPr>
        <w:t>to</w:t>
      </w:r>
      <w:r w:rsidRPr="00D83BD4">
        <w:rPr>
          <w:sz w:val="28"/>
          <w:szCs w:val="28"/>
          <w:lang w:val="uk-UA"/>
        </w:rPr>
        <w:t xml:space="preserve"> </w:t>
      </w:r>
      <w:r w:rsidRPr="00D83BD4">
        <w:rPr>
          <w:sz w:val="28"/>
          <w:szCs w:val="28"/>
          <w:lang w:val="en-US"/>
        </w:rPr>
        <w:t>vascular</w:t>
      </w:r>
      <w:r w:rsidRPr="00D83BD4">
        <w:rPr>
          <w:sz w:val="28"/>
          <w:szCs w:val="28"/>
          <w:lang w:val="uk-UA"/>
        </w:rPr>
        <w:t xml:space="preserve"> </w:t>
      </w:r>
      <w:r w:rsidRPr="00D83BD4">
        <w:rPr>
          <w:sz w:val="28"/>
          <w:szCs w:val="28"/>
          <w:lang w:val="en-US"/>
        </w:rPr>
        <w:t>calcification.</w:t>
      </w:r>
      <w:r w:rsidRPr="00D83BD4">
        <w:rPr>
          <w:sz w:val="28"/>
          <w:szCs w:val="28"/>
          <w:lang w:val="uk-UA"/>
        </w:rPr>
        <w:t xml:space="preserve"> </w:t>
      </w:r>
      <w:r w:rsidRPr="00D83BD4">
        <w:rPr>
          <w:sz w:val="28"/>
          <w:szCs w:val="28"/>
          <w:lang w:val="en-US"/>
        </w:rPr>
        <w:t>J Intern Med.</w:t>
      </w:r>
      <w:r w:rsidRPr="00D83BD4">
        <w:rPr>
          <w:sz w:val="28"/>
          <w:szCs w:val="28"/>
          <w:lang w:val="uk-UA"/>
        </w:rPr>
        <w:t xml:space="preserve"> </w:t>
      </w:r>
      <w:r w:rsidRPr="00D83BD4">
        <w:rPr>
          <w:sz w:val="28"/>
          <w:szCs w:val="28"/>
          <w:lang w:val="en-US"/>
        </w:rPr>
        <w:t>2017</w:t>
      </w:r>
      <w:r w:rsidRPr="00D83BD4">
        <w:rPr>
          <w:color w:val="000000"/>
          <w:sz w:val="28"/>
          <w:szCs w:val="28"/>
          <w:lang w:val="en-US"/>
        </w:rPr>
        <w:t xml:space="preserve">;281(5):471-482. doi:10.1111/joim.12605 </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uk-UA"/>
        </w:rPr>
        <w:t>Testa R, Bonfigli AR, Prattichizzo F, La Sala L, De Nigris V, Ceriello A. The «Metabolic Memory» Theory and the Early Treatment of Hyperglycemia in Prevention of Diabetic Complications.  Nutrients</w:t>
      </w:r>
      <w:r w:rsidRPr="00D83BD4">
        <w:rPr>
          <w:sz w:val="28"/>
          <w:szCs w:val="28"/>
          <w:lang w:val="en-US"/>
        </w:rPr>
        <w:t>.</w:t>
      </w:r>
      <w:r w:rsidRPr="00D83BD4">
        <w:rPr>
          <w:sz w:val="28"/>
          <w:szCs w:val="28"/>
          <w:lang w:val="uk-UA"/>
        </w:rPr>
        <w:t xml:space="preserve"> 2017;9:437-45</w:t>
      </w:r>
      <w:r w:rsidRPr="00D83BD4">
        <w:rPr>
          <w:sz w:val="28"/>
          <w:szCs w:val="28"/>
          <w:lang w:val="en-US"/>
        </w:rPr>
        <w:t>.</w:t>
      </w:r>
      <w:r w:rsidRPr="00D83BD4">
        <w:rPr>
          <w:sz w:val="28"/>
          <w:szCs w:val="28"/>
          <w:lang w:val="uk-UA"/>
        </w:rPr>
        <w:t xml:space="preserve"> </w:t>
      </w:r>
      <w:r w:rsidRPr="00D83BD4">
        <w:rPr>
          <w:sz w:val="28"/>
          <w:szCs w:val="28"/>
          <w:shd w:val="clear" w:color="auto" w:fill="FFFFFF"/>
        </w:rPr>
        <w:t>doi: 10.3390/nu9050437.</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sz w:val="28"/>
          <w:szCs w:val="28"/>
          <w:lang w:val="en-US"/>
        </w:rPr>
        <w:t>Thomas MC, Woodward M, Li Q, Pickering R, Tikellis C, Poulter N, et al.; ADVANCE Collaborative Group.</w:t>
      </w:r>
      <w:r w:rsidRPr="00D83BD4">
        <w:rPr>
          <w:color w:val="000000"/>
          <w:sz w:val="28"/>
          <w:szCs w:val="28"/>
          <w:lang w:val="uk-UA"/>
        </w:rPr>
        <w:t xml:space="preserve"> </w:t>
      </w:r>
      <w:r w:rsidRPr="00D83BD4">
        <w:rPr>
          <w:color w:val="000000"/>
          <w:sz w:val="28"/>
          <w:szCs w:val="28"/>
          <w:lang w:val="en-US"/>
        </w:rPr>
        <w:t>Relationship Between Plasma 8-OH-Deoxyguanosine and Cardiovascular Disease and Survival in Type 2 </w:t>
      </w:r>
      <w:r w:rsidRPr="00D83BD4">
        <w:rPr>
          <w:rStyle w:val="highlight"/>
          <w:color w:val="000000"/>
          <w:sz w:val="28"/>
          <w:szCs w:val="28"/>
          <w:lang w:val="en-US"/>
        </w:rPr>
        <w:t>Diabetes Mellitus</w:t>
      </w:r>
      <w:r w:rsidRPr="00D83BD4">
        <w:rPr>
          <w:color w:val="000000"/>
          <w:sz w:val="28"/>
          <w:szCs w:val="28"/>
          <w:lang w:val="en-US"/>
        </w:rPr>
        <w:t xml:space="preserve">: Results From the ADVANCE Trial. </w:t>
      </w:r>
      <w:r w:rsidRPr="00D83BD4">
        <w:rPr>
          <w:sz w:val="28"/>
          <w:szCs w:val="28"/>
        </w:rPr>
        <w:t>J Am Heart Assoc.</w:t>
      </w:r>
      <w:r w:rsidRPr="00D83BD4">
        <w:rPr>
          <w:color w:val="000000"/>
          <w:sz w:val="28"/>
          <w:szCs w:val="28"/>
          <w:lang w:val="en-US"/>
        </w:rPr>
        <w:t> </w:t>
      </w:r>
      <w:r w:rsidRPr="00D83BD4">
        <w:rPr>
          <w:color w:val="000000"/>
          <w:sz w:val="28"/>
          <w:szCs w:val="28"/>
        </w:rPr>
        <w:t xml:space="preserve">2018;7(13). </w:t>
      </w:r>
      <w:r w:rsidRPr="00D83BD4">
        <w:rPr>
          <w:color w:val="000000"/>
          <w:sz w:val="28"/>
          <w:szCs w:val="28"/>
          <w:lang w:val="en-US"/>
        </w:rPr>
        <w:t>pii</w:t>
      </w:r>
      <w:r w:rsidRPr="00D83BD4">
        <w:rPr>
          <w:color w:val="000000"/>
          <w:sz w:val="28"/>
          <w:szCs w:val="28"/>
        </w:rPr>
        <w:t xml:space="preserve">: </w:t>
      </w:r>
      <w:r w:rsidRPr="00D83BD4">
        <w:rPr>
          <w:color w:val="000000"/>
          <w:sz w:val="28"/>
          <w:szCs w:val="28"/>
          <w:lang w:val="en-US"/>
        </w:rPr>
        <w:t>e</w:t>
      </w:r>
      <w:r w:rsidRPr="00D83BD4">
        <w:rPr>
          <w:color w:val="000000"/>
          <w:sz w:val="28"/>
          <w:szCs w:val="28"/>
        </w:rPr>
        <w:t xml:space="preserve">008226. </w:t>
      </w:r>
      <w:r w:rsidRPr="00D83BD4">
        <w:rPr>
          <w:color w:val="000000"/>
          <w:sz w:val="28"/>
          <w:szCs w:val="28"/>
          <w:lang w:val="en-US"/>
        </w:rPr>
        <w:t>doi</w:t>
      </w:r>
      <w:r w:rsidRPr="00D83BD4">
        <w:rPr>
          <w:color w:val="000000"/>
          <w:sz w:val="28"/>
          <w:szCs w:val="28"/>
        </w:rPr>
        <w:t>: 10.1161/</w:t>
      </w:r>
      <w:r w:rsidRPr="00D83BD4">
        <w:rPr>
          <w:color w:val="000000"/>
          <w:sz w:val="28"/>
          <w:szCs w:val="28"/>
          <w:lang w:val="en-US"/>
        </w:rPr>
        <w:t>JAHA</w:t>
      </w:r>
      <w:r w:rsidRPr="00D83BD4">
        <w:rPr>
          <w:color w:val="000000"/>
          <w:sz w:val="28"/>
          <w:szCs w:val="28"/>
        </w:rPr>
        <w:t>.117.008226</w:t>
      </w:r>
      <w:r w:rsidRPr="00D83BD4">
        <w:rPr>
          <w:color w:val="000000"/>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bCs/>
          <w:sz w:val="28"/>
          <w:szCs w:val="28"/>
          <w:lang w:val="en-US"/>
        </w:rPr>
        <w:t xml:space="preserve">Tian L, Shao F, Qin Y, </w:t>
      </w:r>
      <w:r w:rsidRPr="00D83BD4">
        <w:rPr>
          <w:color w:val="212121"/>
          <w:sz w:val="28"/>
          <w:szCs w:val="28"/>
          <w:shd w:val="clear" w:color="auto" w:fill="FFFFFF"/>
          <w:lang w:val="en-US"/>
        </w:rPr>
        <w:t xml:space="preserve">  </w:t>
      </w:r>
      <w:r w:rsidRPr="00D83BD4">
        <w:rPr>
          <w:sz w:val="28"/>
          <w:szCs w:val="28"/>
          <w:shd w:val="clear" w:color="auto" w:fill="FFFFFF"/>
          <w:lang w:val="en-US"/>
        </w:rPr>
        <w:t>Guo Q, Gao C.</w:t>
      </w:r>
      <w:r w:rsidRPr="00D83BD4">
        <w:rPr>
          <w:color w:val="212121"/>
          <w:sz w:val="28"/>
          <w:szCs w:val="28"/>
          <w:shd w:val="clear" w:color="auto" w:fill="FFFFFF"/>
          <w:lang w:val="en-US"/>
        </w:rPr>
        <w:t xml:space="preserve"> </w:t>
      </w:r>
      <w:r w:rsidRPr="00D83BD4">
        <w:rPr>
          <w:bCs/>
          <w:sz w:val="28"/>
          <w:szCs w:val="28"/>
          <w:lang w:val="en-US"/>
        </w:rPr>
        <w:t xml:space="preserve">Hypothyroidism and related diseases: a methodological quality assessment of metaanalysis. </w:t>
      </w:r>
      <w:r w:rsidRPr="00D83BD4">
        <w:rPr>
          <w:bCs/>
          <w:sz w:val="28"/>
          <w:szCs w:val="28"/>
        </w:rPr>
        <w:t>BMJ Open 2019;</w:t>
      </w:r>
      <w:r w:rsidRPr="00D83BD4">
        <w:rPr>
          <w:sz w:val="28"/>
          <w:szCs w:val="28"/>
          <w:shd w:val="clear" w:color="auto" w:fill="FFFFFF"/>
        </w:rPr>
        <w:t>30;9(3):e024111. doi: 10.1136/bmjopen-2018-024111</w:t>
      </w:r>
    </w:p>
    <w:p w:rsidR="00E3259F" w:rsidRPr="00D83BD4" w:rsidRDefault="00E3259F" w:rsidP="00D83BD4">
      <w:pPr>
        <w:numPr>
          <w:ilvl w:val="0"/>
          <w:numId w:val="26"/>
        </w:numPr>
        <w:spacing w:line="360" w:lineRule="auto"/>
        <w:ind w:left="0" w:firstLine="0"/>
        <w:jc w:val="both"/>
        <w:rPr>
          <w:sz w:val="28"/>
          <w:szCs w:val="28"/>
          <w:lang w:val="en-US"/>
        </w:rPr>
      </w:pPr>
      <w:r w:rsidRPr="00D83BD4">
        <w:rPr>
          <w:sz w:val="28"/>
          <w:szCs w:val="28"/>
          <w:lang w:val="en-US"/>
        </w:rPr>
        <w:t xml:space="preserve">Tognini S, Pasqualetti G, Calsolaro V, Polini A, Caraccio N, Monzani F. Cardiovascular risk and quality of life in elderly people with mild thyroid hormone deficiency. </w:t>
      </w:r>
      <w:r w:rsidRPr="00D83BD4">
        <w:rPr>
          <w:sz w:val="28"/>
          <w:szCs w:val="28"/>
        </w:rPr>
        <w:t>Front Endocrinol (Lausanne). 2014;5:153. doi: 10.3389/fendo.2014.00153</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Tognini</w:t>
      </w:r>
      <w:r w:rsidRPr="00D83BD4">
        <w:rPr>
          <w:sz w:val="28"/>
          <w:szCs w:val="28"/>
          <w:lang w:val="uk-UA"/>
        </w:rPr>
        <w:t xml:space="preserve"> </w:t>
      </w:r>
      <w:r w:rsidRPr="00D83BD4">
        <w:rPr>
          <w:sz w:val="28"/>
          <w:szCs w:val="28"/>
          <w:lang w:val="en-US"/>
        </w:rPr>
        <w:t>S</w:t>
      </w:r>
      <w:r w:rsidRPr="00D83BD4">
        <w:rPr>
          <w:sz w:val="28"/>
          <w:szCs w:val="28"/>
          <w:lang w:val="uk-UA"/>
        </w:rPr>
        <w:t xml:space="preserve">, </w:t>
      </w:r>
      <w:r w:rsidRPr="00D83BD4">
        <w:rPr>
          <w:sz w:val="28"/>
          <w:szCs w:val="28"/>
          <w:lang w:val="en-US"/>
        </w:rPr>
        <w:t>Polini</w:t>
      </w:r>
      <w:r w:rsidRPr="00D83BD4">
        <w:rPr>
          <w:sz w:val="28"/>
          <w:szCs w:val="28"/>
          <w:lang w:val="uk-UA"/>
        </w:rPr>
        <w:t xml:space="preserve"> </w:t>
      </w:r>
      <w:r w:rsidRPr="00D83BD4">
        <w:rPr>
          <w:sz w:val="28"/>
          <w:szCs w:val="28"/>
          <w:lang w:val="en-US"/>
        </w:rPr>
        <w:t>A</w:t>
      </w:r>
      <w:r w:rsidRPr="00D83BD4">
        <w:rPr>
          <w:sz w:val="28"/>
          <w:szCs w:val="28"/>
          <w:lang w:val="uk-UA"/>
        </w:rPr>
        <w:t xml:space="preserve">, </w:t>
      </w:r>
      <w:r w:rsidRPr="00D83BD4">
        <w:rPr>
          <w:sz w:val="28"/>
          <w:szCs w:val="28"/>
          <w:lang w:val="en-US"/>
        </w:rPr>
        <w:t>Pasqualetti</w:t>
      </w:r>
      <w:r w:rsidRPr="00D83BD4">
        <w:rPr>
          <w:sz w:val="28"/>
          <w:szCs w:val="28"/>
          <w:lang w:val="uk-UA"/>
        </w:rPr>
        <w:t xml:space="preserve"> </w:t>
      </w:r>
      <w:r w:rsidRPr="00D83BD4">
        <w:rPr>
          <w:sz w:val="28"/>
          <w:szCs w:val="28"/>
          <w:lang w:val="en-US"/>
        </w:rPr>
        <w:t>G</w:t>
      </w:r>
      <w:r w:rsidRPr="00D83BD4">
        <w:rPr>
          <w:sz w:val="28"/>
          <w:szCs w:val="28"/>
          <w:lang w:val="uk-UA"/>
        </w:rPr>
        <w:t xml:space="preserve">, </w:t>
      </w:r>
      <w:r w:rsidRPr="00D83BD4">
        <w:rPr>
          <w:sz w:val="28"/>
          <w:szCs w:val="28"/>
          <w:lang w:val="en-US"/>
        </w:rPr>
        <w:t xml:space="preserve">Ursino S, Caraccio N, Ferdeghini M, et al. Age and gender substantially influence the rela-tionship between thyroid status and the lipo-protein profile: results from a large cross-sectional study. </w:t>
      </w:r>
      <w:r w:rsidRPr="00D83BD4">
        <w:rPr>
          <w:sz w:val="28"/>
          <w:szCs w:val="28"/>
        </w:rPr>
        <w:t>Thyroid. 2012;22: 1096</w:t>
      </w:r>
      <w:r w:rsidRPr="00D83BD4">
        <w:rPr>
          <w:sz w:val="28"/>
          <w:szCs w:val="28"/>
          <w:lang w:val="en-US"/>
        </w:rPr>
        <w:t>-</w:t>
      </w:r>
      <w:r w:rsidRPr="00D83BD4">
        <w:rPr>
          <w:sz w:val="28"/>
          <w:szCs w:val="28"/>
        </w:rPr>
        <w:t>103.</w:t>
      </w:r>
      <w:r w:rsidRPr="00D83BD4">
        <w:rPr>
          <w:sz w:val="28"/>
          <w:szCs w:val="28"/>
          <w:shd w:val="clear" w:color="auto" w:fill="FFFFFF"/>
        </w:rPr>
        <w:t xml:space="preserve"> doi: 10.1089/thy.2012.0013.</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Tsai TY, Tu YK, Munir KM, Lin SM, Chang RH, Kao SL, et al. Association of hypothyroidism and mortality in the elderly population: A systematic review and meta-analysis. J Clin Endocrinol Metab. 2019</w:t>
      </w:r>
      <w:r w:rsidRPr="00D83BD4">
        <w:rPr>
          <w:color w:val="212121"/>
          <w:sz w:val="28"/>
          <w:szCs w:val="28"/>
          <w:shd w:val="clear" w:color="auto" w:fill="FFFFFF"/>
        </w:rPr>
        <w:t>;</w:t>
      </w:r>
      <w:r w:rsidRPr="00D83BD4">
        <w:rPr>
          <w:sz w:val="28"/>
          <w:szCs w:val="28"/>
        </w:rPr>
        <w:t>105(6):dgz186. doi: 10.1210/clinem/dgz186</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lang w:val="en-US"/>
        </w:rPr>
        <w:t>Turner  KJ, Vasu  V, Griffin  DK. Telomere Biology and Human Phenotype. </w:t>
      </w:r>
      <w:r w:rsidRPr="00D83BD4">
        <w:rPr>
          <w:sz w:val="28"/>
          <w:szCs w:val="28"/>
        </w:rPr>
        <w:t>Cells. 2019</w:t>
      </w:r>
      <w:r w:rsidRPr="00D83BD4">
        <w:rPr>
          <w:sz w:val="28"/>
          <w:szCs w:val="28"/>
          <w:lang w:val="en-US"/>
        </w:rPr>
        <w:t>;</w:t>
      </w:r>
      <w:r w:rsidRPr="00D83BD4">
        <w:rPr>
          <w:sz w:val="28"/>
          <w:szCs w:val="28"/>
        </w:rPr>
        <w:t>8(1):73. doi: 10.3390/cells8010073</w:t>
      </w:r>
    </w:p>
    <w:p w:rsidR="00E3259F" w:rsidRPr="00D83BD4" w:rsidRDefault="00E3259F" w:rsidP="00D83BD4">
      <w:pPr>
        <w:numPr>
          <w:ilvl w:val="0"/>
          <w:numId w:val="26"/>
        </w:numPr>
        <w:tabs>
          <w:tab w:val="num" w:pos="0"/>
        </w:tabs>
        <w:spacing w:line="360" w:lineRule="auto"/>
        <w:ind w:left="0" w:firstLine="0"/>
        <w:jc w:val="both"/>
        <w:rPr>
          <w:bCs/>
          <w:sz w:val="28"/>
          <w:szCs w:val="28"/>
          <w:lang w:val="en-US"/>
        </w:rPr>
      </w:pPr>
      <w:r w:rsidRPr="00D83BD4">
        <w:rPr>
          <w:sz w:val="28"/>
          <w:szCs w:val="28"/>
          <w:lang w:val="en-US"/>
        </w:rPr>
        <w:t>Tzanetakou</w:t>
      </w:r>
      <w:r w:rsidRPr="00D83BD4">
        <w:rPr>
          <w:sz w:val="28"/>
          <w:szCs w:val="28"/>
          <w:lang w:val="uk-UA"/>
        </w:rPr>
        <w:t xml:space="preserve"> </w:t>
      </w:r>
      <w:r w:rsidRPr="00D83BD4">
        <w:rPr>
          <w:sz w:val="28"/>
          <w:szCs w:val="28"/>
          <w:lang w:val="en-US"/>
        </w:rPr>
        <w:t>IP</w:t>
      </w:r>
      <w:r w:rsidRPr="00D83BD4">
        <w:rPr>
          <w:sz w:val="28"/>
          <w:szCs w:val="28"/>
          <w:lang w:val="uk-UA"/>
        </w:rPr>
        <w:t xml:space="preserve">, </w:t>
      </w:r>
      <w:r w:rsidRPr="00D83BD4">
        <w:rPr>
          <w:sz w:val="28"/>
          <w:szCs w:val="28"/>
          <w:lang w:val="en-US"/>
        </w:rPr>
        <w:t>Katsilambros</w:t>
      </w:r>
      <w:r w:rsidRPr="00D83BD4">
        <w:rPr>
          <w:sz w:val="28"/>
          <w:szCs w:val="28"/>
          <w:lang w:val="uk-UA"/>
        </w:rPr>
        <w:t xml:space="preserve"> </w:t>
      </w:r>
      <w:r w:rsidRPr="00D83BD4">
        <w:rPr>
          <w:sz w:val="28"/>
          <w:szCs w:val="28"/>
          <w:lang w:val="en-US"/>
        </w:rPr>
        <w:t>NL</w:t>
      </w:r>
      <w:r w:rsidRPr="00D83BD4">
        <w:rPr>
          <w:sz w:val="28"/>
          <w:szCs w:val="28"/>
          <w:lang w:val="uk-UA"/>
        </w:rPr>
        <w:t xml:space="preserve">, </w:t>
      </w:r>
      <w:r w:rsidRPr="00D83BD4">
        <w:rPr>
          <w:sz w:val="28"/>
          <w:szCs w:val="28"/>
          <w:lang w:val="en-US"/>
        </w:rPr>
        <w:t>Benetos</w:t>
      </w:r>
      <w:r w:rsidRPr="00D83BD4">
        <w:rPr>
          <w:sz w:val="28"/>
          <w:szCs w:val="28"/>
          <w:lang w:val="uk-UA"/>
        </w:rPr>
        <w:t xml:space="preserve"> </w:t>
      </w:r>
      <w:r w:rsidRPr="00D83BD4">
        <w:rPr>
          <w:sz w:val="28"/>
          <w:szCs w:val="28"/>
          <w:lang w:val="en-US"/>
        </w:rPr>
        <w:t>A</w:t>
      </w:r>
      <w:r w:rsidRPr="00D83BD4">
        <w:rPr>
          <w:sz w:val="28"/>
          <w:szCs w:val="28"/>
          <w:lang w:val="uk-UA"/>
        </w:rPr>
        <w:t xml:space="preserve">, </w:t>
      </w:r>
      <w:r w:rsidRPr="00D83BD4">
        <w:rPr>
          <w:sz w:val="28"/>
          <w:szCs w:val="28"/>
          <w:lang w:val="en-US"/>
        </w:rPr>
        <w:t>et</w:t>
      </w:r>
      <w:r w:rsidRPr="00D83BD4">
        <w:rPr>
          <w:sz w:val="28"/>
          <w:szCs w:val="28"/>
          <w:lang w:val="uk-UA"/>
        </w:rPr>
        <w:t xml:space="preserve"> </w:t>
      </w:r>
      <w:r w:rsidRPr="00D83BD4">
        <w:rPr>
          <w:sz w:val="28"/>
          <w:szCs w:val="28"/>
          <w:lang w:val="en-US"/>
        </w:rPr>
        <w:t>al</w:t>
      </w:r>
      <w:r w:rsidRPr="00D83BD4">
        <w:rPr>
          <w:sz w:val="28"/>
          <w:szCs w:val="28"/>
          <w:lang w:val="uk-UA"/>
        </w:rPr>
        <w:t xml:space="preserve">. </w:t>
      </w:r>
      <w:r w:rsidRPr="00D83BD4">
        <w:rPr>
          <w:sz w:val="28"/>
          <w:szCs w:val="28"/>
          <w:lang w:val="en-US"/>
        </w:rPr>
        <w:t>«Is obesity linked to aging?»: adipose tissue and the role of telomeres. Ageing Res  Rev. 2012; 11(2):220-9.</w:t>
      </w:r>
      <w:r w:rsidRPr="00D83BD4">
        <w:rPr>
          <w:sz w:val="28"/>
          <w:szCs w:val="28"/>
          <w:shd w:val="clear" w:color="auto" w:fill="FFFFFF"/>
        </w:rPr>
        <w:t xml:space="preserve"> doi: 10.1016/j.arr.2011.12.003.</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lang w:val="en-US"/>
        </w:rPr>
        <w:t>Uçaktürk SA, Alışık M, Uğur Ç, Elmaoğulları S, Mengen E, Erel Ö.</w:t>
      </w:r>
      <w:r w:rsidRPr="00D83BD4">
        <w:rPr>
          <w:bCs/>
          <w:color w:val="000000"/>
          <w:kern w:val="36"/>
          <w:sz w:val="28"/>
          <w:szCs w:val="28"/>
          <w:lang w:val="uk-UA"/>
        </w:rPr>
        <w:t xml:space="preserve"> </w:t>
      </w:r>
      <w:r w:rsidRPr="00D83BD4">
        <w:rPr>
          <w:bCs/>
          <w:color w:val="000000"/>
          <w:kern w:val="36"/>
          <w:sz w:val="28"/>
          <w:szCs w:val="28"/>
          <w:lang w:val="en-US"/>
        </w:rPr>
        <w:t>Dynamic Thiol/Disulphide Homeostasis in Children and Adolescents with Non-Autoimmune Subclinical Hypothyroidism.</w:t>
      </w:r>
      <w:r w:rsidRPr="00D83BD4">
        <w:rPr>
          <w:color w:val="000000"/>
          <w:sz w:val="28"/>
          <w:szCs w:val="28"/>
          <w:lang w:val="en-US"/>
        </w:rPr>
        <w:t xml:space="preserve"> </w:t>
      </w:r>
      <w:r w:rsidRPr="00D83BD4">
        <w:rPr>
          <w:sz w:val="28"/>
          <w:szCs w:val="28"/>
        </w:rPr>
        <w:t>Med Princ Pract.</w:t>
      </w:r>
      <w:r w:rsidRPr="00D83BD4">
        <w:rPr>
          <w:color w:val="000000"/>
          <w:sz w:val="28"/>
          <w:szCs w:val="28"/>
          <w:lang w:val="en-US"/>
        </w:rPr>
        <w:t> </w:t>
      </w:r>
      <w:r w:rsidRPr="00D83BD4">
        <w:rPr>
          <w:color w:val="000000"/>
          <w:sz w:val="28"/>
          <w:szCs w:val="28"/>
        </w:rPr>
        <w:t>2018;27(1):44-48.</w:t>
      </w:r>
      <w:r w:rsidRPr="00D83BD4">
        <w:rPr>
          <w:sz w:val="28"/>
          <w:szCs w:val="28"/>
        </w:rPr>
        <w:t xml:space="preserve"> </w:t>
      </w:r>
      <w:r w:rsidRPr="002E0FFA">
        <w:rPr>
          <w:sz w:val="28"/>
          <w:szCs w:val="28"/>
          <w:bdr w:val="none" w:sz="0" w:space="0" w:color="auto" w:frame="1"/>
          <w:shd w:val="clear" w:color="auto" w:fill="FFFFFF"/>
        </w:rPr>
        <w:t>doi.org/10.1159/000487138</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lang w:val="en-US"/>
        </w:rPr>
        <w:t>Ungvari Z, Tarantini S, Kiss T, Wren JD, Giles CB, Griffin CT, et al. Endothelial dysfunction and angiogenesis impairment in the ageing vasculature. Nat Rev Cardiol.</w:t>
      </w:r>
      <w:r w:rsidRPr="00D83BD4">
        <w:rPr>
          <w:color w:val="000000"/>
          <w:sz w:val="28"/>
          <w:szCs w:val="28"/>
          <w:lang w:val="en-US"/>
        </w:rPr>
        <w:t xml:space="preserve"> 2018;15(9):555-565. doi: 10.1038/s41569-018-0030-z </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color w:val="303030"/>
          <w:sz w:val="28"/>
          <w:szCs w:val="28"/>
          <w:shd w:val="clear" w:color="auto" w:fill="FFFFFF"/>
          <w:lang w:val="en-US"/>
        </w:rPr>
        <w:t xml:space="preserve">Urbaniak SK, Boguszewska K, Szewczuk M, Kaźmierczak-Barańska J, </w:t>
      </w:r>
      <w:r w:rsidRPr="00D83BD4">
        <w:rPr>
          <w:sz w:val="28"/>
          <w:szCs w:val="28"/>
          <w:shd w:val="clear" w:color="auto" w:fill="FFFFFF"/>
          <w:lang w:val="en-US"/>
        </w:rPr>
        <w:t>Karwowski BT. 8-Oxo-7,8-Dihydro-2'-Deoxyguanosine (8-oxodG) and 8-Hydroxy-2'-Deoxyguanosine (8-OHdG) as a Potential Biomarker for Gestational Diabetes Mellitus (GDM) Development. Molecules.2020;25(1):202. doi:10.3390/molecules25010202</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van 't Klooster CC,</w:t>
      </w:r>
      <w:r w:rsidRPr="00D83BD4">
        <w:rPr>
          <w:sz w:val="28"/>
          <w:szCs w:val="28"/>
          <w:lang w:val="uk-UA"/>
        </w:rPr>
        <w:t xml:space="preserve"> </w:t>
      </w:r>
      <w:r w:rsidRPr="00D83BD4">
        <w:rPr>
          <w:sz w:val="28"/>
          <w:szCs w:val="28"/>
          <w:lang w:val="en-US"/>
        </w:rPr>
        <w:t>van der Graaf Y,</w:t>
      </w:r>
      <w:r w:rsidRPr="00D83BD4">
        <w:rPr>
          <w:sz w:val="28"/>
          <w:szCs w:val="28"/>
          <w:lang w:val="uk-UA"/>
        </w:rPr>
        <w:t xml:space="preserve"> </w:t>
      </w:r>
      <w:r w:rsidRPr="00D83BD4">
        <w:rPr>
          <w:sz w:val="28"/>
          <w:szCs w:val="28"/>
          <w:lang w:val="en-US"/>
        </w:rPr>
        <w:t>Ridker PM,</w:t>
      </w:r>
      <w:r w:rsidRPr="00D83BD4">
        <w:rPr>
          <w:sz w:val="28"/>
          <w:szCs w:val="28"/>
          <w:lang w:val="uk-UA"/>
        </w:rPr>
        <w:t xml:space="preserve"> </w:t>
      </w:r>
      <w:r w:rsidRPr="00D83BD4">
        <w:rPr>
          <w:sz w:val="28"/>
          <w:szCs w:val="28"/>
          <w:lang w:val="en-US"/>
        </w:rPr>
        <w:t>Westerink J,</w:t>
      </w:r>
      <w:r w:rsidRPr="00D83BD4">
        <w:rPr>
          <w:sz w:val="28"/>
          <w:szCs w:val="28"/>
          <w:lang w:val="uk-UA"/>
        </w:rPr>
        <w:t xml:space="preserve"> </w:t>
      </w:r>
      <w:r w:rsidRPr="00D83BD4">
        <w:rPr>
          <w:sz w:val="28"/>
          <w:szCs w:val="28"/>
          <w:lang w:val="en-US"/>
        </w:rPr>
        <w:t>Hjortnaes J,</w:t>
      </w:r>
      <w:r w:rsidRPr="00D83BD4">
        <w:rPr>
          <w:sz w:val="28"/>
          <w:szCs w:val="28"/>
          <w:lang w:val="uk-UA"/>
        </w:rPr>
        <w:t xml:space="preserve"> </w:t>
      </w:r>
      <w:r w:rsidRPr="00D83BD4">
        <w:rPr>
          <w:sz w:val="28"/>
          <w:szCs w:val="28"/>
          <w:lang w:val="en-US"/>
        </w:rPr>
        <w:t>Sluijs I,</w:t>
      </w:r>
      <w:r w:rsidRPr="00D83BD4">
        <w:rPr>
          <w:sz w:val="28"/>
          <w:szCs w:val="28"/>
          <w:lang w:val="uk-UA"/>
        </w:rPr>
        <w:t xml:space="preserve"> </w:t>
      </w:r>
      <w:r w:rsidRPr="00D83BD4">
        <w:rPr>
          <w:sz w:val="28"/>
          <w:szCs w:val="28"/>
          <w:lang w:val="en-US"/>
        </w:rPr>
        <w:t>et al.;</w:t>
      </w:r>
      <w:r w:rsidRPr="00D83BD4">
        <w:rPr>
          <w:sz w:val="28"/>
          <w:szCs w:val="28"/>
          <w:lang w:val="uk-UA"/>
        </w:rPr>
        <w:t xml:space="preserve"> </w:t>
      </w:r>
      <w:r w:rsidRPr="00D83BD4">
        <w:rPr>
          <w:sz w:val="28"/>
          <w:szCs w:val="28"/>
          <w:lang w:val="en-US"/>
        </w:rPr>
        <w:t>UCC-SMART study group. The relation between healthy lifestyle changes and decrease in systemic inflammation in patients with stable</w:t>
      </w:r>
      <w:r w:rsidRPr="00D83BD4">
        <w:rPr>
          <w:sz w:val="28"/>
          <w:szCs w:val="28"/>
          <w:lang w:val="uk-UA"/>
        </w:rPr>
        <w:t xml:space="preserve"> </w:t>
      </w:r>
      <w:r w:rsidRPr="00D83BD4">
        <w:rPr>
          <w:sz w:val="28"/>
          <w:szCs w:val="28"/>
          <w:lang w:val="en-US"/>
        </w:rPr>
        <w:t>cardiovascular</w:t>
      </w:r>
      <w:r w:rsidRPr="00D83BD4">
        <w:rPr>
          <w:sz w:val="28"/>
          <w:szCs w:val="28"/>
          <w:lang w:val="uk-UA"/>
        </w:rPr>
        <w:t xml:space="preserve"> </w:t>
      </w:r>
      <w:r w:rsidRPr="00D83BD4">
        <w:rPr>
          <w:sz w:val="28"/>
          <w:szCs w:val="28"/>
          <w:lang w:val="en-US"/>
        </w:rPr>
        <w:t>disease. Atherosclerosis.</w:t>
      </w:r>
      <w:r w:rsidRPr="00D83BD4">
        <w:rPr>
          <w:sz w:val="28"/>
          <w:szCs w:val="28"/>
          <w:lang w:val="uk-UA"/>
        </w:rPr>
        <w:t xml:space="preserve"> </w:t>
      </w:r>
      <w:r w:rsidRPr="00D83BD4">
        <w:rPr>
          <w:sz w:val="28"/>
          <w:szCs w:val="28"/>
          <w:lang w:val="en-US"/>
        </w:rPr>
        <w:t xml:space="preserve">2020;301:37-43. doi: 10.1016/j.atherosclerosis.2020.03.022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Viscogliosi G, Donfrancesco C, Lo Noce C, Vanuzzo D, Carle F, Giampaoli S, Palmieri L. Prevalence and Correlates of Statin Underuse for Secondary Prevention of Cardiovascular Disease in Older Adults 65-79 Years of Age: The Italian Health Examination Survey 2008-2012. </w:t>
      </w:r>
      <w:r w:rsidRPr="00D83BD4">
        <w:rPr>
          <w:sz w:val="28"/>
          <w:szCs w:val="28"/>
        </w:rPr>
        <w:t>Rejuvenation Res. 2020. doi: 10.1089/rej.2019.2268</w:t>
      </w:r>
      <w:r w:rsidRPr="00D83BD4">
        <w:rPr>
          <w:sz w:val="28"/>
          <w:szCs w:val="28"/>
          <w:lang w:val="en-US"/>
        </w:rPr>
        <w:t xml:space="preserve"> </w:t>
      </w:r>
    </w:p>
    <w:p w:rsidR="00E3259F" w:rsidRPr="00D83BD4" w:rsidRDefault="00E3259F" w:rsidP="00D83BD4">
      <w:pPr>
        <w:numPr>
          <w:ilvl w:val="0"/>
          <w:numId w:val="26"/>
        </w:numPr>
        <w:tabs>
          <w:tab w:val="num" w:pos="0"/>
        </w:tabs>
        <w:spacing w:line="360" w:lineRule="auto"/>
        <w:ind w:left="0" w:firstLine="0"/>
        <w:jc w:val="both"/>
        <w:rPr>
          <w:bCs/>
          <w:sz w:val="28"/>
          <w:szCs w:val="28"/>
        </w:rPr>
      </w:pPr>
      <w:r w:rsidRPr="00D83BD4">
        <w:rPr>
          <w:bCs/>
          <w:sz w:val="28"/>
          <w:szCs w:val="28"/>
          <w:lang w:val="en-US"/>
        </w:rPr>
        <w:t xml:space="preserve">Vishram JK, Borglykke A, Andreasen AH, </w:t>
      </w:r>
      <w:r w:rsidRPr="00D83BD4">
        <w:rPr>
          <w:sz w:val="28"/>
          <w:szCs w:val="28"/>
          <w:shd w:val="clear" w:color="auto" w:fill="FFFFFF"/>
          <w:lang w:val="en-US"/>
        </w:rPr>
        <w:t>Jeppesen J, Ibsen H, Jørgensen T,</w:t>
      </w:r>
      <w:r w:rsidRPr="00D83BD4">
        <w:rPr>
          <w:color w:val="212121"/>
          <w:sz w:val="28"/>
          <w:szCs w:val="28"/>
          <w:shd w:val="clear" w:color="auto" w:fill="FFFFFF"/>
          <w:lang w:val="en-US"/>
        </w:rPr>
        <w:t xml:space="preserve"> </w:t>
      </w:r>
      <w:r w:rsidRPr="00D83BD4">
        <w:rPr>
          <w:bCs/>
          <w:sz w:val="28"/>
          <w:szCs w:val="28"/>
          <w:lang w:val="en-US"/>
        </w:rPr>
        <w:t xml:space="preserve">et al, MORGAM Project. Impact of age on the importance of systolic and diastolic blood pressures for stroke risk: the MOnica, Risk, Genetics, Archiving, and Monograph (MORGAM) project. Hypertension. 2012;60(5):1117-23. </w:t>
      </w:r>
    </w:p>
    <w:p w:rsidR="00E3259F" w:rsidRPr="00D83BD4" w:rsidRDefault="00E3259F" w:rsidP="00D83BD4">
      <w:pPr>
        <w:numPr>
          <w:ilvl w:val="0"/>
          <w:numId w:val="26"/>
        </w:numPr>
        <w:tabs>
          <w:tab w:val="num" w:pos="0"/>
        </w:tabs>
        <w:spacing w:line="360" w:lineRule="auto"/>
        <w:ind w:left="0" w:firstLine="0"/>
        <w:jc w:val="both"/>
        <w:rPr>
          <w:rStyle w:val="element-citation"/>
          <w:sz w:val="28"/>
          <w:szCs w:val="28"/>
          <w:lang w:val="en-US"/>
        </w:rPr>
      </w:pPr>
      <w:r w:rsidRPr="00D83BD4">
        <w:rPr>
          <w:sz w:val="28"/>
          <w:szCs w:val="28"/>
          <w:shd w:val="clear" w:color="auto" w:fill="FFFFFF"/>
          <w:lang w:val="en-US"/>
        </w:rPr>
        <w:t>Vural P, Kabaca G, Firat RD, Degirmencioglu S. Administration of Selenium Decreases Lipid Peroxidation and Increases Vascular Endothelial Growth Factor in Streptozotocin Induced Diabetes Mellitus. Cell J. 2017;19(3):452-460. doi:10.22074/cellj.2017.4161</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sz w:val="28"/>
          <w:szCs w:val="28"/>
          <w:shd w:val="clear" w:color="auto" w:fill="FFFFFF"/>
          <w:lang w:val="en-US"/>
        </w:rPr>
        <w:t>Wang</w:t>
      </w:r>
      <w:r w:rsidRPr="00D83BD4">
        <w:rPr>
          <w:sz w:val="28"/>
          <w:szCs w:val="28"/>
          <w:shd w:val="clear" w:color="auto" w:fill="FFFFFF"/>
          <w:lang w:val="uk-UA"/>
        </w:rPr>
        <w:t xml:space="preserve">  </w:t>
      </w:r>
      <w:r w:rsidRPr="00D83BD4">
        <w:rPr>
          <w:sz w:val="28"/>
          <w:szCs w:val="28"/>
          <w:shd w:val="clear" w:color="auto" w:fill="FFFFFF"/>
          <w:lang w:val="en-US"/>
        </w:rPr>
        <w:t>C</w:t>
      </w:r>
      <w:r w:rsidRPr="00D83BD4">
        <w:rPr>
          <w:sz w:val="28"/>
          <w:szCs w:val="28"/>
          <w:shd w:val="clear" w:color="auto" w:fill="FFFFFF"/>
          <w:lang w:val="uk-UA"/>
        </w:rPr>
        <w:t xml:space="preserve">, </w:t>
      </w:r>
      <w:r w:rsidRPr="00D83BD4">
        <w:rPr>
          <w:sz w:val="28"/>
          <w:szCs w:val="28"/>
          <w:shd w:val="clear" w:color="auto" w:fill="FFFFFF"/>
          <w:lang w:val="en-US"/>
        </w:rPr>
        <w:t>Yu</w:t>
      </w:r>
      <w:r w:rsidRPr="00D83BD4">
        <w:rPr>
          <w:sz w:val="28"/>
          <w:szCs w:val="28"/>
          <w:shd w:val="clear" w:color="auto" w:fill="FFFFFF"/>
          <w:lang w:val="uk-UA"/>
        </w:rPr>
        <w:t xml:space="preserve">  </w:t>
      </w:r>
      <w:r w:rsidRPr="00D83BD4">
        <w:rPr>
          <w:sz w:val="28"/>
          <w:szCs w:val="28"/>
          <w:shd w:val="clear" w:color="auto" w:fill="FFFFFF"/>
          <w:lang w:val="en-US"/>
        </w:rPr>
        <w:t>T</w:t>
      </w:r>
      <w:r w:rsidRPr="00D83BD4">
        <w:rPr>
          <w:sz w:val="28"/>
          <w:szCs w:val="28"/>
          <w:shd w:val="clear" w:color="auto" w:fill="FFFFFF"/>
          <w:lang w:val="uk-UA"/>
        </w:rPr>
        <w:t xml:space="preserve">, </w:t>
      </w:r>
      <w:r w:rsidRPr="00D83BD4">
        <w:rPr>
          <w:sz w:val="28"/>
          <w:szCs w:val="28"/>
          <w:shd w:val="clear" w:color="auto" w:fill="FFFFFF"/>
          <w:lang w:val="en-US"/>
        </w:rPr>
        <w:t>Shih</w:t>
      </w:r>
      <w:r w:rsidRPr="00D83BD4">
        <w:rPr>
          <w:sz w:val="28"/>
          <w:szCs w:val="28"/>
          <w:shd w:val="clear" w:color="auto" w:fill="FFFFFF"/>
          <w:lang w:val="uk-UA"/>
        </w:rPr>
        <w:t xml:space="preserve">  </w:t>
      </w:r>
      <w:r w:rsidRPr="00D83BD4">
        <w:rPr>
          <w:sz w:val="28"/>
          <w:szCs w:val="28"/>
          <w:shd w:val="clear" w:color="auto" w:fill="FFFFFF"/>
          <w:lang w:val="en-US"/>
        </w:rPr>
        <w:t>S,  Huang KC, Chang TC.</w:t>
      </w:r>
      <w:r w:rsidRPr="00D83BD4">
        <w:rPr>
          <w:color w:val="212121"/>
          <w:sz w:val="28"/>
          <w:szCs w:val="28"/>
          <w:shd w:val="clear" w:color="auto" w:fill="FFFFFF"/>
          <w:lang w:val="en-US"/>
        </w:rPr>
        <w:t xml:space="preserve"> </w:t>
      </w:r>
      <w:r w:rsidRPr="00D83BD4">
        <w:rPr>
          <w:sz w:val="28"/>
          <w:szCs w:val="28"/>
          <w:shd w:val="clear" w:color="auto" w:fill="FFFFFF"/>
          <w:lang w:val="en-US"/>
        </w:rPr>
        <w:t>Low total and free triiodothyronine levels are associated with insulin resistance in non-diabetic individuals. Sci Rep</w:t>
      </w:r>
      <w:r w:rsidRPr="00D83BD4">
        <w:rPr>
          <w:sz w:val="28"/>
          <w:szCs w:val="28"/>
          <w:shd w:val="clear" w:color="auto" w:fill="FFFFFF"/>
        </w:rPr>
        <w:t>.</w:t>
      </w:r>
      <w:r w:rsidRPr="00D83BD4">
        <w:rPr>
          <w:i/>
          <w:iCs/>
          <w:sz w:val="28"/>
          <w:szCs w:val="28"/>
          <w:shd w:val="clear" w:color="auto" w:fill="FFFFFF"/>
        </w:rPr>
        <w:t xml:space="preserve"> </w:t>
      </w:r>
      <w:r w:rsidRPr="00D83BD4">
        <w:rPr>
          <w:sz w:val="28"/>
          <w:szCs w:val="28"/>
          <w:shd w:val="clear" w:color="auto" w:fill="FFFFFF"/>
          <w:lang w:val="en-US"/>
        </w:rPr>
        <w:t>2018</w:t>
      </w:r>
      <w:r w:rsidRPr="00D83BD4">
        <w:rPr>
          <w:sz w:val="28"/>
          <w:szCs w:val="28"/>
          <w:shd w:val="clear" w:color="auto" w:fill="FFFFFF"/>
        </w:rPr>
        <w:t>;</w:t>
      </w:r>
      <w:r w:rsidRPr="00D83BD4">
        <w:rPr>
          <w:bCs/>
          <w:sz w:val="28"/>
          <w:szCs w:val="28"/>
          <w:shd w:val="clear" w:color="auto" w:fill="FFFFFF"/>
          <w:lang w:val="en-US"/>
        </w:rPr>
        <w:t>8(1)</w:t>
      </w:r>
      <w:r w:rsidRPr="00D83BD4">
        <w:rPr>
          <w:bCs/>
          <w:sz w:val="28"/>
          <w:szCs w:val="28"/>
          <w:shd w:val="clear" w:color="auto" w:fill="FFFFFF"/>
        </w:rPr>
        <w:t>:</w:t>
      </w:r>
      <w:r w:rsidRPr="00D83BD4">
        <w:rPr>
          <w:sz w:val="28"/>
          <w:szCs w:val="28"/>
          <w:shd w:val="clear" w:color="auto" w:fill="FFFFFF"/>
          <w:lang w:val="en-US"/>
        </w:rPr>
        <w:t>10685. doi</w:t>
      </w:r>
      <w:r w:rsidRPr="00D83BD4">
        <w:rPr>
          <w:sz w:val="28"/>
          <w:szCs w:val="28"/>
          <w:shd w:val="clear" w:color="auto" w:fill="FFFFFF"/>
        </w:rPr>
        <w:t>:</w:t>
      </w:r>
      <w:r w:rsidRPr="00D83BD4">
        <w:rPr>
          <w:sz w:val="28"/>
          <w:szCs w:val="28"/>
          <w:shd w:val="clear" w:color="auto" w:fill="FFFFFF"/>
          <w:lang w:val="en-US"/>
        </w:rPr>
        <w:t>10.1038/s41598-018-29087-1</w:t>
      </w:r>
    </w:p>
    <w:p w:rsidR="00E3259F" w:rsidRPr="00D83BD4" w:rsidRDefault="00E3259F" w:rsidP="00D83BD4">
      <w:pPr>
        <w:numPr>
          <w:ilvl w:val="0"/>
          <w:numId w:val="26"/>
        </w:numPr>
        <w:tabs>
          <w:tab w:val="num" w:pos="0"/>
        </w:tabs>
        <w:spacing w:line="360" w:lineRule="auto"/>
        <w:ind w:left="0" w:firstLine="0"/>
        <w:jc w:val="both"/>
        <w:rPr>
          <w:rStyle w:val="element-citation"/>
          <w:sz w:val="28"/>
          <w:szCs w:val="28"/>
        </w:rPr>
      </w:pPr>
      <w:r w:rsidRPr="00D83BD4">
        <w:rPr>
          <w:sz w:val="28"/>
          <w:szCs w:val="28"/>
          <w:lang w:val="en-US"/>
        </w:rPr>
        <w:t>Wang</w:t>
      </w:r>
      <w:r w:rsidRPr="00D83BD4">
        <w:rPr>
          <w:sz w:val="28"/>
          <w:szCs w:val="28"/>
          <w:lang w:val="uk-UA"/>
        </w:rPr>
        <w:t xml:space="preserve"> </w:t>
      </w:r>
      <w:r w:rsidRPr="00D83BD4">
        <w:rPr>
          <w:sz w:val="28"/>
          <w:szCs w:val="28"/>
          <w:lang w:val="en-US"/>
        </w:rPr>
        <w:t>CC</w:t>
      </w:r>
      <w:r w:rsidRPr="00D83BD4">
        <w:rPr>
          <w:sz w:val="28"/>
          <w:szCs w:val="28"/>
          <w:lang w:val="uk-UA"/>
        </w:rPr>
        <w:t xml:space="preserve">, </w:t>
      </w:r>
      <w:r w:rsidRPr="00D83BD4">
        <w:rPr>
          <w:sz w:val="28"/>
          <w:szCs w:val="28"/>
          <w:lang w:val="en-US"/>
        </w:rPr>
        <w:t>Chen</w:t>
      </w:r>
      <w:r w:rsidRPr="00D83BD4">
        <w:rPr>
          <w:sz w:val="28"/>
          <w:szCs w:val="28"/>
          <w:lang w:val="uk-UA"/>
        </w:rPr>
        <w:t xml:space="preserve"> </w:t>
      </w:r>
      <w:r w:rsidRPr="00D83BD4">
        <w:rPr>
          <w:sz w:val="28"/>
          <w:szCs w:val="28"/>
          <w:lang w:val="en-US"/>
        </w:rPr>
        <w:t>WL</w:t>
      </w:r>
      <w:r w:rsidRPr="00D83BD4">
        <w:rPr>
          <w:sz w:val="28"/>
          <w:szCs w:val="28"/>
          <w:lang w:val="uk-UA"/>
        </w:rPr>
        <w:t xml:space="preserve">, </w:t>
      </w:r>
      <w:r w:rsidRPr="00D83BD4">
        <w:rPr>
          <w:sz w:val="28"/>
          <w:szCs w:val="28"/>
          <w:lang w:val="en-US"/>
        </w:rPr>
        <w:t>Liou</w:t>
      </w:r>
      <w:r w:rsidRPr="00D83BD4">
        <w:rPr>
          <w:sz w:val="28"/>
          <w:szCs w:val="28"/>
          <w:lang w:val="uk-UA"/>
        </w:rPr>
        <w:t xml:space="preserve"> </w:t>
      </w:r>
      <w:r w:rsidRPr="00D83BD4">
        <w:rPr>
          <w:sz w:val="28"/>
          <w:szCs w:val="28"/>
          <w:lang w:val="en-US"/>
        </w:rPr>
        <w:t>SH</w:t>
      </w:r>
      <w:r w:rsidRPr="00D83BD4">
        <w:rPr>
          <w:sz w:val="28"/>
          <w:szCs w:val="28"/>
          <w:lang w:val="uk-UA"/>
        </w:rPr>
        <w:t xml:space="preserve">. </w:t>
      </w:r>
      <w:r w:rsidRPr="00D83BD4">
        <w:rPr>
          <w:sz w:val="28"/>
          <w:szCs w:val="28"/>
          <w:lang w:val="en-US"/>
        </w:rPr>
        <w:t>The difference between plasma and urinary 8-hydroxy-2-deoxyguanosine biomarkers measured by liquid chromatrography tandem mass spectrometry. Occup Environ Med. 2016;73:A14.</w:t>
      </w:r>
      <w:r w:rsidRPr="00D83BD4">
        <w:rPr>
          <w:sz w:val="28"/>
          <w:szCs w:val="28"/>
          <w:shd w:val="clear" w:color="auto" w:fill="FFFFFF"/>
        </w:rPr>
        <w:t xml:space="preserve"> doi: 10.1007/s11356-016-6898-4.</w:t>
      </w:r>
    </w:p>
    <w:p w:rsidR="00E3259F" w:rsidRPr="00D83BD4" w:rsidRDefault="00E3259F" w:rsidP="00D83BD4">
      <w:pPr>
        <w:numPr>
          <w:ilvl w:val="0"/>
          <w:numId w:val="26"/>
        </w:numPr>
        <w:tabs>
          <w:tab w:val="num" w:pos="0"/>
        </w:tabs>
        <w:spacing w:line="360" w:lineRule="auto"/>
        <w:ind w:left="0" w:firstLine="0"/>
        <w:jc w:val="both"/>
        <w:rPr>
          <w:sz w:val="28"/>
          <w:szCs w:val="28"/>
        </w:rPr>
      </w:pPr>
      <w:r w:rsidRPr="00D83BD4">
        <w:rPr>
          <w:rStyle w:val="element-citation"/>
          <w:sz w:val="28"/>
          <w:szCs w:val="28"/>
          <w:lang w:val="en-US"/>
        </w:rPr>
        <w:t>Wang</w:t>
      </w:r>
      <w:r w:rsidRPr="00D83BD4">
        <w:rPr>
          <w:rStyle w:val="element-citation"/>
          <w:sz w:val="28"/>
          <w:szCs w:val="28"/>
          <w:lang w:val="uk-UA"/>
        </w:rPr>
        <w:t xml:space="preserve"> </w:t>
      </w:r>
      <w:r w:rsidRPr="00D83BD4">
        <w:rPr>
          <w:rStyle w:val="element-citation"/>
          <w:sz w:val="28"/>
          <w:szCs w:val="28"/>
          <w:lang w:val="en-US"/>
        </w:rPr>
        <w:t>CY</w:t>
      </w:r>
      <w:r w:rsidRPr="00D83BD4">
        <w:rPr>
          <w:rStyle w:val="element-citation"/>
          <w:sz w:val="28"/>
          <w:szCs w:val="28"/>
          <w:lang w:val="uk-UA"/>
        </w:rPr>
        <w:t xml:space="preserve">, </w:t>
      </w:r>
      <w:r w:rsidRPr="00D83BD4">
        <w:rPr>
          <w:rStyle w:val="element-citation"/>
          <w:sz w:val="28"/>
          <w:szCs w:val="28"/>
          <w:lang w:val="en-US"/>
        </w:rPr>
        <w:t>Chang</w:t>
      </w:r>
      <w:r w:rsidRPr="00D83BD4">
        <w:rPr>
          <w:rStyle w:val="element-citation"/>
          <w:sz w:val="28"/>
          <w:szCs w:val="28"/>
          <w:lang w:val="uk-UA"/>
        </w:rPr>
        <w:t xml:space="preserve"> </w:t>
      </w:r>
      <w:r w:rsidRPr="00D83BD4">
        <w:rPr>
          <w:rStyle w:val="element-citation"/>
          <w:sz w:val="28"/>
          <w:szCs w:val="28"/>
          <w:lang w:val="en-US"/>
        </w:rPr>
        <w:t>TC</w:t>
      </w:r>
      <w:r w:rsidRPr="00D83BD4">
        <w:rPr>
          <w:rStyle w:val="element-citation"/>
          <w:sz w:val="28"/>
          <w:szCs w:val="28"/>
          <w:lang w:val="uk-UA"/>
        </w:rPr>
        <w:t xml:space="preserve">, </w:t>
      </w:r>
      <w:r w:rsidRPr="00D83BD4">
        <w:rPr>
          <w:rStyle w:val="element-citation"/>
          <w:sz w:val="28"/>
          <w:szCs w:val="28"/>
          <w:lang w:val="en-US"/>
        </w:rPr>
        <w:t>Chen</w:t>
      </w:r>
      <w:r w:rsidRPr="00D83BD4">
        <w:rPr>
          <w:rStyle w:val="element-citation"/>
          <w:sz w:val="28"/>
          <w:szCs w:val="28"/>
          <w:lang w:val="uk-UA"/>
        </w:rPr>
        <w:t xml:space="preserve"> </w:t>
      </w:r>
      <w:r w:rsidRPr="00D83BD4">
        <w:rPr>
          <w:rStyle w:val="element-citation"/>
          <w:sz w:val="28"/>
          <w:szCs w:val="28"/>
          <w:lang w:val="en-US"/>
        </w:rPr>
        <w:t>MF</w:t>
      </w:r>
      <w:r w:rsidRPr="00D83BD4">
        <w:rPr>
          <w:rStyle w:val="element-citation"/>
          <w:sz w:val="28"/>
          <w:szCs w:val="28"/>
          <w:lang w:val="uk-UA"/>
        </w:rPr>
        <w:t xml:space="preserve">. </w:t>
      </w:r>
      <w:r w:rsidRPr="00D83BD4">
        <w:rPr>
          <w:rStyle w:val="element-citation"/>
          <w:sz w:val="28"/>
          <w:szCs w:val="28"/>
          <w:lang w:val="en-US"/>
        </w:rPr>
        <w:t xml:space="preserve">Associations between subclinical thyroid disease and metabolic syndrome. </w:t>
      </w:r>
      <w:r w:rsidRPr="00D83BD4">
        <w:rPr>
          <w:rStyle w:val="ref-journal"/>
          <w:sz w:val="28"/>
          <w:szCs w:val="28"/>
          <w:lang w:val="en-US"/>
        </w:rPr>
        <w:t xml:space="preserve">Endocrine Journal. </w:t>
      </w:r>
      <w:r w:rsidRPr="00D83BD4">
        <w:rPr>
          <w:rStyle w:val="element-citation"/>
          <w:sz w:val="28"/>
          <w:szCs w:val="28"/>
        </w:rPr>
        <w:t>2012;</w:t>
      </w:r>
      <w:r w:rsidRPr="00D83BD4">
        <w:rPr>
          <w:rStyle w:val="ref-vol"/>
          <w:sz w:val="28"/>
          <w:szCs w:val="28"/>
        </w:rPr>
        <w:t>59</w:t>
      </w:r>
      <w:r w:rsidRPr="00D83BD4">
        <w:rPr>
          <w:rStyle w:val="element-citation"/>
          <w:sz w:val="28"/>
          <w:szCs w:val="28"/>
        </w:rPr>
        <w:t>(10):911–17.</w:t>
      </w:r>
      <w:r w:rsidRPr="00D83BD4">
        <w:rPr>
          <w:sz w:val="28"/>
          <w:szCs w:val="28"/>
          <w:shd w:val="clear" w:color="auto" w:fill="FFFFFF"/>
        </w:rPr>
        <w:t xml:space="preserve"> doi: 10.1507/endocrj.ej12-0076.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Wang J, Dong X, Cao L, Sun Y, Qiu Y, Zhang Y, et al. Association between telomere length and diabetes mellitus: A meta-analysis. </w:t>
      </w:r>
      <w:r w:rsidRPr="00D83BD4">
        <w:rPr>
          <w:sz w:val="28"/>
          <w:szCs w:val="28"/>
        </w:rPr>
        <w:t>J Int Med Res. 2016;44(6):1156-1173. doi: 10.1177/0300060516667132</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sz w:val="28"/>
          <w:szCs w:val="28"/>
          <w:lang w:val="en-US"/>
        </w:rPr>
        <w:t xml:space="preserve">Wang L, Shi W, Gao X, SreeHarsha N, Zhang D. Cardioprotective role of metformin against sodium arsenite-induced oxidative stress, inflammation, and apoptosis. </w:t>
      </w:r>
      <w:r w:rsidRPr="00D83BD4">
        <w:rPr>
          <w:sz w:val="28"/>
          <w:szCs w:val="28"/>
        </w:rPr>
        <w:t>IUBMB Life. </w:t>
      </w:r>
      <w:r w:rsidRPr="00D83BD4">
        <w:rPr>
          <w:sz w:val="28"/>
          <w:szCs w:val="28"/>
          <w:shd w:val="clear" w:color="auto" w:fill="FFFFFF"/>
        </w:rPr>
        <w:t>2020;72(4):749-757. doi: 10.1002/iub.2174</w:t>
      </w:r>
    </w:p>
    <w:p w:rsidR="00E3259F" w:rsidRPr="00D83BD4" w:rsidRDefault="00E3259F" w:rsidP="00D83BD4">
      <w:pPr>
        <w:numPr>
          <w:ilvl w:val="0"/>
          <w:numId w:val="26"/>
        </w:numPr>
        <w:tabs>
          <w:tab w:val="left" w:pos="0"/>
        </w:tabs>
        <w:spacing w:line="360" w:lineRule="auto"/>
        <w:ind w:left="0" w:firstLine="0"/>
        <w:jc w:val="both"/>
        <w:rPr>
          <w:rStyle w:val="tlid-translation"/>
          <w:sz w:val="28"/>
          <w:szCs w:val="28"/>
        </w:rPr>
      </w:pPr>
      <w:r w:rsidRPr="00D83BD4">
        <w:rPr>
          <w:sz w:val="28"/>
          <w:szCs w:val="28"/>
          <w:lang w:val="en-US"/>
        </w:rPr>
        <w:t xml:space="preserve">Wang M, Sui J, Wang S, Wang X. Correlations of carotid intima-media thickness with endothelial function and atherosclerosis degree in patients with type 2 diabetes mellitus. </w:t>
      </w:r>
      <w:r w:rsidRPr="00D83BD4">
        <w:rPr>
          <w:sz w:val="28"/>
          <w:szCs w:val="28"/>
        </w:rPr>
        <w:t>Clin Hemorheol Microcirc.</w:t>
      </w:r>
      <w:r w:rsidRPr="00D83BD4">
        <w:rPr>
          <w:color w:val="000000"/>
          <w:sz w:val="28"/>
          <w:szCs w:val="28"/>
          <w:lang w:val="en-US"/>
        </w:rPr>
        <w:t> </w:t>
      </w:r>
      <w:r w:rsidRPr="00D83BD4">
        <w:rPr>
          <w:color w:val="000000"/>
          <w:sz w:val="28"/>
          <w:szCs w:val="28"/>
        </w:rPr>
        <w:t xml:space="preserve">2019;72(4):431-439. </w:t>
      </w:r>
      <w:r w:rsidRPr="00D83BD4">
        <w:rPr>
          <w:color w:val="000000"/>
          <w:sz w:val="28"/>
          <w:szCs w:val="28"/>
          <w:lang w:val="en-US"/>
        </w:rPr>
        <w:t>doi</w:t>
      </w:r>
      <w:r w:rsidRPr="00D83BD4">
        <w:rPr>
          <w:color w:val="000000"/>
          <w:sz w:val="28"/>
          <w:szCs w:val="28"/>
        </w:rPr>
        <w:t>: 10.3233/</w:t>
      </w:r>
      <w:r w:rsidRPr="00D83BD4">
        <w:rPr>
          <w:color w:val="000000"/>
          <w:sz w:val="28"/>
          <w:szCs w:val="28"/>
          <w:lang w:val="en-US"/>
        </w:rPr>
        <w:t>CH</w:t>
      </w:r>
      <w:r w:rsidRPr="00D83BD4">
        <w:rPr>
          <w:color w:val="000000"/>
          <w:sz w:val="28"/>
          <w:szCs w:val="28"/>
        </w:rPr>
        <w:t>-180486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rStyle w:val="tlid-translation"/>
          <w:sz w:val="28"/>
          <w:szCs w:val="28"/>
          <w:lang w:val="uk-UA"/>
        </w:rPr>
        <w:t>Wang Q, Zhan Y, Pedersen NL, Fang F, Hägg S. Telomere Length and All -Cause Mortality: A Meta-analysis. Ageing Res Rev. 2018;48:11-20. doi: 10.1016 / j.arr.2018.09.002</w:t>
      </w:r>
      <w:r w:rsidRPr="00D83BD4">
        <w:rPr>
          <w:rStyle w:val="tlid-translation"/>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lang w:val="en-US"/>
        </w:rPr>
        <w:t xml:space="preserve">Wang Y, Kuang ZM, Feng SJ, Jiang L, Chen QX, Ji XY, et al. Combined antihypertensive and statin therapy for the prevention of cardiovascular events in patients with hypertension without complications: protocol for a systematic review and meta-analysis. </w:t>
      </w:r>
      <w:r w:rsidRPr="00D83BD4">
        <w:rPr>
          <w:sz w:val="28"/>
          <w:szCs w:val="28"/>
        </w:rPr>
        <w:t xml:space="preserve">BMJ Open. </w:t>
      </w:r>
      <w:r w:rsidRPr="00D83BD4">
        <w:rPr>
          <w:sz w:val="28"/>
          <w:szCs w:val="28"/>
          <w:lang w:val="en-US"/>
        </w:rPr>
        <w:t>2018;8(5):e019719. doi: 10.1136/bmjopen-2017-019719</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sz w:val="28"/>
          <w:szCs w:val="28"/>
          <w:lang w:val="en-US"/>
        </w:rPr>
        <w:t xml:space="preserve">Weischer M, Bojesen SE, Cawthon RM, </w:t>
      </w:r>
      <w:r w:rsidRPr="00D83BD4">
        <w:rPr>
          <w:sz w:val="28"/>
          <w:szCs w:val="28"/>
          <w:shd w:val="clear" w:color="auto" w:fill="FFFFFF"/>
          <w:lang w:val="en-US"/>
        </w:rPr>
        <w:t xml:space="preserve">Freiberg JJ, Tybjærg-Hansen A, Nordestgaard BG. </w:t>
      </w:r>
      <w:r w:rsidRPr="00D83BD4">
        <w:rPr>
          <w:sz w:val="28"/>
          <w:szCs w:val="28"/>
          <w:lang w:val="en-US"/>
        </w:rPr>
        <w:t>Short telomere length, myocardial infarction, ischemic heart disease, and early death. Arterioscler. Thromb. Vasc. Biol.  2012;32(3):822–829.</w:t>
      </w:r>
      <w:r w:rsidRPr="00D83BD4">
        <w:rPr>
          <w:sz w:val="28"/>
          <w:szCs w:val="28"/>
          <w:shd w:val="clear" w:color="auto" w:fill="FFFFFF"/>
        </w:rPr>
        <w:t xml:space="preserve"> doi: 10.1161/ATVBAHA.111.237271.</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bCs/>
          <w:sz w:val="28"/>
          <w:szCs w:val="28"/>
          <w:lang w:val="en-US"/>
        </w:rPr>
        <w:t>Willard DL, Leung AM, Pearce EN. Thyroid function testing in patients with newly diagnosed hyperlipidemia. JAMA Intern Med.  2014;174:287–9. doi: 10.1001/jamainternmed.2013.12188</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bCs/>
          <w:sz w:val="28"/>
          <w:szCs w:val="28"/>
          <w:lang w:val="en-US"/>
        </w:rPr>
        <w:t>Williams</w:t>
      </w:r>
      <w:r w:rsidRPr="00D83BD4">
        <w:rPr>
          <w:bCs/>
          <w:sz w:val="28"/>
          <w:szCs w:val="28"/>
          <w:lang w:val="uk-UA"/>
        </w:rPr>
        <w:t xml:space="preserve"> </w:t>
      </w:r>
      <w:r w:rsidRPr="00D83BD4">
        <w:rPr>
          <w:bCs/>
          <w:sz w:val="28"/>
          <w:szCs w:val="28"/>
          <w:lang w:val="en-US"/>
        </w:rPr>
        <w:t>B</w:t>
      </w:r>
      <w:r w:rsidRPr="00D83BD4">
        <w:rPr>
          <w:bCs/>
          <w:sz w:val="28"/>
          <w:szCs w:val="28"/>
          <w:lang w:val="uk-UA"/>
        </w:rPr>
        <w:t xml:space="preserve">, </w:t>
      </w:r>
      <w:r w:rsidRPr="00D83BD4">
        <w:rPr>
          <w:bCs/>
          <w:sz w:val="28"/>
          <w:szCs w:val="28"/>
          <w:lang w:val="en-US"/>
        </w:rPr>
        <w:t>Mancia</w:t>
      </w:r>
      <w:r w:rsidRPr="00D83BD4">
        <w:rPr>
          <w:bCs/>
          <w:sz w:val="28"/>
          <w:szCs w:val="28"/>
          <w:lang w:val="uk-UA"/>
        </w:rPr>
        <w:t xml:space="preserve"> </w:t>
      </w:r>
      <w:r w:rsidRPr="00D83BD4">
        <w:rPr>
          <w:bCs/>
          <w:sz w:val="28"/>
          <w:szCs w:val="28"/>
          <w:lang w:val="en-US"/>
        </w:rPr>
        <w:t>G</w:t>
      </w:r>
      <w:r w:rsidRPr="00D83BD4">
        <w:rPr>
          <w:bCs/>
          <w:sz w:val="28"/>
          <w:szCs w:val="28"/>
          <w:lang w:val="uk-UA"/>
        </w:rPr>
        <w:t xml:space="preserve">, </w:t>
      </w:r>
      <w:r w:rsidRPr="00D83BD4">
        <w:rPr>
          <w:bCs/>
          <w:sz w:val="28"/>
          <w:szCs w:val="28"/>
          <w:lang w:val="en-US"/>
        </w:rPr>
        <w:t>Spiering</w:t>
      </w:r>
      <w:r w:rsidRPr="00D83BD4">
        <w:rPr>
          <w:bCs/>
          <w:sz w:val="28"/>
          <w:szCs w:val="28"/>
          <w:lang w:val="uk-UA"/>
        </w:rPr>
        <w:t xml:space="preserve"> </w:t>
      </w:r>
      <w:r w:rsidRPr="00D83BD4">
        <w:rPr>
          <w:bCs/>
          <w:sz w:val="28"/>
          <w:szCs w:val="28"/>
          <w:lang w:val="en-US"/>
        </w:rPr>
        <w:t>W</w:t>
      </w:r>
      <w:r w:rsidRPr="00D83BD4">
        <w:rPr>
          <w:bCs/>
          <w:sz w:val="28"/>
          <w:szCs w:val="28"/>
          <w:lang w:val="uk-UA"/>
        </w:rPr>
        <w:t xml:space="preserve">, </w:t>
      </w:r>
      <w:r w:rsidRPr="00D83BD4">
        <w:rPr>
          <w:sz w:val="28"/>
          <w:szCs w:val="28"/>
          <w:shd w:val="clear" w:color="auto" w:fill="FFFFFF"/>
          <w:lang w:val="en-US"/>
        </w:rPr>
        <w:t xml:space="preserve">Agabiti Rosei E, Azizi M, Burnier M, </w:t>
      </w:r>
      <w:r w:rsidRPr="00D83BD4">
        <w:rPr>
          <w:bCs/>
          <w:sz w:val="28"/>
          <w:szCs w:val="28"/>
          <w:lang w:val="en-US"/>
        </w:rPr>
        <w:t>et</w:t>
      </w:r>
      <w:r w:rsidRPr="00D83BD4">
        <w:rPr>
          <w:bCs/>
          <w:sz w:val="28"/>
          <w:szCs w:val="28"/>
          <w:lang w:val="uk-UA"/>
        </w:rPr>
        <w:t xml:space="preserve"> </w:t>
      </w:r>
      <w:r w:rsidRPr="00D83BD4">
        <w:rPr>
          <w:bCs/>
          <w:sz w:val="28"/>
          <w:szCs w:val="28"/>
          <w:lang w:val="en-US"/>
        </w:rPr>
        <w:t>al</w:t>
      </w:r>
      <w:r w:rsidRPr="00D83BD4">
        <w:rPr>
          <w:bCs/>
          <w:sz w:val="28"/>
          <w:szCs w:val="28"/>
          <w:lang w:val="uk-UA"/>
        </w:rPr>
        <w:t xml:space="preserve">; </w:t>
      </w:r>
      <w:r w:rsidRPr="00D83BD4">
        <w:rPr>
          <w:bCs/>
          <w:sz w:val="28"/>
          <w:szCs w:val="28"/>
          <w:lang w:val="en-US"/>
        </w:rPr>
        <w:t>ESC</w:t>
      </w:r>
      <w:r w:rsidRPr="00D83BD4">
        <w:rPr>
          <w:bCs/>
          <w:sz w:val="28"/>
          <w:szCs w:val="28"/>
          <w:lang w:val="uk-UA"/>
        </w:rPr>
        <w:t xml:space="preserve"> </w:t>
      </w:r>
      <w:r w:rsidRPr="00D83BD4">
        <w:rPr>
          <w:bCs/>
          <w:sz w:val="28"/>
          <w:szCs w:val="28"/>
          <w:lang w:val="en-US"/>
        </w:rPr>
        <w:t>Scientific</w:t>
      </w:r>
      <w:r w:rsidRPr="00D83BD4">
        <w:rPr>
          <w:bCs/>
          <w:sz w:val="28"/>
          <w:szCs w:val="28"/>
          <w:lang w:val="uk-UA"/>
        </w:rPr>
        <w:t xml:space="preserve"> </w:t>
      </w:r>
      <w:r w:rsidRPr="00D83BD4">
        <w:rPr>
          <w:bCs/>
          <w:sz w:val="28"/>
          <w:szCs w:val="28"/>
          <w:lang w:val="en-US"/>
        </w:rPr>
        <w:t>Document</w:t>
      </w:r>
      <w:r w:rsidRPr="00D83BD4">
        <w:rPr>
          <w:bCs/>
          <w:sz w:val="28"/>
          <w:szCs w:val="28"/>
          <w:lang w:val="uk-UA"/>
        </w:rPr>
        <w:t xml:space="preserve"> </w:t>
      </w:r>
      <w:r w:rsidRPr="00D83BD4">
        <w:rPr>
          <w:bCs/>
          <w:sz w:val="28"/>
          <w:szCs w:val="28"/>
          <w:lang w:val="en-US"/>
        </w:rPr>
        <w:t>Group</w:t>
      </w:r>
      <w:r w:rsidRPr="00D83BD4">
        <w:rPr>
          <w:bCs/>
          <w:sz w:val="28"/>
          <w:szCs w:val="28"/>
          <w:lang w:val="uk-UA"/>
        </w:rPr>
        <w:t xml:space="preserve">. </w:t>
      </w:r>
      <w:r w:rsidRPr="00D83BD4">
        <w:rPr>
          <w:bCs/>
          <w:sz w:val="28"/>
          <w:szCs w:val="28"/>
          <w:lang w:val="en-US"/>
        </w:rPr>
        <w:t>2018 ESC/ESH Guidelines for the management of arterial hypertension. The Task Force for the management of arterial hypertension of the European Society of Cardiology (ESC) and the European Society of Hypertension (ESH). Eur Heart J. 2018;39(33):3021-104.</w:t>
      </w:r>
      <w:r w:rsidRPr="00D83BD4">
        <w:rPr>
          <w:sz w:val="28"/>
          <w:szCs w:val="28"/>
          <w:shd w:val="clear" w:color="auto" w:fill="FFFFFF"/>
        </w:rPr>
        <w:t xml:space="preserve"> doi: 10.1093/eurheartj/ehy339</w:t>
      </w:r>
    </w:p>
    <w:p w:rsidR="00E3259F" w:rsidRPr="00D83BD4" w:rsidRDefault="00E3259F" w:rsidP="00D83BD4">
      <w:pPr>
        <w:numPr>
          <w:ilvl w:val="0"/>
          <w:numId w:val="26"/>
        </w:numPr>
        <w:tabs>
          <w:tab w:val="left" w:pos="0"/>
        </w:tabs>
        <w:spacing w:line="360" w:lineRule="auto"/>
        <w:ind w:left="0" w:firstLine="0"/>
        <w:jc w:val="both"/>
        <w:rPr>
          <w:sz w:val="28"/>
          <w:szCs w:val="28"/>
        </w:rPr>
      </w:pPr>
      <w:bookmarkStart w:id="39" w:name="_Hlk43150238"/>
      <w:r w:rsidRPr="00D83BD4">
        <w:rPr>
          <w:sz w:val="28"/>
          <w:szCs w:val="28"/>
          <w:lang w:val="en-US"/>
        </w:rPr>
        <w:t xml:space="preserve">Wojcicki JM, Elwan D, Lin J, Blackburn E, Epel E. Chronic Obesity and Incident Hypertension in Latina Women Are Associated with Accelerated Telomere Length Loss over a 1-Year Period. </w:t>
      </w:r>
      <w:r w:rsidRPr="00D83BD4">
        <w:rPr>
          <w:sz w:val="28"/>
          <w:szCs w:val="28"/>
        </w:rPr>
        <w:t>Metab Syndr Relat Disord. 2018;16(6):262-266. doi: 10.1089/met.2017.0134</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World Population Ageing 2019 / United Nations Department of Economic and Social Affairs.  Population Division. New York; 2020.  URL: https://www.un.org/development/desa/pd/sites/www.un.org.development.desa.pd/files/files/documents/2020/Jan/un_2019_worldpopulationageing_report.pdf</w:t>
      </w:r>
    </w:p>
    <w:p w:rsidR="00E3259F" w:rsidRPr="00D83BD4" w:rsidRDefault="00E3259F" w:rsidP="00D83BD4">
      <w:pPr>
        <w:numPr>
          <w:ilvl w:val="0"/>
          <w:numId w:val="26"/>
        </w:numPr>
        <w:tabs>
          <w:tab w:val="left" w:pos="0"/>
        </w:tabs>
        <w:spacing w:line="360" w:lineRule="auto"/>
        <w:ind w:left="0" w:firstLine="0"/>
        <w:jc w:val="both"/>
        <w:rPr>
          <w:bCs/>
          <w:sz w:val="28"/>
          <w:szCs w:val="28"/>
          <w:lang w:val="en-US"/>
        </w:rPr>
      </w:pPr>
      <w:r w:rsidRPr="00D83BD4">
        <w:rPr>
          <w:bCs/>
          <w:sz w:val="28"/>
          <w:szCs w:val="28"/>
          <w:shd w:val="clear" w:color="auto" w:fill="FFFFFF"/>
          <w:lang w:val="en-US"/>
        </w:rPr>
        <w:t>Wright JT</w:t>
      </w:r>
      <w:bookmarkEnd w:id="39"/>
      <w:r w:rsidRPr="00D83BD4">
        <w:rPr>
          <w:bCs/>
          <w:sz w:val="28"/>
          <w:szCs w:val="28"/>
          <w:shd w:val="clear" w:color="auto" w:fill="FFFFFF"/>
          <w:lang w:val="en-US"/>
        </w:rPr>
        <w:t xml:space="preserve"> Jr, Williamson JD, Whelton PK,  </w:t>
      </w:r>
      <w:r w:rsidRPr="00D83BD4">
        <w:rPr>
          <w:sz w:val="28"/>
          <w:szCs w:val="28"/>
          <w:shd w:val="clear" w:color="auto" w:fill="FFFFFF"/>
          <w:lang w:val="en-US"/>
        </w:rPr>
        <w:t xml:space="preserve">Snyder JK, Sink KM, Rocco MV, </w:t>
      </w:r>
      <w:r w:rsidRPr="00D83BD4">
        <w:rPr>
          <w:bCs/>
          <w:sz w:val="28"/>
          <w:szCs w:val="28"/>
          <w:shd w:val="clear" w:color="auto" w:fill="FFFFFF"/>
          <w:lang w:val="en-US"/>
        </w:rPr>
        <w:t>et al. SPRINT Research Group. A randomized trial of intensive versus standard blood pressure control. N Engl J Med. 2015;373(22):2103-16.</w:t>
      </w:r>
      <w:r w:rsidRPr="00D83BD4">
        <w:rPr>
          <w:sz w:val="28"/>
          <w:szCs w:val="28"/>
          <w:shd w:val="clear" w:color="auto" w:fill="FFFFFF"/>
          <w:lang w:val="en-US"/>
        </w:rPr>
        <w:t xml:space="preserve"> </w:t>
      </w:r>
      <w:r w:rsidRPr="00D83BD4">
        <w:rPr>
          <w:sz w:val="28"/>
          <w:szCs w:val="28"/>
          <w:shd w:val="clear" w:color="auto" w:fill="FFFFFF"/>
        </w:rPr>
        <w:t>doi: 10.1056/NEJMoa1511939.</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bCs/>
          <w:color w:val="000000"/>
          <w:sz w:val="28"/>
          <w:szCs w:val="28"/>
          <w:shd w:val="clear" w:color="auto" w:fill="FFFFFF"/>
          <w:lang w:val="en-US"/>
        </w:rPr>
        <w:t>Wu S, Li X, Zhang H. Effects of metformin on endothelial function in type 2 diabetes. </w:t>
      </w:r>
      <w:r w:rsidRPr="00D83BD4">
        <w:rPr>
          <w:rStyle w:val="ref-journal"/>
          <w:bCs/>
          <w:color w:val="000000"/>
          <w:sz w:val="28"/>
          <w:szCs w:val="28"/>
          <w:shd w:val="clear" w:color="auto" w:fill="FFFFFF"/>
          <w:lang w:val="en-US"/>
        </w:rPr>
        <w:t>Exp Ther Med. </w:t>
      </w:r>
      <w:r w:rsidRPr="00D83BD4">
        <w:rPr>
          <w:bCs/>
          <w:color w:val="000000"/>
          <w:sz w:val="28"/>
          <w:szCs w:val="28"/>
          <w:shd w:val="clear" w:color="auto" w:fill="FFFFFF"/>
          <w:lang w:val="en-US"/>
        </w:rPr>
        <w:t>2014;</w:t>
      </w:r>
      <w:r w:rsidRPr="00D83BD4">
        <w:rPr>
          <w:rStyle w:val="ref-vol"/>
          <w:bCs/>
          <w:color w:val="000000"/>
          <w:sz w:val="28"/>
          <w:szCs w:val="28"/>
          <w:shd w:val="clear" w:color="auto" w:fill="FFFFFF"/>
          <w:lang w:val="en-US"/>
        </w:rPr>
        <w:t>7</w:t>
      </w:r>
      <w:r w:rsidRPr="00D83BD4">
        <w:rPr>
          <w:bCs/>
          <w:color w:val="000000"/>
          <w:sz w:val="28"/>
          <w:szCs w:val="28"/>
          <w:shd w:val="clear" w:color="auto" w:fill="FFFFFF"/>
          <w:lang w:val="en-US"/>
        </w:rPr>
        <w:t xml:space="preserve">(5):1349–1453. doi: 10.3892/etm.2014.1582 </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 xml:space="preserve">Xu C, Zhou L, Wu K, </w:t>
      </w:r>
      <w:r w:rsidRPr="00D83BD4">
        <w:rPr>
          <w:sz w:val="28"/>
          <w:szCs w:val="28"/>
          <w:shd w:val="clear" w:color="auto" w:fill="FFFFFF"/>
          <w:lang w:val="en-US"/>
        </w:rPr>
        <w:t>Li Y, Xu J, Jiang D, Gao L.</w:t>
      </w:r>
      <w:r w:rsidRPr="00D83BD4">
        <w:rPr>
          <w:color w:val="212121"/>
          <w:sz w:val="28"/>
          <w:szCs w:val="28"/>
          <w:shd w:val="clear" w:color="auto" w:fill="FFFFFF"/>
          <w:lang w:val="en-US"/>
        </w:rPr>
        <w:t xml:space="preserve"> </w:t>
      </w:r>
      <w:r w:rsidRPr="00D83BD4">
        <w:rPr>
          <w:sz w:val="28"/>
          <w:szCs w:val="28"/>
          <w:lang w:val="en-US"/>
        </w:rPr>
        <w:t>Abnormal Glucose Metabolism and Insulin Resistance Are Induced via the IRE1</w:t>
      </w:r>
      <w:r w:rsidRPr="00D83BD4">
        <w:rPr>
          <w:sz w:val="28"/>
          <w:szCs w:val="28"/>
        </w:rPr>
        <w:t>α</w:t>
      </w:r>
      <w:r w:rsidRPr="00D83BD4">
        <w:rPr>
          <w:sz w:val="28"/>
          <w:szCs w:val="28"/>
          <w:lang w:val="en-US"/>
        </w:rPr>
        <w:t xml:space="preserve">/XBP-1 Pathway in Subclinical Hypothyroidism.  </w:t>
      </w:r>
      <w:r w:rsidRPr="00D83BD4">
        <w:rPr>
          <w:sz w:val="28"/>
          <w:szCs w:val="28"/>
        </w:rPr>
        <w:t>Front Endocrinol (Lausanne).</w:t>
      </w:r>
      <w:r w:rsidRPr="00D83BD4">
        <w:rPr>
          <w:sz w:val="28"/>
          <w:szCs w:val="28"/>
          <w:lang w:val="en-US"/>
        </w:rPr>
        <w:t>  2019</w:t>
      </w:r>
      <w:r w:rsidRPr="00D83BD4">
        <w:rPr>
          <w:sz w:val="28"/>
          <w:szCs w:val="28"/>
          <w:shd w:val="clear" w:color="auto" w:fill="FFFFFF"/>
        </w:rPr>
        <w:t>;10:303. doi: 10.3389/fendo.2019.00303</w:t>
      </w:r>
    </w:p>
    <w:p w:rsidR="00E3259F" w:rsidRPr="00D83BD4" w:rsidRDefault="00E3259F" w:rsidP="00D83BD4">
      <w:pPr>
        <w:numPr>
          <w:ilvl w:val="0"/>
          <w:numId w:val="26"/>
        </w:numPr>
        <w:tabs>
          <w:tab w:val="left" w:pos="0"/>
        </w:tabs>
        <w:spacing w:line="360" w:lineRule="auto"/>
        <w:ind w:left="0" w:firstLine="0"/>
        <w:jc w:val="both"/>
        <w:rPr>
          <w:bCs/>
          <w:sz w:val="28"/>
          <w:szCs w:val="28"/>
        </w:rPr>
      </w:pPr>
      <w:r w:rsidRPr="00D83BD4">
        <w:rPr>
          <w:bCs/>
          <w:sz w:val="28"/>
          <w:szCs w:val="28"/>
          <w:lang w:val="en-US"/>
        </w:rPr>
        <w:t>Yandrapalli</w:t>
      </w:r>
      <w:r w:rsidRPr="00D83BD4">
        <w:rPr>
          <w:bCs/>
          <w:sz w:val="28"/>
          <w:szCs w:val="28"/>
          <w:lang w:val="uk-UA"/>
        </w:rPr>
        <w:t xml:space="preserve"> </w:t>
      </w:r>
      <w:r w:rsidRPr="00D83BD4">
        <w:rPr>
          <w:bCs/>
          <w:sz w:val="28"/>
          <w:szCs w:val="28"/>
          <w:lang w:val="en-US"/>
        </w:rPr>
        <w:t>S</w:t>
      </w:r>
      <w:r w:rsidRPr="00D83BD4">
        <w:rPr>
          <w:bCs/>
          <w:sz w:val="28"/>
          <w:szCs w:val="28"/>
          <w:lang w:val="uk-UA"/>
        </w:rPr>
        <w:t xml:space="preserve">, </w:t>
      </w:r>
      <w:r w:rsidRPr="00D83BD4">
        <w:rPr>
          <w:bCs/>
          <w:sz w:val="28"/>
          <w:szCs w:val="28"/>
          <w:lang w:val="en-US"/>
        </w:rPr>
        <w:t>Pal</w:t>
      </w:r>
      <w:r w:rsidRPr="00D83BD4">
        <w:rPr>
          <w:bCs/>
          <w:sz w:val="28"/>
          <w:szCs w:val="28"/>
          <w:lang w:val="uk-UA"/>
        </w:rPr>
        <w:t xml:space="preserve"> </w:t>
      </w:r>
      <w:r w:rsidRPr="00D83BD4">
        <w:rPr>
          <w:bCs/>
          <w:sz w:val="28"/>
          <w:szCs w:val="28"/>
          <w:lang w:val="en-US"/>
        </w:rPr>
        <w:t>S</w:t>
      </w:r>
      <w:r w:rsidRPr="00D83BD4">
        <w:rPr>
          <w:bCs/>
          <w:sz w:val="28"/>
          <w:szCs w:val="28"/>
          <w:lang w:val="uk-UA"/>
        </w:rPr>
        <w:t xml:space="preserve">, </w:t>
      </w:r>
      <w:r w:rsidRPr="00D83BD4">
        <w:rPr>
          <w:bCs/>
          <w:sz w:val="28"/>
          <w:szCs w:val="28"/>
          <w:lang w:val="en-US"/>
        </w:rPr>
        <w:t>Nabors</w:t>
      </w:r>
      <w:r w:rsidRPr="00D83BD4">
        <w:rPr>
          <w:bCs/>
          <w:sz w:val="28"/>
          <w:szCs w:val="28"/>
          <w:lang w:val="uk-UA"/>
        </w:rPr>
        <w:t xml:space="preserve"> </w:t>
      </w:r>
      <w:r w:rsidRPr="00D83BD4">
        <w:rPr>
          <w:bCs/>
          <w:sz w:val="28"/>
          <w:szCs w:val="28"/>
          <w:lang w:val="en-US"/>
        </w:rPr>
        <w:t>C</w:t>
      </w:r>
      <w:r w:rsidRPr="00D83BD4">
        <w:rPr>
          <w:bCs/>
          <w:sz w:val="28"/>
          <w:szCs w:val="28"/>
          <w:lang w:val="uk-UA"/>
        </w:rPr>
        <w:t xml:space="preserve">, </w:t>
      </w:r>
      <w:r w:rsidRPr="00D83BD4">
        <w:rPr>
          <w:bCs/>
          <w:sz w:val="28"/>
          <w:szCs w:val="28"/>
          <w:lang w:val="en-US"/>
        </w:rPr>
        <w:t>Aronow</w:t>
      </w:r>
      <w:r w:rsidRPr="00D83BD4">
        <w:rPr>
          <w:bCs/>
          <w:sz w:val="28"/>
          <w:szCs w:val="28"/>
          <w:lang w:val="uk-UA"/>
        </w:rPr>
        <w:t xml:space="preserve"> </w:t>
      </w:r>
      <w:r w:rsidRPr="00D83BD4">
        <w:rPr>
          <w:bCs/>
          <w:sz w:val="28"/>
          <w:szCs w:val="28"/>
          <w:lang w:val="en-US"/>
        </w:rPr>
        <w:t>WS</w:t>
      </w:r>
      <w:r w:rsidRPr="00D83BD4">
        <w:rPr>
          <w:bCs/>
          <w:sz w:val="28"/>
          <w:szCs w:val="28"/>
          <w:lang w:val="uk-UA"/>
        </w:rPr>
        <w:t xml:space="preserve">. </w:t>
      </w:r>
      <w:r w:rsidRPr="00D83BD4">
        <w:rPr>
          <w:bCs/>
          <w:sz w:val="28"/>
          <w:szCs w:val="28"/>
          <w:lang w:val="en-US"/>
        </w:rPr>
        <w:t xml:space="preserve">Drug treatment of </w:t>
      </w:r>
      <w:r w:rsidRPr="00D83BD4">
        <w:rPr>
          <w:rStyle w:val="highlight"/>
          <w:bCs/>
          <w:sz w:val="28"/>
          <w:szCs w:val="28"/>
          <w:lang w:val="en-US"/>
        </w:rPr>
        <w:t>hypertension</w:t>
      </w:r>
      <w:r w:rsidRPr="00D83BD4">
        <w:rPr>
          <w:bCs/>
          <w:sz w:val="28"/>
          <w:szCs w:val="28"/>
          <w:lang w:val="en-US"/>
        </w:rPr>
        <w:t xml:space="preserve"> in older patients with </w:t>
      </w:r>
      <w:r w:rsidRPr="00D83BD4">
        <w:rPr>
          <w:rStyle w:val="highlight"/>
          <w:bCs/>
          <w:sz w:val="28"/>
          <w:szCs w:val="28"/>
          <w:lang w:val="en-US"/>
        </w:rPr>
        <w:t>diabetes mellitus</w:t>
      </w:r>
      <w:r w:rsidRPr="00D83BD4">
        <w:rPr>
          <w:bCs/>
          <w:sz w:val="28"/>
          <w:szCs w:val="28"/>
          <w:lang w:val="en-US"/>
        </w:rPr>
        <w:t>. Expert Opin Pharmacother</w:t>
      </w:r>
      <w:r w:rsidRPr="00D83BD4">
        <w:rPr>
          <w:bCs/>
          <w:sz w:val="28"/>
          <w:szCs w:val="28"/>
        </w:rPr>
        <w:t>. 2018;19(7):633-642.</w:t>
      </w:r>
      <w:r w:rsidRPr="00D83BD4">
        <w:rPr>
          <w:sz w:val="28"/>
          <w:szCs w:val="28"/>
          <w:shd w:val="clear" w:color="auto" w:fill="FFFFFF"/>
        </w:rPr>
        <w:t xml:space="preserve"> doi: 10.1080/14656566.2018.1456529.</w:t>
      </w:r>
    </w:p>
    <w:p w:rsidR="00E3259F" w:rsidRPr="00D83BD4" w:rsidRDefault="00E3259F" w:rsidP="00D83BD4">
      <w:pPr>
        <w:numPr>
          <w:ilvl w:val="0"/>
          <w:numId w:val="26"/>
        </w:numPr>
        <w:tabs>
          <w:tab w:val="left" w:pos="0"/>
        </w:tabs>
        <w:spacing w:line="360" w:lineRule="auto"/>
        <w:ind w:left="0" w:firstLine="0"/>
        <w:jc w:val="both"/>
        <w:rPr>
          <w:rStyle w:val="element-citation"/>
          <w:sz w:val="28"/>
          <w:szCs w:val="28"/>
        </w:rPr>
      </w:pPr>
      <w:r w:rsidRPr="00D83BD4">
        <w:rPr>
          <w:sz w:val="28"/>
          <w:szCs w:val="28"/>
          <w:lang w:val="en-US"/>
        </w:rPr>
        <w:t>Yang</w:t>
      </w:r>
      <w:r w:rsidRPr="00D83BD4">
        <w:rPr>
          <w:sz w:val="28"/>
          <w:szCs w:val="28"/>
          <w:lang w:val="uk-UA"/>
        </w:rPr>
        <w:t xml:space="preserve"> </w:t>
      </w:r>
      <w:r w:rsidRPr="00D83BD4">
        <w:rPr>
          <w:sz w:val="28"/>
          <w:szCs w:val="28"/>
          <w:lang w:val="en-US"/>
        </w:rPr>
        <w:t>D</w:t>
      </w:r>
      <w:r w:rsidRPr="00D83BD4">
        <w:rPr>
          <w:sz w:val="28"/>
          <w:szCs w:val="28"/>
          <w:lang w:val="uk-UA"/>
        </w:rPr>
        <w:t xml:space="preserve">, </w:t>
      </w:r>
      <w:r w:rsidRPr="00D83BD4">
        <w:rPr>
          <w:sz w:val="28"/>
          <w:szCs w:val="28"/>
          <w:lang w:val="en-US"/>
        </w:rPr>
        <w:t>Han</w:t>
      </w:r>
      <w:r w:rsidRPr="00D83BD4">
        <w:rPr>
          <w:sz w:val="28"/>
          <w:szCs w:val="28"/>
          <w:lang w:val="uk-UA"/>
        </w:rPr>
        <w:t xml:space="preserve"> </w:t>
      </w:r>
      <w:r w:rsidRPr="00D83BD4">
        <w:rPr>
          <w:sz w:val="28"/>
          <w:szCs w:val="28"/>
          <w:lang w:val="en-US"/>
        </w:rPr>
        <w:t>Y</w:t>
      </w:r>
      <w:r w:rsidRPr="00D83BD4">
        <w:rPr>
          <w:sz w:val="28"/>
          <w:szCs w:val="28"/>
          <w:lang w:val="uk-UA"/>
        </w:rPr>
        <w:t xml:space="preserve">, </w:t>
      </w:r>
      <w:r w:rsidRPr="00D83BD4">
        <w:rPr>
          <w:sz w:val="28"/>
          <w:szCs w:val="28"/>
          <w:lang w:val="en-US"/>
        </w:rPr>
        <w:t>Zhang</w:t>
      </w:r>
      <w:r w:rsidRPr="00D83BD4">
        <w:rPr>
          <w:sz w:val="28"/>
          <w:szCs w:val="28"/>
          <w:lang w:val="uk-UA"/>
        </w:rPr>
        <w:t xml:space="preserve"> </w:t>
      </w:r>
      <w:r w:rsidRPr="00D83BD4">
        <w:rPr>
          <w:sz w:val="28"/>
          <w:szCs w:val="28"/>
          <w:lang w:val="en-US"/>
        </w:rPr>
        <w:t>J</w:t>
      </w:r>
      <w:r w:rsidRPr="00D83BD4">
        <w:rPr>
          <w:sz w:val="28"/>
          <w:szCs w:val="28"/>
          <w:lang w:val="uk-UA"/>
        </w:rPr>
        <w:t xml:space="preserve">, </w:t>
      </w:r>
      <w:r w:rsidRPr="00D83BD4">
        <w:rPr>
          <w:sz w:val="28"/>
          <w:szCs w:val="28"/>
          <w:lang w:val="en-US"/>
        </w:rPr>
        <w:t>Chopp</w:t>
      </w:r>
      <w:r w:rsidRPr="00D83BD4">
        <w:rPr>
          <w:sz w:val="28"/>
          <w:szCs w:val="28"/>
          <w:lang w:val="uk-UA"/>
        </w:rPr>
        <w:t xml:space="preserve"> </w:t>
      </w:r>
      <w:r w:rsidRPr="00D83BD4">
        <w:rPr>
          <w:sz w:val="28"/>
          <w:szCs w:val="28"/>
          <w:lang w:val="en-US"/>
        </w:rPr>
        <w:t>M</w:t>
      </w:r>
      <w:r w:rsidRPr="00D83BD4">
        <w:rPr>
          <w:sz w:val="28"/>
          <w:szCs w:val="28"/>
          <w:lang w:val="uk-UA"/>
        </w:rPr>
        <w:t xml:space="preserve">, </w:t>
      </w:r>
      <w:r w:rsidRPr="00D83BD4">
        <w:rPr>
          <w:sz w:val="28"/>
          <w:szCs w:val="28"/>
          <w:lang w:val="en-US"/>
        </w:rPr>
        <w:t>Seyfried</w:t>
      </w:r>
      <w:r w:rsidRPr="00D83BD4">
        <w:rPr>
          <w:sz w:val="28"/>
          <w:szCs w:val="28"/>
          <w:lang w:val="uk-UA"/>
        </w:rPr>
        <w:t xml:space="preserve"> </w:t>
      </w:r>
      <w:r w:rsidRPr="00D83BD4">
        <w:rPr>
          <w:sz w:val="28"/>
          <w:szCs w:val="28"/>
          <w:lang w:val="en-US"/>
        </w:rPr>
        <w:t>DM</w:t>
      </w:r>
      <w:r w:rsidRPr="00D83BD4">
        <w:rPr>
          <w:sz w:val="28"/>
          <w:szCs w:val="28"/>
          <w:lang w:val="uk-UA"/>
        </w:rPr>
        <w:t xml:space="preserve">. </w:t>
      </w:r>
      <w:r w:rsidRPr="00D83BD4">
        <w:rPr>
          <w:bCs/>
          <w:kern w:val="36"/>
          <w:sz w:val="28"/>
          <w:szCs w:val="28"/>
          <w:lang w:val="en-US"/>
        </w:rPr>
        <w:t>Statins Enhance Expression of Growth Factors and Activate the PI3K/Akt-mediated Signaling Pathway after Experimental Intracerebral Hemorrhage.</w:t>
      </w:r>
      <w:r w:rsidRPr="00D83BD4">
        <w:rPr>
          <w:sz w:val="28"/>
          <w:szCs w:val="28"/>
          <w:lang w:val="en-US"/>
        </w:rPr>
        <w:t xml:space="preserve"> World J Neurosci. 2012;2(2): 2974–2980.</w:t>
      </w:r>
      <w:r w:rsidRPr="00D83BD4">
        <w:rPr>
          <w:sz w:val="28"/>
          <w:szCs w:val="28"/>
          <w:lang w:val="uk-UA"/>
        </w:rPr>
        <w:t xml:space="preserve"> </w:t>
      </w:r>
      <w:r w:rsidRPr="00D83BD4">
        <w:rPr>
          <w:sz w:val="28"/>
          <w:szCs w:val="28"/>
          <w:shd w:val="clear" w:color="auto" w:fill="FFFFFF"/>
        </w:rPr>
        <w:t>doi: </w:t>
      </w:r>
      <w:r w:rsidRPr="002E0FFA">
        <w:rPr>
          <w:sz w:val="28"/>
          <w:szCs w:val="28"/>
          <w:shd w:val="clear" w:color="auto" w:fill="FFFFFF"/>
        </w:rPr>
        <w:t>10.4236/wjns.2012.22011</w:t>
      </w:r>
    </w:p>
    <w:p w:rsidR="00E3259F" w:rsidRPr="00D83BD4" w:rsidRDefault="00E3259F" w:rsidP="00D83BD4">
      <w:pPr>
        <w:numPr>
          <w:ilvl w:val="0"/>
          <w:numId w:val="26"/>
        </w:numPr>
        <w:tabs>
          <w:tab w:val="left" w:pos="0"/>
        </w:tabs>
        <w:spacing w:line="360" w:lineRule="auto"/>
        <w:ind w:left="0" w:firstLine="0"/>
        <w:jc w:val="both"/>
        <w:rPr>
          <w:rStyle w:val="mixed-citation"/>
          <w:rFonts w:eastAsia="Calibri"/>
          <w:sz w:val="28"/>
          <w:szCs w:val="28"/>
          <w:lang w:val="en-US"/>
        </w:rPr>
      </w:pPr>
      <w:r w:rsidRPr="00D83BD4">
        <w:rPr>
          <w:rStyle w:val="element-citation"/>
          <w:color w:val="000000"/>
          <w:sz w:val="28"/>
          <w:szCs w:val="28"/>
          <w:lang w:val="en-US"/>
        </w:rPr>
        <w:t>Yang L, Lv X, Yue F, Wei D, Liu W, Zhang T. Subclinical hypothyroidism and the risk of metabolic syndrome: A meta-analysis of observational studies. </w:t>
      </w:r>
      <w:r w:rsidRPr="00D83BD4">
        <w:rPr>
          <w:rStyle w:val="ref-journal"/>
          <w:color w:val="000000"/>
          <w:sz w:val="28"/>
          <w:szCs w:val="28"/>
          <w:lang w:val="en-US"/>
        </w:rPr>
        <w:t>Endocr. Res. </w:t>
      </w:r>
      <w:r w:rsidRPr="00D83BD4">
        <w:rPr>
          <w:rStyle w:val="element-citation"/>
          <w:color w:val="000000"/>
          <w:sz w:val="28"/>
          <w:szCs w:val="28"/>
          <w:lang w:val="en-US"/>
        </w:rPr>
        <w:t>2016;</w:t>
      </w:r>
      <w:r w:rsidRPr="00D83BD4">
        <w:rPr>
          <w:rStyle w:val="ref-vol"/>
          <w:color w:val="000000"/>
          <w:sz w:val="28"/>
          <w:szCs w:val="28"/>
          <w:lang w:val="en-US"/>
        </w:rPr>
        <w:t>41</w:t>
      </w:r>
      <w:r w:rsidRPr="00D83BD4">
        <w:rPr>
          <w:rStyle w:val="element-citation"/>
          <w:color w:val="000000"/>
          <w:sz w:val="28"/>
          <w:szCs w:val="28"/>
          <w:lang w:val="en-US"/>
        </w:rPr>
        <w:t>:158–165. doi: 10.3109/07435800.2015.1108332</w:t>
      </w:r>
    </w:p>
    <w:p w:rsidR="00E3259F" w:rsidRPr="00D83BD4" w:rsidRDefault="00E3259F" w:rsidP="00D83BD4">
      <w:pPr>
        <w:numPr>
          <w:ilvl w:val="0"/>
          <w:numId w:val="26"/>
        </w:numPr>
        <w:tabs>
          <w:tab w:val="left" w:pos="0"/>
        </w:tabs>
        <w:spacing w:line="360" w:lineRule="auto"/>
        <w:ind w:left="0" w:firstLine="0"/>
        <w:jc w:val="both"/>
        <w:rPr>
          <w:rStyle w:val="mixed-citation"/>
          <w:rFonts w:eastAsia="Calibri"/>
          <w:bCs/>
          <w:sz w:val="28"/>
          <w:szCs w:val="28"/>
        </w:rPr>
      </w:pPr>
      <w:r w:rsidRPr="00D83BD4">
        <w:rPr>
          <w:color w:val="000000"/>
          <w:sz w:val="28"/>
          <w:szCs w:val="28"/>
          <w:shd w:val="clear" w:color="auto" w:fill="FFFFFF"/>
          <w:lang w:val="en-US"/>
        </w:rPr>
        <w:t>Yang Y, Liu JL, Hu P, et al. </w:t>
      </w:r>
      <w:r w:rsidRPr="00D83BD4">
        <w:rPr>
          <w:rStyle w:val="ref-title"/>
          <w:color w:val="000000"/>
          <w:sz w:val="28"/>
          <w:szCs w:val="28"/>
          <w:shd w:val="clear" w:color="auto" w:fill="FFFFFF"/>
          <w:lang w:val="en-US"/>
        </w:rPr>
        <w:t>Association of shortened telomere length with oxidative stress in leukocytes of T1DM and T2DM patients</w:t>
      </w:r>
      <w:r w:rsidRPr="00D83BD4">
        <w:rPr>
          <w:color w:val="000000"/>
          <w:sz w:val="28"/>
          <w:szCs w:val="28"/>
          <w:shd w:val="clear" w:color="auto" w:fill="FFFFFF"/>
          <w:lang w:val="en-US"/>
        </w:rPr>
        <w:t>. </w:t>
      </w:r>
      <w:r w:rsidRPr="00D83BD4">
        <w:rPr>
          <w:rStyle w:val="ref-journal"/>
          <w:rFonts w:eastAsiaTheme="majorEastAsia"/>
          <w:color w:val="000000"/>
          <w:sz w:val="28"/>
          <w:szCs w:val="28"/>
          <w:shd w:val="clear" w:color="auto" w:fill="FFFFFF"/>
        </w:rPr>
        <w:t>Chin J Diabetes</w:t>
      </w:r>
      <w:r w:rsidRPr="00D83BD4">
        <w:rPr>
          <w:color w:val="000000"/>
          <w:sz w:val="28"/>
          <w:szCs w:val="28"/>
          <w:shd w:val="clear" w:color="auto" w:fill="FFFFFF"/>
        </w:rPr>
        <w:t> 2013; </w:t>
      </w:r>
      <w:r w:rsidRPr="00D83BD4">
        <w:rPr>
          <w:rStyle w:val="ref-vol"/>
          <w:rFonts w:eastAsiaTheme="majorEastAsia"/>
          <w:color w:val="000000"/>
          <w:sz w:val="28"/>
          <w:szCs w:val="28"/>
          <w:shd w:val="clear" w:color="auto" w:fill="FFFFFF"/>
        </w:rPr>
        <w:t>21</w:t>
      </w:r>
      <w:r w:rsidRPr="00D83BD4">
        <w:rPr>
          <w:color w:val="000000"/>
          <w:sz w:val="28"/>
          <w:szCs w:val="28"/>
          <w:shd w:val="clear" w:color="auto" w:fill="FFFFFF"/>
        </w:rPr>
        <w:t>: 252–255.</w:t>
      </w:r>
    </w:p>
    <w:p w:rsidR="00E3259F" w:rsidRPr="00D83BD4" w:rsidRDefault="00E3259F" w:rsidP="00D83BD4">
      <w:pPr>
        <w:numPr>
          <w:ilvl w:val="0"/>
          <w:numId w:val="26"/>
        </w:numPr>
        <w:tabs>
          <w:tab w:val="left" w:pos="0"/>
        </w:tabs>
        <w:spacing w:line="360" w:lineRule="auto"/>
        <w:ind w:left="0" w:firstLine="0"/>
        <w:jc w:val="both"/>
        <w:rPr>
          <w:rStyle w:val="mixed-citation"/>
          <w:rFonts w:eastAsia="Calibri"/>
          <w:bCs/>
          <w:sz w:val="28"/>
          <w:szCs w:val="28"/>
        </w:rPr>
      </w:pPr>
      <w:r w:rsidRPr="00D83BD4">
        <w:rPr>
          <w:sz w:val="28"/>
          <w:szCs w:val="28"/>
          <w:shd w:val="clear" w:color="auto" w:fill="FFFFFF"/>
          <w:lang w:val="en-US"/>
        </w:rPr>
        <w:t xml:space="preserve">Yao K, Zhao T, Zeng L, Yang J, Liu Y, He Q, Zou X. Non-invasive markers of cardiovascular risk in patients with subclinical hypothyroidism: A systematic review and meta-analysis of 27 case control studies. </w:t>
      </w:r>
      <w:r w:rsidRPr="00D83BD4">
        <w:rPr>
          <w:sz w:val="28"/>
          <w:szCs w:val="28"/>
          <w:shd w:val="clear" w:color="auto" w:fill="FFFFFF"/>
        </w:rPr>
        <w:t>Sci Rep. 2018;8(1):4579. doi: 10.1038/s41598-018-22897-3</w:t>
      </w:r>
      <w:r w:rsidRPr="00D83BD4">
        <w:rPr>
          <w:sz w:val="28"/>
          <w:szCs w:val="28"/>
          <w:shd w:val="clear" w:color="auto" w:fill="FFFFFF"/>
          <w:lang w:val="en-US"/>
        </w:rPr>
        <w:t xml:space="preserve"> </w:t>
      </w:r>
      <w:r w:rsidRPr="00D83BD4">
        <w:rPr>
          <w:sz w:val="28"/>
          <w:szCs w:val="28"/>
          <w:shd w:val="clear" w:color="auto" w:fill="FFFFFF"/>
        </w:rPr>
        <w:t xml:space="preserve"> </w:t>
      </w:r>
    </w:p>
    <w:p w:rsidR="00E3259F" w:rsidRPr="00D83BD4" w:rsidRDefault="00E3259F" w:rsidP="00D83BD4">
      <w:pPr>
        <w:numPr>
          <w:ilvl w:val="0"/>
          <w:numId w:val="26"/>
        </w:numPr>
        <w:tabs>
          <w:tab w:val="left" w:pos="0"/>
        </w:tabs>
        <w:spacing w:line="360" w:lineRule="auto"/>
        <w:ind w:left="0" w:firstLine="0"/>
        <w:jc w:val="both"/>
        <w:rPr>
          <w:rStyle w:val="mixed-citation"/>
          <w:rFonts w:eastAsia="Calibri"/>
          <w:bCs/>
          <w:sz w:val="28"/>
          <w:szCs w:val="28"/>
        </w:rPr>
      </w:pPr>
      <w:r w:rsidRPr="00D83BD4">
        <w:rPr>
          <w:rStyle w:val="mixed-citation"/>
          <w:rFonts w:eastAsia="Calibri"/>
          <w:bCs/>
          <w:sz w:val="28"/>
          <w:szCs w:val="28"/>
          <w:lang w:val="en-US"/>
        </w:rPr>
        <w:t>Ye</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Y</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Xie</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H</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Zeng</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Y</w:t>
      </w:r>
      <w:r w:rsidRPr="00D83BD4">
        <w:rPr>
          <w:rStyle w:val="mixed-citation"/>
          <w:rFonts w:eastAsia="Calibri"/>
          <w:bCs/>
          <w:sz w:val="28"/>
          <w:szCs w:val="28"/>
          <w:lang w:val="uk-UA"/>
        </w:rPr>
        <w:t xml:space="preserve">, </w:t>
      </w:r>
      <w:r w:rsidRPr="00D83BD4">
        <w:rPr>
          <w:sz w:val="28"/>
          <w:szCs w:val="28"/>
          <w:shd w:val="clear" w:color="auto" w:fill="FFFFFF"/>
          <w:lang w:val="en-US"/>
        </w:rPr>
        <w:t>Zhao X, Tian Z, Zhang S.</w:t>
      </w:r>
      <w:r w:rsidRPr="00D83BD4">
        <w:rPr>
          <w:color w:val="212121"/>
          <w:sz w:val="28"/>
          <w:szCs w:val="28"/>
          <w:shd w:val="clear" w:color="auto" w:fill="FFFFFF"/>
          <w:lang w:val="en-US"/>
        </w:rPr>
        <w:t xml:space="preserve"> </w:t>
      </w:r>
      <w:r w:rsidRPr="00D83BD4">
        <w:rPr>
          <w:rStyle w:val="ref-title"/>
          <w:bCs/>
          <w:sz w:val="28"/>
          <w:szCs w:val="28"/>
          <w:lang w:val="en-US"/>
        </w:rPr>
        <w:t>Association between subclinical hypothyroidism and blood pressure--a meta-analysis of observational studies</w:t>
      </w:r>
      <w:r w:rsidRPr="00D83BD4">
        <w:rPr>
          <w:rStyle w:val="mixed-citation"/>
          <w:rFonts w:eastAsia="Calibri"/>
          <w:bCs/>
          <w:sz w:val="28"/>
          <w:szCs w:val="28"/>
          <w:lang w:val="en-US"/>
        </w:rPr>
        <w:t xml:space="preserve">. </w:t>
      </w:r>
      <w:r w:rsidRPr="00D83BD4">
        <w:rPr>
          <w:rStyle w:val="ref-journal"/>
          <w:bCs/>
          <w:sz w:val="28"/>
          <w:szCs w:val="28"/>
          <w:lang w:val="en-US"/>
        </w:rPr>
        <w:t>Endocr Pract.</w:t>
      </w:r>
      <w:r w:rsidRPr="00D83BD4">
        <w:rPr>
          <w:rStyle w:val="mixed-citation"/>
          <w:rFonts w:eastAsia="Calibri"/>
          <w:bCs/>
          <w:sz w:val="28"/>
          <w:szCs w:val="28"/>
          <w:lang w:val="en-US"/>
        </w:rPr>
        <w:t xml:space="preserve"> 2014;</w:t>
      </w:r>
      <w:r w:rsidRPr="00D83BD4">
        <w:rPr>
          <w:rStyle w:val="ref-vol"/>
          <w:bCs/>
          <w:sz w:val="28"/>
          <w:szCs w:val="28"/>
          <w:lang w:val="en-US"/>
        </w:rPr>
        <w:t>20(2)</w:t>
      </w:r>
      <w:r w:rsidRPr="00D83BD4">
        <w:rPr>
          <w:rStyle w:val="mixed-citation"/>
          <w:rFonts w:eastAsia="Calibri"/>
          <w:bCs/>
          <w:sz w:val="28"/>
          <w:szCs w:val="28"/>
          <w:lang w:val="en-US"/>
        </w:rPr>
        <w:t>:150–8.</w:t>
      </w:r>
      <w:r w:rsidRPr="00D83BD4">
        <w:rPr>
          <w:rStyle w:val="mixed-citation"/>
          <w:rFonts w:eastAsia="Calibri"/>
          <w:bCs/>
          <w:sz w:val="28"/>
          <w:szCs w:val="28"/>
          <w:lang w:val="uk-UA"/>
        </w:rPr>
        <w:t xml:space="preserve"> </w:t>
      </w:r>
      <w:r w:rsidRPr="00D83BD4">
        <w:rPr>
          <w:rStyle w:val="mixed-citation"/>
          <w:rFonts w:eastAsia="Calibri"/>
          <w:bCs/>
          <w:sz w:val="28"/>
          <w:szCs w:val="28"/>
          <w:lang w:val="en-US"/>
        </w:rPr>
        <w:t xml:space="preserve"> </w:t>
      </w:r>
      <w:r w:rsidRPr="00D83BD4">
        <w:rPr>
          <w:sz w:val="28"/>
          <w:szCs w:val="28"/>
          <w:shd w:val="clear" w:color="auto" w:fill="FFFFFF"/>
        </w:rPr>
        <w:t>doi: 10.4158/EP13237.OR</w:t>
      </w:r>
    </w:p>
    <w:p w:rsidR="00E3259F" w:rsidRPr="00D83BD4" w:rsidRDefault="00E3259F" w:rsidP="00D83BD4">
      <w:pPr>
        <w:numPr>
          <w:ilvl w:val="0"/>
          <w:numId w:val="26"/>
        </w:numPr>
        <w:tabs>
          <w:tab w:val="left" w:pos="0"/>
        </w:tabs>
        <w:spacing w:line="360" w:lineRule="auto"/>
        <w:ind w:left="0" w:firstLine="0"/>
        <w:jc w:val="both"/>
        <w:rPr>
          <w:rFonts w:eastAsia="Calibri"/>
          <w:sz w:val="28"/>
          <w:szCs w:val="28"/>
          <w:lang w:val="en-US"/>
        </w:rPr>
      </w:pPr>
      <w:bookmarkStart w:id="40" w:name="_Hlk43150286"/>
      <w:r w:rsidRPr="00D83BD4">
        <w:rPr>
          <w:sz w:val="28"/>
          <w:szCs w:val="28"/>
          <w:lang w:val="en-US"/>
        </w:rPr>
        <w:t xml:space="preserve">Yeh JK, Wang CY. Telomeres and Telomerase in Cardiovascular Diseases. </w:t>
      </w:r>
      <w:r w:rsidRPr="00D83BD4">
        <w:rPr>
          <w:sz w:val="28"/>
          <w:szCs w:val="28"/>
        </w:rPr>
        <w:t>Genes (Basel).</w:t>
      </w:r>
      <w:r w:rsidRPr="00D83BD4">
        <w:rPr>
          <w:sz w:val="28"/>
          <w:szCs w:val="28"/>
          <w:lang w:val="en-US"/>
        </w:rPr>
        <w:t xml:space="preserve"> 2016; 7(9):58.</w:t>
      </w:r>
      <w:r w:rsidRPr="00D83BD4">
        <w:rPr>
          <w:sz w:val="28"/>
          <w:szCs w:val="28"/>
          <w:shd w:val="clear" w:color="auto" w:fill="FFFFFF"/>
        </w:rPr>
        <w:t xml:space="preserve"> doi: 10.3390/genes7090058.</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shd w:val="clear" w:color="auto" w:fill="FFFFFF"/>
          <w:lang w:val="en-US"/>
        </w:rPr>
        <w:t>Yıldırım E, İpek E, Bavunoğlu I, Yıldırım N, Cengiz M, Yavuzer S, et al. The impact of protein oxidation on sustained and white coat hypertension. Anatol J Cardiol. 2017;17(3):210-216. doi: 10.14744/AnatolJCardiol.2016.</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Yuryk</w:t>
      </w:r>
      <w:r w:rsidRPr="00D83BD4">
        <w:rPr>
          <w:sz w:val="28"/>
          <w:szCs w:val="28"/>
        </w:rPr>
        <w:t xml:space="preserve"> </w:t>
      </w:r>
      <w:r w:rsidRPr="00D83BD4">
        <w:rPr>
          <w:sz w:val="28"/>
          <w:szCs w:val="28"/>
          <w:lang w:val="en-US"/>
        </w:rPr>
        <w:t>II</w:t>
      </w:r>
      <w:r w:rsidRPr="00D83BD4">
        <w:rPr>
          <w:sz w:val="28"/>
          <w:szCs w:val="28"/>
        </w:rPr>
        <w:t>,</w:t>
      </w:r>
      <w:r w:rsidRPr="00D83BD4">
        <w:rPr>
          <w:sz w:val="28"/>
          <w:szCs w:val="28"/>
          <w:lang w:val="en-US"/>
        </w:rPr>
        <w:t> Bodnar</w:t>
      </w:r>
      <w:r w:rsidRPr="00D83BD4">
        <w:rPr>
          <w:sz w:val="28"/>
          <w:szCs w:val="28"/>
        </w:rPr>
        <w:t xml:space="preserve"> </w:t>
      </w:r>
      <w:r w:rsidRPr="00D83BD4">
        <w:rPr>
          <w:sz w:val="28"/>
          <w:szCs w:val="28"/>
          <w:lang w:val="en-US"/>
        </w:rPr>
        <w:t>YY</w:t>
      </w:r>
      <w:r w:rsidRPr="00D83BD4">
        <w:rPr>
          <w:sz w:val="28"/>
          <w:szCs w:val="28"/>
        </w:rPr>
        <w:t>,</w:t>
      </w:r>
      <w:r w:rsidRPr="00D83BD4">
        <w:rPr>
          <w:sz w:val="28"/>
          <w:szCs w:val="28"/>
          <w:lang w:val="en-US"/>
        </w:rPr>
        <w:t> Trach</w:t>
      </w:r>
      <w:r w:rsidRPr="00D83BD4">
        <w:rPr>
          <w:sz w:val="28"/>
          <w:szCs w:val="28"/>
        </w:rPr>
        <w:t>-</w:t>
      </w:r>
      <w:r w:rsidRPr="00D83BD4">
        <w:rPr>
          <w:sz w:val="28"/>
          <w:szCs w:val="28"/>
          <w:lang w:val="en-US"/>
        </w:rPr>
        <w:t>Rosolovska</w:t>
      </w:r>
      <w:r w:rsidRPr="00D83BD4">
        <w:rPr>
          <w:sz w:val="28"/>
          <w:szCs w:val="28"/>
        </w:rPr>
        <w:t xml:space="preserve"> </w:t>
      </w:r>
      <w:r w:rsidRPr="00D83BD4">
        <w:rPr>
          <w:sz w:val="28"/>
          <w:szCs w:val="28"/>
          <w:lang w:val="en-US"/>
        </w:rPr>
        <w:t>SV</w:t>
      </w:r>
      <w:r w:rsidRPr="00D83BD4">
        <w:rPr>
          <w:sz w:val="28"/>
          <w:szCs w:val="28"/>
        </w:rPr>
        <w:t>,</w:t>
      </w:r>
      <w:r w:rsidRPr="00D83BD4">
        <w:rPr>
          <w:sz w:val="28"/>
          <w:szCs w:val="28"/>
          <w:lang w:val="en-US"/>
        </w:rPr>
        <w:t> Hladii</w:t>
      </w:r>
      <w:r w:rsidRPr="00D83BD4">
        <w:rPr>
          <w:sz w:val="28"/>
          <w:szCs w:val="28"/>
        </w:rPr>
        <w:t xml:space="preserve"> </w:t>
      </w:r>
      <w:r w:rsidRPr="00D83BD4">
        <w:rPr>
          <w:sz w:val="28"/>
          <w:szCs w:val="28"/>
          <w:lang w:val="en-US"/>
        </w:rPr>
        <w:t>OI</w:t>
      </w:r>
      <w:r w:rsidRPr="00D83BD4">
        <w:rPr>
          <w:sz w:val="28"/>
          <w:szCs w:val="28"/>
        </w:rPr>
        <w:t>,</w:t>
      </w:r>
      <w:r w:rsidRPr="00D83BD4">
        <w:rPr>
          <w:sz w:val="28"/>
          <w:szCs w:val="28"/>
          <w:lang w:val="en-US"/>
        </w:rPr>
        <w:t> Bodnar</w:t>
      </w:r>
      <w:r w:rsidRPr="00D83BD4">
        <w:rPr>
          <w:sz w:val="28"/>
          <w:szCs w:val="28"/>
        </w:rPr>
        <w:t xml:space="preserve"> </w:t>
      </w:r>
      <w:r w:rsidRPr="00D83BD4">
        <w:rPr>
          <w:sz w:val="28"/>
          <w:szCs w:val="28"/>
          <w:lang w:val="en-US"/>
        </w:rPr>
        <w:t>PY</w:t>
      </w:r>
      <w:r w:rsidRPr="00D83BD4">
        <w:rPr>
          <w:sz w:val="28"/>
          <w:szCs w:val="28"/>
        </w:rPr>
        <w:t>,</w:t>
      </w:r>
      <w:r w:rsidRPr="00D83BD4">
        <w:rPr>
          <w:sz w:val="28"/>
          <w:szCs w:val="28"/>
          <w:lang w:val="en-US"/>
        </w:rPr>
        <w:t> Voloshyn</w:t>
      </w:r>
      <w:r w:rsidRPr="00D83BD4">
        <w:rPr>
          <w:sz w:val="28"/>
          <w:szCs w:val="28"/>
        </w:rPr>
        <w:t xml:space="preserve"> </w:t>
      </w:r>
      <w:r w:rsidRPr="00D83BD4">
        <w:rPr>
          <w:sz w:val="28"/>
          <w:szCs w:val="28"/>
          <w:lang w:val="en-US"/>
        </w:rPr>
        <w:t>VD</w:t>
      </w:r>
      <w:r w:rsidRPr="00D83BD4">
        <w:rPr>
          <w:sz w:val="28"/>
          <w:szCs w:val="28"/>
        </w:rPr>
        <w:t xml:space="preserve">. </w:t>
      </w:r>
      <w:r w:rsidRPr="00D83BD4">
        <w:rPr>
          <w:sz w:val="28"/>
          <w:szCs w:val="28"/>
          <w:lang w:val="en-US"/>
        </w:rPr>
        <w:t xml:space="preserve">Peculiarities of morphological changes of endotheliocytes and remodeling of the arteries under the experimental hypercholesterolemia. </w:t>
      </w:r>
      <w:r w:rsidRPr="00D83BD4">
        <w:rPr>
          <w:sz w:val="28"/>
          <w:szCs w:val="28"/>
        </w:rPr>
        <w:t>Wiad Lek. 2019;72(5 cz 2):972-977.</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Zeng H, Liu Z. Atorvastatin Induces Hepatotoxicity in Diabetic Rats via Oxidative Stress, Inflammation, and Anti-Apoptotic Pathway. </w:t>
      </w:r>
      <w:r w:rsidRPr="00D83BD4">
        <w:rPr>
          <w:sz w:val="28"/>
          <w:szCs w:val="28"/>
        </w:rPr>
        <w:t>Med Sci Monit. 2019;25:6165-6173. doi: 10.12659/MSM.915790</w:t>
      </w:r>
      <w:r w:rsidRPr="00D83BD4">
        <w:rPr>
          <w:sz w:val="28"/>
          <w:szCs w:val="28"/>
          <w:lang w:val="en-US"/>
        </w:rPr>
        <w:t xml:space="preserve">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Zha K, Zuo C, Wang A, Zhang B, Zhang Y, Wang B, et al. LDL in patients with subclinical hypothyroidism shows increased lipid peroxidation. </w:t>
      </w:r>
      <w:r w:rsidRPr="00D83BD4">
        <w:rPr>
          <w:sz w:val="28"/>
          <w:szCs w:val="28"/>
        </w:rPr>
        <w:t>Lipids Health Dis. 2015;14:95. doi: 10.1186/s12944-015-0092-4</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 xml:space="preserve">Zhan Y, Song C, Karlsson R, Tillander A, Reynolds CA, Pedersen NL, Hagg S. Telomere Length Shortening and Alzheimer Disease-A Mendelian Randomization Study. JAMA Neurol. 2015;72:1202-1203. </w:t>
      </w:r>
      <w:r w:rsidRPr="00D83BD4">
        <w:rPr>
          <w:sz w:val="28"/>
          <w:szCs w:val="28"/>
          <w:shd w:val="clear" w:color="auto" w:fill="FFFFFF"/>
          <w:lang w:val="en-US"/>
        </w:rPr>
        <w:t>doi: 10.1001/jamaneurol.2015.1513.</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Zhang  W, Zhu S, Bai X, </w:t>
      </w:r>
      <w:r w:rsidRPr="00D83BD4">
        <w:rPr>
          <w:sz w:val="28"/>
          <w:szCs w:val="28"/>
          <w:shd w:val="clear" w:color="auto" w:fill="FFFFFF"/>
          <w:lang w:val="en-US"/>
        </w:rPr>
        <w:t>Zhao DL, Jian SM, Li J,</w:t>
      </w:r>
      <w:r w:rsidRPr="00D83BD4">
        <w:rPr>
          <w:color w:val="212121"/>
          <w:sz w:val="28"/>
          <w:szCs w:val="28"/>
          <w:shd w:val="clear" w:color="auto" w:fill="FFFFFF"/>
          <w:lang w:val="en-US"/>
        </w:rPr>
        <w:t xml:space="preserve"> </w:t>
      </w:r>
      <w:r w:rsidRPr="00D83BD4">
        <w:rPr>
          <w:sz w:val="28"/>
          <w:szCs w:val="28"/>
          <w:lang w:val="en-US"/>
        </w:rPr>
        <w:t>et al.  Select aging biomarkers based on telomere length and chronological age to build a biological age equation. </w:t>
      </w:r>
      <w:r w:rsidRPr="00D83BD4">
        <w:rPr>
          <w:sz w:val="28"/>
          <w:szCs w:val="28"/>
        </w:rPr>
        <w:t xml:space="preserve">Age (Dordr). 2014;36(3): 9639. doi: 10.1007/s11357-014-9639-y </w:t>
      </w:r>
    </w:p>
    <w:p w:rsidR="00E3259F" w:rsidRPr="00D83BD4" w:rsidRDefault="00E3259F" w:rsidP="00D83BD4">
      <w:pPr>
        <w:numPr>
          <w:ilvl w:val="0"/>
          <w:numId w:val="26"/>
        </w:numPr>
        <w:tabs>
          <w:tab w:val="left" w:pos="0"/>
        </w:tabs>
        <w:spacing w:line="360" w:lineRule="auto"/>
        <w:ind w:left="0" w:firstLine="0"/>
        <w:jc w:val="both"/>
        <w:rPr>
          <w:sz w:val="28"/>
          <w:szCs w:val="28"/>
        </w:rPr>
      </w:pPr>
      <w:r w:rsidRPr="00D83BD4">
        <w:rPr>
          <w:sz w:val="28"/>
          <w:szCs w:val="28"/>
          <w:lang w:val="en-US"/>
        </w:rPr>
        <w:t xml:space="preserve">Zhang WQ, Tian Y, Chen XM, Wang LF, Chen CC, Qiu CM. Liraglutide ameliorates beta-cell function, alleviates oxidative stress and inhibits low grade inflammation in young patients with new-onset type 2 diabetes. </w:t>
      </w:r>
      <w:r w:rsidRPr="00D83BD4">
        <w:rPr>
          <w:sz w:val="28"/>
          <w:szCs w:val="28"/>
        </w:rPr>
        <w:t>Diabetol Metab Syndr. 2018;10:91.</w:t>
      </w:r>
      <w:r w:rsidRPr="00D83BD4">
        <w:rPr>
          <w:sz w:val="28"/>
          <w:szCs w:val="28"/>
          <w:lang w:val="uk-UA"/>
        </w:rPr>
        <w:t xml:space="preserve"> </w:t>
      </w:r>
      <w:r w:rsidRPr="00D83BD4">
        <w:rPr>
          <w:color w:val="000000"/>
          <w:sz w:val="28"/>
          <w:szCs w:val="28"/>
          <w:shd w:val="clear" w:color="auto" w:fill="FFFFFF"/>
        </w:rPr>
        <w:t>doi:</w:t>
      </w:r>
      <w:r w:rsidRPr="00D83BD4">
        <w:rPr>
          <w:sz w:val="28"/>
          <w:szCs w:val="28"/>
          <w:shd w:val="clear" w:color="auto" w:fill="FFFFFF"/>
        </w:rPr>
        <w:t> </w:t>
      </w:r>
      <w:r w:rsidRPr="002E0FFA">
        <w:rPr>
          <w:sz w:val="28"/>
          <w:szCs w:val="28"/>
          <w:shd w:val="clear" w:color="auto" w:fill="FFFFFF"/>
        </w:rPr>
        <w:t>10.1186/s13098-018-0392-8</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rPr>
        <w:t xml:space="preserve">Zhang XG, Zhang YQ, Cheng QP, Cao Y, Sun JM, Lv XF. </w:t>
      </w:r>
      <w:r w:rsidRPr="00D83BD4">
        <w:rPr>
          <w:sz w:val="28"/>
          <w:szCs w:val="28"/>
          <w:lang w:val="en-US"/>
        </w:rPr>
        <w:t>The impact of insulin pump therapy to oxidative stress in patients with diabetic nephropathy.Eur J Med Res. 2018;23(1):7. doi: 10.1186/s40001-018-0304-2</w:t>
      </w:r>
    </w:p>
    <w:p w:rsidR="00E3259F" w:rsidRPr="00D83BD4" w:rsidRDefault="00E3259F" w:rsidP="00D83BD4">
      <w:pPr>
        <w:numPr>
          <w:ilvl w:val="0"/>
          <w:numId w:val="26"/>
        </w:numPr>
        <w:tabs>
          <w:tab w:val="left" w:pos="0"/>
        </w:tabs>
        <w:spacing w:line="360" w:lineRule="auto"/>
        <w:ind w:left="0" w:firstLine="0"/>
        <w:jc w:val="both"/>
        <w:rPr>
          <w:sz w:val="28"/>
          <w:szCs w:val="28"/>
          <w:lang w:val="en-US"/>
        </w:rPr>
      </w:pPr>
      <w:r w:rsidRPr="00D83BD4">
        <w:rPr>
          <w:sz w:val="28"/>
          <w:szCs w:val="28"/>
          <w:lang w:val="en-US"/>
        </w:rPr>
        <w:t>Zhao W</w:t>
      </w:r>
      <w:bookmarkEnd w:id="40"/>
      <w:r w:rsidRPr="00D83BD4">
        <w:rPr>
          <w:sz w:val="28"/>
          <w:szCs w:val="28"/>
          <w:lang w:val="en-US"/>
        </w:rPr>
        <w:t xml:space="preserve">, Katzmarzyk PT, Horswell R, </w:t>
      </w:r>
      <w:r w:rsidRPr="00D83BD4">
        <w:rPr>
          <w:sz w:val="28"/>
          <w:szCs w:val="28"/>
          <w:shd w:val="clear" w:color="auto" w:fill="FFFFFF"/>
          <w:lang w:val="en-US"/>
        </w:rPr>
        <w:t>Wang Y, Li W, Johnson J,</w:t>
      </w:r>
      <w:r w:rsidRPr="00D83BD4">
        <w:rPr>
          <w:color w:val="212121"/>
          <w:sz w:val="28"/>
          <w:szCs w:val="28"/>
          <w:shd w:val="clear" w:color="auto" w:fill="FFFFFF"/>
          <w:lang w:val="en-US"/>
        </w:rPr>
        <w:t xml:space="preserve"> </w:t>
      </w:r>
      <w:r w:rsidRPr="00D83BD4">
        <w:rPr>
          <w:sz w:val="28"/>
          <w:szCs w:val="28"/>
          <w:lang w:val="en-US"/>
        </w:rPr>
        <w:t xml:space="preserve">et al. Aggressive blood pressure control increases coronary heart disease risk among diabetic patients.  Diabetes Care. 2013;36(10):3287-96. </w:t>
      </w:r>
      <w:r w:rsidRPr="00D83BD4">
        <w:rPr>
          <w:sz w:val="28"/>
          <w:szCs w:val="28"/>
          <w:shd w:val="clear" w:color="auto" w:fill="FFFFFF"/>
        </w:rPr>
        <w:t>doi: 10.2337/dc13-0189</w:t>
      </w:r>
    </w:p>
    <w:p w:rsidR="00E3259F" w:rsidRPr="00D83BD4" w:rsidRDefault="00E3259F" w:rsidP="00D83BD4">
      <w:pPr>
        <w:numPr>
          <w:ilvl w:val="0"/>
          <w:numId w:val="26"/>
        </w:numPr>
        <w:tabs>
          <w:tab w:val="left" w:pos="0"/>
        </w:tabs>
        <w:spacing w:line="360" w:lineRule="auto"/>
        <w:ind w:left="0" w:firstLine="0"/>
        <w:jc w:val="both"/>
        <w:rPr>
          <w:rStyle w:val="element-citation"/>
          <w:bCs/>
          <w:sz w:val="28"/>
          <w:szCs w:val="28"/>
        </w:rPr>
      </w:pPr>
      <w:r w:rsidRPr="00D83BD4">
        <w:rPr>
          <w:rStyle w:val="element-citation"/>
          <w:sz w:val="28"/>
          <w:szCs w:val="28"/>
          <w:lang w:val="en-US"/>
        </w:rPr>
        <w:t>Zhou</w:t>
      </w:r>
      <w:r w:rsidRPr="00D83BD4">
        <w:rPr>
          <w:rStyle w:val="element-citation"/>
          <w:sz w:val="28"/>
          <w:szCs w:val="28"/>
          <w:lang w:val="uk-UA"/>
        </w:rPr>
        <w:t xml:space="preserve"> </w:t>
      </w:r>
      <w:r w:rsidRPr="00D83BD4">
        <w:rPr>
          <w:rStyle w:val="element-citation"/>
          <w:sz w:val="28"/>
          <w:szCs w:val="28"/>
          <w:lang w:val="en-US"/>
        </w:rPr>
        <w:t>J</w:t>
      </w:r>
      <w:r w:rsidRPr="00D83BD4">
        <w:rPr>
          <w:rStyle w:val="element-citation"/>
          <w:sz w:val="28"/>
          <w:szCs w:val="28"/>
          <w:lang w:val="uk-UA"/>
        </w:rPr>
        <w:t xml:space="preserve">, </w:t>
      </w:r>
      <w:r w:rsidRPr="00D83BD4">
        <w:rPr>
          <w:rStyle w:val="element-citation"/>
          <w:sz w:val="28"/>
          <w:szCs w:val="28"/>
          <w:lang w:val="en-US"/>
        </w:rPr>
        <w:t>Cheng</w:t>
      </w:r>
      <w:r w:rsidRPr="00D83BD4">
        <w:rPr>
          <w:rStyle w:val="element-citation"/>
          <w:sz w:val="28"/>
          <w:szCs w:val="28"/>
          <w:lang w:val="uk-UA"/>
        </w:rPr>
        <w:t xml:space="preserve"> </w:t>
      </w:r>
      <w:r w:rsidRPr="00D83BD4">
        <w:rPr>
          <w:rStyle w:val="element-citation"/>
          <w:sz w:val="28"/>
          <w:szCs w:val="28"/>
          <w:lang w:val="en-US"/>
        </w:rPr>
        <w:t>M</w:t>
      </w:r>
      <w:r w:rsidRPr="00D83BD4">
        <w:rPr>
          <w:rStyle w:val="element-citation"/>
          <w:sz w:val="28"/>
          <w:szCs w:val="28"/>
          <w:lang w:val="uk-UA"/>
        </w:rPr>
        <w:t xml:space="preserve">, </w:t>
      </w:r>
      <w:r w:rsidRPr="00D83BD4">
        <w:rPr>
          <w:rStyle w:val="element-citation"/>
          <w:sz w:val="28"/>
          <w:szCs w:val="28"/>
          <w:lang w:val="en-US"/>
        </w:rPr>
        <w:t>Liao</w:t>
      </w:r>
      <w:r w:rsidRPr="00D83BD4">
        <w:rPr>
          <w:rStyle w:val="element-citation"/>
          <w:sz w:val="28"/>
          <w:szCs w:val="28"/>
          <w:lang w:val="uk-UA"/>
        </w:rPr>
        <w:t xml:space="preserve"> </w:t>
      </w:r>
      <w:r w:rsidRPr="00D83BD4">
        <w:rPr>
          <w:rStyle w:val="element-citation"/>
          <w:sz w:val="28"/>
          <w:szCs w:val="28"/>
          <w:lang w:val="en-US"/>
        </w:rPr>
        <w:t>YH</w:t>
      </w:r>
      <w:r w:rsidRPr="00D83BD4">
        <w:rPr>
          <w:rStyle w:val="element-citation"/>
          <w:sz w:val="28"/>
          <w:szCs w:val="28"/>
          <w:lang w:val="uk-UA"/>
        </w:rPr>
        <w:t xml:space="preserve">, </w:t>
      </w:r>
      <w:r w:rsidRPr="00D83BD4">
        <w:rPr>
          <w:sz w:val="28"/>
          <w:szCs w:val="28"/>
          <w:shd w:val="clear" w:color="auto" w:fill="FFFFFF"/>
          <w:lang w:val="en-US"/>
        </w:rPr>
        <w:t>Hu Y, Wu M, Wang Q,</w:t>
      </w:r>
      <w:r w:rsidRPr="00D83BD4">
        <w:rPr>
          <w:color w:val="212121"/>
          <w:sz w:val="28"/>
          <w:szCs w:val="28"/>
          <w:shd w:val="clear" w:color="auto" w:fill="FFFFFF"/>
          <w:lang w:val="en-US"/>
        </w:rPr>
        <w:t xml:space="preserve"> </w:t>
      </w:r>
      <w:r w:rsidRPr="00D83BD4">
        <w:rPr>
          <w:rStyle w:val="element-citation"/>
          <w:sz w:val="28"/>
          <w:szCs w:val="28"/>
          <w:lang w:val="en-US"/>
        </w:rPr>
        <w:t>et</w:t>
      </w:r>
      <w:r w:rsidRPr="00D83BD4">
        <w:rPr>
          <w:rStyle w:val="element-citation"/>
          <w:sz w:val="28"/>
          <w:szCs w:val="28"/>
          <w:lang w:val="uk-UA"/>
        </w:rPr>
        <w:t xml:space="preserve"> </w:t>
      </w:r>
      <w:r w:rsidRPr="00D83BD4">
        <w:rPr>
          <w:rStyle w:val="element-citation"/>
          <w:sz w:val="28"/>
          <w:szCs w:val="28"/>
          <w:lang w:val="en-US"/>
        </w:rPr>
        <w:t>al</w:t>
      </w:r>
      <w:r w:rsidRPr="00D83BD4">
        <w:rPr>
          <w:rStyle w:val="element-citation"/>
          <w:sz w:val="28"/>
          <w:szCs w:val="28"/>
          <w:lang w:val="uk-UA"/>
        </w:rPr>
        <w:t xml:space="preserve">. </w:t>
      </w:r>
      <w:r w:rsidRPr="00D83BD4">
        <w:rPr>
          <w:rStyle w:val="element-citation"/>
          <w:sz w:val="28"/>
          <w:szCs w:val="28"/>
          <w:lang w:val="en-US"/>
        </w:rPr>
        <w:t xml:space="preserve">Rosuvastatin enhances angiogenesis via eNOS-dependent mobilization of endothelial progenitor cells. </w:t>
      </w:r>
      <w:r w:rsidRPr="00D83BD4">
        <w:rPr>
          <w:rStyle w:val="afb"/>
          <w:i w:val="0"/>
          <w:iCs w:val="0"/>
          <w:sz w:val="28"/>
          <w:szCs w:val="28"/>
        </w:rPr>
        <w:t>PLoS ONE</w:t>
      </w:r>
      <w:r w:rsidRPr="00D83BD4">
        <w:rPr>
          <w:rStyle w:val="ref-journal"/>
          <w:i/>
          <w:iCs/>
          <w:sz w:val="28"/>
          <w:szCs w:val="28"/>
        </w:rPr>
        <w:t>.</w:t>
      </w:r>
      <w:r w:rsidRPr="00D83BD4">
        <w:rPr>
          <w:rStyle w:val="ref-journal"/>
          <w:sz w:val="28"/>
          <w:szCs w:val="28"/>
        </w:rPr>
        <w:t xml:space="preserve"> </w:t>
      </w:r>
      <w:r w:rsidRPr="00D83BD4">
        <w:rPr>
          <w:rStyle w:val="element-citation"/>
          <w:sz w:val="28"/>
          <w:szCs w:val="28"/>
        </w:rPr>
        <w:t>2013;</w:t>
      </w:r>
      <w:r w:rsidRPr="00D83BD4">
        <w:rPr>
          <w:rStyle w:val="ref-vol"/>
          <w:sz w:val="28"/>
          <w:szCs w:val="28"/>
        </w:rPr>
        <w:t>8</w:t>
      </w:r>
      <w:r w:rsidRPr="00D83BD4">
        <w:rPr>
          <w:rStyle w:val="element-citation"/>
          <w:sz w:val="28"/>
          <w:szCs w:val="28"/>
        </w:rPr>
        <w:t>(5)</w:t>
      </w:r>
      <w:r w:rsidRPr="00D83BD4">
        <w:rPr>
          <w:sz w:val="28"/>
          <w:szCs w:val="28"/>
          <w:shd w:val="clear" w:color="auto" w:fill="FFFFFF"/>
        </w:rPr>
        <w:t>:e63126.</w:t>
      </w:r>
      <w:r w:rsidRPr="00D83BD4">
        <w:rPr>
          <w:rStyle w:val="element-citation"/>
          <w:sz w:val="28"/>
          <w:szCs w:val="28"/>
        </w:rPr>
        <w:t xml:space="preserve">  doi: 10.1371/journal.pone.0063126.e63126</w:t>
      </w:r>
    </w:p>
    <w:p w:rsidR="00E3259F" w:rsidRPr="00D83BD4" w:rsidRDefault="00E3259F" w:rsidP="00D83BD4">
      <w:pPr>
        <w:numPr>
          <w:ilvl w:val="0"/>
          <w:numId w:val="26"/>
        </w:numPr>
        <w:tabs>
          <w:tab w:val="left" w:pos="0"/>
        </w:tabs>
        <w:spacing w:line="360" w:lineRule="auto"/>
        <w:ind w:left="0" w:firstLine="0"/>
        <w:jc w:val="both"/>
        <w:rPr>
          <w:color w:val="333333"/>
          <w:sz w:val="28"/>
          <w:szCs w:val="28"/>
          <w:shd w:val="clear" w:color="auto" w:fill="FFFFFF"/>
          <w:lang w:val="uk-UA"/>
        </w:rPr>
      </w:pPr>
      <w:r w:rsidRPr="00D83BD4">
        <w:rPr>
          <w:color w:val="000000"/>
          <w:sz w:val="28"/>
          <w:szCs w:val="28"/>
          <w:shd w:val="clear" w:color="auto" w:fill="FFFFFF"/>
          <w:lang w:val="en-US"/>
        </w:rPr>
        <w:t>Zhu</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Y</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Xian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X</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Wang</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Z</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Bi</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Y</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Chen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Q</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Han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X</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et al</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Research</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Progress</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on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the</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Relationship</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between</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Atherosclerosis</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and</w:t>
      </w:r>
      <w:r w:rsidRPr="00D83BD4">
        <w:rPr>
          <w:color w:val="000000"/>
          <w:sz w:val="28"/>
          <w:szCs w:val="28"/>
          <w:shd w:val="clear" w:color="auto" w:fill="FFFFFF"/>
          <w:lang w:val="uk-UA"/>
        </w:rPr>
        <w:t xml:space="preserve"> </w:t>
      </w:r>
      <w:r w:rsidRPr="00D83BD4">
        <w:rPr>
          <w:color w:val="000000"/>
          <w:sz w:val="28"/>
          <w:szCs w:val="28"/>
          <w:shd w:val="clear" w:color="auto" w:fill="FFFFFF"/>
          <w:lang w:val="en-US"/>
        </w:rPr>
        <w:t>Inflammation</w:t>
      </w:r>
      <w:r w:rsidRPr="00D83BD4">
        <w:rPr>
          <w:color w:val="000000"/>
          <w:sz w:val="28"/>
          <w:szCs w:val="28"/>
          <w:shd w:val="clear" w:color="auto" w:fill="FFFFFF"/>
          <w:lang w:val="uk-UA"/>
        </w:rPr>
        <w:t xml:space="preserve">. </w:t>
      </w:r>
      <w:r w:rsidRPr="00D83BD4">
        <w:rPr>
          <w:color w:val="000000"/>
          <w:sz w:val="28"/>
          <w:szCs w:val="28"/>
          <w:shd w:val="clear" w:color="auto" w:fill="FFFFFF"/>
        </w:rPr>
        <w:t>Biomolecules</w:t>
      </w:r>
      <w:r w:rsidRPr="00D83BD4">
        <w:rPr>
          <w:color w:val="000000"/>
          <w:sz w:val="28"/>
          <w:szCs w:val="28"/>
          <w:shd w:val="clear" w:color="auto" w:fill="FFFFFF"/>
          <w:lang w:val="uk-UA"/>
        </w:rPr>
        <w:t xml:space="preserve">. 2018;8(3):80. </w:t>
      </w:r>
      <w:r w:rsidRPr="00D83BD4">
        <w:rPr>
          <w:color w:val="000000"/>
          <w:sz w:val="28"/>
          <w:szCs w:val="28"/>
          <w:shd w:val="clear" w:color="auto" w:fill="FFFFFF"/>
        </w:rPr>
        <w:t>doi</w:t>
      </w:r>
      <w:r w:rsidRPr="00D83BD4">
        <w:rPr>
          <w:color w:val="000000"/>
          <w:sz w:val="28"/>
          <w:szCs w:val="28"/>
          <w:shd w:val="clear" w:color="auto" w:fill="FFFFFF"/>
          <w:lang w:val="uk-UA"/>
        </w:rPr>
        <w:t>: 10.3390/</w:t>
      </w:r>
      <w:r w:rsidRPr="00D83BD4">
        <w:rPr>
          <w:color w:val="000000"/>
          <w:sz w:val="28"/>
          <w:szCs w:val="28"/>
          <w:shd w:val="clear" w:color="auto" w:fill="FFFFFF"/>
        </w:rPr>
        <w:t>biom</w:t>
      </w:r>
      <w:r w:rsidRPr="00D83BD4">
        <w:rPr>
          <w:color w:val="000000"/>
          <w:sz w:val="28"/>
          <w:szCs w:val="28"/>
          <w:shd w:val="clear" w:color="auto" w:fill="FFFFFF"/>
          <w:lang w:val="uk-UA"/>
        </w:rPr>
        <w:t>8030080</w:t>
      </w:r>
      <w:r w:rsidRPr="00D83BD4">
        <w:rPr>
          <w:color w:val="000000"/>
          <w:sz w:val="28"/>
          <w:szCs w:val="28"/>
          <w:shd w:val="clear" w:color="auto" w:fill="FFFFFF"/>
          <w:lang w:val="en-US"/>
        </w:rPr>
        <w:t xml:space="preserve"> </w:t>
      </w:r>
      <w:r w:rsidRPr="00D83BD4">
        <w:rPr>
          <w:color w:val="000000"/>
          <w:sz w:val="28"/>
          <w:szCs w:val="28"/>
          <w:shd w:val="clear" w:color="auto" w:fill="FFFFFF"/>
          <w:lang w:val="uk-UA"/>
        </w:rPr>
        <w:t xml:space="preserve"> </w:t>
      </w:r>
    </w:p>
    <w:p w:rsidR="00E3259F" w:rsidRPr="00D83BD4" w:rsidRDefault="00E3259F" w:rsidP="00D83BD4">
      <w:pPr>
        <w:numPr>
          <w:ilvl w:val="0"/>
          <w:numId w:val="26"/>
        </w:numPr>
        <w:tabs>
          <w:tab w:val="num" w:pos="-180"/>
          <w:tab w:val="left" w:pos="0"/>
        </w:tabs>
        <w:spacing w:line="360" w:lineRule="auto"/>
        <w:ind w:left="0" w:firstLine="0"/>
        <w:jc w:val="both"/>
        <w:rPr>
          <w:sz w:val="28"/>
          <w:szCs w:val="28"/>
        </w:rPr>
      </w:pPr>
      <w:r w:rsidRPr="00D83BD4">
        <w:rPr>
          <w:sz w:val="28"/>
          <w:szCs w:val="28"/>
          <w:lang w:val="en-US"/>
        </w:rPr>
        <w:t xml:space="preserve">Zilov AV, Abdelaziz S,  Shammary A,  Zahrani A, Amir A, Assaad Khalil SH, et al. Mechanisms of action of metformin with special reference to cardiovascular protection. </w:t>
      </w:r>
      <w:r w:rsidRPr="00D83BD4">
        <w:rPr>
          <w:sz w:val="28"/>
          <w:szCs w:val="28"/>
        </w:rPr>
        <w:t>Diabetes Metab Res Rev. 2019</w:t>
      </w:r>
      <w:r w:rsidRPr="00D83BD4">
        <w:rPr>
          <w:sz w:val="28"/>
          <w:szCs w:val="28"/>
          <w:lang w:val="en-US"/>
        </w:rPr>
        <w:t>;35(7)</w:t>
      </w:r>
      <w:r w:rsidRPr="00D83BD4">
        <w:rPr>
          <w:sz w:val="28"/>
          <w:szCs w:val="28"/>
        </w:rPr>
        <w:t>:e3173. doi: 10.1002/dmrr.3173</w:t>
      </w:r>
      <w:r w:rsidRPr="00D83BD4">
        <w:rPr>
          <w:sz w:val="28"/>
          <w:szCs w:val="28"/>
          <w:lang w:val="en-US"/>
        </w:rPr>
        <w:t xml:space="preserve"> </w:t>
      </w:r>
    </w:p>
    <w:p w:rsidR="00E3259F" w:rsidRPr="002E0FFA" w:rsidRDefault="00E3259F" w:rsidP="003C2169">
      <w:pPr>
        <w:spacing w:after="200" w:line="276" w:lineRule="auto"/>
        <w:jc w:val="right"/>
        <w:rPr>
          <w:bCs/>
          <w:sz w:val="28"/>
          <w:szCs w:val="28"/>
        </w:rPr>
      </w:pPr>
      <w:r w:rsidRPr="002E0FFA">
        <w:rPr>
          <w:bCs/>
          <w:sz w:val="28"/>
          <w:szCs w:val="28"/>
        </w:rPr>
        <w:t>ДОДАТОК А</w:t>
      </w:r>
    </w:p>
    <w:p w:rsidR="00E3259F" w:rsidRPr="00D83BD4" w:rsidRDefault="00E3259F" w:rsidP="00E3259F">
      <w:pPr>
        <w:spacing w:line="360" w:lineRule="auto"/>
        <w:jc w:val="center"/>
        <w:rPr>
          <w:bCs/>
          <w:sz w:val="28"/>
          <w:szCs w:val="28"/>
        </w:rPr>
      </w:pPr>
      <w:r w:rsidRPr="00D83BD4">
        <w:rPr>
          <w:sz w:val="28"/>
          <w:szCs w:val="28"/>
        </w:rPr>
        <w:t>Опитувальник для оцінки ризику наявності гіпотиреозу</w:t>
      </w:r>
      <w:r w:rsidRPr="00D83BD4">
        <w:rPr>
          <w:bCs/>
          <w:sz w:val="28"/>
          <w:szCs w:val="28"/>
        </w:rPr>
        <w:t xml:space="preserve"> (Hypothyroid Risk Questionnaire™) [237]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E3259F" w:rsidRPr="00D83BD4" w:rsidTr="00E3259F">
        <w:trPr>
          <w:trHeight w:val="12082"/>
        </w:trPr>
        <w:tc>
          <w:tcPr>
            <w:tcW w:w="4785" w:type="dxa"/>
            <w:tcBorders>
              <w:top w:val="single" w:sz="4" w:space="0" w:color="auto"/>
              <w:left w:val="single" w:sz="4" w:space="0" w:color="auto"/>
              <w:bottom w:val="single" w:sz="4" w:space="0" w:color="auto"/>
              <w:right w:val="single" w:sz="4" w:space="0" w:color="auto"/>
            </w:tcBorders>
            <w:hideMark/>
          </w:tcPr>
          <w:p w:rsidR="00E3259F" w:rsidRPr="002E0FFA" w:rsidRDefault="00E3259F">
            <w:pPr>
              <w:spacing w:line="360" w:lineRule="auto"/>
              <w:rPr>
                <w:sz w:val="28"/>
                <w:szCs w:val="28"/>
                <w:lang w:val="uk-UA" w:eastAsia="uk-UA"/>
              </w:rPr>
            </w:pPr>
            <w:r w:rsidRPr="002E0FFA">
              <w:rPr>
                <w:sz w:val="28"/>
                <w:szCs w:val="28"/>
                <w:lang w:eastAsia="en-US"/>
              </w:rPr>
              <w:t>Секція A Симптоми (в балах)</w:t>
            </w:r>
          </w:p>
          <w:p w:rsidR="00E3259F" w:rsidRPr="00D83BD4" w:rsidRDefault="00E3259F">
            <w:pPr>
              <w:spacing w:line="360" w:lineRule="auto"/>
              <w:rPr>
                <w:sz w:val="28"/>
                <w:szCs w:val="28"/>
                <w:lang w:eastAsia="en-US"/>
              </w:rPr>
            </w:pPr>
            <w:r w:rsidRPr="00D83BD4">
              <w:rPr>
                <w:sz w:val="28"/>
                <w:szCs w:val="28"/>
                <w:lang w:eastAsia="en-US"/>
              </w:rPr>
              <w:t>Слабкість</w:t>
            </w:r>
            <w:r w:rsidRPr="00D83BD4">
              <w:rPr>
                <w:sz w:val="28"/>
                <w:szCs w:val="28"/>
                <w:lang w:eastAsia="en-US"/>
              </w:rPr>
              <w:br/>
              <w:t>Знижена температура тіла</w:t>
            </w:r>
            <w:r w:rsidRPr="00D83BD4">
              <w:rPr>
                <w:sz w:val="28"/>
                <w:szCs w:val="28"/>
                <w:lang w:eastAsia="en-US"/>
              </w:rPr>
              <w:br/>
              <w:t>Збільшення маси тіла</w:t>
            </w:r>
          </w:p>
          <w:p w:rsidR="00E3259F" w:rsidRPr="00D83BD4" w:rsidRDefault="00E3259F">
            <w:pPr>
              <w:spacing w:line="360" w:lineRule="auto"/>
              <w:rPr>
                <w:sz w:val="28"/>
                <w:szCs w:val="28"/>
                <w:lang w:eastAsia="en-US"/>
              </w:rPr>
            </w:pPr>
            <w:r w:rsidRPr="00D83BD4">
              <w:rPr>
                <w:sz w:val="28"/>
                <w:szCs w:val="28"/>
                <w:lang w:eastAsia="en-US"/>
              </w:rPr>
              <w:t>Складнощі з концентрацією уваги</w:t>
            </w:r>
            <w:r w:rsidRPr="00D83BD4">
              <w:rPr>
                <w:sz w:val="28"/>
                <w:szCs w:val="28"/>
                <w:lang w:eastAsia="en-US"/>
              </w:rPr>
              <w:br/>
              <w:t>Складнощі з процесом мислення</w:t>
            </w:r>
            <w:r w:rsidRPr="00D83BD4">
              <w:rPr>
                <w:sz w:val="28"/>
                <w:szCs w:val="28"/>
                <w:lang w:eastAsia="en-US"/>
              </w:rPr>
              <w:br/>
              <w:t>Погіршення пам'яті</w:t>
            </w:r>
            <w:r w:rsidRPr="00D83BD4">
              <w:rPr>
                <w:sz w:val="28"/>
                <w:szCs w:val="28"/>
                <w:lang w:eastAsia="en-US"/>
              </w:rPr>
              <w:br/>
              <w:t>Погіршення короткочасної пам'яті</w:t>
            </w:r>
            <w:r w:rsidRPr="00D83BD4">
              <w:rPr>
                <w:sz w:val="28"/>
                <w:szCs w:val="28"/>
                <w:lang w:eastAsia="en-US"/>
              </w:rPr>
              <w:br/>
              <w:t>Повільність мислення</w:t>
            </w:r>
            <w:r w:rsidRPr="00D83BD4">
              <w:rPr>
                <w:sz w:val="28"/>
                <w:szCs w:val="28"/>
                <w:lang w:eastAsia="en-US"/>
              </w:rPr>
              <w:br/>
              <w:t>Депресія</w:t>
            </w:r>
            <w:r w:rsidRPr="00D83BD4">
              <w:rPr>
                <w:sz w:val="28"/>
                <w:szCs w:val="28"/>
                <w:lang w:eastAsia="en-US"/>
              </w:rPr>
              <w:br/>
              <w:t>Похмурість і дратівливість</w:t>
            </w:r>
            <w:r w:rsidRPr="00D83BD4">
              <w:rPr>
                <w:sz w:val="28"/>
                <w:szCs w:val="28"/>
                <w:lang w:eastAsia="en-US"/>
              </w:rPr>
              <w:br/>
              <w:t>Зниження сексуальної активності</w:t>
            </w:r>
            <w:r w:rsidRPr="00D83BD4">
              <w:rPr>
                <w:sz w:val="28"/>
                <w:szCs w:val="28"/>
                <w:lang w:eastAsia="en-US"/>
              </w:rPr>
              <w:br/>
              <w:t>Відсутність відчуття відпочинку після сну</w:t>
            </w:r>
            <w:r w:rsidRPr="00D83BD4">
              <w:rPr>
                <w:sz w:val="28"/>
                <w:szCs w:val="28"/>
                <w:lang w:eastAsia="en-US"/>
              </w:rPr>
              <w:br/>
              <w:t>Стоншування брів</w:t>
            </w:r>
            <w:r w:rsidRPr="00D83BD4">
              <w:rPr>
                <w:sz w:val="28"/>
                <w:szCs w:val="28"/>
                <w:lang w:eastAsia="en-US"/>
              </w:rPr>
              <w:br/>
              <w:t>Випадіння волосся</w:t>
            </w:r>
            <w:r w:rsidRPr="00D83BD4">
              <w:rPr>
                <w:sz w:val="28"/>
                <w:szCs w:val="28"/>
                <w:lang w:eastAsia="en-US"/>
              </w:rPr>
              <w:br/>
              <w:t>Підвищена чутливість до холоду</w:t>
            </w:r>
            <w:r w:rsidRPr="00D83BD4">
              <w:rPr>
                <w:sz w:val="28"/>
                <w:szCs w:val="28"/>
                <w:lang w:eastAsia="en-US"/>
              </w:rPr>
              <w:br/>
              <w:t>Відчуття холодних рук і ніг</w:t>
            </w:r>
            <w:r w:rsidRPr="00D83BD4">
              <w:rPr>
                <w:sz w:val="28"/>
                <w:szCs w:val="28"/>
                <w:lang w:eastAsia="en-US"/>
              </w:rPr>
              <w:br/>
              <w:t>Уповільнений пульс</w:t>
            </w:r>
            <w:r w:rsidRPr="00D83BD4">
              <w:rPr>
                <w:sz w:val="28"/>
                <w:szCs w:val="28"/>
                <w:lang w:eastAsia="en-US"/>
              </w:rPr>
              <w:br/>
              <w:t>Зниження артеріального тиску</w:t>
            </w:r>
            <w:r w:rsidRPr="00D83BD4">
              <w:rPr>
                <w:sz w:val="28"/>
                <w:szCs w:val="28"/>
                <w:lang w:eastAsia="en-US"/>
              </w:rPr>
              <w:br/>
              <w:t>Випорожнення рідше 1 разу на день</w:t>
            </w:r>
            <w:r w:rsidRPr="00D83BD4">
              <w:rPr>
                <w:sz w:val="28"/>
                <w:szCs w:val="28"/>
                <w:lang w:eastAsia="en-US"/>
              </w:rPr>
              <w:br/>
              <w:t>Запаморочення або хиткість</w:t>
            </w:r>
            <w:r w:rsidRPr="00D83BD4">
              <w:rPr>
                <w:sz w:val="28"/>
                <w:szCs w:val="28"/>
                <w:lang w:eastAsia="en-US"/>
              </w:rPr>
              <w:br/>
              <w:t>Затримка рідини</w:t>
            </w:r>
            <w:r w:rsidRPr="00D83BD4">
              <w:rPr>
                <w:sz w:val="28"/>
                <w:szCs w:val="28"/>
                <w:lang w:eastAsia="en-US"/>
              </w:rPr>
              <w:br/>
              <w:t>Часті головні болі</w:t>
            </w:r>
            <w:r w:rsidRPr="00D83BD4">
              <w:rPr>
                <w:sz w:val="28"/>
                <w:szCs w:val="28"/>
                <w:lang w:eastAsia="en-US"/>
              </w:rPr>
              <w:br/>
              <w:t>Часті інфекції</w:t>
            </w:r>
            <w:r w:rsidRPr="00D83BD4">
              <w:rPr>
                <w:sz w:val="28"/>
                <w:szCs w:val="28"/>
                <w:lang w:eastAsia="en-US"/>
              </w:rPr>
              <w:br/>
              <w:t>Набряклість або відчуття «мішків» під очима</w:t>
            </w:r>
            <w:r w:rsidRPr="00D83BD4">
              <w:rPr>
                <w:sz w:val="28"/>
                <w:szCs w:val="28"/>
                <w:lang w:eastAsia="en-US"/>
              </w:rPr>
              <w:br/>
              <w:t>Одутлість обличчя</w:t>
            </w:r>
            <w:r w:rsidRPr="00D83BD4">
              <w:rPr>
                <w:sz w:val="28"/>
                <w:szCs w:val="28"/>
                <w:lang w:eastAsia="en-US"/>
              </w:rPr>
              <w:br/>
              <w:t>Блідість, набряклість шкірних покривів</w:t>
            </w:r>
            <w:r w:rsidRPr="00D83BD4">
              <w:rPr>
                <w:sz w:val="28"/>
                <w:szCs w:val="28"/>
                <w:lang w:eastAsia="en-US"/>
              </w:rPr>
              <w:br/>
              <w:t>Зменшення волосяного покриву на тілі</w:t>
            </w:r>
            <w:r w:rsidRPr="00D83BD4">
              <w:rPr>
                <w:sz w:val="28"/>
                <w:szCs w:val="28"/>
                <w:lang w:eastAsia="en-US"/>
              </w:rPr>
              <w:br/>
              <w:t>Збільшення язика в розмірі</w:t>
            </w:r>
            <w:r w:rsidRPr="00D83BD4">
              <w:rPr>
                <w:sz w:val="28"/>
                <w:szCs w:val="28"/>
                <w:lang w:eastAsia="en-US"/>
              </w:rPr>
              <w:br/>
              <w:t>Відбитки зубів на язику</w:t>
            </w:r>
          </w:p>
          <w:p w:rsidR="00E3259F" w:rsidRPr="00D83BD4" w:rsidRDefault="00E3259F">
            <w:pPr>
              <w:spacing w:line="360" w:lineRule="auto"/>
              <w:rPr>
                <w:sz w:val="28"/>
                <w:szCs w:val="28"/>
                <w:lang w:eastAsia="en-US"/>
              </w:rPr>
            </w:pPr>
            <w:r w:rsidRPr="00D83BD4">
              <w:rPr>
                <w:sz w:val="28"/>
                <w:szCs w:val="28"/>
                <w:lang w:eastAsia="en-US"/>
              </w:rPr>
              <w:t>Стоншування вій</w:t>
            </w:r>
            <w:r w:rsidRPr="00D83BD4">
              <w:rPr>
                <w:sz w:val="28"/>
                <w:szCs w:val="28"/>
                <w:lang w:eastAsia="en-US"/>
              </w:rPr>
              <w:br/>
              <w:t>Жовтушний відтінок долонь або підошов</w:t>
            </w:r>
            <w:r w:rsidRPr="00D83BD4">
              <w:rPr>
                <w:sz w:val="28"/>
                <w:szCs w:val="28"/>
                <w:lang w:eastAsia="en-US"/>
              </w:rPr>
              <w:br/>
              <w:t>Сухість шкіри</w:t>
            </w:r>
          </w:p>
          <w:p w:rsidR="00E3259F" w:rsidRPr="00D83BD4" w:rsidRDefault="00E3259F">
            <w:pPr>
              <w:spacing w:line="360" w:lineRule="auto"/>
              <w:rPr>
                <w:sz w:val="28"/>
                <w:szCs w:val="28"/>
                <w:lang w:eastAsia="en-US"/>
              </w:rPr>
            </w:pPr>
            <w:r w:rsidRPr="00D83BD4">
              <w:rPr>
                <w:sz w:val="28"/>
                <w:szCs w:val="28"/>
                <w:lang w:eastAsia="en-US"/>
              </w:rPr>
              <w:t>Свербіж шкіри в холодну пору року</w:t>
            </w:r>
            <w:r w:rsidRPr="00D83BD4">
              <w:rPr>
                <w:sz w:val="28"/>
                <w:szCs w:val="28"/>
                <w:lang w:eastAsia="en-US"/>
              </w:rPr>
              <w:br/>
              <w:t>Зниження пітливості</w:t>
            </w:r>
            <w:r w:rsidRPr="00D83BD4">
              <w:rPr>
                <w:sz w:val="28"/>
                <w:szCs w:val="28"/>
                <w:lang w:eastAsia="en-US"/>
              </w:rPr>
              <w:br/>
              <w:t>Підвищений рівень холестерину в крові</w:t>
            </w:r>
            <w:r w:rsidRPr="00D83BD4">
              <w:rPr>
                <w:sz w:val="28"/>
                <w:szCs w:val="28"/>
                <w:lang w:eastAsia="en-US"/>
              </w:rPr>
              <w:br/>
              <w:t>Нічне апное</w:t>
            </w:r>
          </w:p>
          <w:p w:rsidR="00E3259F" w:rsidRPr="00D83BD4" w:rsidRDefault="00E3259F">
            <w:pPr>
              <w:spacing w:line="360" w:lineRule="auto"/>
              <w:rPr>
                <w:sz w:val="28"/>
                <w:szCs w:val="28"/>
                <w:lang w:eastAsia="en-US"/>
              </w:rPr>
            </w:pPr>
            <w:r w:rsidRPr="00D83BD4">
              <w:rPr>
                <w:sz w:val="28"/>
                <w:szCs w:val="28"/>
                <w:lang w:eastAsia="en-US"/>
              </w:rPr>
              <w:t>Почуття закладеності носа</w:t>
            </w:r>
            <w:r w:rsidRPr="00D83BD4">
              <w:rPr>
                <w:sz w:val="28"/>
                <w:szCs w:val="28"/>
                <w:lang w:eastAsia="en-US"/>
              </w:rPr>
              <w:br/>
              <w:t>Відчуття оніміння рук і ніг</w:t>
            </w:r>
            <w:r w:rsidRPr="00D83BD4">
              <w:rPr>
                <w:sz w:val="28"/>
                <w:szCs w:val="28"/>
                <w:lang w:eastAsia="en-US"/>
              </w:rPr>
              <w:br/>
              <w:t>Осиплість голосу</w:t>
            </w:r>
            <w:r w:rsidRPr="00D83BD4">
              <w:rPr>
                <w:sz w:val="28"/>
                <w:szCs w:val="28"/>
                <w:lang w:eastAsia="en-US"/>
              </w:rPr>
              <w:br/>
              <w:t>Почуття скутості і біль в суглобах</w:t>
            </w:r>
            <w:r w:rsidRPr="00D83BD4">
              <w:rPr>
                <w:sz w:val="28"/>
                <w:szCs w:val="28"/>
                <w:lang w:eastAsia="en-US"/>
              </w:rPr>
              <w:br/>
              <w:t>М'язові болі</w:t>
            </w:r>
            <w:r w:rsidRPr="00D83BD4">
              <w:rPr>
                <w:sz w:val="28"/>
                <w:szCs w:val="28"/>
                <w:lang w:eastAsia="en-US"/>
              </w:rPr>
              <w:br/>
            </w:r>
          </w:p>
          <w:p w:rsidR="00E3259F" w:rsidRPr="00D83BD4" w:rsidRDefault="00E3259F">
            <w:pPr>
              <w:spacing w:line="360" w:lineRule="auto"/>
              <w:rPr>
                <w:b/>
                <w:sz w:val="28"/>
                <w:szCs w:val="28"/>
                <w:lang w:val="uk-UA" w:eastAsia="uk-UA"/>
              </w:rPr>
            </w:pPr>
            <w:r w:rsidRPr="00D83BD4">
              <w:rPr>
                <w:sz w:val="28"/>
                <w:szCs w:val="28"/>
                <w:lang w:eastAsia="en-US"/>
              </w:rPr>
              <w:t>Загальний бал для секції А</w:t>
            </w:r>
          </w:p>
        </w:tc>
        <w:tc>
          <w:tcPr>
            <w:tcW w:w="4786" w:type="dxa"/>
            <w:tcBorders>
              <w:top w:val="single" w:sz="4" w:space="0" w:color="auto"/>
              <w:left w:val="single" w:sz="4" w:space="0" w:color="auto"/>
              <w:bottom w:val="single" w:sz="4" w:space="0" w:color="auto"/>
              <w:right w:val="single" w:sz="4" w:space="0" w:color="auto"/>
            </w:tcBorders>
            <w:hideMark/>
          </w:tcPr>
          <w:p w:rsidR="00E3259F" w:rsidRPr="00D83BD4" w:rsidRDefault="00E3259F">
            <w:pPr>
              <w:spacing w:line="360" w:lineRule="auto"/>
              <w:rPr>
                <w:sz w:val="28"/>
                <w:szCs w:val="28"/>
                <w:lang w:val="uk-UA" w:eastAsia="uk-UA"/>
              </w:rPr>
            </w:pPr>
            <w:r w:rsidRPr="002E0FFA">
              <w:rPr>
                <w:sz w:val="28"/>
                <w:szCs w:val="28"/>
                <w:lang w:eastAsia="en-US"/>
              </w:rPr>
              <w:t>Секція B Ризики (в балах)</w:t>
            </w:r>
            <w:r w:rsidRPr="002E0FFA">
              <w:rPr>
                <w:sz w:val="28"/>
                <w:szCs w:val="28"/>
                <w:lang w:eastAsia="en-US"/>
              </w:rPr>
              <w:br/>
            </w:r>
            <w:r w:rsidRPr="00D83BD4">
              <w:rPr>
                <w:sz w:val="28"/>
                <w:szCs w:val="28"/>
                <w:lang w:eastAsia="en-US"/>
              </w:rPr>
              <w:t xml:space="preserve"> Анамнез</w:t>
            </w:r>
            <w:r w:rsidRPr="00D83BD4">
              <w:rPr>
                <w:sz w:val="28"/>
                <w:szCs w:val="28"/>
                <w:lang w:eastAsia="en-US"/>
              </w:rPr>
              <w:br/>
              <w:t>Чи є у Вас автоімунні захворювання такі як системний червоний вовчак, ревматоїдний артрит, саркоїдоз?</w:t>
            </w:r>
            <w:r w:rsidRPr="00D83BD4">
              <w:rPr>
                <w:sz w:val="28"/>
                <w:szCs w:val="28"/>
                <w:lang w:eastAsia="en-US"/>
              </w:rPr>
              <w:br/>
              <w:t xml:space="preserve"> Чи проходили Ви коли-небудь лікування з приводу будь-якого захворювання щитовидної залози?</w:t>
            </w:r>
            <w:r w:rsidRPr="00D83BD4">
              <w:rPr>
                <w:sz w:val="28"/>
                <w:szCs w:val="28"/>
                <w:lang w:eastAsia="en-US"/>
              </w:rPr>
              <w:br/>
              <w:t>Чи приймали Ви коли-небудь препарати літію або аміодарон?</w:t>
            </w:r>
            <w:r w:rsidRPr="00D83BD4">
              <w:rPr>
                <w:sz w:val="28"/>
                <w:szCs w:val="28"/>
                <w:lang w:eastAsia="en-US"/>
              </w:rPr>
              <w:br/>
              <w:t xml:space="preserve"> </w:t>
            </w:r>
          </w:p>
          <w:p w:rsidR="00E3259F" w:rsidRPr="00D83BD4" w:rsidRDefault="00E3259F">
            <w:pPr>
              <w:spacing w:line="360" w:lineRule="auto"/>
              <w:rPr>
                <w:b/>
                <w:sz w:val="28"/>
                <w:szCs w:val="28"/>
                <w:lang w:eastAsia="en-US"/>
              </w:rPr>
            </w:pPr>
            <w:r w:rsidRPr="00D83BD4">
              <w:rPr>
                <w:sz w:val="28"/>
                <w:szCs w:val="28"/>
                <w:lang w:eastAsia="en-US"/>
              </w:rPr>
              <w:t> Загальний бал секції В:</w:t>
            </w:r>
            <w:r w:rsidRPr="00D83BD4">
              <w:rPr>
                <w:sz w:val="28"/>
                <w:szCs w:val="28"/>
                <w:lang w:eastAsia="en-US"/>
              </w:rPr>
              <w:br/>
            </w:r>
            <w:r w:rsidRPr="00D83BD4">
              <w:rPr>
                <w:b/>
                <w:sz w:val="28"/>
                <w:szCs w:val="28"/>
                <w:lang w:eastAsia="en-US"/>
              </w:rPr>
              <w:t xml:space="preserve"> </w:t>
            </w:r>
          </w:p>
          <w:p w:rsidR="00E3259F" w:rsidRPr="00D83BD4" w:rsidRDefault="00E3259F">
            <w:pPr>
              <w:spacing w:line="360" w:lineRule="auto"/>
              <w:rPr>
                <w:sz w:val="28"/>
                <w:szCs w:val="28"/>
                <w:lang w:eastAsia="en-US"/>
              </w:rPr>
            </w:pPr>
            <w:r w:rsidRPr="002E0FFA">
              <w:rPr>
                <w:sz w:val="28"/>
                <w:szCs w:val="28"/>
                <w:lang w:eastAsia="en-US"/>
              </w:rPr>
              <w:t>Секція C Додаткові ризики (в балах)</w:t>
            </w:r>
            <w:r w:rsidRPr="00D83BD4">
              <w:rPr>
                <w:b/>
                <w:sz w:val="28"/>
                <w:szCs w:val="28"/>
                <w:lang w:eastAsia="en-US"/>
              </w:rPr>
              <w:br/>
            </w:r>
            <w:r w:rsidRPr="00D83BD4">
              <w:rPr>
                <w:sz w:val="28"/>
                <w:szCs w:val="28"/>
                <w:lang w:eastAsia="en-US"/>
              </w:rPr>
              <w:t> Спосіб життя і харчування</w:t>
            </w:r>
            <w:r w:rsidRPr="00D83BD4">
              <w:rPr>
                <w:sz w:val="28"/>
                <w:szCs w:val="28"/>
                <w:lang w:eastAsia="en-US"/>
              </w:rPr>
              <w:br/>
              <w:t>Чи палили  Ви коли-небудь?</w:t>
            </w:r>
            <w:r w:rsidRPr="00D83BD4">
              <w:rPr>
                <w:sz w:val="28"/>
                <w:szCs w:val="28"/>
                <w:lang w:eastAsia="en-US"/>
              </w:rPr>
              <w:br/>
              <w:t>Чи приймали Ви коли-небудь препарати йоду в дозі 1 мг і більше?</w:t>
            </w:r>
            <w:r w:rsidRPr="00D83BD4">
              <w:rPr>
                <w:sz w:val="28"/>
                <w:szCs w:val="28"/>
                <w:lang w:eastAsia="en-US"/>
              </w:rPr>
              <w:br/>
              <w:t>Обмежуєте Ви вживання всіх зазначених продуктів: сіль, морепродукти, молочні продукти, морська капуста?</w:t>
            </w:r>
            <w:r w:rsidRPr="00D83BD4">
              <w:rPr>
                <w:sz w:val="28"/>
                <w:szCs w:val="28"/>
                <w:lang w:eastAsia="en-US"/>
              </w:rPr>
              <w:br/>
              <w:t>Ви часто вживаєте в їжу брюссельську капусту, броколі, білокачанну капусту, цвітну капусту, кольрабі, листовий салат, пшоно, редис, брукву, ріпу або сою?</w:t>
            </w:r>
            <w:r w:rsidRPr="00D83BD4">
              <w:rPr>
                <w:sz w:val="28"/>
                <w:szCs w:val="28"/>
                <w:lang w:eastAsia="en-US"/>
              </w:rPr>
              <w:br/>
              <w:t> Сімейний анамнез</w:t>
            </w:r>
            <w:r w:rsidRPr="00D83BD4">
              <w:rPr>
                <w:sz w:val="28"/>
                <w:szCs w:val="28"/>
                <w:lang w:eastAsia="en-US"/>
              </w:rPr>
              <w:br/>
              <w:t>Будь-хто з Ваших близьких родичів має автоімунні захворювання такі , як системний червоний вовчак, ревматоїдний артрит, саркоїдоз?</w:t>
            </w:r>
            <w:r w:rsidRPr="00D83BD4">
              <w:rPr>
                <w:sz w:val="28"/>
                <w:szCs w:val="28"/>
                <w:lang w:eastAsia="en-US"/>
              </w:rPr>
              <w:br/>
              <w:t>Хто-небудь з близьких родичів має захворювання щитоподібної  залози?</w:t>
            </w:r>
            <w:r w:rsidRPr="00D83BD4">
              <w:rPr>
                <w:sz w:val="28"/>
                <w:szCs w:val="28"/>
                <w:lang w:eastAsia="en-US"/>
              </w:rPr>
              <w:br/>
              <w:t> </w:t>
            </w:r>
            <w:r w:rsidRPr="00D83BD4">
              <w:rPr>
                <w:sz w:val="28"/>
                <w:szCs w:val="28"/>
                <w:lang w:eastAsia="en-US"/>
              </w:rPr>
              <w:br/>
              <w:t> Тільки для жінок</w:t>
            </w:r>
            <w:r w:rsidRPr="00D83BD4">
              <w:rPr>
                <w:sz w:val="28"/>
                <w:szCs w:val="28"/>
                <w:lang w:eastAsia="en-US"/>
              </w:rPr>
              <w:br/>
              <w:t xml:space="preserve"> Чи мають місце різні прояви ПМС</w:t>
            </w:r>
            <w:r w:rsidRPr="00D83BD4">
              <w:rPr>
                <w:sz w:val="28"/>
                <w:szCs w:val="28"/>
                <w:lang w:eastAsia="en-US"/>
              </w:rPr>
              <w:br/>
              <w:t xml:space="preserve"> Інтенсивні менструальні кровотечі</w:t>
            </w:r>
            <w:r w:rsidRPr="00D83BD4">
              <w:rPr>
                <w:sz w:val="28"/>
                <w:szCs w:val="28"/>
                <w:lang w:eastAsia="en-US"/>
              </w:rPr>
              <w:br/>
              <w:t xml:space="preserve"> Чи були Ви хоча б один раз вагітні?</w:t>
            </w:r>
            <w:r w:rsidRPr="00D83BD4">
              <w:rPr>
                <w:sz w:val="28"/>
                <w:szCs w:val="28"/>
                <w:lang w:eastAsia="en-US"/>
              </w:rPr>
              <w:br/>
              <w:t xml:space="preserve"> Чи були у вас викидні?</w:t>
            </w:r>
            <w:r w:rsidRPr="00D83BD4">
              <w:rPr>
                <w:sz w:val="28"/>
                <w:szCs w:val="28"/>
                <w:lang w:eastAsia="en-US"/>
              </w:rPr>
              <w:br/>
              <w:t xml:space="preserve"> Вам 40 років або більше?</w:t>
            </w:r>
            <w:r w:rsidRPr="00D83BD4">
              <w:rPr>
                <w:sz w:val="28"/>
                <w:szCs w:val="28"/>
                <w:lang w:eastAsia="en-US"/>
              </w:rPr>
              <w:br/>
              <w:t> </w:t>
            </w:r>
            <w:r w:rsidRPr="00D83BD4">
              <w:rPr>
                <w:sz w:val="28"/>
                <w:szCs w:val="28"/>
                <w:lang w:eastAsia="en-US"/>
              </w:rPr>
              <w:br/>
              <w:t xml:space="preserve"> Тільки для чоловіків</w:t>
            </w:r>
            <w:r w:rsidRPr="00D83BD4">
              <w:rPr>
                <w:sz w:val="28"/>
                <w:szCs w:val="28"/>
                <w:lang w:eastAsia="en-US"/>
              </w:rPr>
              <w:br/>
              <w:t xml:space="preserve"> Чи має місце еректильна дисфункція</w:t>
            </w:r>
            <w:r w:rsidRPr="00D83BD4">
              <w:rPr>
                <w:sz w:val="28"/>
                <w:szCs w:val="28"/>
                <w:lang w:eastAsia="en-US"/>
              </w:rPr>
              <w:br/>
              <w:t xml:space="preserve"> Гінекомастія (збільшення в розмірах грудних залоз)</w:t>
            </w:r>
            <w:r w:rsidRPr="00D83BD4">
              <w:rPr>
                <w:sz w:val="28"/>
                <w:szCs w:val="28"/>
                <w:lang w:eastAsia="en-US"/>
              </w:rPr>
              <w:br/>
              <w:t xml:space="preserve"> Вам 50 років і більше?</w:t>
            </w:r>
            <w:r w:rsidRPr="00D83BD4">
              <w:rPr>
                <w:sz w:val="28"/>
                <w:szCs w:val="28"/>
                <w:lang w:eastAsia="en-US"/>
              </w:rPr>
              <w:br/>
            </w:r>
          </w:p>
          <w:p w:rsidR="00E3259F" w:rsidRPr="00D83BD4" w:rsidRDefault="00E3259F">
            <w:pPr>
              <w:spacing w:line="360" w:lineRule="auto"/>
              <w:rPr>
                <w:b/>
                <w:sz w:val="28"/>
                <w:szCs w:val="28"/>
                <w:lang w:val="uk-UA" w:eastAsia="uk-UA"/>
              </w:rPr>
            </w:pPr>
            <w:r w:rsidRPr="00D83BD4">
              <w:rPr>
                <w:sz w:val="28"/>
                <w:szCs w:val="28"/>
                <w:lang w:eastAsia="en-US"/>
              </w:rPr>
              <w:t>Загальний бал секції C</w:t>
            </w:r>
            <w:r w:rsidRPr="00D83BD4">
              <w:rPr>
                <w:sz w:val="28"/>
                <w:szCs w:val="28"/>
                <w:lang w:eastAsia="en-US"/>
              </w:rPr>
              <w:br/>
            </w:r>
          </w:p>
        </w:tc>
      </w:tr>
      <w:tr w:rsidR="00E3259F" w:rsidTr="00E3259F">
        <w:tc>
          <w:tcPr>
            <w:tcW w:w="9571" w:type="dxa"/>
            <w:gridSpan w:val="2"/>
            <w:tcBorders>
              <w:top w:val="single" w:sz="4" w:space="0" w:color="auto"/>
              <w:left w:val="single" w:sz="4" w:space="0" w:color="auto"/>
              <w:bottom w:val="single" w:sz="4" w:space="0" w:color="auto"/>
              <w:right w:val="single" w:sz="4" w:space="0" w:color="auto"/>
            </w:tcBorders>
            <w:hideMark/>
          </w:tcPr>
          <w:p w:rsidR="00E3259F" w:rsidRPr="002E0FFA" w:rsidRDefault="00E3259F">
            <w:pPr>
              <w:spacing w:line="360" w:lineRule="auto"/>
              <w:jc w:val="both"/>
              <w:rPr>
                <w:sz w:val="28"/>
                <w:szCs w:val="28"/>
                <w:lang w:val="uk-UA" w:eastAsia="uk-UA"/>
              </w:rPr>
            </w:pPr>
            <w:r w:rsidRPr="002E0FFA">
              <w:rPr>
                <w:sz w:val="28"/>
                <w:szCs w:val="28"/>
                <w:lang w:eastAsia="en-US"/>
              </w:rPr>
              <w:t>Оцінка ризику розвитку гіпотиреозу:</w:t>
            </w:r>
          </w:p>
        </w:tc>
      </w:tr>
      <w:tr w:rsidR="00E3259F" w:rsidTr="00E3259F">
        <w:tc>
          <w:tcPr>
            <w:tcW w:w="9571" w:type="dxa"/>
            <w:gridSpan w:val="2"/>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uk-UA"/>
              </w:rPr>
            </w:pPr>
            <w:r>
              <w:rPr>
                <w:sz w:val="28"/>
                <w:szCs w:val="28"/>
                <w:lang w:eastAsia="en-US"/>
              </w:rPr>
              <w:t>Загальний ризик за симптомами: = бал секції А +8</w:t>
            </w:r>
          </w:p>
        </w:tc>
      </w:tr>
      <w:tr w:rsidR="00E3259F" w:rsidTr="00E3259F">
        <w:tc>
          <w:tcPr>
            <w:tcW w:w="9571" w:type="dxa"/>
            <w:gridSpan w:val="2"/>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b/>
                <w:sz w:val="28"/>
                <w:szCs w:val="28"/>
                <w:lang w:val="uk-UA" w:eastAsia="uk-UA"/>
              </w:rPr>
            </w:pPr>
            <w:r>
              <w:rPr>
                <w:sz w:val="28"/>
                <w:szCs w:val="28"/>
                <w:lang w:eastAsia="en-US"/>
              </w:rPr>
              <w:t>Загального ризику розвитку гіпотиреозу: = бал секції (В X 10)+ бал секції (СX5)</w:t>
            </w:r>
          </w:p>
        </w:tc>
      </w:tr>
      <w:tr w:rsidR="00E3259F" w:rsidTr="00E3259F">
        <w:tc>
          <w:tcPr>
            <w:tcW w:w="9571" w:type="dxa"/>
            <w:gridSpan w:val="2"/>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Зіставлення ризику за симптомами та ризику розвитку гіпотиреозу визначає сумарний ризик розвитку гіпотиреозу за балами:</w:t>
            </w:r>
          </w:p>
          <w:p w:rsidR="00E3259F" w:rsidRDefault="00E3259F">
            <w:pPr>
              <w:numPr>
                <w:ilvl w:val="0"/>
                <w:numId w:val="28"/>
              </w:numPr>
              <w:spacing w:line="360" w:lineRule="auto"/>
              <w:ind w:left="0"/>
              <w:jc w:val="both"/>
              <w:rPr>
                <w:sz w:val="28"/>
                <w:szCs w:val="28"/>
                <w:lang w:eastAsia="en-US"/>
              </w:rPr>
            </w:pPr>
            <w:r>
              <w:rPr>
                <w:sz w:val="28"/>
                <w:szCs w:val="28"/>
                <w:lang w:eastAsia="en-US"/>
              </w:rPr>
              <w:t xml:space="preserve">низький ризик (сума балів &lt;10) </w:t>
            </w:r>
          </w:p>
          <w:p w:rsidR="00E3259F" w:rsidRDefault="00E3259F">
            <w:pPr>
              <w:numPr>
                <w:ilvl w:val="0"/>
                <w:numId w:val="28"/>
              </w:numPr>
              <w:spacing w:line="360" w:lineRule="auto"/>
              <w:ind w:left="0"/>
              <w:jc w:val="both"/>
              <w:rPr>
                <w:sz w:val="28"/>
                <w:szCs w:val="28"/>
                <w:lang w:eastAsia="en-US"/>
              </w:rPr>
            </w:pPr>
            <w:r>
              <w:rPr>
                <w:sz w:val="28"/>
                <w:szCs w:val="28"/>
                <w:lang w:eastAsia="en-US"/>
              </w:rPr>
              <w:t xml:space="preserve">помірний ризик (сума балів 10-20) </w:t>
            </w:r>
          </w:p>
          <w:p w:rsidR="00E3259F" w:rsidRDefault="00E3259F">
            <w:pPr>
              <w:numPr>
                <w:ilvl w:val="0"/>
                <w:numId w:val="28"/>
              </w:numPr>
              <w:spacing w:line="360" w:lineRule="auto"/>
              <w:ind w:left="0"/>
              <w:jc w:val="both"/>
              <w:rPr>
                <w:b/>
                <w:sz w:val="28"/>
                <w:szCs w:val="28"/>
                <w:lang w:val="uk-UA" w:eastAsia="uk-UA"/>
              </w:rPr>
            </w:pPr>
            <w:r>
              <w:rPr>
                <w:sz w:val="28"/>
                <w:szCs w:val="28"/>
                <w:lang w:eastAsia="en-US"/>
              </w:rPr>
              <w:t>високий / дуже високий ризик (сума балів&gt; 20).</w:t>
            </w:r>
          </w:p>
        </w:tc>
      </w:tr>
    </w:tbl>
    <w:p w:rsidR="00E3259F" w:rsidRDefault="00E3259F" w:rsidP="00E3259F">
      <w:pPr>
        <w:spacing w:line="360" w:lineRule="auto"/>
        <w:jc w:val="both"/>
        <w:rPr>
          <w:sz w:val="28"/>
          <w:szCs w:val="28"/>
          <w:lang w:val="uk-UA" w:eastAsia="uk-UA"/>
        </w:rPr>
      </w:pPr>
    </w:p>
    <w:p w:rsidR="00E3259F" w:rsidRDefault="00E3259F" w:rsidP="00E3259F">
      <w:pPr>
        <w:spacing w:line="360" w:lineRule="auto"/>
        <w:jc w:val="both"/>
        <w:rPr>
          <w:sz w:val="28"/>
          <w:szCs w:val="28"/>
        </w:rPr>
      </w:pPr>
      <w:r>
        <w:rPr>
          <w:sz w:val="28"/>
          <w:szCs w:val="28"/>
        </w:rPr>
        <w:t>Інтерпретація результатів опитування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694"/>
        <w:gridCol w:w="3933"/>
      </w:tblGrid>
      <w:tr w:rsidR="00E3259F" w:rsidTr="00E3259F">
        <w:tc>
          <w:tcPr>
            <w:tcW w:w="29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Загальна кількість балів</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Рівень ризику СГ</w:t>
            </w:r>
          </w:p>
        </w:tc>
        <w:tc>
          <w:tcPr>
            <w:tcW w:w="39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Рекомендації</w:t>
            </w:r>
          </w:p>
        </w:tc>
      </w:tr>
      <w:tr w:rsidR="00E3259F" w:rsidTr="00E3259F">
        <w:tc>
          <w:tcPr>
            <w:tcW w:w="29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&lt;10</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низький ризик</w:t>
            </w:r>
          </w:p>
        </w:tc>
        <w:tc>
          <w:tcPr>
            <w:tcW w:w="39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Рекомендовано продовжувати здоровий спосіб життя</w:t>
            </w:r>
          </w:p>
        </w:tc>
      </w:tr>
      <w:tr w:rsidR="00E3259F" w:rsidRPr="00E3259F" w:rsidTr="00E3259F">
        <w:tc>
          <w:tcPr>
            <w:tcW w:w="29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10-20</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помірний ризик</w:t>
            </w:r>
          </w:p>
        </w:tc>
        <w:tc>
          <w:tcPr>
            <w:tcW w:w="39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val="uk-UA" w:eastAsia="en-US"/>
              </w:rPr>
              <w:t>Можливо СГ, бажано перевірити рівень ТТГ і вільний Т4 в крові, необхідно змінити свій спосіб життя, можливо знадобляться медикаментозна корекція для контролю рівня гормонів щитоподібної залози</w:t>
            </w:r>
          </w:p>
        </w:tc>
      </w:tr>
      <w:tr w:rsidR="00E3259F" w:rsidRPr="00E3259F" w:rsidTr="00E3259F">
        <w:tc>
          <w:tcPr>
            <w:tcW w:w="294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&gt; 20</w:t>
            </w:r>
          </w:p>
        </w:tc>
        <w:tc>
          <w:tcPr>
            <w:tcW w:w="2694"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jc w:val="both"/>
              <w:rPr>
                <w:sz w:val="28"/>
                <w:szCs w:val="28"/>
                <w:lang w:val="uk-UA" w:eastAsia="uk-UA"/>
              </w:rPr>
            </w:pPr>
            <w:r>
              <w:rPr>
                <w:sz w:val="28"/>
                <w:szCs w:val="28"/>
                <w:lang w:eastAsia="en-US"/>
              </w:rPr>
              <w:t>високий/дуже високий ризик</w:t>
            </w:r>
          </w:p>
        </w:tc>
        <w:tc>
          <w:tcPr>
            <w:tcW w:w="3933" w:type="dxa"/>
            <w:tcBorders>
              <w:top w:val="single" w:sz="4" w:space="0" w:color="auto"/>
              <w:left w:val="single" w:sz="4" w:space="0" w:color="auto"/>
              <w:bottom w:val="single" w:sz="4" w:space="0" w:color="auto"/>
              <w:right w:val="single" w:sz="4" w:space="0" w:color="auto"/>
            </w:tcBorders>
            <w:hideMark/>
          </w:tcPr>
          <w:p w:rsidR="00E3259F" w:rsidRDefault="00E3259F">
            <w:pPr>
              <w:spacing w:line="360" w:lineRule="auto"/>
              <w:rPr>
                <w:sz w:val="28"/>
                <w:szCs w:val="28"/>
                <w:lang w:val="uk-UA" w:eastAsia="uk-UA"/>
              </w:rPr>
            </w:pPr>
            <w:r>
              <w:rPr>
                <w:sz w:val="28"/>
                <w:szCs w:val="28"/>
                <w:lang w:val="uk-UA" w:eastAsia="en-US"/>
              </w:rPr>
              <w:t>Цілком ймовірно має місце СГ, необхідно перевірити і контролювати рівень ТТГ і вільний Т4 в крові, змінити свій спосіб життя і показана медикаментозна корекція для контролю рівня гормонів щитоподібної залози</w:t>
            </w:r>
          </w:p>
        </w:tc>
      </w:tr>
    </w:tbl>
    <w:p w:rsidR="00E3259F" w:rsidRDefault="00E3259F" w:rsidP="00E3259F">
      <w:pPr>
        <w:spacing w:line="360" w:lineRule="auto"/>
        <w:jc w:val="both"/>
        <w:rPr>
          <w:sz w:val="28"/>
          <w:szCs w:val="28"/>
          <w:lang w:val="uk-UA" w:eastAsia="uk-UA"/>
        </w:rPr>
      </w:pPr>
    </w:p>
    <w:p w:rsidR="00E3259F" w:rsidRDefault="00E3259F" w:rsidP="00E3259F">
      <w:pPr>
        <w:tabs>
          <w:tab w:val="left" w:pos="3443"/>
        </w:tabs>
        <w:jc w:val="right"/>
        <w:rPr>
          <w:b/>
          <w:color w:val="000000"/>
          <w:spacing w:val="-2"/>
          <w:sz w:val="28"/>
          <w:szCs w:val="28"/>
          <w:lang w:val="uk-UA"/>
        </w:rPr>
      </w:pPr>
      <w:r>
        <w:rPr>
          <w:sz w:val="28"/>
          <w:szCs w:val="28"/>
          <w:lang w:val="uk-UA"/>
        </w:rPr>
        <w:br w:type="page"/>
      </w:r>
      <w:r>
        <w:rPr>
          <w:b/>
          <w:color w:val="000000"/>
          <w:spacing w:val="-2"/>
          <w:sz w:val="28"/>
          <w:szCs w:val="28"/>
          <w:lang w:val="uk-UA"/>
        </w:rPr>
        <w:t>Додаток В</w:t>
      </w:r>
    </w:p>
    <w:p w:rsidR="00E3259F" w:rsidRPr="003C2169" w:rsidRDefault="00E3259F" w:rsidP="003C2169">
      <w:pPr>
        <w:pStyle w:val="1"/>
        <w:spacing w:before="0" w:beforeAutospacing="0" w:after="0" w:afterAutospacing="0" w:line="360" w:lineRule="auto"/>
        <w:jc w:val="center"/>
        <w:rPr>
          <w:b w:val="0"/>
          <w:sz w:val="28"/>
          <w:szCs w:val="28"/>
          <w:lang w:val="uk-UA"/>
        </w:rPr>
      </w:pPr>
      <w:r w:rsidRPr="003C2169">
        <w:rPr>
          <w:b w:val="0"/>
          <w:sz w:val="28"/>
          <w:szCs w:val="28"/>
          <w:lang w:val="uk-UA"/>
        </w:rPr>
        <w:t>СПИСОК НАУКОВИХ РОБІТ, ОПУБЛІКОВАНИХ ЗА ТЕМОЮ ДИСЕРТАЦІЇ</w:t>
      </w:r>
    </w:p>
    <w:p w:rsidR="00E3259F" w:rsidRPr="003C2169" w:rsidRDefault="00E3259F" w:rsidP="003C2169">
      <w:pPr>
        <w:pStyle w:val="arefZag"/>
        <w:spacing w:before="0" w:after="0" w:line="360" w:lineRule="auto"/>
        <w:rPr>
          <w:b w:val="0"/>
        </w:rPr>
      </w:pPr>
      <w:r w:rsidRPr="003C2169">
        <w:rPr>
          <w:b w:val="0"/>
        </w:rPr>
        <w:t>Наукові праці, в яких опубліковані основні наукові результати дисертації:</w:t>
      </w:r>
    </w:p>
    <w:p w:rsidR="00E3259F" w:rsidRPr="003C2169" w:rsidRDefault="00E3259F" w:rsidP="003C2169">
      <w:pPr>
        <w:pStyle w:val="arefZag"/>
        <w:spacing w:before="0" w:after="0" w:line="360" w:lineRule="auto"/>
        <w:rPr>
          <w:b w:val="0"/>
        </w:rPr>
      </w:pPr>
    </w:p>
    <w:p w:rsidR="00E3259F" w:rsidRPr="003C2169" w:rsidRDefault="00E3259F" w:rsidP="003C2169">
      <w:pPr>
        <w:pStyle w:val="a4"/>
        <w:numPr>
          <w:ilvl w:val="0"/>
          <w:numId w:val="30"/>
        </w:numPr>
        <w:spacing w:line="360" w:lineRule="auto"/>
        <w:ind w:left="0" w:firstLine="0"/>
        <w:jc w:val="both"/>
        <w:rPr>
          <w:sz w:val="28"/>
          <w:szCs w:val="28"/>
          <w:lang w:val="en-US"/>
        </w:rPr>
      </w:pPr>
      <w:r w:rsidRPr="003C2169">
        <w:rPr>
          <w:sz w:val="28"/>
          <w:szCs w:val="28"/>
          <w:lang w:val="en-US"/>
        </w:rPr>
        <w:t>Nemtsova V.D.The effect of statin therapy on oxidative stress indices in patients with arterial hypertension and tyre 2 diabetes mellitus</w:t>
      </w:r>
      <w:r w:rsidRPr="003C2169">
        <w:rPr>
          <w:sz w:val="28"/>
          <w:szCs w:val="28"/>
          <w:lang w:val="uk-UA"/>
        </w:rPr>
        <w:t>.</w:t>
      </w:r>
      <w:r w:rsidRPr="003C2169">
        <w:rPr>
          <w:i/>
          <w:sz w:val="28"/>
          <w:szCs w:val="28"/>
        </w:rPr>
        <w:t>Запорожский</w:t>
      </w:r>
      <w:r w:rsidRPr="003C2169">
        <w:rPr>
          <w:i/>
          <w:sz w:val="28"/>
          <w:szCs w:val="28"/>
          <w:lang w:val="en-US"/>
        </w:rPr>
        <w:t xml:space="preserve"> </w:t>
      </w:r>
      <w:r w:rsidRPr="003C2169">
        <w:rPr>
          <w:i/>
          <w:sz w:val="28"/>
          <w:szCs w:val="28"/>
        </w:rPr>
        <w:t>медицинский</w:t>
      </w:r>
      <w:r w:rsidRPr="003C2169">
        <w:rPr>
          <w:i/>
          <w:sz w:val="28"/>
          <w:szCs w:val="28"/>
          <w:lang w:val="en-US"/>
        </w:rPr>
        <w:t xml:space="preserve"> </w:t>
      </w:r>
      <w:r w:rsidRPr="003C2169">
        <w:rPr>
          <w:i/>
          <w:sz w:val="28"/>
          <w:szCs w:val="28"/>
        </w:rPr>
        <w:t>журнал</w:t>
      </w:r>
      <w:r w:rsidRPr="003C2169">
        <w:rPr>
          <w:sz w:val="28"/>
          <w:szCs w:val="28"/>
          <w:lang w:val="en-US"/>
        </w:rPr>
        <w:t>. 2018</w:t>
      </w:r>
      <w:r w:rsidRPr="003C2169">
        <w:rPr>
          <w:sz w:val="28"/>
          <w:szCs w:val="28"/>
          <w:lang w:val="uk-UA"/>
        </w:rPr>
        <w:t>.- Т.20, №1</w:t>
      </w:r>
      <w:r w:rsidRPr="003C2169">
        <w:rPr>
          <w:sz w:val="28"/>
          <w:szCs w:val="28"/>
          <w:lang w:val="en-US"/>
        </w:rPr>
        <w:t xml:space="preserve"> (106).C. 26-30.</w:t>
      </w:r>
    </w:p>
    <w:p w:rsidR="00E3259F" w:rsidRPr="003C2169" w:rsidRDefault="00E3259F" w:rsidP="003C2169">
      <w:pPr>
        <w:pStyle w:val="a4"/>
        <w:numPr>
          <w:ilvl w:val="0"/>
          <w:numId w:val="30"/>
        </w:numPr>
        <w:spacing w:line="360" w:lineRule="auto"/>
        <w:ind w:left="0" w:firstLine="0"/>
        <w:jc w:val="both"/>
        <w:rPr>
          <w:sz w:val="28"/>
          <w:szCs w:val="28"/>
        </w:rPr>
      </w:pPr>
      <w:r w:rsidRPr="003C2169">
        <w:rPr>
          <w:sz w:val="28"/>
          <w:szCs w:val="28"/>
          <w:lang w:val="en-US"/>
        </w:rPr>
        <w:t>Nemtsova V.D.</w:t>
      </w:r>
      <w:r w:rsidRPr="003C2169">
        <w:rPr>
          <w:sz w:val="28"/>
          <w:szCs w:val="28"/>
          <w:lang w:val="uk-UA"/>
        </w:rPr>
        <w:t xml:space="preserve"> </w:t>
      </w:r>
      <w:r w:rsidRPr="003C2169">
        <w:rPr>
          <w:sz w:val="28"/>
          <w:szCs w:val="28"/>
          <w:lang w:val="en-US"/>
        </w:rPr>
        <w:t>Impact of prooxidant-antioxidant imbalance on the biological age and the rate of aging in arterial hypertension with type 2 diabetes mellitus</w:t>
      </w:r>
      <w:r w:rsidRPr="003C2169">
        <w:rPr>
          <w:sz w:val="28"/>
          <w:szCs w:val="28"/>
          <w:lang w:val="uk-UA"/>
        </w:rPr>
        <w:t>.</w:t>
      </w:r>
      <w:r w:rsidRPr="003C2169">
        <w:rPr>
          <w:i/>
          <w:sz w:val="28"/>
          <w:szCs w:val="28"/>
        </w:rPr>
        <w:t>Запорожский</w:t>
      </w:r>
      <w:r w:rsidRPr="003C2169">
        <w:rPr>
          <w:i/>
          <w:sz w:val="28"/>
          <w:szCs w:val="28"/>
          <w:lang w:val="en-US"/>
        </w:rPr>
        <w:t xml:space="preserve"> </w:t>
      </w:r>
      <w:r w:rsidRPr="003C2169">
        <w:rPr>
          <w:i/>
          <w:sz w:val="28"/>
          <w:szCs w:val="28"/>
        </w:rPr>
        <w:t>медицинский</w:t>
      </w:r>
      <w:r w:rsidRPr="003C2169">
        <w:rPr>
          <w:i/>
          <w:sz w:val="28"/>
          <w:szCs w:val="28"/>
          <w:lang w:val="en-US"/>
        </w:rPr>
        <w:t xml:space="preserve"> </w:t>
      </w:r>
      <w:r w:rsidRPr="003C2169">
        <w:rPr>
          <w:i/>
          <w:sz w:val="28"/>
          <w:szCs w:val="28"/>
        </w:rPr>
        <w:t>журнал</w:t>
      </w:r>
      <w:r w:rsidRPr="003C2169">
        <w:rPr>
          <w:sz w:val="28"/>
          <w:szCs w:val="28"/>
          <w:lang w:val="en-US"/>
        </w:rPr>
        <w:t xml:space="preserve">. </w:t>
      </w:r>
      <w:r w:rsidRPr="003C2169">
        <w:rPr>
          <w:sz w:val="28"/>
          <w:szCs w:val="28"/>
        </w:rPr>
        <w:t>2020</w:t>
      </w:r>
      <w:r w:rsidRPr="003C2169">
        <w:rPr>
          <w:sz w:val="28"/>
          <w:szCs w:val="28"/>
          <w:lang w:val="uk-UA"/>
        </w:rPr>
        <w:t>. Т.2</w:t>
      </w:r>
      <w:r w:rsidRPr="003C2169">
        <w:rPr>
          <w:sz w:val="28"/>
          <w:szCs w:val="28"/>
        </w:rPr>
        <w:t>2</w:t>
      </w:r>
      <w:r w:rsidRPr="003C2169">
        <w:rPr>
          <w:sz w:val="28"/>
          <w:szCs w:val="28"/>
          <w:lang w:val="uk-UA"/>
        </w:rPr>
        <w:t>, №1</w:t>
      </w:r>
      <w:r w:rsidRPr="003C2169">
        <w:rPr>
          <w:sz w:val="28"/>
          <w:szCs w:val="28"/>
        </w:rPr>
        <w:t xml:space="preserve"> (118).C. 19-25.</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Немцова В.Д. Гендерні особливості порушень ліпидного обміну у осіб похилого віку з субклінічним гіпотиреозом на тлі артеріальній гіпертензії та цукрового діабету 2 типу.Б</w:t>
      </w:r>
      <w:r w:rsidRPr="003C2169">
        <w:rPr>
          <w:i/>
          <w:sz w:val="28"/>
          <w:szCs w:val="28"/>
          <w:lang w:val="uk-UA"/>
        </w:rPr>
        <w:t>уковинський медичний вісник.</w:t>
      </w:r>
      <w:r w:rsidRPr="003C2169">
        <w:rPr>
          <w:sz w:val="28"/>
          <w:szCs w:val="28"/>
          <w:lang w:val="uk-UA"/>
        </w:rPr>
        <w:t xml:space="preserve"> 2019. Том 23, № 3 (91). С.72-78.</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 xml:space="preserve">Немцова В.Д. Стан оксидантної та антиоксидантної систем у хворих при поєднаному перебігу артеріальної гіпертензії, цукрового діабету 2 типу та гіпотиреозу. </w:t>
      </w:r>
      <w:r w:rsidRPr="003C2169">
        <w:rPr>
          <w:i/>
          <w:sz w:val="28"/>
          <w:szCs w:val="28"/>
          <w:lang w:val="uk-UA"/>
        </w:rPr>
        <w:t>Український терапевтичний журнал.</w:t>
      </w:r>
      <w:r w:rsidRPr="003C2169">
        <w:rPr>
          <w:sz w:val="28"/>
          <w:szCs w:val="28"/>
          <w:lang w:val="uk-UA"/>
        </w:rPr>
        <w:t xml:space="preserve"> 2017.№ 2.С.67-72.</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Немцова В.Д. Вплив гіпофункції щитовидної залози на рівень 8-гідрокси-2-дезоксигуанозину як біомаркера окислювального ушкодження при коморбідних станах.</w:t>
      </w:r>
      <w:r w:rsidRPr="003C2169">
        <w:rPr>
          <w:i/>
          <w:sz w:val="28"/>
          <w:szCs w:val="28"/>
          <w:lang w:val="uk-UA"/>
        </w:rPr>
        <w:t>Український терапевтичний журнал.</w:t>
      </w:r>
      <w:r w:rsidRPr="003C2169">
        <w:rPr>
          <w:sz w:val="28"/>
          <w:szCs w:val="28"/>
          <w:lang w:val="uk-UA"/>
        </w:rPr>
        <w:t xml:space="preserve"> 2018.№ 3-4.С.56-61.</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Немцова В.Д. Вплив левотироксину на стан ендотеліальної дисфункції у пацієнтів з поєднаним перебігом артеріальної гіпертензії, цукрового діабету 2 типу та субклінічного гіпотиреозу.</w:t>
      </w:r>
      <w:r w:rsidRPr="003C2169">
        <w:rPr>
          <w:i/>
          <w:sz w:val="28"/>
          <w:szCs w:val="28"/>
          <w:lang w:val="uk-UA"/>
        </w:rPr>
        <w:t xml:space="preserve">Український журнал медицини, біології та спорту. </w:t>
      </w:r>
      <w:r w:rsidRPr="003C2169">
        <w:rPr>
          <w:sz w:val="28"/>
          <w:szCs w:val="28"/>
          <w:lang w:val="uk-UA"/>
        </w:rPr>
        <w:t xml:space="preserve"> 2020.Т.3, № 1(23).С.161-167.</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 xml:space="preserve">Немцова В.Д. Вплив субклінічної гіпофункції щитовидної залози на ступінь інсулінорезистентності в пацієнтів з коморбідною патологією. </w:t>
      </w:r>
      <w:r w:rsidRPr="003C2169">
        <w:rPr>
          <w:i/>
          <w:sz w:val="28"/>
          <w:szCs w:val="28"/>
          <w:lang w:val="uk-UA"/>
        </w:rPr>
        <w:t>Медицина сьогодні і завтра</w:t>
      </w:r>
      <w:r w:rsidRPr="003C2169">
        <w:rPr>
          <w:sz w:val="28"/>
          <w:szCs w:val="28"/>
          <w:lang w:val="uk-UA"/>
        </w:rPr>
        <w:t xml:space="preserve">.2018. №3(80). С.26-32. </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Немцова В.Д. Вплив левотироксину на стан оксидантно-антиоксидантного балансу у пацієнтів з поєднаним перебігом артеріальної гіпертензії, цукрового діабету 2 типу та субклінічного гіпотиреозу.</w:t>
      </w:r>
      <w:r w:rsidRPr="003C2169">
        <w:rPr>
          <w:i/>
          <w:sz w:val="28"/>
          <w:szCs w:val="28"/>
          <w:lang w:val="uk-UA"/>
        </w:rPr>
        <w:t xml:space="preserve"> Вісник проблем біології і медицини</w:t>
      </w:r>
      <w:r w:rsidRPr="003C2169">
        <w:rPr>
          <w:sz w:val="28"/>
          <w:szCs w:val="28"/>
          <w:lang w:val="uk-UA"/>
        </w:rPr>
        <w:t>. 2019. Випуск 4, Том 1 (153). С. 126-130.</w:t>
      </w:r>
    </w:p>
    <w:p w:rsidR="00E3259F" w:rsidRPr="003C2169" w:rsidRDefault="00E3259F" w:rsidP="003C2169">
      <w:pPr>
        <w:pStyle w:val="a4"/>
        <w:numPr>
          <w:ilvl w:val="0"/>
          <w:numId w:val="30"/>
        </w:numPr>
        <w:tabs>
          <w:tab w:val="left" w:pos="0"/>
        </w:tabs>
        <w:spacing w:line="360" w:lineRule="auto"/>
        <w:ind w:left="0" w:firstLine="0"/>
        <w:jc w:val="both"/>
        <w:rPr>
          <w:sz w:val="28"/>
          <w:szCs w:val="28"/>
          <w:lang w:val="uk-UA"/>
        </w:rPr>
      </w:pPr>
      <w:r w:rsidRPr="003C2169">
        <w:rPr>
          <w:sz w:val="28"/>
          <w:szCs w:val="28"/>
          <w:lang w:val="en-US"/>
        </w:rPr>
        <w:t>Nemtsova</w:t>
      </w:r>
      <w:r w:rsidRPr="003C2169">
        <w:rPr>
          <w:sz w:val="28"/>
          <w:szCs w:val="28"/>
          <w:lang w:val="uk-UA"/>
        </w:rPr>
        <w:t xml:space="preserve"> </w:t>
      </w:r>
      <w:r w:rsidRPr="003C2169">
        <w:rPr>
          <w:sz w:val="28"/>
          <w:szCs w:val="28"/>
          <w:lang w:val="en-US"/>
        </w:rPr>
        <w:t>V</w:t>
      </w:r>
      <w:r w:rsidRPr="003C2169">
        <w:rPr>
          <w:sz w:val="28"/>
          <w:szCs w:val="28"/>
          <w:lang w:val="uk-UA"/>
        </w:rPr>
        <w:t>.</w:t>
      </w:r>
      <w:r w:rsidRPr="003C2169">
        <w:rPr>
          <w:sz w:val="28"/>
          <w:szCs w:val="28"/>
          <w:lang w:val="en-US"/>
        </w:rPr>
        <w:t>D</w:t>
      </w:r>
      <w:r w:rsidRPr="003C2169">
        <w:rPr>
          <w:sz w:val="28"/>
          <w:szCs w:val="28"/>
          <w:lang w:val="uk-UA"/>
        </w:rPr>
        <w:t xml:space="preserve">. </w:t>
      </w:r>
      <w:r w:rsidRPr="003C2169">
        <w:rPr>
          <w:sz w:val="28"/>
          <w:szCs w:val="28"/>
          <w:lang w:val="en-US"/>
        </w:rPr>
        <w:t>Effects</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biological</w:t>
      </w:r>
      <w:r w:rsidRPr="003C2169">
        <w:rPr>
          <w:sz w:val="28"/>
          <w:szCs w:val="28"/>
          <w:lang w:val="uk-UA"/>
        </w:rPr>
        <w:t xml:space="preserve"> </w:t>
      </w:r>
      <w:r w:rsidRPr="003C2169">
        <w:rPr>
          <w:sz w:val="28"/>
          <w:szCs w:val="28"/>
          <w:lang w:val="en-US"/>
        </w:rPr>
        <w:t>age</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aging</w:t>
      </w:r>
      <w:r w:rsidRPr="003C2169">
        <w:rPr>
          <w:sz w:val="28"/>
          <w:szCs w:val="28"/>
          <w:lang w:val="uk-UA"/>
        </w:rPr>
        <w:t xml:space="preserve"> </w:t>
      </w:r>
      <w:r w:rsidRPr="003C2169">
        <w:rPr>
          <w:sz w:val="28"/>
          <w:szCs w:val="28"/>
          <w:lang w:val="en-US"/>
        </w:rPr>
        <w:t>rates</w:t>
      </w:r>
      <w:r w:rsidRPr="003C2169">
        <w:rPr>
          <w:sz w:val="28"/>
          <w:szCs w:val="28"/>
          <w:lang w:val="uk-UA"/>
        </w:rPr>
        <w:t xml:space="preserve"> </w:t>
      </w:r>
      <w:r w:rsidRPr="003C2169">
        <w:rPr>
          <w:sz w:val="28"/>
          <w:szCs w:val="28"/>
          <w:lang w:val="en-US"/>
        </w:rPr>
        <w:t>on</w:t>
      </w:r>
      <w:r w:rsidRPr="003C2169">
        <w:rPr>
          <w:sz w:val="28"/>
          <w:szCs w:val="28"/>
          <w:lang w:val="uk-UA"/>
        </w:rPr>
        <w:t xml:space="preserve"> </w:t>
      </w:r>
      <w:r w:rsidRPr="003C2169">
        <w:rPr>
          <w:sz w:val="28"/>
          <w:szCs w:val="28"/>
          <w:lang w:val="en-US"/>
        </w:rPr>
        <w:t>the</w:t>
      </w:r>
      <w:r w:rsidRPr="003C2169">
        <w:rPr>
          <w:sz w:val="28"/>
          <w:szCs w:val="28"/>
          <w:lang w:val="uk-UA"/>
        </w:rPr>
        <w:t xml:space="preserve"> </w:t>
      </w:r>
      <w:r w:rsidRPr="003C2169">
        <w:rPr>
          <w:sz w:val="28"/>
          <w:szCs w:val="28"/>
          <w:lang w:val="en-US"/>
        </w:rPr>
        <w:t>expression</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risk</w:t>
      </w:r>
      <w:r w:rsidRPr="003C2169">
        <w:rPr>
          <w:sz w:val="28"/>
          <w:szCs w:val="28"/>
          <w:lang w:val="uk-UA"/>
        </w:rPr>
        <w:t xml:space="preserve"> </w:t>
      </w:r>
      <w:r w:rsidRPr="003C2169">
        <w:rPr>
          <w:sz w:val="28"/>
          <w:szCs w:val="28"/>
          <w:lang w:val="en-US"/>
        </w:rPr>
        <w:t>factors</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patients</w:t>
      </w:r>
      <w:r w:rsidRPr="003C2169">
        <w:rPr>
          <w:sz w:val="28"/>
          <w:szCs w:val="28"/>
          <w:lang w:val="uk-UA"/>
        </w:rPr>
        <w:t xml:space="preserve"> </w:t>
      </w:r>
      <w:r w:rsidRPr="003C2169">
        <w:rPr>
          <w:sz w:val="28"/>
          <w:szCs w:val="28"/>
          <w:lang w:val="en-US"/>
        </w:rPr>
        <w:t>with</w:t>
      </w:r>
      <w:r w:rsidRPr="003C2169">
        <w:rPr>
          <w:sz w:val="28"/>
          <w:szCs w:val="28"/>
          <w:lang w:val="uk-UA"/>
        </w:rPr>
        <w:t xml:space="preserve"> </w:t>
      </w:r>
      <w:r w:rsidRPr="003C2169">
        <w:rPr>
          <w:sz w:val="28"/>
          <w:szCs w:val="28"/>
          <w:lang w:val="en-US"/>
        </w:rPr>
        <w:t>arterial</w:t>
      </w:r>
      <w:r w:rsidRPr="003C2169">
        <w:rPr>
          <w:sz w:val="28"/>
          <w:szCs w:val="28"/>
          <w:lang w:val="uk-UA"/>
        </w:rPr>
        <w:t xml:space="preserve"> </w:t>
      </w:r>
      <w:r w:rsidRPr="003C2169">
        <w:rPr>
          <w:sz w:val="28"/>
          <w:szCs w:val="28"/>
          <w:lang w:val="en-US"/>
        </w:rPr>
        <w:t>hypertension</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type</w:t>
      </w:r>
      <w:r w:rsidRPr="003C2169">
        <w:rPr>
          <w:sz w:val="28"/>
          <w:szCs w:val="28"/>
          <w:lang w:val="uk-UA"/>
        </w:rPr>
        <w:t xml:space="preserve"> 2 </w:t>
      </w:r>
      <w:r w:rsidRPr="003C2169">
        <w:rPr>
          <w:sz w:val="28"/>
          <w:szCs w:val="28"/>
          <w:lang w:val="en-US"/>
        </w:rPr>
        <w:t>diabetes</w:t>
      </w:r>
      <w:r w:rsidRPr="003C2169">
        <w:rPr>
          <w:sz w:val="28"/>
          <w:szCs w:val="28"/>
          <w:lang w:val="uk-UA"/>
        </w:rPr>
        <w:t xml:space="preserve"> </w:t>
      </w:r>
      <w:r w:rsidRPr="003C2169">
        <w:rPr>
          <w:sz w:val="28"/>
          <w:szCs w:val="28"/>
          <w:lang w:val="en-US"/>
        </w:rPr>
        <w:t>mellitus</w:t>
      </w:r>
      <w:r w:rsidRPr="003C2169">
        <w:rPr>
          <w:sz w:val="28"/>
          <w:szCs w:val="28"/>
          <w:lang w:val="uk-UA"/>
        </w:rPr>
        <w:t xml:space="preserve">. </w:t>
      </w:r>
      <w:r w:rsidRPr="003C2169">
        <w:rPr>
          <w:i/>
          <w:sz w:val="28"/>
          <w:szCs w:val="28"/>
          <w:lang w:val="uk-UA"/>
        </w:rPr>
        <w:t>Проблеми екології та медицини</w:t>
      </w:r>
      <w:r w:rsidRPr="003C2169">
        <w:rPr>
          <w:sz w:val="28"/>
          <w:szCs w:val="28"/>
          <w:lang w:val="uk-UA"/>
        </w:rPr>
        <w:t>.2019.№5-6.С.25-30.</w:t>
      </w:r>
    </w:p>
    <w:p w:rsidR="00E3259F" w:rsidRPr="003C2169" w:rsidRDefault="00E3259F" w:rsidP="003C2169">
      <w:pPr>
        <w:pStyle w:val="a4"/>
        <w:numPr>
          <w:ilvl w:val="0"/>
          <w:numId w:val="30"/>
        </w:numPr>
        <w:tabs>
          <w:tab w:val="left" w:pos="0"/>
        </w:tabs>
        <w:spacing w:line="360" w:lineRule="auto"/>
        <w:ind w:left="0" w:firstLine="0"/>
        <w:jc w:val="both"/>
        <w:rPr>
          <w:sz w:val="28"/>
          <w:szCs w:val="28"/>
          <w:lang w:val="uk-UA"/>
        </w:rPr>
      </w:pPr>
      <w:r w:rsidRPr="003C2169">
        <w:rPr>
          <w:sz w:val="28"/>
          <w:szCs w:val="28"/>
          <w:lang w:val="en-US"/>
        </w:rPr>
        <w:t>Nemtsova</w:t>
      </w:r>
      <w:r w:rsidRPr="003C2169">
        <w:rPr>
          <w:sz w:val="28"/>
          <w:szCs w:val="28"/>
          <w:lang w:val="uk-UA"/>
        </w:rPr>
        <w:t xml:space="preserve"> </w:t>
      </w:r>
      <w:r w:rsidRPr="003C2169">
        <w:rPr>
          <w:sz w:val="28"/>
          <w:szCs w:val="28"/>
          <w:lang w:val="en-US"/>
        </w:rPr>
        <w:t>V</w:t>
      </w:r>
      <w:r w:rsidRPr="003C2169">
        <w:rPr>
          <w:sz w:val="28"/>
          <w:szCs w:val="28"/>
          <w:lang w:val="uk-UA"/>
        </w:rPr>
        <w:t xml:space="preserve">., </w:t>
      </w:r>
      <w:r w:rsidRPr="003C2169">
        <w:rPr>
          <w:sz w:val="28"/>
          <w:szCs w:val="28"/>
          <w:lang w:val="en-US"/>
        </w:rPr>
        <w:t>Bilovol</w:t>
      </w:r>
      <w:r w:rsidRPr="003C2169">
        <w:rPr>
          <w:sz w:val="28"/>
          <w:szCs w:val="28"/>
          <w:lang w:val="uk-UA"/>
        </w:rPr>
        <w:t xml:space="preserve"> </w:t>
      </w:r>
      <w:r w:rsidRPr="003C2169">
        <w:rPr>
          <w:sz w:val="28"/>
          <w:szCs w:val="28"/>
          <w:lang w:val="en-US"/>
        </w:rPr>
        <w:t>O</w:t>
      </w:r>
      <w:r w:rsidRPr="003C2169">
        <w:rPr>
          <w:sz w:val="28"/>
          <w:szCs w:val="28"/>
          <w:lang w:val="uk-UA"/>
        </w:rPr>
        <w:t xml:space="preserve">., </w:t>
      </w:r>
      <w:r w:rsidRPr="003C2169">
        <w:rPr>
          <w:sz w:val="28"/>
          <w:szCs w:val="28"/>
          <w:lang w:val="en-US"/>
        </w:rPr>
        <w:t>Shalimova</w:t>
      </w:r>
      <w:r w:rsidRPr="003C2169">
        <w:rPr>
          <w:sz w:val="28"/>
          <w:szCs w:val="28"/>
          <w:lang w:val="uk-UA"/>
        </w:rPr>
        <w:t xml:space="preserve"> </w:t>
      </w:r>
      <w:r w:rsidRPr="003C2169">
        <w:rPr>
          <w:sz w:val="28"/>
          <w:szCs w:val="28"/>
          <w:lang w:val="en-US"/>
        </w:rPr>
        <w:t>A</w:t>
      </w:r>
      <w:r w:rsidRPr="003C2169">
        <w:rPr>
          <w:sz w:val="28"/>
          <w:szCs w:val="28"/>
          <w:lang w:val="uk-UA"/>
        </w:rPr>
        <w:t xml:space="preserve">. </w:t>
      </w:r>
      <w:r w:rsidRPr="003C2169">
        <w:rPr>
          <w:sz w:val="28"/>
          <w:szCs w:val="28"/>
          <w:lang w:val="en-US"/>
        </w:rPr>
        <w:t>Vascular</w:t>
      </w:r>
      <w:r w:rsidRPr="003C2169">
        <w:rPr>
          <w:sz w:val="28"/>
          <w:szCs w:val="28"/>
          <w:lang w:val="uk-UA"/>
        </w:rPr>
        <w:t xml:space="preserve"> </w:t>
      </w:r>
      <w:r w:rsidRPr="003C2169">
        <w:rPr>
          <w:sz w:val="28"/>
          <w:szCs w:val="28"/>
          <w:lang w:val="en-US"/>
        </w:rPr>
        <w:t>endothelial</w:t>
      </w:r>
      <w:r w:rsidRPr="003C2169">
        <w:rPr>
          <w:sz w:val="28"/>
          <w:szCs w:val="28"/>
          <w:lang w:val="uk-UA"/>
        </w:rPr>
        <w:t xml:space="preserve"> </w:t>
      </w:r>
      <w:r w:rsidRPr="003C2169">
        <w:rPr>
          <w:sz w:val="28"/>
          <w:szCs w:val="28"/>
          <w:lang w:val="en-US"/>
        </w:rPr>
        <w:t>growth</w:t>
      </w:r>
      <w:r w:rsidRPr="003C2169">
        <w:rPr>
          <w:sz w:val="28"/>
          <w:szCs w:val="28"/>
          <w:lang w:val="uk-UA"/>
        </w:rPr>
        <w:t xml:space="preserve"> </w:t>
      </w:r>
      <w:r w:rsidRPr="003C2169">
        <w:rPr>
          <w:sz w:val="28"/>
          <w:szCs w:val="28"/>
          <w:lang w:val="en-US"/>
        </w:rPr>
        <w:t>factor</w:t>
      </w:r>
      <w:r w:rsidRPr="003C2169">
        <w:rPr>
          <w:sz w:val="28"/>
          <w:szCs w:val="28"/>
          <w:lang w:val="uk-UA"/>
        </w:rPr>
        <w:t xml:space="preserve"> </w:t>
      </w:r>
      <w:r w:rsidRPr="003C2169">
        <w:rPr>
          <w:sz w:val="28"/>
          <w:szCs w:val="28"/>
          <w:lang w:val="en-US"/>
        </w:rPr>
        <w:t>as a marker of</w:t>
      </w:r>
      <w:r w:rsidRPr="003C2169">
        <w:rPr>
          <w:sz w:val="28"/>
          <w:szCs w:val="28"/>
          <w:lang w:val="uk-UA"/>
        </w:rPr>
        <w:t xml:space="preserve"> </w:t>
      </w:r>
      <w:r w:rsidRPr="003C2169">
        <w:rPr>
          <w:sz w:val="28"/>
          <w:szCs w:val="28"/>
          <w:lang w:val="en-US"/>
        </w:rPr>
        <w:t>endothelial</w:t>
      </w:r>
      <w:r w:rsidRPr="003C2169">
        <w:rPr>
          <w:sz w:val="28"/>
          <w:szCs w:val="28"/>
          <w:lang w:val="uk-UA"/>
        </w:rPr>
        <w:t xml:space="preserve"> </w:t>
      </w:r>
      <w:r w:rsidRPr="003C2169">
        <w:rPr>
          <w:sz w:val="28"/>
          <w:szCs w:val="28"/>
          <w:lang w:val="en-US"/>
        </w:rPr>
        <w:t>dysfunction</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poly</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comorbidity</w:t>
      </w:r>
      <w:r w:rsidRPr="003C2169">
        <w:rPr>
          <w:sz w:val="28"/>
          <w:szCs w:val="28"/>
          <w:lang w:val="uk-UA"/>
        </w:rPr>
        <w:t xml:space="preserve">: </w:t>
      </w:r>
      <w:r w:rsidRPr="003C2169">
        <w:rPr>
          <w:sz w:val="28"/>
          <w:szCs w:val="28"/>
          <w:lang w:val="en-US"/>
        </w:rPr>
        <w:t>focus</w:t>
      </w:r>
      <w:r w:rsidRPr="003C2169">
        <w:rPr>
          <w:sz w:val="28"/>
          <w:szCs w:val="28"/>
          <w:lang w:val="uk-UA"/>
        </w:rPr>
        <w:t xml:space="preserve"> </w:t>
      </w:r>
      <w:r w:rsidRPr="003C2169">
        <w:rPr>
          <w:sz w:val="28"/>
          <w:szCs w:val="28"/>
          <w:lang w:val="en-US"/>
        </w:rPr>
        <w:t>on</w:t>
      </w:r>
      <w:r w:rsidRPr="003C2169">
        <w:rPr>
          <w:sz w:val="28"/>
          <w:szCs w:val="28"/>
          <w:lang w:val="uk-UA"/>
        </w:rPr>
        <w:t xml:space="preserve"> </w:t>
      </w:r>
      <w:r w:rsidRPr="003C2169">
        <w:rPr>
          <w:sz w:val="28"/>
          <w:szCs w:val="28"/>
          <w:lang w:val="en-US"/>
        </w:rPr>
        <w:t>hypertension</w:t>
      </w:r>
      <w:r w:rsidRPr="003C2169">
        <w:rPr>
          <w:sz w:val="28"/>
          <w:szCs w:val="28"/>
          <w:lang w:val="uk-UA"/>
        </w:rPr>
        <w:t xml:space="preserve">, </w:t>
      </w:r>
      <w:r w:rsidRPr="003C2169">
        <w:rPr>
          <w:sz w:val="28"/>
          <w:szCs w:val="28"/>
          <w:lang w:val="en-US"/>
        </w:rPr>
        <w:t>type</w:t>
      </w:r>
      <w:r w:rsidRPr="003C2169">
        <w:rPr>
          <w:sz w:val="28"/>
          <w:szCs w:val="28"/>
          <w:lang w:val="uk-UA"/>
        </w:rPr>
        <w:t xml:space="preserve"> 2 </w:t>
      </w:r>
      <w:r w:rsidRPr="003C2169">
        <w:rPr>
          <w:sz w:val="28"/>
          <w:szCs w:val="28"/>
          <w:lang w:val="en-US"/>
        </w:rPr>
        <w:t>diabetes</w:t>
      </w:r>
      <w:r w:rsidRPr="003C2169">
        <w:rPr>
          <w:sz w:val="28"/>
          <w:szCs w:val="28"/>
          <w:lang w:val="uk-UA"/>
        </w:rPr>
        <w:t xml:space="preserve"> </w:t>
      </w:r>
      <w:r w:rsidRPr="003C2169">
        <w:rPr>
          <w:sz w:val="28"/>
          <w:szCs w:val="28"/>
          <w:lang w:val="en-US"/>
        </w:rPr>
        <w:t>mellitus</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subclinical</w:t>
      </w:r>
      <w:r w:rsidRPr="003C2169">
        <w:rPr>
          <w:sz w:val="28"/>
          <w:szCs w:val="28"/>
          <w:lang w:val="uk-UA"/>
        </w:rPr>
        <w:t xml:space="preserve"> </w:t>
      </w:r>
      <w:r w:rsidRPr="003C2169">
        <w:rPr>
          <w:sz w:val="28"/>
          <w:szCs w:val="28"/>
          <w:lang w:val="en-US"/>
        </w:rPr>
        <w:t>hypothyroidism</w:t>
      </w:r>
      <w:r w:rsidRPr="003C2169">
        <w:rPr>
          <w:sz w:val="28"/>
          <w:szCs w:val="28"/>
          <w:lang w:val="uk-UA"/>
        </w:rPr>
        <w:t xml:space="preserve">. </w:t>
      </w:r>
      <w:r w:rsidRPr="003C2169">
        <w:rPr>
          <w:i/>
          <w:sz w:val="28"/>
          <w:szCs w:val="28"/>
        </w:rPr>
        <w:t>Arterial</w:t>
      </w:r>
      <w:r w:rsidRPr="003C2169">
        <w:rPr>
          <w:i/>
          <w:sz w:val="28"/>
          <w:szCs w:val="28"/>
          <w:lang w:val="uk-UA"/>
        </w:rPr>
        <w:t xml:space="preserve"> </w:t>
      </w:r>
      <w:r w:rsidRPr="003C2169">
        <w:rPr>
          <w:i/>
          <w:sz w:val="28"/>
          <w:szCs w:val="28"/>
        </w:rPr>
        <w:t>hypertension</w:t>
      </w:r>
      <w:r w:rsidRPr="003C2169">
        <w:rPr>
          <w:sz w:val="28"/>
          <w:szCs w:val="28"/>
          <w:lang w:val="uk-UA"/>
        </w:rPr>
        <w:t>. 2019.</w:t>
      </w:r>
      <w:r w:rsidRPr="003C2169">
        <w:rPr>
          <w:rFonts w:eastAsia="NSimSun"/>
          <w:sz w:val="28"/>
          <w:szCs w:val="28"/>
          <w:lang w:val="uk-UA" w:eastAsia="zh-CN" w:bidi="hi-IN"/>
        </w:rPr>
        <w:t xml:space="preserve"> №</w:t>
      </w:r>
      <w:r w:rsidRPr="003C2169">
        <w:rPr>
          <w:sz w:val="28"/>
          <w:szCs w:val="28"/>
          <w:lang w:val="uk-UA"/>
        </w:rPr>
        <w:t>2(23).</w:t>
      </w:r>
      <w:r w:rsidRPr="003C2169">
        <w:rPr>
          <w:sz w:val="28"/>
          <w:szCs w:val="28"/>
        </w:rPr>
        <w:t>P</w:t>
      </w:r>
      <w:r w:rsidRPr="003C2169">
        <w:rPr>
          <w:sz w:val="28"/>
          <w:szCs w:val="28"/>
          <w:lang w:val="uk-UA"/>
        </w:rPr>
        <w:t>. 98-104.</w:t>
      </w:r>
      <w:r w:rsidRPr="003C2169">
        <w:rPr>
          <w:rFonts w:eastAsia="Calibri"/>
          <w:bCs/>
          <w:i/>
          <w:sz w:val="28"/>
          <w:szCs w:val="28"/>
          <w:lang w:val="uk-UA"/>
        </w:rPr>
        <w:t xml:space="preserve"> (Здобувачкою здійснено відбір тематичних хворих, аналіз одержаного матеріалу, статистичну обробку даних, підготовку статті до друку).</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 xml:space="preserve">Немцова В.Д., Беловол А.Н., Высоцкая Е.В., Фалева Е.Е. Влияние липидного контроля на относительную длину теломер при изолированной артериальной гипертензии и в сочетании с сахарным диабетом типа 2. </w:t>
      </w:r>
      <w:r w:rsidRPr="003C2169">
        <w:rPr>
          <w:i/>
          <w:sz w:val="28"/>
          <w:szCs w:val="28"/>
          <w:lang w:val="uk-UA"/>
        </w:rPr>
        <w:t>Медицинские новости Грузии (</w:t>
      </w:r>
      <w:r w:rsidRPr="003C2169">
        <w:rPr>
          <w:i/>
          <w:sz w:val="28"/>
          <w:szCs w:val="28"/>
        </w:rPr>
        <w:t>Georgian</w:t>
      </w:r>
      <w:r w:rsidRPr="003C2169">
        <w:rPr>
          <w:i/>
          <w:sz w:val="28"/>
          <w:szCs w:val="28"/>
          <w:lang w:val="uk-UA"/>
        </w:rPr>
        <w:t xml:space="preserve"> </w:t>
      </w:r>
      <w:r w:rsidRPr="003C2169">
        <w:rPr>
          <w:i/>
          <w:sz w:val="28"/>
          <w:szCs w:val="28"/>
        </w:rPr>
        <w:t>Medical</w:t>
      </w:r>
      <w:r w:rsidRPr="003C2169">
        <w:rPr>
          <w:i/>
          <w:sz w:val="28"/>
          <w:szCs w:val="28"/>
          <w:lang w:val="uk-UA"/>
        </w:rPr>
        <w:t xml:space="preserve"> </w:t>
      </w:r>
      <w:r w:rsidRPr="003C2169">
        <w:rPr>
          <w:i/>
          <w:sz w:val="28"/>
          <w:szCs w:val="28"/>
        </w:rPr>
        <w:t>News</w:t>
      </w:r>
      <w:r w:rsidRPr="003C2169">
        <w:rPr>
          <w:i/>
          <w:sz w:val="28"/>
          <w:szCs w:val="28"/>
          <w:lang w:val="uk-UA"/>
        </w:rPr>
        <w:t>.</w:t>
      </w:r>
      <w:r w:rsidRPr="003C2169">
        <w:rPr>
          <w:sz w:val="28"/>
          <w:szCs w:val="28"/>
          <w:lang w:val="uk-UA"/>
        </w:rPr>
        <w:t xml:space="preserve"> 2019.№ 6 (291). С.58-63. </w:t>
      </w:r>
      <w:r w:rsidRPr="003C2169">
        <w:rPr>
          <w:color w:val="222222"/>
          <w:sz w:val="28"/>
          <w:szCs w:val="28"/>
          <w:shd w:val="clear" w:color="auto" w:fill="FFFFFF"/>
          <w:lang w:val="uk-UA"/>
        </w:rPr>
        <w:t>(</w:t>
      </w:r>
      <w:r w:rsidRPr="003C2169">
        <w:rPr>
          <w:rFonts w:eastAsia="Calibri"/>
          <w:bCs/>
          <w:i/>
          <w:sz w:val="28"/>
          <w:szCs w:val="28"/>
          <w:lang w:val="uk-UA"/>
        </w:rPr>
        <w:t>Здобувачкою</w:t>
      </w:r>
      <w:r w:rsidRPr="003C2169">
        <w:rPr>
          <w:i/>
          <w:sz w:val="28"/>
          <w:szCs w:val="28"/>
          <w:shd w:val="clear" w:color="auto" w:fill="FFFFFF"/>
          <w:lang w:val="uk-UA"/>
        </w:rPr>
        <w:t xml:space="preserve"> виконано пошук та аналіз літературних джерел, клінічне обстеження пацієнтів, аналіз  отриманих даних</w:t>
      </w:r>
      <w:r w:rsidRPr="003C2169">
        <w:rPr>
          <w:color w:val="222222"/>
          <w:sz w:val="28"/>
          <w:szCs w:val="28"/>
          <w:shd w:val="clear" w:color="auto" w:fill="FFFFFF"/>
          <w:lang w:val="uk-UA"/>
        </w:rPr>
        <w:t>).</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rPr>
      </w:pPr>
      <w:r w:rsidRPr="003C2169">
        <w:rPr>
          <w:sz w:val="28"/>
          <w:szCs w:val="28"/>
          <w:lang w:val="de-DE"/>
        </w:rPr>
        <w:t>Bilovol</w:t>
      </w:r>
      <w:r w:rsidRPr="003C2169">
        <w:rPr>
          <w:sz w:val="28"/>
          <w:szCs w:val="28"/>
          <w:lang w:val="uk-UA"/>
        </w:rPr>
        <w:t xml:space="preserve"> </w:t>
      </w:r>
      <w:r w:rsidRPr="003C2169">
        <w:rPr>
          <w:sz w:val="28"/>
          <w:szCs w:val="28"/>
          <w:lang w:val="de-DE"/>
        </w:rPr>
        <w:t>O</w:t>
      </w:r>
      <w:r w:rsidRPr="003C2169">
        <w:rPr>
          <w:sz w:val="28"/>
          <w:szCs w:val="28"/>
          <w:lang w:val="uk-UA"/>
        </w:rPr>
        <w:t xml:space="preserve">., </w:t>
      </w:r>
      <w:r w:rsidRPr="003C2169">
        <w:rPr>
          <w:sz w:val="28"/>
          <w:szCs w:val="28"/>
          <w:lang w:val="de-DE"/>
        </w:rPr>
        <w:t>Nemtsova</w:t>
      </w:r>
      <w:r w:rsidRPr="003C2169">
        <w:rPr>
          <w:sz w:val="28"/>
          <w:szCs w:val="28"/>
          <w:lang w:val="uk-UA"/>
        </w:rPr>
        <w:t xml:space="preserve"> </w:t>
      </w:r>
      <w:r w:rsidRPr="003C2169">
        <w:rPr>
          <w:sz w:val="28"/>
          <w:szCs w:val="28"/>
          <w:lang w:val="de-DE"/>
        </w:rPr>
        <w:t>V</w:t>
      </w:r>
      <w:r w:rsidRPr="003C2169">
        <w:rPr>
          <w:sz w:val="28"/>
          <w:szCs w:val="28"/>
          <w:lang w:val="uk-UA"/>
        </w:rPr>
        <w:t xml:space="preserve">., </w:t>
      </w:r>
      <w:r w:rsidRPr="003C2169">
        <w:rPr>
          <w:sz w:val="28"/>
          <w:szCs w:val="28"/>
          <w:lang w:val="de-DE"/>
        </w:rPr>
        <w:t>Ilchenko</w:t>
      </w:r>
      <w:r w:rsidRPr="003C2169">
        <w:rPr>
          <w:sz w:val="28"/>
          <w:szCs w:val="28"/>
          <w:lang w:val="uk-UA"/>
        </w:rPr>
        <w:t xml:space="preserve"> </w:t>
      </w:r>
      <w:r w:rsidRPr="003C2169">
        <w:rPr>
          <w:sz w:val="28"/>
          <w:szCs w:val="28"/>
          <w:lang w:val="de-DE"/>
        </w:rPr>
        <w:t>I</w:t>
      </w:r>
      <w:r w:rsidRPr="003C2169">
        <w:rPr>
          <w:sz w:val="28"/>
          <w:szCs w:val="28"/>
          <w:lang w:val="uk-UA"/>
        </w:rPr>
        <w:t xml:space="preserve">., </w:t>
      </w:r>
      <w:r w:rsidRPr="003C2169">
        <w:rPr>
          <w:sz w:val="28"/>
          <w:szCs w:val="28"/>
          <w:lang w:val="de-DE"/>
        </w:rPr>
        <w:t>Zlatkina</w:t>
      </w:r>
      <w:r w:rsidRPr="003C2169">
        <w:rPr>
          <w:sz w:val="28"/>
          <w:szCs w:val="28"/>
          <w:lang w:val="uk-UA"/>
        </w:rPr>
        <w:t xml:space="preserve"> </w:t>
      </w:r>
      <w:r w:rsidRPr="003C2169">
        <w:rPr>
          <w:sz w:val="28"/>
          <w:szCs w:val="28"/>
          <w:lang w:val="de-DE"/>
        </w:rPr>
        <w:t>V</w:t>
      </w:r>
      <w:r w:rsidRPr="003C2169">
        <w:rPr>
          <w:sz w:val="28"/>
          <w:szCs w:val="28"/>
          <w:lang w:val="uk-UA"/>
        </w:rPr>
        <w:t xml:space="preserve">. </w:t>
      </w:r>
      <w:r w:rsidRPr="003C2169">
        <w:rPr>
          <w:sz w:val="28"/>
          <w:szCs w:val="28"/>
          <w:lang w:val="en-US"/>
        </w:rPr>
        <w:t>Influence</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hormonal</w:t>
      </w:r>
      <w:r w:rsidRPr="003C2169">
        <w:rPr>
          <w:sz w:val="28"/>
          <w:szCs w:val="28"/>
          <w:lang w:val="uk-UA"/>
        </w:rPr>
        <w:t xml:space="preserve"> </w:t>
      </w:r>
      <w:r w:rsidRPr="003C2169">
        <w:rPr>
          <w:sz w:val="28"/>
          <w:szCs w:val="28"/>
          <w:lang w:val="en-US"/>
        </w:rPr>
        <w:t>disorders</w:t>
      </w:r>
      <w:r w:rsidRPr="003C2169">
        <w:rPr>
          <w:sz w:val="28"/>
          <w:szCs w:val="28"/>
          <w:lang w:val="uk-UA"/>
        </w:rPr>
        <w:t xml:space="preserve"> </w:t>
      </w:r>
      <w:r w:rsidRPr="003C2169">
        <w:rPr>
          <w:sz w:val="28"/>
          <w:szCs w:val="28"/>
          <w:lang w:val="en-US"/>
        </w:rPr>
        <w:t>on</w:t>
      </w:r>
      <w:r w:rsidRPr="003C2169">
        <w:rPr>
          <w:sz w:val="28"/>
          <w:szCs w:val="28"/>
          <w:lang w:val="uk-UA"/>
        </w:rPr>
        <w:t xml:space="preserve"> </w:t>
      </w:r>
      <w:r w:rsidRPr="003C2169">
        <w:rPr>
          <w:sz w:val="28"/>
          <w:szCs w:val="28"/>
          <w:lang w:val="en-US"/>
        </w:rPr>
        <w:t>endothelial</w:t>
      </w:r>
      <w:r w:rsidRPr="003C2169">
        <w:rPr>
          <w:sz w:val="28"/>
          <w:szCs w:val="28"/>
          <w:lang w:val="uk-UA"/>
        </w:rPr>
        <w:t xml:space="preserve"> </w:t>
      </w:r>
      <w:r w:rsidRPr="003C2169">
        <w:rPr>
          <w:sz w:val="28"/>
          <w:szCs w:val="28"/>
          <w:lang w:val="en-US"/>
        </w:rPr>
        <w:t>dysfunction</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patients</w:t>
      </w:r>
      <w:r w:rsidRPr="003C2169">
        <w:rPr>
          <w:sz w:val="28"/>
          <w:szCs w:val="28"/>
          <w:lang w:val="uk-UA"/>
        </w:rPr>
        <w:t xml:space="preserve"> </w:t>
      </w:r>
      <w:r w:rsidRPr="003C2169">
        <w:rPr>
          <w:sz w:val="28"/>
          <w:szCs w:val="28"/>
          <w:lang w:val="en-US"/>
        </w:rPr>
        <w:t>with</w:t>
      </w:r>
      <w:r w:rsidRPr="003C2169">
        <w:rPr>
          <w:sz w:val="28"/>
          <w:szCs w:val="28"/>
          <w:lang w:val="uk-UA"/>
        </w:rPr>
        <w:t xml:space="preserve"> </w:t>
      </w:r>
      <w:r w:rsidRPr="003C2169">
        <w:rPr>
          <w:sz w:val="28"/>
          <w:szCs w:val="28"/>
          <w:lang w:val="en-US"/>
        </w:rPr>
        <w:t>arterial</w:t>
      </w:r>
      <w:r w:rsidRPr="003C2169">
        <w:rPr>
          <w:sz w:val="28"/>
          <w:szCs w:val="28"/>
          <w:lang w:val="uk-UA"/>
        </w:rPr>
        <w:t xml:space="preserve"> </w:t>
      </w:r>
      <w:r w:rsidRPr="003C2169">
        <w:rPr>
          <w:sz w:val="28"/>
          <w:szCs w:val="28"/>
          <w:lang w:val="en-US"/>
        </w:rPr>
        <w:t>hypertension</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comorbide</w:t>
      </w:r>
      <w:r w:rsidRPr="003C2169">
        <w:rPr>
          <w:sz w:val="28"/>
          <w:szCs w:val="28"/>
          <w:lang w:val="uk-UA"/>
        </w:rPr>
        <w:t xml:space="preserve"> </w:t>
      </w:r>
      <w:r w:rsidRPr="003C2169">
        <w:rPr>
          <w:sz w:val="28"/>
          <w:szCs w:val="28"/>
          <w:lang w:val="en-US"/>
        </w:rPr>
        <w:t>endocrinopathies</w:t>
      </w:r>
      <w:r w:rsidRPr="003C2169">
        <w:rPr>
          <w:sz w:val="28"/>
          <w:szCs w:val="28"/>
          <w:lang w:val="uk-UA"/>
        </w:rPr>
        <w:t xml:space="preserve">. </w:t>
      </w:r>
      <w:r w:rsidRPr="003C2169">
        <w:rPr>
          <w:sz w:val="28"/>
          <w:szCs w:val="28"/>
        </w:rPr>
        <w:t>Inter</w:t>
      </w:r>
      <w:r w:rsidRPr="003C2169">
        <w:rPr>
          <w:sz w:val="28"/>
          <w:szCs w:val="28"/>
          <w:lang w:val="uk-UA"/>
        </w:rPr>
        <w:t xml:space="preserve"> </w:t>
      </w:r>
      <w:r w:rsidRPr="003C2169">
        <w:rPr>
          <w:sz w:val="28"/>
          <w:szCs w:val="28"/>
        </w:rPr>
        <w:t>Collegas</w:t>
      </w:r>
      <w:r w:rsidRPr="003C2169">
        <w:rPr>
          <w:sz w:val="28"/>
          <w:szCs w:val="28"/>
          <w:lang w:val="uk-UA"/>
        </w:rPr>
        <w:t xml:space="preserve">. </w:t>
      </w:r>
      <w:r w:rsidRPr="003C2169">
        <w:rPr>
          <w:sz w:val="28"/>
          <w:szCs w:val="28"/>
        </w:rPr>
        <w:t>Experientia</w:t>
      </w:r>
      <w:r w:rsidRPr="003C2169">
        <w:rPr>
          <w:sz w:val="28"/>
          <w:szCs w:val="28"/>
          <w:lang w:val="uk-UA"/>
        </w:rPr>
        <w:t xml:space="preserve"> </w:t>
      </w:r>
      <w:r w:rsidRPr="003C2169">
        <w:rPr>
          <w:sz w:val="28"/>
          <w:szCs w:val="28"/>
        </w:rPr>
        <w:t>doce</w:t>
      </w:r>
      <w:r w:rsidRPr="003C2169">
        <w:rPr>
          <w:sz w:val="28"/>
          <w:szCs w:val="28"/>
          <w:lang w:val="uk-UA"/>
        </w:rPr>
        <w:t>. 2019.№ 3 (6).-</w:t>
      </w:r>
      <w:r w:rsidRPr="003C2169">
        <w:rPr>
          <w:sz w:val="28"/>
          <w:szCs w:val="28"/>
        </w:rPr>
        <w:t>P</w:t>
      </w:r>
      <w:r w:rsidRPr="003C2169">
        <w:rPr>
          <w:sz w:val="28"/>
          <w:szCs w:val="28"/>
          <w:lang w:val="uk-UA"/>
        </w:rPr>
        <w:t>.132-136.</w:t>
      </w:r>
      <w:r w:rsidRPr="003C2169">
        <w:rPr>
          <w:bCs/>
          <w:i/>
          <w:sz w:val="28"/>
          <w:szCs w:val="28"/>
          <w:lang w:val="uk-UA"/>
        </w:rPr>
        <w:t xml:space="preserve"> (</w:t>
      </w:r>
      <w:r w:rsidRPr="003C2169">
        <w:rPr>
          <w:rFonts w:eastAsia="Calibri"/>
          <w:bCs/>
          <w:i/>
          <w:sz w:val="28"/>
          <w:szCs w:val="28"/>
          <w:lang w:val="uk-UA"/>
        </w:rPr>
        <w:t xml:space="preserve">Здобувачка </w:t>
      </w:r>
      <w:r w:rsidRPr="003C2169">
        <w:rPr>
          <w:bCs/>
          <w:i/>
          <w:sz w:val="28"/>
          <w:szCs w:val="28"/>
          <w:lang w:val="uk-UA"/>
        </w:rPr>
        <w:t>самостійно проводила обстеження тематичних хворих, аналіз отриманих результатів,підготувала статтю до друку)</w:t>
      </w:r>
      <w:r w:rsidRPr="003C2169">
        <w:rPr>
          <w:sz w:val="28"/>
          <w:szCs w:val="28"/>
          <w:lang w:val="uk-UA"/>
        </w:rPr>
        <w:t>.</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 xml:space="preserve">Немцова В.Д., Ільченко І.А., Златкіна В.В. Вплив гормонального дисбалансу на зміну швидкості старіння у хворих на артеріальну гіпертензію і коморбідні ендокринопатії. </w:t>
      </w:r>
      <w:r w:rsidRPr="003C2169">
        <w:rPr>
          <w:i/>
          <w:sz w:val="28"/>
          <w:szCs w:val="28"/>
          <w:lang w:val="uk-UA"/>
        </w:rPr>
        <w:t>Вісник Вінницького національного медичного університету.</w:t>
      </w:r>
      <w:r w:rsidRPr="003C2169">
        <w:rPr>
          <w:sz w:val="28"/>
          <w:szCs w:val="28"/>
          <w:lang w:val="uk-UA"/>
        </w:rPr>
        <w:t>2019.№2 (т.23).  С.277-282.</w:t>
      </w:r>
      <w:r w:rsidRPr="003C2169">
        <w:rPr>
          <w:rFonts w:eastAsia="NSimSun"/>
          <w:bCs/>
          <w:color w:val="00000A"/>
          <w:sz w:val="28"/>
          <w:szCs w:val="28"/>
          <w:lang w:val="uk-UA" w:eastAsia="zh-CN" w:bidi="hi-IN"/>
        </w:rPr>
        <w:t xml:space="preserve"> (</w:t>
      </w:r>
      <w:r w:rsidRPr="003C2169">
        <w:rPr>
          <w:rFonts w:eastAsia="Calibri"/>
          <w:bCs/>
          <w:i/>
          <w:sz w:val="28"/>
          <w:szCs w:val="28"/>
          <w:lang w:val="uk-UA"/>
        </w:rPr>
        <w:t>Здобувачкою</w:t>
      </w:r>
      <w:r w:rsidRPr="003C2169">
        <w:rPr>
          <w:rFonts w:eastAsia="NSimSun"/>
          <w:bCs/>
          <w:i/>
          <w:iCs/>
          <w:color w:val="00000A"/>
          <w:sz w:val="28"/>
          <w:szCs w:val="28"/>
          <w:lang w:val="uk-UA" w:eastAsia="zh-CN" w:bidi="hi-IN"/>
        </w:rPr>
        <w:t xml:space="preserve"> сформовано групи, проведено клінічне обстеження пацієнтів, проведено аналіз та статистична обробка даних, підготовка статті до друку</w:t>
      </w:r>
      <w:r w:rsidRPr="003C2169">
        <w:rPr>
          <w:rFonts w:eastAsia="NSimSun"/>
          <w:bCs/>
          <w:color w:val="00000A"/>
          <w:sz w:val="28"/>
          <w:szCs w:val="28"/>
          <w:lang w:val="uk-UA" w:eastAsia="zh-CN" w:bidi="hi-IN"/>
        </w:rPr>
        <w:t>).</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rPr>
      </w:pPr>
      <w:r w:rsidRPr="003C2169">
        <w:rPr>
          <w:sz w:val="28"/>
          <w:szCs w:val="28"/>
          <w:lang w:val="uk-UA"/>
        </w:rPr>
        <w:t xml:space="preserve">Немцова В.Д., Євтушенко О.М., Чайковська В.В. Вплив комбінованої терапії статинами та левотироксином на динаміку ліпідного профілю у пацієнтів з поєднаним перебігом артеріальної гіпертензії, цукрового діабету 2 типу та субклінічного гіпотиреозу. </w:t>
      </w:r>
      <w:r w:rsidRPr="003C2169">
        <w:rPr>
          <w:i/>
          <w:sz w:val="28"/>
          <w:szCs w:val="28"/>
          <w:lang w:val="uk-UA"/>
        </w:rPr>
        <w:t>Клінічна фармація.</w:t>
      </w:r>
      <w:r w:rsidRPr="003C2169">
        <w:rPr>
          <w:sz w:val="28"/>
          <w:szCs w:val="28"/>
          <w:lang w:val="uk-UA"/>
        </w:rPr>
        <w:t xml:space="preserve"> 2019. № 3(23). С.57-61.</w:t>
      </w:r>
      <w:r w:rsidRPr="003C2169">
        <w:rPr>
          <w:bCs/>
          <w:i/>
          <w:sz w:val="28"/>
          <w:szCs w:val="28"/>
          <w:lang w:val="uk-UA"/>
        </w:rPr>
        <w:t>(</w:t>
      </w:r>
      <w:r w:rsidRPr="003C2169">
        <w:rPr>
          <w:rFonts w:eastAsia="Calibri"/>
          <w:bCs/>
          <w:i/>
          <w:sz w:val="28"/>
          <w:szCs w:val="28"/>
          <w:lang w:val="uk-UA"/>
        </w:rPr>
        <w:t xml:space="preserve"> Здобувачка</w:t>
      </w:r>
      <w:r w:rsidRPr="003C2169">
        <w:rPr>
          <w:bCs/>
          <w:i/>
          <w:sz w:val="28"/>
          <w:szCs w:val="28"/>
          <w:lang w:val="uk-UA"/>
        </w:rPr>
        <w:t xml:space="preserve"> самостійно проводила обстеження тематичних хворих, аналіз отриманих результатів,підготувала статтю до друку)</w:t>
      </w:r>
      <w:r w:rsidRPr="003C2169">
        <w:rPr>
          <w:sz w:val="28"/>
          <w:szCs w:val="28"/>
          <w:lang w:val="uk-UA"/>
        </w:rPr>
        <w:t>.</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rPr>
      </w:pPr>
      <w:r w:rsidRPr="003C2169">
        <w:rPr>
          <w:sz w:val="28"/>
          <w:szCs w:val="28"/>
          <w:lang w:val="uk-UA"/>
        </w:rPr>
        <w:t xml:space="preserve">Немцова В.Д., Ільченко І.А., Златкіна В.В., Запровальна О.Є. Прогностична роль і особливості впливу артеріальної гіпертензії, метаболічного і ендокринного дисбалансу на зміни темпів старіння у пацієнтів з коморбідною патологією різних вікових груп. </w:t>
      </w:r>
      <w:r w:rsidRPr="003C2169">
        <w:rPr>
          <w:i/>
          <w:sz w:val="28"/>
          <w:szCs w:val="28"/>
          <w:lang w:val="uk-UA"/>
        </w:rPr>
        <w:t>Вісник проблем біології і медицини</w:t>
      </w:r>
      <w:r w:rsidRPr="003C2169">
        <w:rPr>
          <w:sz w:val="28"/>
          <w:szCs w:val="28"/>
          <w:lang w:val="uk-UA"/>
        </w:rPr>
        <w:t xml:space="preserve">. 2019. Випуск 2, Том 2 (151). С. 139-143. </w:t>
      </w:r>
      <w:r w:rsidRPr="003C2169">
        <w:rPr>
          <w:bCs/>
          <w:i/>
          <w:iCs/>
          <w:sz w:val="28"/>
          <w:szCs w:val="28"/>
          <w:lang w:val="uk-UA"/>
        </w:rPr>
        <w:t>(</w:t>
      </w:r>
      <w:r w:rsidRPr="003C2169">
        <w:rPr>
          <w:rFonts w:eastAsia="Calibri"/>
          <w:bCs/>
          <w:i/>
          <w:sz w:val="28"/>
          <w:szCs w:val="28"/>
          <w:lang w:val="uk-UA"/>
        </w:rPr>
        <w:t>Здобувачкою</w:t>
      </w:r>
      <w:r w:rsidRPr="003C2169">
        <w:rPr>
          <w:bCs/>
          <w:i/>
          <w:iCs/>
          <w:sz w:val="28"/>
          <w:szCs w:val="28"/>
          <w:lang w:val="uk-UA"/>
        </w:rPr>
        <w:t xml:space="preserve"> зібрано частину клінічного матеріалу, проведено аналіз та узагальнення отриманих даних, здійснено підготовку статті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rPr>
      </w:pPr>
      <w:r w:rsidRPr="003C2169">
        <w:rPr>
          <w:sz w:val="28"/>
          <w:szCs w:val="28"/>
          <w:lang w:val="uk-UA"/>
        </w:rPr>
        <w:t>Немцова В.Д., Біловол О.М., Ільченко І.А. Особливості змін антиоксидантного захисту в залежності від функціонального стану щитоподібної залози у пацієнтів різного віку з коморбідною патологією.</w:t>
      </w:r>
      <w:r w:rsidRPr="003C2169">
        <w:rPr>
          <w:i/>
          <w:sz w:val="28"/>
          <w:szCs w:val="28"/>
          <w:lang w:val="uk-UA"/>
        </w:rPr>
        <w:t>Український журнал медицини, біології та спорту. -</w:t>
      </w:r>
      <w:r w:rsidRPr="003C2169">
        <w:rPr>
          <w:sz w:val="28"/>
          <w:szCs w:val="28"/>
          <w:lang w:val="uk-UA"/>
        </w:rPr>
        <w:t xml:space="preserve"> 2018. Том 3, № 7 (16). С.129-135. </w:t>
      </w:r>
      <w:r w:rsidRPr="003C2169">
        <w:rPr>
          <w:sz w:val="28"/>
          <w:szCs w:val="28"/>
          <w:shd w:val="clear" w:color="auto" w:fill="FFFFFF"/>
        </w:rPr>
        <w:t>(</w:t>
      </w:r>
      <w:r w:rsidRPr="003C2169">
        <w:rPr>
          <w:rFonts w:eastAsia="Calibri"/>
          <w:bCs/>
          <w:i/>
          <w:sz w:val="28"/>
          <w:szCs w:val="28"/>
          <w:lang w:val="uk-UA"/>
        </w:rPr>
        <w:t xml:space="preserve">Здобувачкою </w:t>
      </w:r>
      <w:r w:rsidRPr="003C2169">
        <w:rPr>
          <w:i/>
          <w:sz w:val="28"/>
          <w:szCs w:val="28"/>
          <w:shd w:val="clear" w:color="auto" w:fill="FFFFFF"/>
        </w:rPr>
        <w:t>проведено обстеження хворих, аналіз отриманих даних, формування висновків</w:t>
      </w:r>
      <w:r w:rsidRPr="003C2169">
        <w:rPr>
          <w:sz w:val="28"/>
          <w:szCs w:val="28"/>
          <w:shd w:val="clear" w:color="auto" w:fill="FFFFFF"/>
        </w:rPr>
        <w:t>).</w:t>
      </w:r>
    </w:p>
    <w:p w:rsidR="00E3259F" w:rsidRPr="003C2169" w:rsidRDefault="00E3259F" w:rsidP="003C2169">
      <w:pPr>
        <w:pStyle w:val="a4"/>
        <w:numPr>
          <w:ilvl w:val="0"/>
          <w:numId w:val="30"/>
        </w:numPr>
        <w:tabs>
          <w:tab w:val="left" w:pos="0"/>
        </w:tabs>
        <w:spacing w:line="360" w:lineRule="auto"/>
        <w:ind w:left="0" w:firstLine="0"/>
        <w:jc w:val="both"/>
        <w:rPr>
          <w:rFonts w:eastAsia="NSimSun"/>
          <w:sz w:val="28"/>
          <w:szCs w:val="28"/>
          <w:lang w:val="uk-UA" w:eastAsia="zh-CN" w:bidi="hi-IN"/>
        </w:rPr>
      </w:pPr>
      <w:r w:rsidRPr="003C2169">
        <w:rPr>
          <w:sz w:val="28"/>
          <w:szCs w:val="28"/>
          <w:lang w:val="uk-UA"/>
        </w:rPr>
        <w:t xml:space="preserve">Беловол А.Н., Немцова В.Д., Потапенко А.В. Факторы кардиоваскулярного риска в зависимости от  состояния сосудистого эндотелия у пациентов с артериальной гипертензией в сочетании с гипотериозом. </w:t>
      </w:r>
      <w:r w:rsidRPr="003C2169">
        <w:rPr>
          <w:i/>
          <w:sz w:val="28"/>
          <w:szCs w:val="28"/>
          <w:lang w:val="uk-UA"/>
        </w:rPr>
        <w:t>Вісник Української медичної стоматологічної академії.</w:t>
      </w:r>
      <w:r w:rsidRPr="003C2169">
        <w:rPr>
          <w:sz w:val="28"/>
          <w:szCs w:val="28"/>
          <w:lang w:val="uk-UA"/>
        </w:rPr>
        <w:t xml:space="preserve"> 2016.Т. 16, Випуск 4 (56) ч.1. С.67-71. </w:t>
      </w:r>
      <w:r w:rsidRPr="003C2169">
        <w:rPr>
          <w:rFonts w:eastAsia="NSimSun"/>
          <w:i/>
          <w:sz w:val="28"/>
          <w:szCs w:val="28"/>
          <w:lang w:val="uk-UA" w:eastAsia="zh-CN" w:bidi="hi-IN"/>
        </w:rPr>
        <w:t>(</w:t>
      </w:r>
      <w:r w:rsidRPr="003C2169">
        <w:rPr>
          <w:rFonts w:eastAsia="Calibri"/>
          <w:bCs/>
          <w:i/>
          <w:sz w:val="28"/>
          <w:szCs w:val="28"/>
          <w:lang w:val="uk-UA"/>
        </w:rPr>
        <w:t>Здобувачка</w:t>
      </w:r>
      <w:r w:rsidRPr="003C2169">
        <w:rPr>
          <w:rFonts w:eastAsia="NSimSun"/>
          <w:i/>
          <w:sz w:val="28"/>
          <w:szCs w:val="28"/>
          <w:lang w:val="uk-UA" w:eastAsia="zh-CN" w:bidi="hi-IN"/>
        </w:rPr>
        <w:t xml:space="preserve"> сформувала групи, здійснила аналіз  отриманих даних, підготувала статтю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eastAsia="en-US"/>
        </w:rPr>
      </w:pPr>
      <w:r w:rsidRPr="003C2169">
        <w:rPr>
          <w:sz w:val="28"/>
          <w:szCs w:val="28"/>
          <w:lang w:val="en-US"/>
        </w:rPr>
        <w:t>Bilovol</w:t>
      </w:r>
      <w:r w:rsidRPr="003C2169">
        <w:rPr>
          <w:sz w:val="28"/>
          <w:szCs w:val="28"/>
          <w:lang w:val="uk-UA"/>
        </w:rPr>
        <w:t xml:space="preserve"> </w:t>
      </w:r>
      <w:r w:rsidRPr="003C2169">
        <w:rPr>
          <w:sz w:val="28"/>
          <w:szCs w:val="28"/>
          <w:lang w:val="en-US"/>
        </w:rPr>
        <w:t>O</w:t>
      </w:r>
      <w:r w:rsidRPr="003C2169">
        <w:rPr>
          <w:sz w:val="28"/>
          <w:szCs w:val="28"/>
          <w:lang w:val="uk-UA"/>
        </w:rPr>
        <w:t>.</w:t>
      </w:r>
      <w:r w:rsidRPr="003C2169">
        <w:rPr>
          <w:sz w:val="28"/>
          <w:szCs w:val="28"/>
          <w:lang w:val="en-US"/>
        </w:rPr>
        <w:t>M</w:t>
      </w:r>
      <w:r w:rsidRPr="003C2169">
        <w:rPr>
          <w:sz w:val="28"/>
          <w:szCs w:val="28"/>
          <w:lang w:val="uk-UA"/>
        </w:rPr>
        <w:t xml:space="preserve">., </w:t>
      </w:r>
      <w:r w:rsidRPr="003C2169">
        <w:rPr>
          <w:sz w:val="28"/>
          <w:szCs w:val="28"/>
          <w:lang w:val="en-US"/>
        </w:rPr>
        <w:t>Nemtsova</w:t>
      </w:r>
      <w:r w:rsidRPr="003C2169">
        <w:rPr>
          <w:sz w:val="28"/>
          <w:szCs w:val="28"/>
          <w:lang w:val="uk-UA"/>
        </w:rPr>
        <w:t xml:space="preserve"> </w:t>
      </w:r>
      <w:r w:rsidRPr="003C2169">
        <w:rPr>
          <w:sz w:val="28"/>
          <w:szCs w:val="28"/>
          <w:lang w:val="en-US"/>
        </w:rPr>
        <w:t>V</w:t>
      </w:r>
      <w:r w:rsidRPr="003C2169">
        <w:rPr>
          <w:sz w:val="28"/>
          <w:szCs w:val="28"/>
          <w:lang w:val="uk-UA"/>
        </w:rPr>
        <w:t>.</w:t>
      </w:r>
      <w:r w:rsidRPr="003C2169">
        <w:rPr>
          <w:sz w:val="28"/>
          <w:szCs w:val="28"/>
          <w:lang w:val="en-US"/>
        </w:rPr>
        <w:t>D</w:t>
      </w:r>
      <w:r w:rsidRPr="003C2169">
        <w:rPr>
          <w:sz w:val="28"/>
          <w:szCs w:val="28"/>
          <w:lang w:val="uk-UA"/>
        </w:rPr>
        <w:t xml:space="preserve">. </w:t>
      </w:r>
      <w:r w:rsidRPr="003C2169">
        <w:rPr>
          <w:sz w:val="28"/>
          <w:szCs w:val="28"/>
          <w:lang w:val="en-US"/>
        </w:rPr>
        <w:t>Effect</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carbohydrate</w:t>
      </w:r>
      <w:r w:rsidRPr="003C2169">
        <w:rPr>
          <w:sz w:val="28"/>
          <w:szCs w:val="28"/>
          <w:lang w:val="uk-UA"/>
        </w:rPr>
        <w:t xml:space="preserve"> </w:t>
      </w:r>
      <w:r w:rsidRPr="003C2169">
        <w:rPr>
          <w:sz w:val="28"/>
          <w:szCs w:val="28"/>
          <w:lang w:val="en-US"/>
        </w:rPr>
        <w:t>metabolism</w:t>
      </w:r>
      <w:r w:rsidRPr="003C2169">
        <w:rPr>
          <w:sz w:val="28"/>
          <w:szCs w:val="28"/>
          <w:lang w:val="uk-UA"/>
        </w:rPr>
        <w:t xml:space="preserve"> </w:t>
      </w:r>
      <w:r w:rsidRPr="003C2169">
        <w:rPr>
          <w:sz w:val="28"/>
          <w:szCs w:val="28"/>
          <w:lang w:val="en-US"/>
        </w:rPr>
        <w:t>levels</w:t>
      </w:r>
      <w:r w:rsidRPr="003C2169">
        <w:rPr>
          <w:sz w:val="28"/>
          <w:szCs w:val="28"/>
          <w:lang w:val="uk-UA"/>
        </w:rPr>
        <w:t xml:space="preserve"> </w:t>
      </w:r>
      <w:r w:rsidRPr="003C2169">
        <w:rPr>
          <w:sz w:val="28"/>
          <w:szCs w:val="28"/>
          <w:lang w:val="en-US"/>
        </w:rPr>
        <w:t>on</w:t>
      </w:r>
      <w:r w:rsidRPr="003C2169">
        <w:rPr>
          <w:sz w:val="28"/>
          <w:szCs w:val="28"/>
          <w:lang w:val="uk-UA"/>
        </w:rPr>
        <w:t xml:space="preserve"> </w:t>
      </w:r>
      <w:r w:rsidRPr="003C2169">
        <w:rPr>
          <w:sz w:val="28"/>
          <w:szCs w:val="28"/>
          <w:lang w:val="en-US"/>
        </w:rPr>
        <w:t>the</w:t>
      </w:r>
      <w:r w:rsidRPr="003C2169">
        <w:rPr>
          <w:sz w:val="28"/>
          <w:szCs w:val="28"/>
          <w:lang w:val="uk-UA"/>
        </w:rPr>
        <w:t xml:space="preserve"> </w:t>
      </w:r>
      <w:r w:rsidRPr="003C2169">
        <w:rPr>
          <w:sz w:val="28"/>
          <w:szCs w:val="28"/>
          <w:lang w:val="en-US"/>
        </w:rPr>
        <w:t>relative</w:t>
      </w:r>
      <w:r w:rsidRPr="003C2169">
        <w:rPr>
          <w:sz w:val="28"/>
          <w:szCs w:val="28"/>
          <w:lang w:val="uk-UA"/>
        </w:rPr>
        <w:t xml:space="preserve"> </w:t>
      </w:r>
      <w:r w:rsidRPr="003C2169">
        <w:rPr>
          <w:sz w:val="28"/>
          <w:szCs w:val="28"/>
          <w:lang w:val="en-US"/>
        </w:rPr>
        <w:t>length</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telomeres</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patients</w:t>
      </w:r>
      <w:r w:rsidRPr="003C2169">
        <w:rPr>
          <w:sz w:val="28"/>
          <w:szCs w:val="28"/>
          <w:lang w:val="uk-UA"/>
        </w:rPr>
        <w:t xml:space="preserve"> </w:t>
      </w:r>
      <w:r w:rsidRPr="003C2169">
        <w:rPr>
          <w:sz w:val="28"/>
          <w:szCs w:val="28"/>
          <w:lang w:val="en-US"/>
        </w:rPr>
        <w:t>with</w:t>
      </w:r>
      <w:r w:rsidRPr="003C2169">
        <w:rPr>
          <w:sz w:val="28"/>
          <w:szCs w:val="28"/>
          <w:lang w:val="uk-UA"/>
        </w:rPr>
        <w:t xml:space="preserve"> </w:t>
      </w:r>
      <w:r w:rsidRPr="003C2169">
        <w:rPr>
          <w:sz w:val="28"/>
          <w:szCs w:val="28"/>
          <w:lang w:val="en-US"/>
        </w:rPr>
        <w:t>hypertension</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combination</w:t>
      </w:r>
      <w:r w:rsidRPr="003C2169">
        <w:rPr>
          <w:sz w:val="28"/>
          <w:szCs w:val="28"/>
          <w:lang w:val="uk-UA"/>
        </w:rPr>
        <w:t xml:space="preserve"> </w:t>
      </w:r>
      <w:r w:rsidRPr="003C2169">
        <w:rPr>
          <w:sz w:val="28"/>
          <w:szCs w:val="28"/>
          <w:lang w:val="en-US"/>
        </w:rPr>
        <w:t>with</w:t>
      </w:r>
      <w:r w:rsidRPr="003C2169">
        <w:rPr>
          <w:sz w:val="28"/>
          <w:szCs w:val="28"/>
          <w:lang w:val="uk-UA"/>
        </w:rPr>
        <w:t xml:space="preserve"> </w:t>
      </w:r>
      <w:r w:rsidRPr="003C2169">
        <w:rPr>
          <w:sz w:val="28"/>
          <w:szCs w:val="28"/>
          <w:lang w:val="en-US"/>
        </w:rPr>
        <w:t>diabetes</w:t>
      </w:r>
      <w:r w:rsidRPr="003C2169">
        <w:rPr>
          <w:sz w:val="28"/>
          <w:szCs w:val="28"/>
          <w:lang w:val="uk-UA"/>
        </w:rPr>
        <w:t xml:space="preserve"> </w:t>
      </w:r>
      <w:r w:rsidRPr="003C2169">
        <w:rPr>
          <w:sz w:val="28"/>
          <w:szCs w:val="28"/>
          <w:lang w:val="en-US"/>
        </w:rPr>
        <w:t>mellitus</w:t>
      </w:r>
      <w:r w:rsidRPr="003C2169">
        <w:rPr>
          <w:sz w:val="28"/>
          <w:szCs w:val="28"/>
          <w:lang w:val="uk-UA"/>
        </w:rPr>
        <w:t xml:space="preserve"> </w:t>
      </w:r>
      <w:r w:rsidRPr="003C2169">
        <w:rPr>
          <w:sz w:val="28"/>
          <w:szCs w:val="28"/>
          <w:lang w:val="en-US"/>
        </w:rPr>
        <w:t>type</w:t>
      </w:r>
      <w:r w:rsidRPr="003C2169">
        <w:rPr>
          <w:sz w:val="28"/>
          <w:szCs w:val="28"/>
          <w:lang w:val="uk-UA"/>
        </w:rPr>
        <w:t xml:space="preserve"> 2. </w:t>
      </w:r>
      <w:r w:rsidRPr="003C2169">
        <w:rPr>
          <w:i/>
          <w:sz w:val="28"/>
          <w:szCs w:val="28"/>
          <w:lang w:val="uk-UA"/>
        </w:rPr>
        <w:t>Медицина сьогодні і завтра</w:t>
      </w:r>
      <w:r w:rsidRPr="003C2169">
        <w:rPr>
          <w:sz w:val="28"/>
          <w:szCs w:val="28"/>
          <w:lang w:val="uk-UA"/>
        </w:rPr>
        <w:t xml:space="preserve">.2018. №4(81).-С.4-11. </w:t>
      </w:r>
      <w:r w:rsidRPr="003C2169">
        <w:rPr>
          <w:sz w:val="28"/>
          <w:szCs w:val="28"/>
          <w:shd w:val="clear" w:color="auto" w:fill="FFFFFF"/>
        </w:rPr>
        <w:t>(</w:t>
      </w:r>
      <w:r w:rsidRPr="003C2169">
        <w:rPr>
          <w:rFonts w:eastAsia="Calibri"/>
          <w:bCs/>
          <w:i/>
          <w:sz w:val="28"/>
          <w:szCs w:val="28"/>
          <w:lang w:val="uk-UA"/>
        </w:rPr>
        <w:t>Здобувачкою</w:t>
      </w:r>
      <w:r w:rsidRPr="003C2169">
        <w:rPr>
          <w:i/>
          <w:sz w:val="28"/>
          <w:szCs w:val="28"/>
          <w:shd w:val="clear" w:color="auto" w:fill="FFFFFF"/>
        </w:rPr>
        <w:t xml:space="preserve"> проведено обстеження хворих, аналіз отриманих даних, підготовка статті до друкуформування висновків</w:t>
      </w:r>
      <w:r w:rsidRPr="003C2169">
        <w:rPr>
          <w:sz w:val="28"/>
          <w:szCs w:val="28"/>
          <w:shd w:val="clear" w:color="auto" w:fill="FFFFFF"/>
        </w:rPr>
        <w:t>).</w:t>
      </w:r>
    </w:p>
    <w:p w:rsidR="00E3259F" w:rsidRPr="003C2169" w:rsidRDefault="00E3259F" w:rsidP="003C2169">
      <w:pPr>
        <w:pStyle w:val="a4"/>
        <w:numPr>
          <w:ilvl w:val="0"/>
          <w:numId w:val="30"/>
        </w:numPr>
        <w:spacing w:line="360" w:lineRule="auto"/>
        <w:ind w:left="0" w:firstLine="0"/>
        <w:jc w:val="both"/>
        <w:rPr>
          <w:rFonts w:eastAsia="NSimSun"/>
          <w:sz w:val="28"/>
          <w:szCs w:val="28"/>
          <w:lang w:val="uk-UA" w:eastAsia="zh-CN" w:bidi="hi-IN"/>
        </w:rPr>
      </w:pPr>
      <w:r w:rsidRPr="003C2169">
        <w:rPr>
          <w:sz w:val="28"/>
          <w:szCs w:val="28"/>
          <w:lang w:val="uk-UA"/>
        </w:rPr>
        <w:t xml:space="preserve">Немцова В.Д., Златкіна В.В., Ільченко І.А. Дінамічні зміни метаболічних показників під впливом комбінованої терапії у хворих на гіпертонічну хворобу, що протікає на тлі супутнього цукрового діабету 2 типу та субклінічного гіпотиреозу. </w:t>
      </w:r>
      <w:r w:rsidRPr="003C2169">
        <w:rPr>
          <w:i/>
          <w:sz w:val="28"/>
          <w:szCs w:val="28"/>
          <w:lang w:val="uk-UA"/>
        </w:rPr>
        <w:t>Український терапевтичний журнал.</w:t>
      </w:r>
      <w:r w:rsidRPr="003C2169">
        <w:rPr>
          <w:sz w:val="28"/>
          <w:szCs w:val="28"/>
          <w:lang w:val="uk-UA"/>
        </w:rPr>
        <w:t xml:space="preserve"> 2019. №4. с.28-34. </w:t>
      </w:r>
      <w:r w:rsidRPr="003C2169">
        <w:rPr>
          <w:rFonts w:eastAsia="NSimSun"/>
          <w:i/>
          <w:sz w:val="28"/>
          <w:szCs w:val="28"/>
          <w:lang w:val="uk-UA" w:eastAsia="zh-CN" w:bidi="hi-IN"/>
        </w:rPr>
        <w:t>(</w:t>
      </w:r>
      <w:r w:rsidRPr="003C2169">
        <w:rPr>
          <w:rFonts w:eastAsia="Calibri"/>
          <w:bCs/>
          <w:i/>
          <w:sz w:val="28"/>
          <w:szCs w:val="28"/>
          <w:lang w:val="uk-UA"/>
        </w:rPr>
        <w:t>Здобувачка</w:t>
      </w:r>
      <w:r w:rsidRPr="003C2169">
        <w:rPr>
          <w:rFonts w:eastAsia="NSimSun"/>
          <w:i/>
          <w:sz w:val="28"/>
          <w:szCs w:val="28"/>
          <w:lang w:val="uk-UA" w:eastAsia="zh-CN" w:bidi="hi-IN"/>
        </w:rPr>
        <w:t xml:space="preserve"> сформувала групи, здійснила обстеження пацієнтів, аналіз та узагальнення отриманих даних).</w:t>
      </w:r>
    </w:p>
    <w:p w:rsidR="00E3259F" w:rsidRPr="003C2169" w:rsidRDefault="00E3259F" w:rsidP="003C2169">
      <w:pPr>
        <w:pStyle w:val="a4"/>
        <w:numPr>
          <w:ilvl w:val="0"/>
          <w:numId w:val="30"/>
        </w:numPr>
        <w:spacing w:line="360" w:lineRule="auto"/>
        <w:ind w:left="0" w:firstLine="0"/>
        <w:jc w:val="both"/>
        <w:rPr>
          <w:sz w:val="28"/>
          <w:szCs w:val="28"/>
          <w:lang w:val="uk-UA" w:eastAsia="en-US"/>
        </w:rPr>
      </w:pPr>
      <w:r w:rsidRPr="003C2169">
        <w:rPr>
          <w:sz w:val="28"/>
          <w:szCs w:val="28"/>
          <w:lang w:val="uk-UA"/>
        </w:rPr>
        <w:t xml:space="preserve">Біловол О.М., Немцова В.Д., Ільченко І.А., Златкіна В.В. Особливості впливу метаболічних змін на біологічний вік і темпи старіння в осіб похилого віку з артеріальною гіпертензією та цукровим діабетом 2 типу.  </w:t>
      </w:r>
      <w:r w:rsidRPr="003C2169">
        <w:rPr>
          <w:i/>
          <w:sz w:val="28"/>
          <w:szCs w:val="28"/>
          <w:lang w:val="uk-UA"/>
        </w:rPr>
        <w:t>Одеський медичний журнал</w:t>
      </w:r>
      <w:r w:rsidRPr="003C2169">
        <w:rPr>
          <w:sz w:val="28"/>
          <w:szCs w:val="28"/>
          <w:lang w:val="uk-UA"/>
        </w:rPr>
        <w:t>.2019.№2/3(172/173).-С.8-12.</w:t>
      </w:r>
      <w:r w:rsidRPr="003C2169">
        <w:rPr>
          <w:color w:val="222222"/>
          <w:sz w:val="28"/>
          <w:szCs w:val="28"/>
          <w:shd w:val="clear" w:color="auto" w:fill="FFFFFF"/>
        </w:rPr>
        <w:t xml:space="preserve"> (</w:t>
      </w:r>
      <w:r w:rsidRPr="003C2169">
        <w:rPr>
          <w:rFonts w:eastAsia="Calibri"/>
          <w:bCs/>
          <w:i/>
          <w:sz w:val="28"/>
          <w:szCs w:val="28"/>
          <w:lang w:val="uk-UA"/>
        </w:rPr>
        <w:t>Здобувачкою</w:t>
      </w:r>
      <w:r w:rsidRPr="003C2169">
        <w:rPr>
          <w:i/>
          <w:sz w:val="28"/>
          <w:szCs w:val="28"/>
          <w:shd w:val="clear" w:color="auto" w:fill="FFFFFF"/>
        </w:rPr>
        <w:t xml:space="preserve"> виконано пошук та аналіз літературних джерел, клінічне обстеження пацієнтів, аналіз та статистична обробка отриманих даних</w:t>
      </w:r>
      <w:r w:rsidRPr="003C2169">
        <w:rPr>
          <w:color w:val="222222"/>
          <w:sz w:val="28"/>
          <w:szCs w:val="28"/>
          <w:shd w:val="clear" w:color="auto" w:fill="FFFFFF"/>
        </w:rPr>
        <w:t xml:space="preserve">). </w:t>
      </w:r>
    </w:p>
    <w:p w:rsidR="00E3259F" w:rsidRPr="003C2169" w:rsidRDefault="00E3259F" w:rsidP="003C2169">
      <w:pPr>
        <w:pStyle w:val="a4"/>
        <w:numPr>
          <w:ilvl w:val="0"/>
          <w:numId w:val="30"/>
        </w:numPr>
        <w:spacing w:line="360" w:lineRule="auto"/>
        <w:ind w:left="0" w:firstLine="0"/>
        <w:jc w:val="both"/>
        <w:rPr>
          <w:sz w:val="28"/>
          <w:szCs w:val="28"/>
          <w:lang w:val="uk-UA"/>
        </w:rPr>
      </w:pPr>
      <w:r w:rsidRPr="003C2169">
        <w:rPr>
          <w:sz w:val="28"/>
          <w:szCs w:val="28"/>
          <w:lang w:val="uk-UA"/>
        </w:rPr>
        <w:t xml:space="preserve"> Спосіб прогнозування розвитку та ступеня оксидативного стресу: пат. на винахід № 120486, Україна, МПК G01N 33/50 (2006.01). /  О.В. Висоцька, Немцова В.Д., Страшненко Г.М.; Харківський національний університет радіоелектроніки;  № а201812781; заявл. 21.12.2018; опубл. 10.19.2019, Бюл. № 23.</w:t>
      </w:r>
      <w:r w:rsidRPr="003C2169">
        <w:rPr>
          <w:rFonts w:eastAsia="NSimSun"/>
          <w:bCs/>
          <w:i/>
          <w:sz w:val="28"/>
          <w:szCs w:val="28"/>
          <w:lang w:val="uk-UA" w:eastAsia="zh-CN" w:bidi="hi-IN"/>
        </w:rPr>
        <w:t xml:space="preserve"> (</w:t>
      </w:r>
      <w:r w:rsidRPr="003C2169">
        <w:rPr>
          <w:rFonts w:eastAsia="Calibri"/>
          <w:bCs/>
          <w:i/>
          <w:sz w:val="28"/>
          <w:szCs w:val="28"/>
          <w:lang w:val="uk-UA"/>
        </w:rPr>
        <w:t>Здобувачкою</w:t>
      </w:r>
      <w:r w:rsidRPr="003C2169">
        <w:rPr>
          <w:rFonts w:eastAsia="NSimSun"/>
          <w:bCs/>
          <w:i/>
          <w:sz w:val="28"/>
          <w:szCs w:val="28"/>
          <w:lang w:val="uk-UA" w:eastAsia="zh-CN" w:bidi="hi-IN"/>
        </w:rPr>
        <w:t xml:space="preserve"> запропоновано ідею, проведено клінічне обстеження пацієнтів, аналіз і узагальнення результатів, розроблено та оформлено заявку до розгляду БРіВ). </w:t>
      </w:r>
    </w:p>
    <w:p w:rsidR="003C2169" w:rsidRPr="003C2169" w:rsidRDefault="003C2169" w:rsidP="003C2169">
      <w:pPr>
        <w:pStyle w:val="a4"/>
        <w:numPr>
          <w:ilvl w:val="0"/>
          <w:numId w:val="30"/>
        </w:numPr>
        <w:shd w:val="clear" w:color="auto" w:fill="FFFFFF"/>
        <w:tabs>
          <w:tab w:val="left" w:pos="851"/>
          <w:tab w:val="left" w:pos="1134"/>
          <w:tab w:val="left" w:pos="8931"/>
        </w:tabs>
        <w:spacing w:line="360" w:lineRule="auto"/>
        <w:ind w:left="0" w:firstLine="0"/>
        <w:jc w:val="both"/>
        <w:rPr>
          <w:color w:val="000000"/>
          <w:sz w:val="28"/>
          <w:szCs w:val="28"/>
          <w:shd w:val="clear" w:color="auto" w:fill="FFFFFF"/>
          <w:lang w:val="uk-UA"/>
        </w:rPr>
      </w:pPr>
      <w:r w:rsidRPr="003C2169">
        <w:rPr>
          <w:color w:val="000000"/>
          <w:sz w:val="28"/>
          <w:szCs w:val="28"/>
          <w:shd w:val="clear" w:color="auto" w:fill="FFFFFF"/>
          <w:lang w:val="uk-UA"/>
        </w:rPr>
        <w:t xml:space="preserve">Немцова В.Д., Жантуриев Б.М., В.В. Чайковская, Е.Н. Евтушенко, Абуов Д.Ж., Толганбаева К.А. Влияние субклинического гипотиреоза на относительную длину теломер у пациентов высокого кардиоваскулярного риска: фокус на артериальную гипертензию в сочетании с сахарным диабетом 2 типа. </w:t>
      </w:r>
      <w:r w:rsidRPr="003C2169">
        <w:rPr>
          <w:i/>
          <w:color w:val="000000"/>
          <w:sz w:val="28"/>
          <w:szCs w:val="28"/>
          <w:shd w:val="clear" w:color="auto" w:fill="FFFFFF"/>
          <w:lang w:val="uk-UA"/>
        </w:rPr>
        <w:t>Вестник казахского национального университета</w:t>
      </w:r>
      <w:r w:rsidRPr="003C2169">
        <w:rPr>
          <w:color w:val="000000"/>
          <w:sz w:val="28"/>
          <w:szCs w:val="28"/>
          <w:shd w:val="clear" w:color="auto" w:fill="FFFFFF"/>
          <w:lang w:val="uk-UA"/>
        </w:rPr>
        <w:t>. 2019.№4.С.285-289.</w:t>
      </w:r>
      <w:r w:rsidRPr="003C2169">
        <w:rPr>
          <w:i/>
          <w:color w:val="000000"/>
          <w:sz w:val="28"/>
          <w:szCs w:val="28"/>
          <w:shd w:val="clear" w:color="auto" w:fill="FFFFFF"/>
          <w:lang w:val="uk-UA"/>
        </w:rPr>
        <w:t xml:space="preserve"> </w:t>
      </w:r>
      <w:r w:rsidRPr="003C2169">
        <w:rPr>
          <w:i/>
          <w:color w:val="000000"/>
          <w:sz w:val="28"/>
          <w:szCs w:val="28"/>
          <w:shd w:val="clear" w:color="auto" w:fill="FFFFFF"/>
        </w:rPr>
        <w:t>(</w:t>
      </w:r>
      <w:r w:rsidRPr="003C2169">
        <w:rPr>
          <w:i/>
          <w:iCs/>
          <w:color w:val="000000"/>
          <w:sz w:val="28"/>
          <w:szCs w:val="28"/>
          <w:shd w:val="clear" w:color="auto" w:fill="FFFFFF"/>
        </w:rPr>
        <w:t>Особисто здобувачкою розроблено дизайн дослідження, проведено обстеження хворих, виконано статистичну обробку отриманих результатів та</w:t>
      </w:r>
      <w:r w:rsidRPr="003C2169">
        <w:rPr>
          <w:i/>
          <w:color w:val="000000"/>
          <w:sz w:val="28"/>
          <w:szCs w:val="28"/>
          <w:shd w:val="clear" w:color="auto" w:fill="FFFFFF"/>
        </w:rPr>
        <w:t xml:space="preserve"> проаналізовані отримані дані)</w:t>
      </w:r>
      <w:r w:rsidRPr="003C2169">
        <w:rPr>
          <w:i/>
          <w:iCs/>
          <w:color w:val="000000"/>
          <w:sz w:val="28"/>
          <w:szCs w:val="28"/>
          <w:shd w:val="clear" w:color="auto" w:fill="FFFFFF"/>
        </w:rPr>
        <w:t>.</w:t>
      </w:r>
    </w:p>
    <w:p w:rsidR="003C2169" w:rsidRPr="003C2169" w:rsidRDefault="003C2169" w:rsidP="003C2169">
      <w:pPr>
        <w:pStyle w:val="a4"/>
        <w:numPr>
          <w:ilvl w:val="0"/>
          <w:numId w:val="30"/>
        </w:numPr>
        <w:shd w:val="clear" w:color="auto" w:fill="FFFFFF"/>
        <w:tabs>
          <w:tab w:val="left" w:pos="851"/>
          <w:tab w:val="left" w:pos="1134"/>
          <w:tab w:val="left" w:pos="8931"/>
        </w:tabs>
        <w:spacing w:line="360" w:lineRule="auto"/>
        <w:ind w:left="0" w:firstLine="0"/>
        <w:jc w:val="both"/>
        <w:rPr>
          <w:sz w:val="28"/>
          <w:szCs w:val="28"/>
          <w:lang w:val="uk-UA"/>
        </w:rPr>
      </w:pP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Nemtsova</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V</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Bilovol</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O</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Ilchenko I.,</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Shalimova</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A</w:t>
      </w:r>
      <w:r w:rsidRPr="003C2169">
        <w:rPr>
          <w:color w:val="000000"/>
          <w:sz w:val="28"/>
          <w:szCs w:val="28"/>
          <w:shd w:val="clear" w:color="auto" w:fill="FFFFFF"/>
          <w:lang w:val="uk-UA"/>
        </w:rPr>
        <w:t>.</w:t>
      </w:r>
      <w:r w:rsidRPr="003C2169">
        <w:rPr>
          <w:color w:val="000000"/>
          <w:sz w:val="28"/>
          <w:szCs w:val="28"/>
          <w:shd w:val="clear" w:color="auto" w:fill="FFFFFF"/>
          <w:lang w:val="en-US"/>
        </w:rPr>
        <w:t xml:space="preserve"> Age-assocaated features of oxidative stress as marker of vascular aging in comorbid course of hypertension and type 2 diabetes mellitus</w:t>
      </w:r>
      <w:r w:rsidRPr="003C2169">
        <w:rPr>
          <w:color w:val="000000"/>
          <w:sz w:val="28"/>
          <w:szCs w:val="28"/>
          <w:shd w:val="clear" w:color="auto" w:fill="FFFFFF"/>
          <w:lang w:val="uk-UA"/>
        </w:rPr>
        <w:t>.</w:t>
      </w:r>
      <w:r w:rsidRPr="003C2169">
        <w:rPr>
          <w:i/>
          <w:color w:val="000000"/>
          <w:sz w:val="28"/>
          <w:szCs w:val="28"/>
          <w:shd w:val="clear" w:color="auto" w:fill="FFFFFF"/>
          <w:lang w:val="en-US"/>
        </w:rPr>
        <w:t>Vessel Plus</w:t>
      </w:r>
      <w:r w:rsidRPr="003C2169">
        <w:rPr>
          <w:color w:val="000000"/>
          <w:sz w:val="28"/>
          <w:szCs w:val="28"/>
          <w:shd w:val="clear" w:color="auto" w:fill="FFFFFF"/>
          <w:lang w:val="en-US"/>
        </w:rPr>
        <w:t>.2018</w:t>
      </w:r>
      <w:r w:rsidRPr="003C2169">
        <w:rPr>
          <w:color w:val="000000"/>
          <w:sz w:val="28"/>
          <w:szCs w:val="28"/>
          <w:shd w:val="clear" w:color="auto" w:fill="FFFFFF"/>
          <w:lang w:val="uk-UA"/>
        </w:rPr>
        <w:t>.</w:t>
      </w:r>
      <w:r w:rsidRPr="003C2169">
        <w:rPr>
          <w:color w:val="000000"/>
          <w:sz w:val="28"/>
          <w:szCs w:val="28"/>
          <w:shd w:val="clear" w:color="auto" w:fill="FFFFFF"/>
          <w:lang w:val="en-US"/>
        </w:rPr>
        <w:t xml:space="preserve">N2.P27. </w:t>
      </w:r>
      <w:r w:rsidRPr="003C2169">
        <w:rPr>
          <w:i/>
          <w:color w:val="000000"/>
          <w:sz w:val="28"/>
          <w:szCs w:val="28"/>
          <w:shd w:val="clear" w:color="auto" w:fill="FFFFFF"/>
          <w:lang w:val="uk-UA"/>
        </w:rPr>
        <w:t>(</w:t>
      </w:r>
      <w:r w:rsidRPr="003C2169">
        <w:rPr>
          <w:rFonts w:eastAsia="Calibri"/>
          <w:bCs/>
          <w:i/>
          <w:sz w:val="28"/>
          <w:szCs w:val="28"/>
          <w:lang w:val="uk-UA"/>
        </w:rPr>
        <w:t xml:space="preserve">Здобувачкою </w:t>
      </w:r>
      <w:r w:rsidRPr="003C2169">
        <w:rPr>
          <w:i/>
          <w:color w:val="000000"/>
          <w:sz w:val="28"/>
          <w:szCs w:val="28"/>
          <w:shd w:val="clear" w:color="auto" w:fill="FFFFFF"/>
          <w:lang w:val="uk-UA"/>
        </w:rPr>
        <w:t>розроблено концепцію та дизайн дослідження, проведено аналіз та узагальнення отриманих даних, підготовлено статтю до друку).</w:t>
      </w:r>
    </w:p>
    <w:p w:rsidR="003C2169" w:rsidRPr="003C2169" w:rsidRDefault="003C2169" w:rsidP="003C2169">
      <w:pPr>
        <w:pStyle w:val="a4"/>
        <w:spacing w:line="360" w:lineRule="auto"/>
        <w:ind w:left="0"/>
        <w:jc w:val="both"/>
        <w:rPr>
          <w:sz w:val="28"/>
          <w:szCs w:val="28"/>
          <w:lang w:val="uk-UA"/>
        </w:rPr>
      </w:pPr>
    </w:p>
    <w:p w:rsidR="00E3259F" w:rsidRPr="003C2169" w:rsidRDefault="00E3259F" w:rsidP="003C2169">
      <w:pPr>
        <w:pStyle w:val="a4"/>
        <w:spacing w:line="360" w:lineRule="auto"/>
        <w:ind w:left="0"/>
        <w:jc w:val="both"/>
        <w:rPr>
          <w:rFonts w:eastAsia="NSimSun"/>
          <w:bCs/>
          <w:i/>
          <w:sz w:val="28"/>
          <w:szCs w:val="28"/>
          <w:lang w:val="uk-UA" w:eastAsia="zh-CN" w:bidi="hi-IN"/>
        </w:rPr>
      </w:pPr>
    </w:p>
    <w:p w:rsidR="00E3259F" w:rsidRPr="003C2169" w:rsidRDefault="00E3259F" w:rsidP="003C2169">
      <w:pPr>
        <w:pStyle w:val="arefZag"/>
        <w:spacing w:before="0" w:after="0" w:line="360" w:lineRule="auto"/>
        <w:rPr>
          <w:b w:val="0"/>
        </w:rPr>
      </w:pPr>
      <w:r w:rsidRPr="003C2169">
        <w:rPr>
          <w:b w:val="0"/>
        </w:rPr>
        <w:t>Наукові праці, які засвідчують апробацію матеріалів дисертації:</w:t>
      </w:r>
    </w:p>
    <w:p w:rsidR="003C2169" w:rsidRPr="003C2169" w:rsidRDefault="003C2169" w:rsidP="003C2169">
      <w:pPr>
        <w:pStyle w:val="afc"/>
        <w:spacing w:line="360" w:lineRule="auto"/>
        <w:ind w:left="0"/>
        <w:rPr>
          <w:b/>
          <w:sz w:val="28"/>
          <w:szCs w:val="28"/>
        </w:rPr>
      </w:pPr>
    </w:p>
    <w:p w:rsidR="00E3259F" w:rsidRPr="003C2169" w:rsidRDefault="00E3259F" w:rsidP="003C2169">
      <w:pPr>
        <w:pStyle w:val="a4"/>
        <w:numPr>
          <w:ilvl w:val="0"/>
          <w:numId w:val="30"/>
        </w:numPr>
        <w:tabs>
          <w:tab w:val="left" w:pos="0"/>
        </w:tabs>
        <w:spacing w:line="360" w:lineRule="auto"/>
        <w:ind w:left="0" w:firstLine="0"/>
        <w:jc w:val="both"/>
        <w:rPr>
          <w:rFonts w:eastAsia="NSimSun"/>
          <w:color w:val="00000A"/>
          <w:sz w:val="28"/>
          <w:szCs w:val="28"/>
          <w:lang w:val="uk-UA" w:eastAsia="zh-CN" w:bidi="hi-IN"/>
        </w:rPr>
      </w:pPr>
      <w:r w:rsidRPr="003C2169">
        <w:rPr>
          <w:sz w:val="28"/>
          <w:szCs w:val="28"/>
          <w:lang w:val="uk-UA"/>
        </w:rPr>
        <w:t xml:space="preserve">Немцова В.Д. Вплив гіпофункції щитовидної залози на маркери судинного старіння у пацієнтів з коморбідною патологією. </w:t>
      </w:r>
      <w:r w:rsidRPr="003C2169">
        <w:rPr>
          <w:i/>
          <w:sz w:val="28"/>
          <w:szCs w:val="28"/>
          <w:lang w:val="uk-UA"/>
        </w:rPr>
        <w:t xml:space="preserve">«Інформаційні системи та технології в медицині» </w:t>
      </w:r>
      <w:r w:rsidRPr="003C2169">
        <w:rPr>
          <w:i/>
          <w:sz w:val="28"/>
          <w:szCs w:val="28"/>
        </w:rPr>
        <w:t>ISM</w:t>
      </w:r>
      <w:r w:rsidRPr="003C2169">
        <w:rPr>
          <w:i/>
          <w:sz w:val="28"/>
          <w:szCs w:val="28"/>
          <w:lang w:val="uk-UA"/>
        </w:rPr>
        <w:t xml:space="preserve">-2018: </w:t>
      </w:r>
      <w:r w:rsidRPr="003C2169">
        <w:rPr>
          <w:sz w:val="28"/>
          <w:szCs w:val="28"/>
          <w:lang w:val="uk-UA"/>
        </w:rPr>
        <w:t>матеріали І міжнародної наук.-практ. конф.(м. Харків, 28-30 листопада 2018р). Харків,2018.С.166-167.</w:t>
      </w:r>
    </w:p>
    <w:p w:rsidR="00E3259F" w:rsidRPr="003C2169" w:rsidRDefault="00E3259F" w:rsidP="003C2169">
      <w:pPr>
        <w:pStyle w:val="a4"/>
        <w:numPr>
          <w:ilvl w:val="0"/>
          <w:numId w:val="30"/>
        </w:numPr>
        <w:tabs>
          <w:tab w:val="left" w:pos="0"/>
          <w:tab w:val="left" w:pos="1134"/>
          <w:tab w:val="left" w:pos="8931"/>
        </w:tabs>
        <w:spacing w:line="360" w:lineRule="auto"/>
        <w:ind w:left="0" w:firstLine="0"/>
        <w:jc w:val="both"/>
        <w:rPr>
          <w:sz w:val="28"/>
          <w:szCs w:val="28"/>
          <w:lang w:val="uk-UA" w:eastAsia="en-US"/>
        </w:rPr>
      </w:pPr>
      <w:r w:rsidRPr="003C2169">
        <w:rPr>
          <w:sz w:val="28"/>
          <w:szCs w:val="28"/>
          <w:lang w:val="en-US"/>
        </w:rPr>
        <w:t>Nemtsova</w:t>
      </w:r>
      <w:r w:rsidRPr="003C2169">
        <w:rPr>
          <w:sz w:val="28"/>
          <w:szCs w:val="28"/>
          <w:lang w:val="uk-UA"/>
        </w:rPr>
        <w:t xml:space="preserve"> </w:t>
      </w:r>
      <w:r w:rsidRPr="003C2169">
        <w:rPr>
          <w:sz w:val="28"/>
          <w:szCs w:val="28"/>
          <w:lang w:val="en-US"/>
        </w:rPr>
        <w:t>V</w:t>
      </w:r>
      <w:r w:rsidRPr="003C2169">
        <w:rPr>
          <w:sz w:val="28"/>
          <w:szCs w:val="28"/>
          <w:lang w:val="uk-UA"/>
        </w:rPr>
        <w:t>.</w:t>
      </w:r>
      <w:r w:rsidRPr="003C2169">
        <w:rPr>
          <w:sz w:val="28"/>
          <w:szCs w:val="28"/>
          <w:lang w:val="en-US"/>
        </w:rPr>
        <w:t>, Bilovol O., Zlatkina V., Ilchenko I.</w:t>
      </w:r>
      <w:r w:rsidRPr="003C2169">
        <w:rPr>
          <w:sz w:val="28"/>
          <w:szCs w:val="28"/>
          <w:lang w:val="uk-UA"/>
        </w:rPr>
        <w:t xml:space="preserve"> </w:t>
      </w:r>
      <w:r w:rsidRPr="003C2169">
        <w:rPr>
          <w:sz w:val="28"/>
          <w:szCs w:val="28"/>
          <w:lang w:val="en-US"/>
        </w:rPr>
        <w:t>Impact of subclinical hypothyroidism on the relative leukocyte telomere length in elderly patients with the different comorbidity: focus on hypertension, type 2 diabetes</w:t>
      </w:r>
      <w:r w:rsidRPr="003C2169">
        <w:rPr>
          <w:sz w:val="28"/>
          <w:szCs w:val="28"/>
          <w:lang w:val="uk-UA"/>
        </w:rPr>
        <w:t>.</w:t>
      </w:r>
      <w:r w:rsidRPr="003C2169">
        <w:rPr>
          <w:sz w:val="28"/>
          <w:szCs w:val="28"/>
          <w:lang w:val="en-US"/>
        </w:rPr>
        <w:t xml:space="preserve">  </w:t>
      </w:r>
      <w:r w:rsidRPr="003C2169">
        <w:rPr>
          <w:i/>
          <w:sz w:val="28"/>
          <w:szCs w:val="28"/>
          <w:lang w:val="en-US"/>
        </w:rPr>
        <w:t>15</w:t>
      </w:r>
      <w:r w:rsidRPr="003C2169">
        <w:rPr>
          <w:i/>
          <w:sz w:val="28"/>
          <w:szCs w:val="28"/>
          <w:vertAlign w:val="superscript"/>
          <w:lang w:val="en-US"/>
        </w:rPr>
        <w:t>th</w:t>
      </w:r>
      <w:r w:rsidRPr="003C2169">
        <w:rPr>
          <w:i/>
          <w:sz w:val="28"/>
          <w:szCs w:val="28"/>
          <w:lang w:val="en-US"/>
        </w:rPr>
        <w:t xml:space="preserve"> International Congress of the European Geriatric Society</w:t>
      </w:r>
      <w:r w:rsidRPr="003C2169">
        <w:rPr>
          <w:i/>
          <w:sz w:val="28"/>
          <w:szCs w:val="28"/>
          <w:lang w:val="uk-UA"/>
        </w:rPr>
        <w:t>,</w:t>
      </w:r>
      <w:r w:rsidRPr="003C2169">
        <w:rPr>
          <w:i/>
          <w:sz w:val="28"/>
          <w:szCs w:val="28"/>
          <w:lang w:val="en-US"/>
        </w:rPr>
        <w:t>25-27 September 2019</w:t>
      </w:r>
      <w:r w:rsidRPr="003C2169">
        <w:rPr>
          <w:i/>
          <w:sz w:val="28"/>
          <w:szCs w:val="28"/>
          <w:lang w:val="uk-UA"/>
        </w:rPr>
        <w:t>.-</w:t>
      </w:r>
      <w:r w:rsidRPr="003C2169">
        <w:rPr>
          <w:i/>
          <w:sz w:val="28"/>
          <w:szCs w:val="28"/>
          <w:lang w:val="en-US"/>
        </w:rPr>
        <w:t xml:space="preserve"> Krakow, Poland</w:t>
      </w:r>
      <w:r w:rsidRPr="003C2169">
        <w:rPr>
          <w:sz w:val="28"/>
          <w:szCs w:val="28"/>
          <w:lang w:val="uk-UA"/>
        </w:rPr>
        <w:t xml:space="preserve">- </w:t>
      </w:r>
      <w:r w:rsidRPr="003C2169">
        <w:rPr>
          <w:sz w:val="28"/>
          <w:szCs w:val="28"/>
          <w:lang w:val="en-US"/>
        </w:rPr>
        <w:t>Eur Geriatr Med. -2019- 10(Supl).-P.223</w:t>
      </w:r>
      <w:r w:rsidRPr="003C2169">
        <w:rPr>
          <w:sz w:val="28"/>
          <w:szCs w:val="28"/>
          <w:lang w:val="uk-UA"/>
        </w:rPr>
        <w:t xml:space="preserve">. </w:t>
      </w:r>
      <w:r w:rsidRPr="003C2169">
        <w:rPr>
          <w:rFonts w:eastAsia="NSimSun"/>
          <w:color w:val="00000A"/>
          <w:sz w:val="28"/>
          <w:szCs w:val="28"/>
          <w:lang w:val="uk-UA" w:eastAsia="zh-CN" w:bidi="hi-IN"/>
        </w:rPr>
        <w:t>(</w:t>
      </w:r>
      <w:r w:rsidRPr="003C2169">
        <w:rPr>
          <w:rFonts w:eastAsia="Calibri"/>
          <w:bCs/>
          <w:i/>
          <w:sz w:val="28"/>
          <w:szCs w:val="28"/>
          <w:lang w:val="uk-UA"/>
        </w:rPr>
        <w:t>Здобувачка</w:t>
      </w:r>
      <w:r w:rsidRPr="003C2169">
        <w:rPr>
          <w:rFonts w:eastAsia="NSimSun"/>
          <w:i/>
          <w:iCs/>
          <w:color w:val="00000A"/>
          <w:sz w:val="28"/>
          <w:szCs w:val="28"/>
          <w:lang w:val="uk-UA" w:eastAsia="zh-CN" w:bidi="hi-IN"/>
        </w:rPr>
        <w:t xml:space="preserve"> здійснила аналіз та узагальнення отриманих матеріалів, підготувала матеріали до друку</w:t>
      </w:r>
      <w:r w:rsidRPr="003C2169">
        <w:rPr>
          <w:rFonts w:eastAsia="NSimSun"/>
          <w:color w:val="00000A"/>
          <w:sz w:val="28"/>
          <w:szCs w:val="28"/>
          <w:lang w:val="uk-UA" w:eastAsia="zh-CN" w:bidi="hi-IN"/>
        </w:rPr>
        <w:t xml:space="preserve">). </w:t>
      </w:r>
    </w:p>
    <w:p w:rsidR="00E3259F" w:rsidRPr="003C2169" w:rsidRDefault="00E3259F" w:rsidP="003C2169">
      <w:pPr>
        <w:pStyle w:val="a4"/>
        <w:numPr>
          <w:ilvl w:val="0"/>
          <w:numId w:val="30"/>
        </w:numPr>
        <w:tabs>
          <w:tab w:val="left" w:pos="0"/>
          <w:tab w:val="left" w:pos="1134"/>
          <w:tab w:val="left" w:pos="8931"/>
        </w:tabs>
        <w:spacing w:line="360" w:lineRule="auto"/>
        <w:ind w:left="0" w:firstLine="0"/>
        <w:jc w:val="both"/>
        <w:rPr>
          <w:sz w:val="28"/>
          <w:szCs w:val="28"/>
          <w:lang w:val="uk-UA"/>
        </w:rPr>
      </w:pPr>
      <w:r w:rsidRPr="003C2169">
        <w:rPr>
          <w:sz w:val="28"/>
          <w:szCs w:val="28"/>
          <w:lang w:val="en-US"/>
        </w:rPr>
        <w:t>Nemtsova</w:t>
      </w:r>
      <w:r w:rsidRPr="003C2169">
        <w:rPr>
          <w:sz w:val="28"/>
          <w:szCs w:val="28"/>
          <w:lang w:val="uk-UA"/>
        </w:rPr>
        <w:t xml:space="preserve"> </w:t>
      </w:r>
      <w:r w:rsidRPr="003C2169">
        <w:rPr>
          <w:sz w:val="28"/>
          <w:szCs w:val="28"/>
          <w:lang w:val="en-US"/>
        </w:rPr>
        <w:t>V</w:t>
      </w:r>
      <w:r w:rsidRPr="003C2169">
        <w:rPr>
          <w:sz w:val="28"/>
          <w:szCs w:val="28"/>
          <w:lang w:val="uk-UA"/>
        </w:rPr>
        <w:t xml:space="preserve">., </w:t>
      </w:r>
      <w:r w:rsidRPr="003C2169">
        <w:rPr>
          <w:sz w:val="28"/>
          <w:szCs w:val="28"/>
          <w:lang w:val="en-US"/>
        </w:rPr>
        <w:t>Bilovol</w:t>
      </w:r>
      <w:r w:rsidRPr="003C2169">
        <w:rPr>
          <w:sz w:val="28"/>
          <w:szCs w:val="28"/>
          <w:lang w:val="uk-UA"/>
        </w:rPr>
        <w:t xml:space="preserve"> </w:t>
      </w:r>
      <w:r w:rsidRPr="003C2169">
        <w:rPr>
          <w:sz w:val="28"/>
          <w:szCs w:val="28"/>
          <w:lang w:val="en-US"/>
        </w:rPr>
        <w:t>O</w:t>
      </w:r>
      <w:r w:rsidRPr="003C2169">
        <w:rPr>
          <w:sz w:val="28"/>
          <w:szCs w:val="28"/>
          <w:lang w:val="uk-UA"/>
        </w:rPr>
        <w:t xml:space="preserve">., </w:t>
      </w:r>
      <w:r w:rsidRPr="003C2169">
        <w:rPr>
          <w:sz w:val="28"/>
          <w:szCs w:val="28"/>
          <w:lang w:val="en-US"/>
        </w:rPr>
        <w:t>Zlatkina</w:t>
      </w:r>
      <w:r w:rsidRPr="003C2169">
        <w:rPr>
          <w:sz w:val="28"/>
          <w:szCs w:val="28"/>
          <w:lang w:val="uk-UA"/>
        </w:rPr>
        <w:t xml:space="preserve"> </w:t>
      </w:r>
      <w:r w:rsidRPr="003C2169">
        <w:rPr>
          <w:sz w:val="28"/>
          <w:szCs w:val="28"/>
          <w:lang w:val="en-US"/>
        </w:rPr>
        <w:t>V</w:t>
      </w:r>
      <w:r w:rsidRPr="003C2169">
        <w:rPr>
          <w:sz w:val="28"/>
          <w:szCs w:val="28"/>
          <w:lang w:val="uk-UA"/>
        </w:rPr>
        <w:t xml:space="preserve">. </w:t>
      </w:r>
      <w:r w:rsidRPr="003C2169">
        <w:rPr>
          <w:sz w:val="28"/>
          <w:szCs w:val="28"/>
          <w:lang w:val="en-US"/>
        </w:rPr>
        <w:t>Cardiovascular</w:t>
      </w:r>
      <w:r w:rsidRPr="003C2169">
        <w:rPr>
          <w:sz w:val="28"/>
          <w:szCs w:val="28"/>
          <w:lang w:val="uk-UA"/>
        </w:rPr>
        <w:t xml:space="preserve"> </w:t>
      </w:r>
      <w:r w:rsidRPr="003C2169">
        <w:rPr>
          <w:sz w:val="28"/>
          <w:szCs w:val="28"/>
          <w:lang w:val="en-US"/>
        </w:rPr>
        <w:t>risk</w:t>
      </w:r>
      <w:r w:rsidRPr="003C2169">
        <w:rPr>
          <w:sz w:val="28"/>
          <w:szCs w:val="28"/>
          <w:lang w:val="uk-UA"/>
        </w:rPr>
        <w:t xml:space="preserve"> </w:t>
      </w:r>
      <w:r w:rsidRPr="003C2169">
        <w:rPr>
          <w:sz w:val="28"/>
          <w:szCs w:val="28"/>
          <w:lang w:val="en-US"/>
        </w:rPr>
        <w:t>factors</w:t>
      </w:r>
      <w:r w:rsidRPr="003C2169">
        <w:rPr>
          <w:sz w:val="28"/>
          <w:szCs w:val="28"/>
          <w:lang w:val="uk-UA"/>
        </w:rPr>
        <w:t xml:space="preserve"> </w:t>
      </w:r>
      <w:r w:rsidRPr="003C2169">
        <w:rPr>
          <w:sz w:val="28"/>
          <w:szCs w:val="28"/>
          <w:lang w:val="en-US"/>
        </w:rPr>
        <w:t>depending</w:t>
      </w:r>
      <w:r w:rsidRPr="003C2169">
        <w:rPr>
          <w:sz w:val="28"/>
          <w:szCs w:val="28"/>
          <w:lang w:val="uk-UA"/>
        </w:rPr>
        <w:t xml:space="preserve"> </w:t>
      </w:r>
      <w:r w:rsidRPr="003C2169">
        <w:rPr>
          <w:sz w:val="28"/>
          <w:szCs w:val="28"/>
          <w:lang w:val="en-US"/>
        </w:rPr>
        <w:t>on</w:t>
      </w:r>
      <w:r w:rsidRPr="003C2169">
        <w:rPr>
          <w:sz w:val="28"/>
          <w:szCs w:val="28"/>
          <w:lang w:val="uk-UA"/>
        </w:rPr>
        <w:t xml:space="preserve"> </w:t>
      </w:r>
      <w:r w:rsidRPr="003C2169">
        <w:rPr>
          <w:sz w:val="28"/>
          <w:szCs w:val="28"/>
          <w:lang w:val="en-US"/>
        </w:rPr>
        <w:t>the</w:t>
      </w:r>
      <w:r w:rsidRPr="003C2169">
        <w:rPr>
          <w:sz w:val="28"/>
          <w:szCs w:val="28"/>
          <w:lang w:val="uk-UA"/>
        </w:rPr>
        <w:t xml:space="preserve"> </w:t>
      </w:r>
      <w:r w:rsidRPr="003C2169">
        <w:rPr>
          <w:sz w:val="28"/>
          <w:szCs w:val="28"/>
          <w:lang w:val="en-US"/>
        </w:rPr>
        <w:t>vascular</w:t>
      </w:r>
      <w:r w:rsidRPr="003C2169">
        <w:rPr>
          <w:sz w:val="28"/>
          <w:szCs w:val="28"/>
          <w:lang w:val="uk-UA"/>
        </w:rPr>
        <w:t xml:space="preserve"> </w:t>
      </w:r>
      <w:r w:rsidRPr="003C2169">
        <w:rPr>
          <w:sz w:val="28"/>
          <w:szCs w:val="28"/>
          <w:lang w:val="en-US"/>
        </w:rPr>
        <w:t>endothelium</w:t>
      </w:r>
      <w:r w:rsidRPr="003C2169">
        <w:rPr>
          <w:sz w:val="28"/>
          <w:szCs w:val="28"/>
          <w:lang w:val="uk-UA"/>
        </w:rPr>
        <w:t xml:space="preserve"> </w:t>
      </w:r>
      <w:r w:rsidRPr="003C2169">
        <w:rPr>
          <w:sz w:val="28"/>
          <w:szCs w:val="28"/>
          <w:lang w:val="en-US"/>
        </w:rPr>
        <w:t>damage</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patients</w:t>
      </w:r>
      <w:r w:rsidRPr="003C2169">
        <w:rPr>
          <w:sz w:val="28"/>
          <w:szCs w:val="28"/>
          <w:lang w:val="uk-UA"/>
        </w:rPr>
        <w:t xml:space="preserve"> </w:t>
      </w:r>
      <w:r w:rsidRPr="003C2169">
        <w:rPr>
          <w:sz w:val="28"/>
          <w:szCs w:val="28"/>
          <w:lang w:val="en-US"/>
        </w:rPr>
        <w:t>with</w:t>
      </w:r>
      <w:r w:rsidRPr="003C2169">
        <w:rPr>
          <w:sz w:val="28"/>
          <w:szCs w:val="28"/>
          <w:lang w:val="uk-UA"/>
        </w:rPr>
        <w:t xml:space="preserve"> </w:t>
      </w:r>
      <w:r w:rsidRPr="003C2169">
        <w:rPr>
          <w:sz w:val="28"/>
          <w:szCs w:val="28"/>
          <w:lang w:val="en-US"/>
        </w:rPr>
        <w:t>comorbid</w:t>
      </w:r>
      <w:r w:rsidRPr="003C2169">
        <w:rPr>
          <w:sz w:val="28"/>
          <w:szCs w:val="28"/>
          <w:lang w:val="uk-UA"/>
        </w:rPr>
        <w:t xml:space="preserve"> </w:t>
      </w:r>
      <w:r w:rsidRPr="003C2169">
        <w:rPr>
          <w:sz w:val="28"/>
          <w:szCs w:val="28"/>
          <w:lang w:val="en-US"/>
        </w:rPr>
        <w:t>course</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arterial</w:t>
      </w:r>
      <w:r w:rsidRPr="003C2169">
        <w:rPr>
          <w:sz w:val="28"/>
          <w:szCs w:val="28"/>
          <w:lang w:val="uk-UA"/>
        </w:rPr>
        <w:t xml:space="preserve"> </w:t>
      </w:r>
      <w:r w:rsidRPr="003C2169">
        <w:rPr>
          <w:sz w:val="28"/>
          <w:szCs w:val="28"/>
          <w:lang w:val="en-US"/>
        </w:rPr>
        <w:t>hypertension</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subclinical</w:t>
      </w:r>
      <w:r w:rsidRPr="003C2169">
        <w:rPr>
          <w:sz w:val="28"/>
          <w:szCs w:val="28"/>
          <w:lang w:val="uk-UA"/>
        </w:rPr>
        <w:t xml:space="preserve"> </w:t>
      </w:r>
      <w:r w:rsidRPr="003C2169">
        <w:rPr>
          <w:sz w:val="28"/>
          <w:szCs w:val="28"/>
          <w:lang w:val="en-US"/>
        </w:rPr>
        <w:t>hypothyroidism</w:t>
      </w:r>
      <w:r w:rsidRPr="003C2169">
        <w:rPr>
          <w:sz w:val="28"/>
          <w:szCs w:val="28"/>
          <w:lang w:val="uk-UA"/>
        </w:rPr>
        <w:t xml:space="preserve">. </w:t>
      </w:r>
      <w:r w:rsidRPr="003C2169">
        <w:rPr>
          <w:i/>
          <w:sz w:val="28"/>
          <w:szCs w:val="28"/>
        </w:rPr>
        <w:t>EuroPrevent</w:t>
      </w:r>
      <w:r w:rsidRPr="003C2169">
        <w:rPr>
          <w:i/>
          <w:sz w:val="28"/>
          <w:szCs w:val="28"/>
          <w:lang w:val="uk-UA"/>
        </w:rPr>
        <w:t xml:space="preserve"> 2019 (11-13 </w:t>
      </w:r>
      <w:r w:rsidRPr="003C2169">
        <w:rPr>
          <w:i/>
          <w:sz w:val="28"/>
          <w:szCs w:val="28"/>
        </w:rPr>
        <w:t>April</w:t>
      </w:r>
      <w:r w:rsidRPr="003C2169">
        <w:rPr>
          <w:i/>
          <w:sz w:val="28"/>
          <w:szCs w:val="28"/>
          <w:lang w:val="uk-UA"/>
        </w:rPr>
        <w:t xml:space="preserve"> 2019, </w:t>
      </w:r>
      <w:r w:rsidRPr="003C2169">
        <w:rPr>
          <w:i/>
          <w:sz w:val="28"/>
          <w:szCs w:val="28"/>
        </w:rPr>
        <w:t>Lisbon</w:t>
      </w:r>
      <w:r w:rsidRPr="003C2169">
        <w:rPr>
          <w:i/>
          <w:sz w:val="28"/>
          <w:szCs w:val="28"/>
          <w:lang w:val="uk-UA"/>
        </w:rPr>
        <w:t xml:space="preserve">, </w:t>
      </w:r>
      <w:r w:rsidRPr="003C2169">
        <w:rPr>
          <w:i/>
          <w:sz w:val="28"/>
          <w:szCs w:val="28"/>
        </w:rPr>
        <w:t>Portugal</w:t>
      </w:r>
      <w:r w:rsidRPr="003C2169">
        <w:rPr>
          <w:i/>
          <w:sz w:val="28"/>
          <w:szCs w:val="28"/>
          <w:lang w:val="uk-UA"/>
        </w:rPr>
        <w:t>)</w:t>
      </w:r>
      <w:r w:rsidRPr="003C2169">
        <w:rPr>
          <w:sz w:val="28"/>
          <w:szCs w:val="28"/>
          <w:lang w:val="uk-UA"/>
        </w:rPr>
        <w:t xml:space="preserve">.- аbstract book: </w:t>
      </w:r>
      <w:r w:rsidRPr="003C2169">
        <w:rPr>
          <w:sz w:val="28"/>
          <w:szCs w:val="28"/>
        </w:rPr>
        <w:t>P</w:t>
      </w:r>
      <w:r w:rsidRPr="003C2169">
        <w:rPr>
          <w:sz w:val="28"/>
          <w:szCs w:val="28"/>
          <w:lang w:val="uk-UA"/>
        </w:rPr>
        <w:t>216. (</w:t>
      </w:r>
      <w:r w:rsidRPr="003C2169">
        <w:rPr>
          <w:rFonts w:eastAsia="Calibri"/>
          <w:bCs/>
          <w:i/>
          <w:sz w:val="28"/>
          <w:szCs w:val="28"/>
          <w:lang w:val="uk-UA"/>
        </w:rPr>
        <w:t>Здобувачкою</w:t>
      </w:r>
      <w:r w:rsidRPr="003C2169">
        <w:rPr>
          <w:i/>
          <w:sz w:val="28"/>
          <w:szCs w:val="28"/>
          <w:lang w:val="uk-UA"/>
        </w:rPr>
        <w:t xml:space="preserve"> проведено </w:t>
      </w:r>
      <w:r w:rsidRPr="003C2169">
        <w:rPr>
          <w:i/>
          <w:sz w:val="28"/>
          <w:szCs w:val="28"/>
          <w:shd w:val="clear" w:color="auto" w:fill="FFFFFF"/>
          <w:lang w:val="uk-UA"/>
        </w:rPr>
        <w:t>обстеження хворих, аналіз даних, підготовлено матеріали для тез</w:t>
      </w:r>
      <w:r w:rsidRPr="003C2169">
        <w:rPr>
          <w:sz w:val="28"/>
          <w:szCs w:val="28"/>
          <w:lang w:val="uk-UA"/>
        </w:rPr>
        <w:t xml:space="preserve">). </w:t>
      </w:r>
    </w:p>
    <w:p w:rsidR="00E3259F" w:rsidRPr="003C2169" w:rsidRDefault="00E3259F" w:rsidP="003C2169">
      <w:pPr>
        <w:pStyle w:val="a4"/>
        <w:numPr>
          <w:ilvl w:val="0"/>
          <w:numId w:val="30"/>
        </w:numPr>
        <w:tabs>
          <w:tab w:val="left" w:pos="0"/>
          <w:tab w:val="left" w:pos="1134"/>
          <w:tab w:val="left" w:pos="8931"/>
        </w:tabs>
        <w:spacing w:line="360" w:lineRule="auto"/>
        <w:ind w:left="0" w:firstLine="0"/>
        <w:jc w:val="both"/>
        <w:rPr>
          <w:sz w:val="28"/>
          <w:szCs w:val="28"/>
          <w:lang w:val="uk-UA"/>
        </w:rPr>
      </w:pPr>
      <w:r w:rsidRPr="003C2169">
        <w:rPr>
          <w:sz w:val="28"/>
          <w:szCs w:val="28"/>
          <w:lang w:val="en-US"/>
        </w:rPr>
        <w:t>Nemtsova</w:t>
      </w:r>
      <w:r w:rsidRPr="003C2169">
        <w:rPr>
          <w:sz w:val="28"/>
          <w:szCs w:val="28"/>
          <w:lang w:val="uk-UA"/>
        </w:rPr>
        <w:t xml:space="preserve"> </w:t>
      </w:r>
      <w:r w:rsidRPr="003C2169">
        <w:rPr>
          <w:sz w:val="28"/>
          <w:szCs w:val="28"/>
          <w:lang w:val="en-US"/>
        </w:rPr>
        <w:t>V</w:t>
      </w:r>
      <w:r w:rsidRPr="003C2169">
        <w:rPr>
          <w:sz w:val="28"/>
          <w:szCs w:val="28"/>
          <w:lang w:val="uk-UA"/>
        </w:rPr>
        <w:t xml:space="preserve">., </w:t>
      </w:r>
      <w:r w:rsidRPr="003C2169">
        <w:rPr>
          <w:sz w:val="28"/>
          <w:szCs w:val="28"/>
          <w:lang w:val="en-US"/>
        </w:rPr>
        <w:t>Bilovol</w:t>
      </w:r>
      <w:r w:rsidRPr="003C2169">
        <w:rPr>
          <w:sz w:val="28"/>
          <w:szCs w:val="28"/>
          <w:lang w:val="uk-UA"/>
        </w:rPr>
        <w:t xml:space="preserve"> </w:t>
      </w:r>
      <w:r w:rsidRPr="003C2169">
        <w:rPr>
          <w:sz w:val="28"/>
          <w:szCs w:val="28"/>
          <w:lang w:val="en-US"/>
        </w:rPr>
        <w:t>O</w:t>
      </w:r>
      <w:r w:rsidRPr="003C2169">
        <w:rPr>
          <w:sz w:val="28"/>
          <w:szCs w:val="28"/>
          <w:lang w:val="uk-UA"/>
        </w:rPr>
        <w:t xml:space="preserve">., </w:t>
      </w:r>
      <w:r w:rsidRPr="003C2169">
        <w:rPr>
          <w:sz w:val="28"/>
          <w:szCs w:val="28"/>
          <w:lang w:val="en-US"/>
        </w:rPr>
        <w:t>Zlatkina</w:t>
      </w:r>
      <w:r w:rsidRPr="003C2169">
        <w:rPr>
          <w:sz w:val="28"/>
          <w:szCs w:val="28"/>
          <w:lang w:val="uk-UA"/>
        </w:rPr>
        <w:t xml:space="preserve"> </w:t>
      </w:r>
      <w:r w:rsidRPr="003C2169">
        <w:rPr>
          <w:sz w:val="28"/>
          <w:szCs w:val="28"/>
          <w:lang w:val="en-US"/>
        </w:rPr>
        <w:t>V</w:t>
      </w:r>
      <w:r w:rsidRPr="003C2169">
        <w:rPr>
          <w:sz w:val="28"/>
          <w:szCs w:val="28"/>
          <w:lang w:val="uk-UA"/>
        </w:rPr>
        <w:t xml:space="preserve">., </w:t>
      </w:r>
      <w:r w:rsidRPr="003C2169">
        <w:rPr>
          <w:sz w:val="28"/>
          <w:szCs w:val="28"/>
          <w:lang w:val="en-US"/>
        </w:rPr>
        <w:t>Ilchenko</w:t>
      </w:r>
      <w:r w:rsidRPr="003C2169">
        <w:rPr>
          <w:sz w:val="28"/>
          <w:szCs w:val="28"/>
          <w:lang w:val="uk-UA"/>
        </w:rPr>
        <w:t xml:space="preserve"> </w:t>
      </w:r>
      <w:r w:rsidRPr="003C2169">
        <w:rPr>
          <w:sz w:val="28"/>
          <w:szCs w:val="28"/>
          <w:lang w:val="en-US"/>
        </w:rPr>
        <w:t>I</w:t>
      </w:r>
      <w:r w:rsidRPr="003C2169">
        <w:rPr>
          <w:sz w:val="28"/>
          <w:szCs w:val="28"/>
          <w:lang w:val="uk-UA"/>
        </w:rPr>
        <w:t xml:space="preserve">. </w:t>
      </w:r>
      <w:r w:rsidRPr="003C2169">
        <w:rPr>
          <w:sz w:val="28"/>
          <w:szCs w:val="28"/>
          <w:lang w:val="en-US"/>
        </w:rPr>
        <w:t>The</w:t>
      </w:r>
      <w:r w:rsidRPr="003C2169">
        <w:rPr>
          <w:sz w:val="28"/>
          <w:szCs w:val="28"/>
          <w:lang w:val="uk-UA"/>
        </w:rPr>
        <w:t xml:space="preserve"> </w:t>
      </w:r>
      <w:r w:rsidRPr="003C2169">
        <w:rPr>
          <w:sz w:val="28"/>
          <w:szCs w:val="28"/>
          <w:lang w:val="en-US"/>
        </w:rPr>
        <w:t>effect</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middle</w:t>
      </w:r>
      <w:r w:rsidRPr="003C2169">
        <w:rPr>
          <w:sz w:val="28"/>
          <w:szCs w:val="28"/>
          <w:lang w:val="uk-UA"/>
        </w:rPr>
        <w:t>-</w:t>
      </w:r>
      <w:r w:rsidRPr="003C2169">
        <w:rPr>
          <w:sz w:val="28"/>
          <w:szCs w:val="28"/>
          <w:lang w:val="en-US"/>
        </w:rPr>
        <w:t>dose</w:t>
      </w:r>
      <w:r w:rsidRPr="003C2169">
        <w:rPr>
          <w:sz w:val="28"/>
          <w:szCs w:val="28"/>
          <w:lang w:val="uk-UA"/>
        </w:rPr>
        <w:t xml:space="preserve"> </w:t>
      </w:r>
      <w:r w:rsidRPr="003C2169">
        <w:rPr>
          <w:sz w:val="28"/>
          <w:szCs w:val="28"/>
          <w:lang w:val="en-US"/>
        </w:rPr>
        <w:t>statin</w:t>
      </w:r>
      <w:r w:rsidRPr="003C2169">
        <w:rPr>
          <w:sz w:val="28"/>
          <w:szCs w:val="28"/>
          <w:lang w:val="uk-UA"/>
        </w:rPr>
        <w:t xml:space="preserve"> </w:t>
      </w:r>
      <w:r w:rsidRPr="003C2169">
        <w:rPr>
          <w:sz w:val="28"/>
          <w:szCs w:val="28"/>
          <w:lang w:val="en-US"/>
        </w:rPr>
        <w:t>therapy</w:t>
      </w:r>
      <w:r w:rsidRPr="003C2169">
        <w:rPr>
          <w:sz w:val="28"/>
          <w:szCs w:val="28"/>
          <w:lang w:val="uk-UA"/>
        </w:rPr>
        <w:t xml:space="preserve"> </w:t>
      </w:r>
      <w:r w:rsidRPr="003C2169">
        <w:rPr>
          <w:sz w:val="28"/>
          <w:szCs w:val="28"/>
          <w:lang w:val="en-US"/>
        </w:rPr>
        <w:t>on</w:t>
      </w:r>
      <w:r w:rsidRPr="003C2169">
        <w:rPr>
          <w:sz w:val="28"/>
          <w:szCs w:val="28"/>
          <w:lang w:val="uk-UA"/>
        </w:rPr>
        <w:t xml:space="preserve"> </w:t>
      </w:r>
      <w:r w:rsidRPr="003C2169">
        <w:rPr>
          <w:sz w:val="28"/>
          <w:szCs w:val="28"/>
          <w:lang w:val="en-US"/>
        </w:rPr>
        <w:t>the</w:t>
      </w:r>
      <w:r w:rsidRPr="003C2169">
        <w:rPr>
          <w:sz w:val="28"/>
          <w:szCs w:val="28"/>
          <w:lang w:val="uk-UA"/>
        </w:rPr>
        <w:t xml:space="preserve"> </w:t>
      </w:r>
      <w:r w:rsidRPr="003C2169">
        <w:rPr>
          <w:sz w:val="28"/>
          <w:szCs w:val="28"/>
          <w:lang w:val="en-US"/>
        </w:rPr>
        <w:t>vascular</w:t>
      </w:r>
      <w:r w:rsidRPr="003C2169">
        <w:rPr>
          <w:sz w:val="28"/>
          <w:szCs w:val="28"/>
          <w:lang w:val="uk-UA"/>
        </w:rPr>
        <w:t xml:space="preserve"> </w:t>
      </w:r>
      <w:r w:rsidRPr="003C2169">
        <w:rPr>
          <w:sz w:val="28"/>
          <w:szCs w:val="28"/>
          <w:lang w:val="en-US"/>
        </w:rPr>
        <w:t>endothelium</w:t>
      </w:r>
      <w:r w:rsidRPr="003C2169">
        <w:rPr>
          <w:sz w:val="28"/>
          <w:szCs w:val="28"/>
          <w:lang w:val="uk-UA"/>
        </w:rPr>
        <w:t xml:space="preserve"> </w:t>
      </w:r>
      <w:r w:rsidRPr="003C2169">
        <w:rPr>
          <w:sz w:val="28"/>
          <w:szCs w:val="28"/>
          <w:lang w:val="en-US"/>
        </w:rPr>
        <w:t>function</w:t>
      </w:r>
      <w:r w:rsidRPr="003C2169">
        <w:rPr>
          <w:sz w:val="28"/>
          <w:szCs w:val="28"/>
          <w:lang w:val="uk-UA"/>
        </w:rPr>
        <w:t xml:space="preserve"> </w:t>
      </w:r>
      <w:r w:rsidRPr="003C2169">
        <w:rPr>
          <w:sz w:val="28"/>
          <w:szCs w:val="28"/>
          <w:lang w:val="en-US"/>
        </w:rPr>
        <w:t>in</w:t>
      </w:r>
      <w:r w:rsidRPr="003C2169">
        <w:rPr>
          <w:sz w:val="28"/>
          <w:szCs w:val="28"/>
          <w:lang w:val="uk-UA"/>
        </w:rPr>
        <w:t xml:space="preserve"> </w:t>
      </w:r>
      <w:r w:rsidRPr="003C2169">
        <w:rPr>
          <w:sz w:val="28"/>
          <w:szCs w:val="28"/>
          <w:lang w:val="en-US"/>
        </w:rPr>
        <w:t>patients</w:t>
      </w:r>
      <w:r w:rsidRPr="003C2169">
        <w:rPr>
          <w:sz w:val="28"/>
          <w:szCs w:val="28"/>
          <w:lang w:val="uk-UA"/>
        </w:rPr>
        <w:t xml:space="preserve"> </w:t>
      </w:r>
      <w:r w:rsidRPr="003C2169">
        <w:rPr>
          <w:sz w:val="28"/>
          <w:szCs w:val="28"/>
          <w:lang w:val="en-US"/>
        </w:rPr>
        <w:t>with</w:t>
      </w:r>
      <w:r w:rsidRPr="003C2169">
        <w:rPr>
          <w:sz w:val="28"/>
          <w:szCs w:val="28"/>
          <w:lang w:val="uk-UA"/>
        </w:rPr>
        <w:t xml:space="preserve"> </w:t>
      </w:r>
      <w:r w:rsidRPr="003C2169">
        <w:rPr>
          <w:sz w:val="28"/>
          <w:szCs w:val="28"/>
          <w:lang w:val="en-US"/>
        </w:rPr>
        <w:t>a</w:t>
      </w:r>
      <w:r w:rsidRPr="003C2169">
        <w:rPr>
          <w:sz w:val="28"/>
          <w:szCs w:val="28"/>
          <w:lang w:val="uk-UA"/>
        </w:rPr>
        <w:t xml:space="preserve"> </w:t>
      </w:r>
      <w:r w:rsidRPr="003C2169">
        <w:rPr>
          <w:sz w:val="28"/>
          <w:szCs w:val="28"/>
          <w:lang w:val="en-US"/>
        </w:rPr>
        <w:t>combined</w:t>
      </w:r>
      <w:r w:rsidRPr="003C2169">
        <w:rPr>
          <w:sz w:val="28"/>
          <w:szCs w:val="28"/>
          <w:lang w:val="uk-UA"/>
        </w:rPr>
        <w:t xml:space="preserve"> </w:t>
      </w:r>
      <w:r w:rsidRPr="003C2169">
        <w:rPr>
          <w:sz w:val="28"/>
          <w:szCs w:val="28"/>
          <w:lang w:val="en-US"/>
        </w:rPr>
        <w:t>course</w:t>
      </w:r>
      <w:r w:rsidRPr="003C2169">
        <w:rPr>
          <w:sz w:val="28"/>
          <w:szCs w:val="28"/>
          <w:lang w:val="uk-UA"/>
        </w:rPr>
        <w:t xml:space="preserve"> </w:t>
      </w:r>
      <w:r w:rsidRPr="003C2169">
        <w:rPr>
          <w:sz w:val="28"/>
          <w:szCs w:val="28"/>
          <w:lang w:val="en-US"/>
        </w:rPr>
        <w:t>of</w:t>
      </w:r>
      <w:r w:rsidRPr="003C2169">
        <w:rPr>
          <w:sz w:val="28"/>
          <w:szCs w:val="28"/>
          <w:lang w:val="uk-UA"/>
        </w:rPr>
        <w:t xml:space="preserve"> </w:t>
      </w:r>
      <w:r w:rsidRPr="003C2169">
        <w:rPr>
          <w:sz w:val="28"/>
          <w:szCs w:val="28"/>
          <w:lang w:val="en-US"/>
        </w:rPr>
        <w:t>hypertension</w:t>
      </w:r>
      <w:r w:rsidRPr="003C2169">
        <w:rPr>
          <w:sz w:val="28"/>
          <w:szCs w:val="28"/>
          <w:lang w:val="uk-UA"/>
        </w:rPr>
        <w:t xml:space="preserve">, </w:t>
      </w:r>
      <w:r w:rsidRPr="003C2169">
        <w:rPr>
          <w:sz w:val="28"/>
          <w:szCs w:val="28"/>
          <w:lang w:val="en-US"/>
        </w:rPr>
        <w:t>type</w:t>
      </w:r>
      <w:r w:rsidRPr="003C2169">
        <w:rPr>
          <w:sz w:val="28"/>
          <w:szCs w:val="28"/>
          <w:lang w:val="uk-UA"/>
        </w:rPr>
        <w:t xml:space="preserve"> 2 </w:t>
      </w:r>
      <w:r w:rsidRPr="003C2169">
        <w:rPr>
          <w:sz w:val="28"/>
          <w:szCs w:val="28"/>
          <w:lang w:val="en-US"/>
        </w:rPr>
        <w:t>diabetes</w:t>
      </w:r>
      <w:r w:rsidRPr="003C2169">
        <w:rPr>
          <w:sz w:val="28"/>
          <w:szCs w:val="28"/>
          <w:lang w:val="uk-UA"/>
        </w:rPr>
        <w:t xml:space="preserve"> </w:t>
      </w:r>
      <w:r w:rsidRPr="003C2169">
        <w:rPr>
          <w:sz w:val="28"/>
          <w:szCs w:val="28"/>
          <w:lang w:val="en-US"/>
        </w:rPr>
        <w:t>and</w:t>
      </w:r>
      <w:r w:rsidRPr="003C2169">
        <w:rPr>
          <w:sz w:val="28"/>
          <w:szCs w:val="28"/>
          <w:lang w:val="uk-UA"/>
        </w:rPr>
        <w:t xml:space="preserve"> </w:t>
      </w:r>
      <w:r w:rsidRPr="003C2169">
        <w:rPr>
          <w:sz w:val="28"/>
          <w:szCs w:val="28"/>
          <w:lang w:val="en-US"/>
        </w:rPr>
        <w:t>subclinical</w:t>
      </w:r>
      <w:r w:rsidRPr="003C2169">
        <w:rPr>
          <w:sz w:val="28"/>
          <w:szCs w:val="28"/>
          <w:lang w:val="uk-UA"/>
        </w:rPr>
        <w:t xml:space="preserve"> </w:t>
      </w:r>
      <w:r w:rsidRPr="003C2169">
        <w:rPr>
          <w:sz w:val="28"/>
          <w:szCs w:val="28"/>
          <w:lang w:val="en-US"/>
        </w:rPr>
        <w:t>hypothyroidism</w:t>
      </w:r>
      <w:r w:rsidRPr="003C2169">
        <w:rPr>
          <w:sz w:val="28"/>
          <w:szCs w:val="28"/>
          <w:lang w:val="uk-UA"/>
        </w:rPr>
        <w:t xml:space="preserve">. </w:t>
      </w:r>
      <w:r w:rsidRPr="003C2169">
        <w:rPr>
          <w:i/>
          <w:sz w:val="28"/>
          <w:szCs w:val="28"/>
          <w:lang w:val="uk-UA"/>
        </w:rPr>
        <w:t>87</w:t>
      </w:r>
      <w:r w:rsidRPr="003C2169">
        <w:rPr>
          <w:i/>
          <w:sz w:val="28"/>
          <w:szCs w:val="28"/>
          <w:vertAlign w:val="superscript"/>
          <w:lang w:val="en-US"/>
        </w:rPr>
        <w:t>th</w:t>
      </w:r>
      <w:r w:rsidRPr="003C2169">
        <w:rPr>
          <w:i/>
          <w:sz w:val="28"/>
          <w:szCs w:val="28"/>
          <w:lang w:val="uk-UA"/>
        </w:rPr>
        <w:t xml:space="preserve"> </w:t>
      </w:r>
      <w:r w:rsidRPr="003C2169">
        <w:rPr>
          <w:i/>
          <w:sz w:val="28"/>
          <w:szCs w:val="28"/>
          <w:lang w:val="en-US"/>
        </w:rPr>
        <w:t>European</w:t>
      </w:r>
      <w:r w:rsidRPr="003C2169">
        <w:rPr>
          <w:i/>
          <w:sz w:val="28"/>
          <w:szCs w:val="28"/>
          <w:lang w:val="uk-UA"/>
        </w:rPr>
        <w:t xml:space="preserve"> </w:t>
      </w:r>
      <w:r w:rsidRPr="003C2169">
        <w:rPr>
          <w:i/>
          <w:sz w:val="28"/>
          <w:szCs w:val="28"/>
          <w:lang w:val="en-US"/>
        </w:rPr>
        <w:t>Atherosclerosis</w:t>
      </w:r>
      <w:r w:rsidRPr="003C2169">
        <w:rPr>
          <w:i/>
          <w:sz w:val="28"/>
          <w:szCs w:val="28"/>
          <w:lang w:val="uk-UA"/>
        </w:rPr>
        <w:t xml:space="preserve"> </w:t>
      </w:r>
      <w:r w:rsidRPr="003C2169">
        <w:rPr>
          <w:i/>
          <w:sz w:val="28"/>
          <w:szCs w:val="28"/>
          <w:lang w:val="en-US"/>
        </w:rPr>
        <w:t>society</w:t>
      </w:r>
      <w:r w:rsidRPr="003C2169">
        <w:rPr>
          <w:i/>
          <w:sz w:val="28"/>
          <w:szCs w:val="28"/>
          <w:lang w:val="uk-UA"/>
        </w:rPr>
        <w:t xml:space="preserve"> </w:t>
      </w:r>
      <w:r w:rsidRPr="003C2169">
        <w:rPr>
          <w:i/>
          <w:sz w:val="28"/>
          <w:szCs w:val="28"/>
          <w:lang w:val="en-US"/>
        </w:rPr>
        <w:t>Congress</w:t>
      </w:r>
      <w:r w:rsidRPr="003C2169">
        <w:rPr>
          <w:i/>
          <w:sz w:val="28"/>
          <w:szCs w:val="28"/>
          <w:lang w:val="uk-UA"/>
        </w:rPr>
        <w:t xml:space="preserve">, 26-29 </w:t>
      </w:r>
      <w:r w:rsidRPr="003C2169">
        <w:rPr>
          <w:i/>
          <w:sz w:val="28"/>
          <w:szCs w:val="28"/>
          <w:lang w:val="en-US"/>
        </w:rPr>
        <w:t>May</w:t>
      </w:r>
      <w:r w:rsidRPr="003C2169">
        <w:rPr>
          <w:i/>
          <w:sz w:val="28"/>
          <w:szCs w:val="28"/>
          <w:lang w:val="uk-UA"/>
        </w:rPr>
        <w:t xml:space="preserve"> 2019, </w:t>
      </w:r>
      <w:r w:rsidRPr="003C2169">
        <w:rPr>
          <w:i/>
          <w:sz w:val="28"/>
          <w:szCs w:val="28"/>
          <w:lang w:val="en-US"/>
        </w:rPr>
        <w:t>Maastricht</w:t>
      </w:r>
      <w:r w:rsidRPr="003C2169">
        <w:rPr>
          <w:i/>
          <w:sz w:val="28"/>
          <w:szCs w:val="28"/>
          <w:lang w:val="uk-UA"/>
        </w:rPr>
        <w:t xml:space="preserve">, </w:t>
      </w:r>
      <w:r w:rsidRPr="003C2169">
        <w:rPr>
          <w:i/>
          <w:sz w:val="28"/>
          <w:szCs w:val="28"/>
          <w:shd w:val="clear" w:color="auto" w:fill="FFFFFF"/>
          <w:lang w:val="en-US"/>
        </w:rPr>
        <w:t>Netherlands</w:t>
      </w:r>
      <w:r w:rsidRPr="003C2169">
        <w:rPr>
          <w:sz w:val="28"/>
          <w:szCs w:val="28"/>
          <w:shd w:val="clear" w:color="auto" w:fill="FFFFFF"/>
          <w:lang w:val="uk-UA"/>
        </w:rPr>
        <w:t xml:space="preserve">.- </w:t>
      </w:r>
      <w:r w:rsidRPr="003C2169">
        <w:rPr>
          <w:sz w:val="28"/>
          <w:szCs w:val="28"/>
          <w:shd w:val="clear" w:color="auto" w:fill="FFFFFF"/>
          <w:lang w:val="en-US"/>
        </w:rPr>
        <w:t>Atherosclerosis</w:t>
      </w:r>
      <w:r w:rsidRPr="003C2169">
        <w:rPr>
          <w:sz w:val="28"/>
          <w:szCs w:val="28"/>
          <w:shd w:val="clear" w:color="auto" w:fill="FFFFFF"/>
          <w:lang w:val="uk-UA"/>
        </w:rPr>
        <w:t xml:space="preserve">. – 2019.- </w:t>
      </w:r>
      <w:r w:rsidRPr="003C2169">
        <w:rPr>
          <w:sz w:val="28"/>
          <w:szCs w:val="28"/>
          <w:shd w:val="clear" w:color="auto" w:fill="FFFFFF"/>
          <w:lang w:val="en-US"/>
        </w:rPr>
        <w:t>V</w:t>
      </w:r>
      <w:r w:rsidRPr="003C2169">
        <w:rPr>
          <w:sz w:val="28"/>
          <w:szCs w:val="28"/>
          <w:shd w:val="clear" w:color="auto" w:fill="FFFFFF"/>
          <w:lang w:val="uk-UA"/>
        </w:rPr>
        <w:t>.287.-</w:t>
      </w:r>
      <w:r w:rsidRPr="003C2169">
        <w:rPr>
          <w:sz w:val="28"/>
          <w:szCs w:val="28"/>
          <w:shd w:val="clear" w:color="auto" w:fill="FFFFFF"/>
          <w:lang w:val="en-US"/>
        </w:rPr>
        <w:t>P</w:t>
      </w:r>
      <w:r w:rsidRPr="003C2169">
        <w:rPr>
          <w:sz w:val="28"/>
          <w:szCs w:val="28"/>
          <w:shd w:val="clear" w:color="auto" w:fill="FFFFFF"/>
          <w:lang w:val="uk-UA"/>
        </w:rPr>
        <w:t>.</w:t>
      </w:r>
      <w:r w:rsidRPr="003C2169">
        <w:rPr>
          <w:sz w:val="28"/>
          <w:szCs w:val="28"/>
          <w:shd w:val="clear" w:color="auto" w:fill="FFFFFF"/>
          <w:lang w:val="en-US"/>
        </w:rPr>
        <w:t>e</w:t>
      </w:r>
      <w:r w:rsidRPr="003C2169">
        <w:rPr>
          <w:sz w:val="28"/>
          <w:szCs w:val="28"/>
          <w:shd w:val="clear" w:color="auto" w:fill="FFFFFF"/>
          <w:lang w:val="uk-UA"/>
        </w:rPr>
        <w:t>260.</w:t>
      </w:r>
      <w:r w:rsidRPr="003C2169">
        <w:rPr>
          <w:sz w:val="28"/>
          <w:szCs w:val="28"/>
          <w:lang w:val="uk-UA"/>
        </w:rPr>
        <w:t xml:space="preserve"> (</w:t>
      </w:r>
      <w:r w:rsidRPr="003C2169">
        <w:rPr>
          <w:rFonts w:eastAsia="Calibri"/>
          <w:bCs/>
          <w:i/>
          <w:sz w:val="28"/>
          <w:szCs w:val="28"/>
          <w:lang w:val="uk-UA"/>
        </w:rPr>
        <w:t>Здобувачкою</w:t>
      </w:r>
      <w:r w:rsidRPr="003C2169">
        <w:rPr>
          <w:i/>
          <w:color w:val="000000"/>
          <w:sz w:val="28"/>
          <w:szCs w:val="28"/>
          <w:lang w:val="uk-UA"/>
        </w:rPr>
        <w:t xml:space="preserve"> виконано клінічне обстеження пацієнтів, аналіз отриманих даних, оформлення тез до друку</w:t>
      </w:r>
      <w:r w:rsidRPr="003C2169">
        <w:rPr>
          <w:color w:val="000000"/>
          <w:sz w:val="28"/>
          <w:szCs w:val="28"/>
          <w:lang w:val="uk-UA"/>
        </w:rPr>
        <w:t>).</w:t>
      </w:r>
    </w:p>
    <w:p w:rsidR="00E3259F" w:rsidRPr="003C2169" w:rsidRDefault="00E3259F" w:rsidP="003C2169">
      <w:pPr>
        <w:pStyle w:val="a4"/>
        <w:numPr>
          <w:ilvl w:val="0"/>
          <w:numId w:val="30"/>
        </w:numPr>
        <w:tabs>
          <w:tab w:val="left" w:pos="0"/>
          <w:tab w:val="left" w:pos="1134"/>
          <w:tab w:val="left" w:pos="8931"/>
        </w:tabs>
        <w:spacing w:line="360" w:lineRule="auto"/>
        <w:ind w:left="0" w:firstLine="0"/>
        <w:jc w:val="both"/>
        <w:rPr>
          <w:sz w:val="28"/>
          <w:szCs w:val="28"/>
          <w:lang w:val="uk-UA"/>
        </w:rPr>
      </w:pPr>
      <w:r w:rsidRPr="003C2169">
        <w:rPr>
          <w:sz w:val="28"/>
          <w:szCs w:val="28"/>
          <w:lang w:val="uk-UA"/>
        </w:rPr>
        <w:t xml:space="preserve">Немцова В. Д., Сємятічко Г.Е. Вплив замісної терапії на маркери судинного старіння у пацієнтів з коморбідною патологією. </w:t>
      </w:r>
      <w:r w:rsidRPr="003C2169">
        <w:rPr>
          <w:i/>
          <w:sz w:val="28"/>
          <w:szCs w:val="28"/>
          <w:lang w:val="uk-UA"/>
        </w:rPr>
        <w:t xml:space="preserve">Матеріали </w:t>
      </w:r>
      <w:r w:rsidRPr="003C2169">
        <w:rPr>
          <w:i/>
          <w:sz w:val="28"/>
          <w:szCs w:val="28"/>
        </w:rPr>
        <w:t>I</w:t>
      </w:r>
      <w:r w:rsidRPr="003C2169">
        <w:rPr>
          <w:i/>
          <w:sz w:val="28"/>
          <w:szCs w:val="28"/>
          <w:lang w:val="uk-UA"/>
        </w:rPr>
        <w:t>І Міжнародної науково-практичної конференції «Інформаційні системи та технології в медицині» (</w:t>
      </w:r>
      <w:r w:rsidRPr="003C2169">
        <w:rPr>
          <w:i/>
          <w:sz w:val="28"/>
          <w:szCs w:val="28"/>
        </w:rPr>
        <w:t>I</w:t>
      </w:r>
      <w:r w:rsidRPr="003C2169">
        <w:rPr>
          <w:i/>
          <w:sz w:val="28"/>
          <w:szCs w:val="28"/>
          <w:lang w:val="uk-UA"/>
        </w:rPr>
        <w:t>С</w:t>
      </w:r>
      <w:r w:rsidRPr="003C2169">
        <w:rPr>
          <w:i/>
          <w:sz w:val="28"/>
          <w:szCs w:val="28"/>
        </w:rPr>
        <w:t>M</w:t>
      </w:r>
      <w:r w:rsidRPr="003C2169">
        <w:rPr>
          <w:i/>
          <w:sz w:val="28"/>
          <w:szCs w:val="28"/>
          <w:lang w:val="uk-UA"/>
        </w:rPr>
        <w:t>–2019) (м.Харків, 28–29 листопада 2019 р</w:t>
      </w:r>
      <w:r w:rsidRPr="003C2169">
        <w:rPr>
          <w:sz w:val="28"/>
          <w:szCs w:val="28"/>
          <w:lang w:val="uk-UA"/>
        </w:rPr>
        <w:t>.). м.Харків, 2019.С.145-146. (</w:t>
      </w:r>
      <w:r w:rsidRPr="003C2169">
        <w:rPr>
          <w:rFonts w:eastAsia="Calibri"/>
          <w:bCs/>
          <w:i/>
          <w:sz w:val="28"/>
          <w:szCs w:val="28"/>
          <w:lang w:val="uk-UA"/>
        </w:rPr>
        <w:t>Здобувачкою</w:t>
      </w:r>
      <w:r w:rsidRPr="003C2169">
        <w:rPr>
          <w:i/>
          <w:color w:val="000000"/>
          <w:sz w:val="28"/>
          <w:szCs w:val="28"/>
          <w:lang w:val="uk-UA"/>
        </w:rPr>
        <w:t xml:space="preserve"> виконано клінічне обстеження пацієнтів, статистична обробка та аналіз отриманих даних,  підготовлено матеріали  тез</w:t>
      </w:r>
      <w:r w:rsidRPr="003C2169">
        <w:rPr>
          <w:color w:val="000000"/>
          <w:sz w:val="28"/>
          <w:szCs w:val="28"/>
          <w:lang w:val="uk-UA"/>
        </w:rPr>
        <w:t>).</w:t>
      </w:r>
    </w:p>
    <w:p w:rsidR="00E3259F" w:rsidRPr="003C2169" w:rsidRDefault="00E3259F" w:rsidP="003C2169">
      <w:pPr>
        <w:pStyle w:val="atextRef"/>
        <w:numPr>
          <w:ilvl w:val="0"/>
          <w:numId w:val="30"/>
        </w:numPr>
        <w:spacing w:line="360" w:lineRule="auto"/>
        <w:ind w:left="0" w:firstLine="0"/>
        <w:rPr>
          <w:rFonts w:cs="Times New Roman"/>
        </w:rPr>
      </w:pPr>
      <w:r w:rsidRPr="003C2169">
        <w:rPr>
          <w:rFonts w:cs="Times New Roman"/>
        </w:rPr>
        <w:t xml:space="preserve">О.М. Біловол, Немцова В.Д., Златкіна В.В., Ільченко І.А. Зміни метаболічних показників під впливом комбінованої терапії у хворих на гіпертонічну хворобу поєднану з цукровим діабетом 2 типу та субклінічним гіпотиреозом. </w:t>
      </w:r>
      <w:r w:rsidRPr="003C2169">
        <w:rPr>
          <w:rFonts w:cs="Times New Roman"/>
          <w:i/>
        </w:rPr>
        <w:t>Матеріали ІХ з’їзду ендокринологів України, що присвячений 100-річному ювілею ДУ «Інститут проблем ендокринної патології ім.. В.Я. Данилевського НАМН України» (</w:t>
      </w:r>
      <w:r w:rsidRPr="003C2169">
        <w:rPr>
          <w:rFonts w:cs="Times New Roman"/>
        </w:rPr>
        <w:t>м.Харків</w:t>
      </w:r>
      <w:r w:rsidRPr="003C2169">
        <w:rPr>
          <w:rFonts w:cs="Times New Roman"/>
          <w:i/>
        </w:rPr>
        <w:t>,</w:t>
      </w:r>
      <w:r w:rsidRPr="003C2169">
        <w:rPr>
          <w:rFonts w:cs="Times New Roman"/>
        </w:rPr>
        <w:t xml:space="preserve">19-22 листопада 2019) Харків, 2019.С.136-138. </w:t>
      </w:r>
      <w:r w:rsidRPr="003C2169">
        <w:rPr>
          <w:rFonts w:eastAsia="Calibri" w:cs="Times New Roman"/>
          <w:bCs/>
          <w:i/>
        </w:rPr>
        <w:t>(Здобувачка здійснила відбір тематичних хворих, провела клінічне дослідження, підготовку тез до друку).</w:t>
      </w:r>
    </w:p>
    <w:p w:rsidR="00E3259F" w:rsidRPr="003C2169" w:rsidRDefault="00E3259F" w:rsidP="003C2169">
      <w:pPr>
        <w:pStyle w:val="atextRef"/>
        <w:numPr>
          <w:ilvl w:val="0"/>
          <w:numId w:val="30"/>
        </w:numPr>
        <w:tabs>
          <w:tab w:val="left" w:pos="1134"/>
          <w:tab w:val="left" w:pos="8931"/>
        </w:tabs>
        <w:spacing w:line="360" w:lineRule="auto"/>
        <w:ind w:left="0" w:firstLine="0"/>
        <w:rPr>
          <w:rFonts w:cs="Times New Roman"/>
        </w:rPr>
      </w:pPr>
      <w:r w:rsidRPr="003C2169">
        <w:rPr>
          <w:rFonts w:eastAsia="Calibri" w:cs="Times New Roman"/>
          <w:bCs/>
          <w:i/>
        </w:rPr>
        <w:t xml:space="preserve"> </w:t>
      </w:r>
      <w:r w:rsidRPr="003C2169">
        <w:rPr>
          <w:rFonts w:cs="Times New Roman"/>
        </w:rPr>
        <w:t>Nemtsova V., Bilovol O., Zlatkina V. Dependence of cardiovascular risk factors on vascular endothelium damage in patients with comorbidity of arterial hypertension and subclinical hypothyroidism/.// Матеріали ХХ Національного конгресу кардіологів України, 25-27 вересня 2019.-Киів-С.</w:t>
      </w:r>
      <w:r w:rsidRPr="003C2169">
        <w:rPr>
          <w:rFonts w:eastAsia="Calibri" w:cs="Times New Roman"/>
          <w:i/>
          <w:spacing w:val="-4"/>
        </w:rPr>
        <w:t xml:space="preserve"> (</w:t>
      </w:r>
      <w:r w:rsidRPr="003C2169">
        <w:rPr>
          <w:rFonts w:eastAsia="Calibri" w:cs="Times New Roman"/>
          <w:bCs/>
          <w:i/>
        </w:rPr>
        <w:t>Здобувачкою</w:t>
      </w:r>
      <w:r w:rsidRPr="003C2169">
        <w:rPr>
          <w:rFonts w:eastAsia="Calibri" w:cs="Times New Roman"/>
          <w:i/>
          <w:spacing w:val="-4"/>
        </w:rPr>
        <w:t xml:space="preserve"> </w:t>
      </w:r>
      <w:r w:rsidRPr="003C2169">
        <w:rPr>
          <w:rFonts w:eastAsia="Calibri" w:cs="Times New Roman"/>
          <w:i/>
        </w:rPr>
        <w:t>проведено клінічне обстеження, статистичну обробку даних, аналіз отриманих даних).</w:t>
      </w:r>
    </w:p>
    <w:p w:rsidR="00E3259F" w:rsidRPr="003C2169" w:rsidRDefault="00E3259F" w:rsidP="003C2169">
      <w:pPr>
        <w:pStyle w:val="atextRef"/>
        <w:numPr>
          <w:ilvl w:val="0"/>
          <w:numId w:val="30"/>
        </w:numPr>
        <w:tabs>
          <w:tab w:val="left" w:pos="1134"/>
          <w:tab w:val="left" w:pos="8931"/>
        </w:tabs>
        <w:spacing w:line="360" w:lineRule="auto"/>
        <w:ind w:left="0" w:firstLine="0"/>
        <w:rPr>
          <w:rFonts w:cs="Times New Roman"/>
        </w:rPr>
      </w:pPr>
      <w:r w:rsidRPr="003C2169">
        <w:rPr>
          <w:rFonts w:cs="Times New Roman"/>
        </w:rPr>
        <w:t xml:space="preserve">Біловол О.М., Немцова В.Д.,  Ільченко І.А. Окислювальний стрес і старіння. Роль гіпофункції щитовидної залози в ґенезі вік-асоційованих захворювань. The third International scientific congress of scientists of Europe and Asia (Vienna, Austria, 19-20 April 2018) Vienna, Austria. </w:t>
      </w:r>
      <w:r w:rsidRPr="003C2169">
        <w:rPr>
          <w:rFonts w:cs="Times New Roman"/>
          <w:lang w:val="ru-RU"/>
        </w:rPr>
        <w:t xml:space="preserve">2018. </w:t>
      </w:r>
      <w:r w:rsidRPr="003C2169">
        <w:rPr>
          <w:rFonts w:cs="Times New Roman"/>
        </w:rPr>
        <w:t>C</w:t>
      </w:r>
      <w:r w:rsidRPr="003C2169">
        <w:rPr>
          <w:rFonts w:cs="Times New Roman"/>
          <w:lang w:val="ru-RU"/>
        </w:rPr>
        <w:t>.117-132.</w:t>
      </w:r>
      <w:r w:rsidRPr="003C2169">
        <w:rPr>
          <w:rFonts w:cs="Times New Roman"/>
          <w:i/>
          <w:iCs/>
        </w:rPr>
        <w:t xml:space="preserve"> (</w:t>
      </w:r>
      <w:r w:rsidRPr="003C2169">
        <w:rPr>
          <w:rFonts w:eastAsia="Calibri" w:cs="Times New Roman"/>
          <w:bCs/>
          <w:i/>
        </w:rPr>
        <w:t>Здобувачкою</w:t>
      </w:r>
      <w:r w:rsidRPr="003C2169">
        <w:rPr>
          <w:rFonts w:cs="Times New Roman"/>
          <w:i/>
          <w:iCs/>
        </w:rPr>
        <w:t xml:space="preserve"> сформовано групи, проведено клінічне обстеження пацієнтів, аналіз отриманих даних лабораторного дослідження, статистичну обробку даних).</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rPr>
      </w:pPr>
      <w:r w:rsidRPr="003C2169">
        <w:rPr>
          <w:sz w:val="28"/>
          <w:szCs w:val="28"/>
          <w:lang w:val="uk-UA"/>
        </w:rPr>
        <w:t>Біловол О.М., Немцова В.Д., Ільченко І.А. Значення фактора росту ендотелію судин як маркеру ендотеліальної дисфункції у хворих з поєднаним перебігом артеріальної гіпертензії, цукрового діабету та субклінічного гіпотиреозу.</w:t>
      </w:r>
      <w:r w:rsidRPr="003C2169">
        <w:rPr>
          <w:i/>
          <w:sz w:val="28"/>
          <w:szCs w:val="28"/>
          <w:lang w:val="uk-UA"/>
        </w:rPr>
        <w:t>Матеріали науково-практичної конференції з міжнародною участю «Досягнення та перспективи експериментальної і клінічної ендокринології» (Сімнадцяті Данилевскі читання)</w:t>
      </w:r>
      <w:r w:rsidRPr="003C2169">
        <w:rPr>
          <w:sz w:val="28"/>
          <w:szCs w:val="28"/>
          <w:lang w:val="uk-UA"/>
        </w:rPr>
        <w:t>, (м.Харків,1-2 березня 2018)Харків, 2018. С.32-33.</w:t>
      </w:r>
      <w:r w:rsidRPr="003C2169">
        <w:rPr>
          <w:rFonts w:eastAsia="Calibri"/>
          <w:bCs/>
          <w:i/>
          <w:sz w:val="28"/>
          <w:szCs w:val="28"/>
          <w:lang w:val="uk-UA"/>
        </w:rPr>
        <w:t xml:space="preserve"> (Здобувачкою здійснено збір та аналіз одержаного матеріалу, статистичну обробку даних, підготовку матеріалів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sz w:val="28"/>
          <w:szCs w:val="28"/>
          <w:lang w:val="uk-UA"/>
        </w:rPr>
      </w:pPr>
      <w:r w:rsidRPr="003C2169">
        <w:rPr>
          <w:sz w:val="28"/>
          <w:szCs w:val="28"/>
          <w:lang w:val="uk-UA"/>
        </w:rPr>
        <w:t xml:space="preserve">Беловол А.Н., Немцова В.Д., Ильченко И.А. Влияние функционального состояния щитовидной железы на эндотелиальную дисфункцию у больных с артериальной гипертензией и эндокринопатиями. </w:t>
      </w:r>
      <w:r w:rsidRPr="003C2169">
        <w:rPr>
          <w:i/>
          <w:sz w:val="28"/>
          <w:szCs w:val="28"/>
          <w:lang w:val="uk-UA"/>
        </w:rPr>
        <w:t xml:space="preserve">Матеріали </w:t>
      </w:r>
      <w:r w:rsidRPr="003C2169">
        <w:rPr>
          <w:i/>
          <w:sz w:val="28"/>
          <w:szCs w:val="28"/>
        </w:rPr>
        <w:t xml:space="preserve">10 –й юбилейной Международной конференции «Дисфункция эндотелия» Экспериментальные и клинические исследования </w:t>
      </w:r>
      <w:r w:rsidRPr="003C2169">
        <w:rPr>
          <w:sz w:val="28"/>
          <w:szCs w:val="28"/>
        </w:rPr>
        <w:t>(</w:t>
      </w:r>
      <w:r w:rsidRPr="003C2169">
        <w:rPr>
          <w:sz w:val="28"/>
          <w:szCs w:val="28"/>
          <w:lang w:val="uk-UA"/>
        </w:rPr>
        <w:t>м.</w:t>
      </w:r>
      <w:r w:rsidRPr="003C2169">
        <w:rPr>
          <w:sz w:val="28"/>
          <w:szCs w:val="28"/>
        </w:rPr>
        <w:t>Витебск, 1 июня 2018) Витебск (Белорусь), 2018. С.146-151.</w:t>
      </w:r>
      <w:r w:rsidRPr="003C2169">
        <w:rPr>
          <w:i/>
          <w:iCs/>
          <w:sz w:val="28"/>
          <w:szCs w:val="28"/>
          <w:lang w:val="uk-UA"/>
        </w:rPr>
        <w:t xml:space="preserve"> (</w:t>
      </w:r>
      <w:r w:rsidRPr="003C2169">
        <w:rPr>
          <w:rFonts w:eastAsia="Calibri"/>
          <w:bCs/>
          <w:i/>
          <w:sz w:val="28"/>
          <w:szCs w:val="28"/>
          <w:lang w:val="uk-UA"/>
        </w:rPr>
        <w:t>Здобувачкою</w:t>
      </w:r>
      <w:r w:rsidRPr="003C2169">
        <w:rPr>
          <w:i/>
          <w:iCs/>
          <w:sz w:val="28"/>
          <w:szCs w:val="28"/>
          <w:lang w:val="uk-UA"/>
        </w:rPr>
        <w:t xml:space="preserve"> сформовано групи, проведено клінічне обстеження хворих, статистичну обробку даних, підготовлено тези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color w:val="000000"/>
          <w:sz w:val="28"/>
          <w:szCs w:val="28"/>
          <w:shd w:val="clear" w:color="auto" w:fill="FFFFFF"/>
          <w:lang w:val="uk-UA"/>
        </w:rPr>
      </w:pPr>
      <w:r w:rsidRPr="003C2169">
        <w:rPr>
          <w:bCs/>
          <w:color w:val="000000"/>
          <w:sz w:val="28"/>
          <w:szCs w:val="28"/>
          <w:shd w:val="clear" w:color="auto" w:fill="FFFFFF"/>
          <w:lang w:val="uk-UA"/>
        </w:rPr>
        <w:t>Біловол О.М., Немцова В.Д., Златкіна В.В., Ільченко І.А. «Вплив середньо-терапевтичних доз статинів на показники окислювального стресу у пацієнтів з артеріальною гіпертензією та цукровим діабетом 2 типу»,</w:t>
      </w:r>
      <w:r w:rsidRPr="003C2169">
        <w:rPr>
          <w:bCs/>
          <w:color w:val="000000"/>
          <w:sz w:val="28"/>
          <w:szCs w:val="28"/>
          <w:shd w:val="clear" w:color="auto" w:fill="FFFFFF"/>
        </w:rPr>
        <w:t> </w:t>
      </w:r>
      <w:r w:rsidRPr="003C2169">
        <w:rPr>
          <w:bCs/>
          <w:color w:val="000000"/>
          <w:sz w:val="28"/>
          <w:szCs w:val="28"/>
          <w:shd w:val="clear" w:color="auto" w:fill="FFFFFF"/>
          <w:lang w:val="uk-UA"/>
        </w:rPr>
        <w:t xml:space="preserve"> Матеріали </w:t>
      </w:r>
      <w:r w:rsidRPr="003C2169">
        <w:rPr>
          <w:bCs/>
          <w:color w:val="000000"/>
          <w:sz w:val="28"/>
          <w:szCs w:val="28"/>
          <w:shd w:val="clear" w:color="auto" w:fill="FFFFFF"/>
        </w:rPr>
        <w:t> </w:t>
      </w:r>
      <w:r w:rsidRPr="003C2169">
        <w:rPr>
          <w:color w:val="000000"/>
          <w:sz w:val="28"/>
          <w:szCs w:val="28"/>
          <w:shd w:val="clear" w:color="auto" w:fill="FFFFFF"/>
          <w:lang w:val="uk-UA"/>
        </w:rPr>
        <w:t>ХІХ Національного Конгресу кардіологів України</w:t>
      </w:r>
      <w:r w:rsidRPr="003C2169">
        <w:rPr>
          <w:bCs/>
          <w:color w:val="000000"/>
          <w:sz w:val="28"/>
          <w:szCs w:val="28"/>
          <w:shd w:val="clear" w:color="auto" w:fill="FFFFFF"/>
        </w:rPr>
        <w:t> </w:t>
      </w:r>
      <w:r w:rsidRPr="003C2169">
        <w:rPr>
          <w:bCs/>
          <w:color w:val="000000"/>
          <w:sz w:val="28"/>
          <w:szCs w:val="28"/>
          <w:shd w:val="clear" w:color="auto" w:fill="FFFFFF"/>
          <w:lang w:val="uk-UA"/>
        </w:rPr>
        <w:t>(</w:t>
      </w:r>
      <w:r w:rsidRPr="003C2169">
        <w:rPr>
          <w:color w:val="000000"/>
          <w:sz w:val="28"/>
          <w:szCs w:val="28"/>
          <w:shd w:val="clear" w:color="auto" w:fill="FFFFFF"/>
          <w:lang w:val="uk-UA"/>
        </w:rPr>
        <w:t xml:space="preserve">26-28 вересня </w:t>
      </w:r>
      <w:r w:rsidRPr="003C2169">
        <w:rPr>
          <w:color w:val="000000"/>
          <w:sz w:val="28"/>
          <w:szCs w:val="28"/>
          <w:shd w:val="clear" w:color="auto" w:fill="FFFFFF"/>
        </w:rPr>
        <w:t> </w:t>
      </w:r>
      <w:r w:rsidRPr="003C2169">
        <w:rPr>
          <w:color w:val="000000"/>
          <w:sz w:val="28"/>
          <w:szCs w:val="28"/>
          <w:shd w:val="clear" w:color="auto" w:fill="FFFFFF"/>
          <w:lang w:val="uk-UA"/>
        </w:rPr>
        <w:t>2018, Київ, Україна).</w:t>
      </w:r>
      <w:r w:rsidRPr="003C2169">
        <w:rPr>
          <w:rFonts w:eastAsia="Calibri"/>
          <w:bCs/>
          <w:i/>
          <w:sz w:val="28"/>
          <w:szCs w:val="28"/>
          <w:lang w:val="uk-UA"/>
        </w:rPr>
        <w:t xml:space="preserve"> (Здобувачкою здійснено клінічне обстеження тематичних хворих, збір та аналіз одержаного матеріалу, підготовку тез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color w:val="000000"/>
          <w:sz w:val="28"/>
          <w:szCs w:val="28"/>
          <w:shd w:val="clear" w:color="auto" w:fill="FFFFFF"/>
          <w:lang w:val="uk-UA"/>
        </w:rPr>
      </w:pPr>
      <w:r w:rsidRPr="003C2169">
        <w:rPr>
          <w:color w:val="000000"/>
          <w:sz w:val="28"/>
          <w:szCs w:val="28"/>
          <w:shd w:val="clear" w:color="auto" w:fill="FFFFFF"/>
          <w:lang w:val="en-US"/>
        </w:rPr>
        <w:t>Bilovol</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O</w:t>
      </w:r>
      <w:r w:rsidRPr="003C2169">
        <w:rPr>
          <w:color w:val="000000"/>
          <w:sz w:val="28"/>
          <w:szCs w:val="28"/>
          <w:shd w:val="clear" w:color="auto" w:fill="FFFFFF"/>
          <w:lang w:val="uk-UA"/>
        </w:rPr>
        <w:t>.</w:t>
      </w:r>
      <w:r w:rsidRPr="003C2169">
        <w:rPr>
          <w:color w:val="000000"/>
          <w:sz w:val="28"/>
          <w:szCs w:val="28"/>
          <w:shd w:val="clear" w:color="auto" w:fill="FFFFFF"/>
          <w:lang w:val="en-US"/>
        </w:rPr>
        <w:t xml:space="preserve"> M., Nemtsova</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V</w:t>
      </w:r>
      <w:r w:rsidRPr="003C2169">
        <w:rPr>
          <w:color w:val="000000"/>
          <w:sz w:val="28"/>
          <w:szCs w:val="28"/>
          <w:shd w:val="clear" w:color="auto" w:fill="FFFFFF"/>
          <w:lang w:val="uk-UA"/>
        </w:rPr>
        <w:t>.</w:t>
      </w:r>
      <w:r w:rsidRPr="003C2169">
        <w:rPr>
          <w:color w:val="000000"/>
          <w:sz w:val="28"/>
          <w:szCs w:val="28"/>
          <w:shd w:val="clear" w:color="auto" w:fill="FFFFFF"/>
          <w:lang w:val="en-US"/>
        </w:rPr>
        <w:t>D,</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Ilchenko I.A.Vascular endothelial growth factor as a marker of endothelial dysfunction in patients with arterial hypertension</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 xml:space="preserve">type 2 diabetes and subclinical hypothyroidism comorbidity. </w:t>
      </w:r>
      <w:r w:rsidRPr="003C2169">
        <w:rPr>
          <w:i/>
          <w:color w:val="000000"/>
          <w:sz w:val="28"/>
          <w:szCs w:val="28"/>
          <w:shd w:val="clear" w:color="auto" w:fill="FFFFFF"/>
          <w:lang w:val="en-US"/>
        </w:rPr>
        <w:t>International research and practice conference “Relevant issues of modern medicine: the experience of Poland and Ukraine”</w:t>
      </w:r>
      <w:r w:rsidRPr="003C2169">
        <w:rPr>
          <w:color w:val="000000"/>
          <w:sz w:val="28"/>
          <w:szCs w:val="28"/>
          <w:shd w:val="clear" w:color="auto" w:fill="FFFFFF"/>
          <w:lang w:val="uk-UA"/>
        </w:rPr>
        <w:t>(</w:t>
      </w:r>
      <w:r w:rsidRPr="003C2169">
        <w:rPr>
          <w:color w:val="000000"/>
          <w:sz w:val="28"/>
          <w:szCs w:val="28"/>
          <w:shd w:val="clear" w:color="auto" w:fill="FFFFFF"/>
          <w:lang w:val="en-US"/>
        </w:rPr>
        <w:t>Lublin</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20-21 October 2017</w:t>
      </w:r>
      <w:r w:rsidRPr="003C2169">
        <w:rPr>
          <w:color w:val="000000"/>
          <w:sz w:val="28"/>
          <w:szCs w:val="28"/>
          <w:shd w:val="clear" w:color="auto" w:fill="FFFFFF"/>
          <w:lang w:val="uk-UA"/>
        </w:rPr>
        <w:t>)</w:t>
      </w:r>
      <w:r w:rsidRPr="003C2169">
        <w:rPr>
          <w:color w:val="000000"/>
          <w:sz w:val="28"/>
          <w:szCs w:val="28"/>
          <w:shd w:val="clear" w:color="auto" w:fill="FFFFFF"/>
          <w:lang w:val="en-US"/>
        </w:rPr>
        <w:t xml:space="preserve"> Lublin, Republic of Poland</w:t>
      </w:r>
      <w:r w:rsidRPr="003C2169">
        <w:rPr>
          <w:color w:val="000000"/>
          <w:sz w:val="28"/>
          <w:szCs w:val="28"/>
          <w:shd w:val="clear" w:color="auto" w:fill="FFFFFF"/>
          <w:lang w:val="uk-UA"/>
        </w:rPr>
        <w:t>,</w:t>
      </w:r>
      <w:r w:rsidRPr="003C2169">
        <w:rPr>
          <w:color w:val="000000"/>
          <w:sz w:val="28"/>
          <w:szCs w:val="28"/>
          <w:shd w:val="clear" w:color="auto" w:fill="FFFFFF"/>
          <w:lang w:val="en-US"/>
        </w:rPr>
        <w:t xml:space="preserve"> 2017</w:t>
      </w:r>
      <w:r w:rsidRPr="003C2169">
        <w:rPr>
          <w:color w:val="000000"/>
          <w:sz w:val="28"/>
          <w:szCs w:val="28"/>
          <w:shd w:val="clear" w:color="auto" w:fill="FFFFFF"/>
          <w:lang w:val="uk-UA"/>
        </w:rPr>
        <w:t xml:space="preserve">. </w:t>
      </w:r>
      <w:r w:rsidRPr="003C2169">
        <w:rPr>
          <w:color w:val="000000"/>
          <w:sz w:val="28"/>
          <w:szCs w:val="28"/>
          <w:shd w:val="clear" w:color="auto" w:fill="FFFFFF"/>
        </w:rPr>
        <w:t>P.14-18.</w:t>
      </w:r>
      <w:r w:rsidRPr="003C2169">
        <w:rPr>
          <w:color w:val="000000"/>
          <w:sz w:val="28"/>
          <w:szCs w:val="28"/>
          <w:shd w:val="clear" w:color="auto" w:fill="FFFFFF"/>
          <w:lang w:val="uk-UA"/>
        </w:rPr>
        <w:t xml:space="preserve"> </w:t>
      </w:r>
      <w:r w:rsidRPr="003C2169">
        <w:rPr>
          <w:i/>
          <w:iCs/>
          <w:color w:val="000000"/>
          <w:sz w:val="28"/>
          <w:szCs w:val="28"/>
          <w:shd w:val="clear" w:color="auto" w:fill="FFFFFF"/>
          <w:lang w:val="uk-UA"/>
        </w:rPr>
        <w:t>(</w:t>
      </w:r>
      <w:r w:rsidRPr="003C2169">
        <w:rPr>
          <w:rFonts w:eastAsia="Calibri"/>
          <w:bCs/>
          <w:i/>
          <w:sz w:val="28"/>
          <w:szCs w:val="28"/>
          <w:lang w:val="uk-UA"/>
        </w:rPr>
        <w:t>Здобувачкою</w:t>
      </w:r>
      <w:r w:rsidRPr="003C2169">
        <w:rPr>
          <w:i/>
          <w:iCs/>
          <w:color w:val="000000"/>
          <w:sz w:val="28"/>
          <w:szCs w:val="28"/>
          <w:shd w:val="clear" w:color="auto" w:fill="FFFFFF"/>
          <w:lang w:val="uk-UA"/>
        </w:rPr>
        <w:t xml:space="preserve"> сформовано групи, проведено клінічне обстеження хворих, статистичну обробку даних, підготовлено тези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color w:val="000000"/>
          <w:sz w:val="28"/>
          <w:szCs w:val="28"/>
          <w:shd w:val="clear" w:color="auto" w:fill="FFFFFF"/>
          <w:lang w:val="uk-UA"/>
        </w:rPr>
      </w:pPr>
      <w:r w:rsidRPr="003C2169">
        <w:rPr>
          <w:color w:val="000000"/>
          <w:sz w:val="28"/>
          <w:szCs w:val="28"/>
          <w:shd w:val="clear" w:color="auto" w:fill="FFFFFF"/>
          <w:lang w:val="en-US"/>
        </w:rPr>
        <w:t>Nemtsova V.D., Bilovol O.M., Ilchenko I.A.</w:t>
      </w:r>
      <w:r w:rsidRPr="003C2169">
        <w:rPr>
          <w:color w:val="000000"/>
          <w:sz w:val="28"/>
          <w:szCs w:val="28"/>
          <w:shd w:val="clear" w:color="auto" w:fill="FFFFFF"/>
          <w:lang w:val="uk-UA"/>
        </w:rPr>
        <w:t xml:space="preserve"> </w:t>
      </w:r>
      <w:r w:rsidRPr="003C2169">
        <w:rPr>
          <w:color w:val="000000"/>
          <w:sz w:val="28"/>
          <w:szCs w:val="28"/>
          <w:shd w:val="clear" w:color="auto" w:fill="FFFFFF"/>
          <w:lang w:val="en-US"/>
        </w:rPr>
        <w:t>Features of changes of antioxidant protection in patients with arterial hypertension and type 2 diabetes mellitus on the background of statins in medium doses</w:t>
      </w:r>
      <w:r w:rsidRPr="003C2169">
        <w:rPr>
          <w:color w:val="000000"/>
          <w:sz w:val="28"/>
          <w:szCs w:val="28"/>
          <w:shd w:val="clear" w:color="auto" w:fill="FFFFFF"/>
          <w:lang w:val="uk-UA"/>
        </w:rPr>
        <w:t xml:space="preserve">. </w:t>
      </w:r>
      <w:r w:rsidRPr="003C2169">
        <w:rPr>
          <w:i/>
          <w:color w:val="000000"/>
          <w:sz w:val="28"/>
          <w:szCs w:val="28"/>
          <w:shd w:val="clear" w:color="auto" w:fill="FFFFFF"/>
          <w:lang w:val="en-US"/>
        </w:rPr>
        <w:t>Science and society. Proceedings of the 5th International conference. Accent Graphics Communications &amp; Publishing</w:t>
      </w:r>
      <w:r w:rsidRPr="003C2169">
        <w:rPr>
          <w:i/>
          <w:color w:val="000000"/>
          <w:sz w:val="28"/>
          <w:szCs w:val="28"/>
          <w:shd w:val="clear" w:color="auto" w:fill="FFFFFF"/>
          <w:lang w:val="uk-UA"/>
        </w:rPr>
        <w:t>.</w:t>
      </w:r>
      <w:r w:rsidRPr="003C2169">
        <w:rPr>
          <w:color w:val="000000"/>
          <w:sz w:val="28"/>
          <w:szCs w:val="28"/>
          <w:shd w:val="clear" w:color="auto" w:fill="FFFFFF"/>
          <w:lang w:val="uk-UA"/>
        </w:rPr>
        <w:t xml:space="preserve"> (</w:t>
      </w:r>
      <w:r w:rsidRPr="003C2169">
        <w:rPr>
          <w:color w:val="000000"/>
          <w:sz w:val="28"/>
          <w:szCs w:val="28"/>
          <w:shd w:val="clear" w:color="auto" w:fill="FFFFFF"/>
        </w:rPr>
        <w:t>Hamilton</w:t>
      </w:r>
      <w:r w:rsidRPr="003C2169">
        <w:rPr>
          <w:color w:val="000000"/>
          <w:sz w:val="28"/>
          <w:szCs w:val="28"/>
          <w:shd w:val="clear" w:color="auto" w:fill="FFFFFF"/>
          <w:lang w:val="uk-UA"/>
        </w:rPr>
        <w:t xml:space="preserve">, 15 </w:t>
      </w:r>
      <w:r w:rsidRPr="003C2169">
        <w:rPr>
          <w:color w:val="000000"/>
          <w:sz w:val="28"/>
          <w:szCs w:val="28"/>
          <w:shd w:val="clear" w:color="auto" w:fill="FFFFFF"/>
        </w:rPr>
        <w:t>June</w:t>
      </w:r>
      <w:r w:rsidRPr="003C2169">
        <w:rPr>
          <w:color w:val="000000"/>
          <w:sz w:val="28"/>
          <w:szCs w:val="28"/>
          <w:shd w:val="clear" w:color="auto" w:fill="FFFFFF"/>
          <w:lang w:val="uk-UA"/>
        </w:rPr>
        <w:t xml:space="preserve"> 2018) </w:t>
      </w:r>
      <w:r w:rsidRPr="003C2169">
        <w:rPr>
          <w:color w:val="000000"/>
          <w:sz w:val="28"/>
          <w:szCs w:val="28"/>
          <w:shd w:val="clear" w:color="auto" w:fill="FFFFFF"/>
        </w:rPr>
        <w:t>Hamilton</w:t>
      </w:r>
      <w:r w:rsidRPr="003C2169">
        <w:rPr>
          <w:color w:val="000000"/>
          <w:sz w:val="28"/>
          <w:szCs w:val="28"/>
          <w:shd w:val="clear" w:color="auto" w:fill="FFFFFF"/>
          <w:lang w:val="uk-UA"/>
        </w:rPr>
        <w:t xml:space="preserve">, </w:t>
      </w:r>
      <w:r w:rsidRPr="003C2169">
        <w:rPr>
          <w:color w:val="000000"/>
          <w:sz w:val="28"/>
          <w:szCs w:val="28"/>
          <w:shd w:val="clear" w:color="auto" w:fill="FFFFFF"/>
        </w:rPr>
        <w:t>Canada</w:t>
      </w:r>
      <w:r w:rsidRPr="003C2169">
        <w:rPr>
          <w:color w:val="000000"/>
          <w:sz w:val="28"/>
          <w:szCs w:val="28"/>
          <w:shd w:val="clear" w:color="auto" w:fill="FFFFFF"/>
          <w:lang w:val="uk-UA"/>
        </w:rPr>
        <w:t xml:space="preserve">, 2018. </w:t>
      </w:r>
      <w:r w:rsidRPr="003C2169">
        <w:rPr>
          <w:color w:val="000000"/>
          <w:sz w:val="28"/>
          <w:szCs w:val="28"/>
          <w:shd w:val="clear" w:color="auto" w:fill="FFFFFF"/>
        </w:rPr>
        <w:t>P</w:t>
      </w:r>
      <w:r w:rsidRPr="003C2169">
        <w:rPr>
          <w:color w:val="000000"/>
          <w:sz w:val="28"/>
          <w:szCs w:val="28"/>
          <w:shd w:val="clear" w:color="auto" w:fill="FFFFFF"/>
          <w:lang w:val="uk-UA"/>
        </w:rPr>
        <w:t>. 879– 892.</w:t>
      </w:r>
      <w:r w:rsidRPr="003C2169">
        <w:rPr>
          <w:i/>
          <w:color w:val="000000"/>
          <w:sz w:val="28"/>
          <w:szCs w:val="28"/>
          <w:shd w:val="clear" w:color="auto" w:fill="FFFFFF"/>
          <w:lang w:val="uk-UA"/>
        </w:rPr>
        <w:t xml:space="preserve"> (</w:t>
      </w:r>
      <w:r w:rsidRPr="003C2169">
        <w:rPr>
          <w:rFonts w:eastAsia="Calibri"/>
          <w:bCs/>
          <w:i/>
          <w:sz w:val="28"/>
          <w:szCs w:val="28"/>
          <w:lang w:val="uk-UA"/>
        </w:rPr>
        <w:t>Здобувачкою</w:t>
      </w:r>
      <w:r w:rsidRPr="003C2169">
        <w:rPr>
          <w:i/>
          <w:color w:val="000000"/>
          <w:sz w:val="28"/>
          <w:szCs w:val="28"/>
          <w:shd w:val="clear" w:color="auto" w:fill="FFFFFF"/>
          <w:lang w:val="uk-UA"/>
        </w:rPr>
        <w:t xml:space="preserve"> проведено відбір хворих, статистичне опрацювання та аналіз отриманих результатів, підготовлено тези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color w:val="000000"/>
          <w:sz w:val="28"/>
          <w:szCs w:val="28"/>
          <w:shd w:val="clear" w:color="auto" w:fill="FFFFFF"/>
          <w:lang w:val="uk-UA"/>
        </w:rPr>
      </w:pPr>
      <w:r w:rsidRPr="003C2169">
        <w:rPr>
          <w:color w:val="000000"/>
          <w:sz w:val="28"/>
          <w:szCs w:val="28"/>
          <w:shd w:val="clear" w:color="auto" w:fill="FFFFFF"/>
          <w:lang w:val="uk-UA"/>
        </w:rPr>
        <w:t xml:space="preserve">Немцова В.Д., Ільченко І.А., Євтушенко О.М. Вік-асоційовані особливості оксидативного стресу при різному перебігу артеріальної гіпертензії та цукрового діабету 2 типу. </w:t>
      </w:r>
      <w:r w:rsidRPr="003C2169">
        <w:rPr>
          <w:i/>
          <w:color w:val="000000"/>
          <w:sz w:val="28"/>
          <w:szCs w:val="28"/>
          <w:shd w:val="clear" w:color="auto" w:fill="FFFFFF"/>
          <w:lang w:val="uk-UA"/>
        </w:rPr>
        <w:t>Збірник тез матеріалів науково-практичної конференції з міжнародною участю: «Актуальні питання геронтології і геріатрії», присвяченої 95-річчю з дня народження видатного вченого Академіка В. В. Фролькіса</w:t>
      </w:r>
      <w:r w:rsidRPr="003C2169">
        <w:rPr>
          <w:color w:val="000000"/>
          <w:sz w:val="28"/>
          <w:szCs w:val="28"/>
          <w:shd w:val="clear" w:color="auto" w:fill="FFFFFF"/>
          <w:lang w:val="uk-UA"/>
        </w:rPr>
        <w:t xml:space="preserve"> , (м. Київ ,28 січня 2019) Київ, 2019.С.36-37.</w:t>
      </w:r>
      <w:r w:rsidRPr="003C2169">
        <w:rPr>
          <w:i/>
          <w:color w:val="000000"/>
          <w:sz w:val="28"/>
          <w:szCs w:val="28"/>
          <w:shd w:val="clear" w:color="auto" w:fill="FFFFFF"/>
          <w:lang w:val="uk-UA"/>
        </w:rPr>
        <w:t xml:space="preserve"> (</w:t>
      </w:r>
      <w:r w:rsidRPr="003C2169">
        <w:rPr>
          <w:rFonts w:eastAsia="Calibri"/>
          <w:bCs/>
          <w:i/>
          <w:sz w:val="28"/>
          <w:szCs w:val="28"/>
          <w:lang w:val="uk-UA"/>
        </w:rPr>
        <w:t>Здобувачкою</w:t>
      </w:r>
      <w:r w:rsidRPr="003C2169">
        <w:rPr>
          <w:i/>
          <w:color w:val="000000"/>
          <w:sz w:val="28"/>
          <w:szCs w:val="28"/>
          <w:shd w:val="clear" w:color="auto" w:fill="FFFFFF"/>
          <w:lang w:val="uk-UA"/>
        </w:rPr>
        <w:t xml:space="preserve"> розроблено концепцію та дизайн дослідження, проведено аналіз та узагальнення отриманих даних, підготовлено тези до друку)</w:t>
      </w:r>
    </w:p>
    <w:p w:rsidR="00E3259F" w:rsidRPr="003C2169" w:rsidRDefault="00E3259F" w:rsidP="003C2169">
      <w:pPr>
        <w:pStyle w:val="a4"/>
        <w:numPr>
          <w:ilvl w:val="0"/>
          <w:numId w:val="30"/>
        </w:numPr>
        <w:tabs>
          <w:tab w:val="left" w:pos="1134"/>
          <w:tab w:val="left" w:pos="8931"/>
        </w:tabs>
        <w:spacing w:line="360" w:lineRule="auto"/>
        <w:ind w:left="0" w:firstLine="0"/>
        <w:jc w:val="both"/>
        <w:rPr>
          <w:color w:val="000000"/>
          <w:sz w:val="28"/>
          <w:szCs w:val="28"/>
          <w:shd w:val="clear" w:color="auto" w:fill="FFFFFF"/>
          <w:lang w:val="uk-UA"/>
        </w:rPr>
      </w:pPr>
      <w:r w:rsidRPr="003C2169">
        <w:rPr>
          <w:color w:val="000000"/>
          <w:sz w:val="28"/>
          <w:szCs w:val="28"/>
          <w:shd w:val="clear" w:color="auto" w:fill="FFFFFF"/>
          <w:lang w:val="uk-UA"/>
        </w:rPr>
        <w:t>Біловол О.М.,Немцова В.Д., Златкіна В.В.,  Ільченко І.А.,Штереб О.І.Вплив гіпофункції щитоподібної залози на ступінь оксидативного стресу у хворих похилого віку з коморбідною та поліморбідною патологією.</w:t>
      </w:r>
      <w:r w:rsidRPr="003C2169">
        <w:rPr>
          <w:i/>
          <w:color w:val="000000"/>
          <w:sz w:val="28"/>
          <w:szCs w:val="28"/>
          <w:shd w:val="clear" w:color="auto" w:fill="FFFFFF"/>
          <w:lang w:val="uk-UA"/>
        </w:rPr>
        <w:t>Матеріали науково-практичної конференції з міжнародною участю "Новітні в діагностиці та лікуванні внутрішніх хвороб",присвяченої 100-річчю від дня народження академіка Л.Т. Малої</w:t>
      </w:r>
      <w:r w:rsidRPr="003C2169">
        <w:rPr>
          <w:color w:val="000000"/>
          <w:sz w:val="28"/>
          <w:szCs w:val="28"/>
          <w:shd w:val="clear" w:color="auto" w:fill="FFFFFF"/>
          <w:lang w:val="uk-UA"/>
        </w:rPr>
        <w:t xml:space="preserve"> (м.Харків,</w:t>
      </w:r>
      <w:r w:rsidRPr="003C2169">
        <w:rPr>
          <w:color w:val="000000"/>
          <w:sz w:val="28"/>
          <w:szCs w:val="28"/>
          <w:shd w:val="clear" w:color="auto" w:fill="FFFFFF"/>
        </w:rPr>
        <w:t> </w:t>
      </w:r>
      <w:r w:rsidRPr="003C2169">
        <w:rPr>
          <w:color w:val="000000"/>
          <w:sz w:val="28"/>
          <w:szCs w:val="28"/>
          <w:shd w:val="clear" w:color="auto" w:fill="FFFFFF"/>
          <w:lang w:val="uk-UA"/>
        </w:rPr>
        <w:t>15-16</w:t>
      </w:r>
      <w:r w:rsidRPr="003C2169">
        <w:rPr>
          <w:color w:val="000000"/>
          <w:sz w:val="28"/>
          <w:szCs w:val="28"/>
          <w:shd w:val="clear" w:color="auto" w:fill="FFFFFF"/>
        </w:rPr>
        <w:t> </w:t>
      </w:r>
      <w:r w:rsidRPr="003C2169">
        <w:rPr>
          <w:color w:val="000000"/>
          <w:sz w:val="28"/>
          <w:szCs w:val="28"/>
          <w:shd w:val="clear" w:color="auto" w:fill="FFFFFF"/>
          <w:lang w:val="uk-UA"/>
        </w:rPr>
        <w:t>жовтня</w:t>
      </w:r>
      <w:r w:rsidRPr="003C2169">
        <w:rPr>
          <w:color w:val="000000"/>
          <w:sz w:val="28"/>
          <w:szCs w:val="28"/>
          <w:shd w:val="clear" w:color="auto" w:fill="FFFFFF"/>
        </w:rPr>
        <w:t> </w:t>
      </w:r>
      <w:r w:rsidRPr="003C2169">
        <w:rPr>
          <w:color w:val="000000"/>
          <w:sz w:val="28"/>
          <w:szCs w:val="28"/>
          <w:shd w:val="clear" w:color="auto" w:fill="FFFFFF"/>
          <w:lang w:val="uk-UA"/>
        </w:rPr>
        <w:t>2019) Харків, 2019. С25.</w:t>
      </w:r>
      <w:r w:rsidRPr="003C2169">
        <w:rPr>
          <w:i/>
          <w:color w:val="000000"/>
          <w:sz w:val="28"/>
          <w:szCs w:val="28"/>
          <w:shd w:val="clear" w:color="auto" w:fill="FFFFFF"/>
          <w:lang w:val="uk-UA"/>
        </w:rPr>
        <w:t xml:space="preserve"> (</w:t>
      </w:r>
      <w:r w:rsidRPr="003C2169">
        <w:rPr>
          <w:rFonts w:eastAsia="Calibri"/>
          <w:bCs/>
          <w:i/>
          <w:sz w:val="28"/>
          <w:szCs w:val="28"/>
          <w:lang w:val="uk-UA"/>
        </w:rPr>
        <w:t>Здобувачкою</w:t>
      </w:r>
      <w:r w:rsidRPr="003C2169">
        <w:rPr>
          <w:i/>
          <w:color w:val="000000"/>
          <w:sz w:val="28"/>
          <w:szCs w:val="28"/>
          <w:shd w:val="clear" w:color="auto" w:fill="FFFFFF"/>
          <w:lang w:val="uk-UA"/>
        </w:rPr>
        <w:t xml:space="preserve"> проведено відбір та клінічне обстеження хворих, статистичне опрацювання та аналіз отриманих результатів).</w:t>
      </w:r>
    </w:p>
    <w:p w:rsidR="00E3259F" w:rsidRPr="003C2169" w:rsidRDefault="00E3259F" w:rsidP="003C2169">
      <w:pPr>
        <w:pStyle w:val="a4"/>
        <w:numPr>
          <w:ilvl w:val="0"/>
          <w:numId w:val="30"/>
        </w:numPr>
        <w:shd w:val="clear" w:color="auto" w:fill="FFFFFF"/>
        <w:tabs>
          <w:tab w:val="left" w:pos="1134"/>
          <w:tab w:val="left" w:pos="8931"/>
        </w:tabs>
        <w:spacing w:line="360" w:lineRule="auto"/>
        <w:ind w:left="0" w:firstLine="0"/>
        <w:jc w:val="both"/>
        <w:rPr>
          <w:color w:val="000000"/>
          <w:sz w:val="28"/>
          <w:szCs w:val="28"/>
          <w:shd w:val="clear" w:color="auto" w:fill="FFFFFF"/>
          <w:lang w:val="uk-UA"/>
        </w:rPr>
      </w:pPr>
      <w:r w:rsidRPr="003C2169">
        <w:rPr>
          <w:color w:val="000000"/>
          <w:sz w:val="28"/>
          <w:szCs w:val="28"/>
          <w:shd w:val="clear" w:color="auto" w:fill="FFFFFF"/>
          <w:lang w:val="uk-UA"/>
        </w:rPr>
        <w:t xml:space="preserve">Беловол А.Н.,Немцова В.Д. Сравнительная оценка фармакотерапевтического влияния статинотерапии на состояние эндотелия </w:t>
      </w:r>
      <w:r w:rsidRPr="003C2169">
        <w:rPr>
          <w:color w:val="000000"/>
          <w:sz w:val="28"/>
          <w:szCs w:val="28"/>
          <w:shd w:val="clear" w:color="auto" w:fill="FFFFFF"/>
        </w:rPr>
        <w:t xml:space="preserve">у больных артериальной гипертензией в сочетании с гипотиреозом. </w:t>
      </w:r>
      <w:r w:rsidRPr="003C2169">
        <w:rPr>
          <w:i/>
          <w:color w:val="000000"/>
          <w:sz w:val="28"/>
          <w:szCs w:val="28"/>
          <w:shd w:val="clear" w:color="auto" w:fill="FFFFFF"/>
        </w:rPr>
        <w:t xml:space="preserve">Науковий симпозіум "Соціальна фармація: стан, проблеми, перспективи" у рамках VIII Національного з'їзду фармацевтів України </w:t>
      </w:r>
      <w:r w:rsidRPr="003C2169">
        <w:rPr>
          <w:color w:val="000000"/>
          <w:sz w:val="28"/>
          <w:szCs w:val="28"/>
          <w:shd w:val="clear" w:color="auto" w:fill="FFFFFF"/>
        </w:rPr>
        <w:t>(м</w:t>
      </w:r>
      <w:r w:rsidRPr="003C2169">
        <w:rPr>
          <w:i/>
          <w:color w:val="000000"/>
          <w:sz w:val="28"/>
          <w:szCs w:val="28"/>
          <w:shd w:val="clear" w:color="auto" w:fill="FFFFFF"/>
        </w:rPr>
        <w:t>. Харків,</w:t>
      </w:r>
      <w:r w:rsidRPr="003C2169">
        <w:rPr>
          <w:color w:val="000000"/>
          <w:sz w:val="28"/>
          <w:szCs w:val="28"/>
          <w:shd w:val="clear" w:color="auto" w:fill="FFFFFF"/>
        </w:rPr>
        <w:t>15-16 вересня 2016) Харків.</w:t>
      </w:r>
      <w:r w:rsidRPr="003C2169">
        <w:rPr>
          <w:color w:val="000000"/>
          <w:sz w:val="28"/>
          <w:szCs w:val="28"/>
          <w:shd w:val="clear" w:color="auto" w:fill="FFFFFF"/>
          <w:lang w:val="uk-UA"/>
        </w:rPr>
        <w:t>2016.</w:t>
      </w:r>
      <w:r w:rsidRPr="003C2169">
        <w:rPr>
          <w:color w:val="000000"/>
          <w:sz w:val="28"/>
          <w:szCs w:val="28"/>
          <w:shd w:val="clear" w:color="auto" w:fill="FFFFFF"/>
        </w:rPr>
        <w:t xml:space="preserve"> С.226. </w:t>
      </w:r>
      <w:r w:rsidRPr="003C2169">
        <w:rPr>
          <w:i/>
          <w:color w:val="000000"/>
          <w:sz w:val="28"/>
          <w:szCs w:val="28"/>
          <w:shd w:val="clear" w:color="auto" w:fill="FFFFFF"/>
          <w:lang w:val="uk-UA"/>
        </w:rPr>
        <w:t>(</w:t>
      </w:r>
      <w:r w:rsidRPr="003C2169">
        <w:rPr>
          <w:rFonts w:eastAsia="Calibri"/>
          <w:bCs/>
          <w:i/>
          <w:sz w:val="28"/>
          <w:szCs w:val="28"/>
          <w:lang w:val="uk-UA"/>
        </w:rPr>
        <w:t>Здобувачкою</w:t>
      </w:r>
      <w:r w:rsidRPr="003C2169">
        <w:rPr>
          <w:i/>
          <w:color w:val="000000"/>
          <w:sz w:val="28"/>
          <w:szCs w:val="28"/>
          <w:shd w:val="clear" w:color="auto" w:fill="FFFFFF"/>
          <w:lang w:val="uk-UA"/>
        </w:rPr>
        <w:t xml:space="preserve"> проведено відбір та клінічне обстеження хворих, статистичне опрацювання  отриманих результатів, підготовка тез до друку).</w:t>
      </w:r>
    </w:p>
    <w:p w:rsidR="00E3259F" w:rsidRPr="003C2169" w:rsidRDefault="00E3259F" w:rsidP="003C2169">
      <w:pPr>
        <w:pStyle w:val="a4"/>
        <w:numPr>
          <w:ilvl w:val="0"/>
          <w:numId w:val="30"/>
        </w:numPr>
        <w:shd w:val="clear" w:color="auto" w:fill="FFFFFF"/>
        <w:tabs>
          <w:tab w:val="left" w:pos="851"/>
          <w:tab w:val="left" w:pos="1134"/>
          <w:tab w:val="left" w:pos="8931"/>
        </w:tabs>
        <w:spacing w:line="360" w:lineRule="auto"/>
        <w:ind w:left="0" w:firstLine="0"/>
        <w:jc w:val="both"/>
        <w:rPr>
          <w:sz w:val="28"/>
          <w:szCs w:val="28"/>
          <w:lang w:val="uk-UA"/>
        </w:rPr>
      </w:pPr>
      <w:r w:rsidRPr="003C2169">
        <w:rPr>
          <w:color w:val="000000"/>
          <w:sz w:val="28"/>
          <w:szCs w:val="28"/>
          <w:shd w:val="clear" w:color="auto" w:fill="FFFFFF"/>
        </w:rPr>
        <w:t>Немцова В.Д., Олейник О.В.</w:t>
      </w:r>
      <w:r w:rsidRPr="003C2169">
        <w:rPr>
          <w:color w:val="000000"/>
          <w:sz w:val="28"/>
          <w:szCs w:val="28"/>
          <w:shd w:val="clear" w:color="auto" w:fill="FFFFFF"/>
          <w:lang w:val="uk-UA"/>
        </w:rPr>
        <w:t xml:space="preserve"> </w:t>
      </w:r>
      <w:r w:rsidRPr="003C2169">
        <w:rPr>
          <w:color w:val="000000"/>
          <w:sz w:val="28"/>
          <w:szCs w:val="28"/>
          <w:shd w:val="clear" w:color="auto" w:fill="FFFFFF"/>
        </w:rPr>
        <w:t xml:space="preserve">Факторы кардио-васкулярного риска в зависимости от состояния эндотелия у пациентов с артериальной гипертензией в сочетании с гипотиреозом. </w:t>
      </w:r>
      <w:r w:rsidRPr="003C2169">
        <w:rPr>
          <w:i/>
          <w:color w:val="000000"/>
          <w:sz w:val="28"/>
          <w:szCs w:val="28"/>
          <w:shd w:val="clear" w:color="auto" w:fill="FFFFFF"/>
        </w:rPr>
        <w:t>Матер</w:t>
      </w:r>
      <w:r w:rsidRPr="003C2169">
        <w:rPr>
          <w:i/>
          <w:color w:val="000000"/>
          <w:sz w:val="28"/>
          <w:szCs w:val="28"/>
          <w:shd w:val="clear" w:color="auto" w:fill="FFFFFF"/>
          <w:lang w:val="uk-UA"/>
        </w:rPr>
        <w:t>іали науково-практичної конференції з міжнародною участю «Щорічні терапевтичні читання: медикаментозна та не медикаментозна профілактика неінфекційних захворювань: погляд в майбутнє» присвячена пам’яті академіка Л.Т.Малої</w:t>
      </w:r>
      <w:r w:rsidRPr="003C2169">
        <w:rPr>
          <w:color w:val="000000"/>
          <w:sz w:val="28"/>
          <w:szCs w:val="28"/>
          <w:shd w:val="clear" w:color="auto" w:fill="FFFFFF"/>
          <w:lang w:val="uk-UA"/>
        </w:rPr>
        <w:t xml:space="preserve"> (м.Харків, 20 квітня 2017 року) Харків. 2017.С.206.</w:t>
      </w:r>
      <w:r w:rsidRPr="003C2169">
        <w:rPr>
          <w:i/>
          <w:color w:val="000000"/>
          <w:sz w:val="28"/>
          <w:szCs w:val="28"/>
          <w:shd w:val="clear" w:color="auto" w:fill="FFFFFF"/>
        </w:rPr>
        <w:t xml:space="preserve"> (</w:t>
      </w:r>
      <w:r w:rsidRPr="003C2169">
        <w:rPr>
          <w:i/>
          <w:iCs/>
          <w:color w:val="000000"/>
          <w:sz w:val="28"/>
          <w:szCs w:val="28"/>
          <w:shd w:val="clear" w:color="auto" w:fill="FFFFFF"/>
        </w:rPr>
        <w:t>Особисто з</w:t>
      </w:r>
      <w:r w:rsidRPr="003C2169">
        <w:rPr>
          <w:rFonts w:eastAsia="Calibri"/>
          <w:bCs/>
          <w:i/>
          <w:sz w:val="28"/>
          <w:szCs w:val="28"/>
          <w:lang w:val="uk-UA"/>
        </w:rPr>
        <w:t>добувачкою</w:t>
      </w:r>
      <w:r w:rsidRPr="003C2169">
        <w:rPr>
          <w:i/>
          <w:iCs/>
          <w:color w:val="000000"/>
          <w:sz w:val="28"/>
          <w:szCs w:val="28"/>
          <w:shd w:val="clear" w:color="auto" w:fill="FFFFFF"/>
        </w:rPr>
        <w:t xml:space="preserve"> виконано обстеження хворих, </w:t>
      </w:r>
      <w:r w:rsidRPr="003C2169">
        <w:rPr>
          <w:i/>
          <w:color w:val="000000"/>
          <w:sz w:val="28"/>
          <w:szCs w:val="28"/>
          <w:shd w:val="clear" w:color="auto" w:fill="FFFFFF"/>
        </w:rPr>
        <w:t>проаналізовано характер змін показників, підготовлено тези до друку)</w:t>
      </w:r>
      <w:r w:rsidRPr="003C2169">
        <w:rPr>
          <w:i/>
          <w:iCs/>
          <w:color w:val="000000"/>
          <w:sz w:val="28"/>
          <w:szCs w:val="28"/>
          <w:shd w:val="clear" w:color="auto" w:fill="FFFFFF"/>
        </w:rPr>
        <w:t>.</w:t>
      </w:r>
    </w:p>
    <w:p w:rsidR="00E3259F" w:rsidRPr="003C2169" w:rsidRDefault="00E3259F" w:rsidP="003C2169">
      <w:pPr>
        <w:pStyle w:val="a4"/>
        <w:numPr>
          <w:ilvl w:val="0"/>
          <w:numId w:val="30"/>
        </w:numPr>
        <w:shd w:val="clear" w:color="auto" w:fill="FFFFFF"/>
        <w:tabs>
          <w:tab w:val="left" w:pos="851"/>
          <w:tab w:val="left" w:pos="1134"/>
          <w:tab w:val="left" w:pos="8931"/>
        </w:tabs>
        <w:spacing w:line="360" w:lineRule="auto"/>
        <w:ind w:left="0" w:firstLine="0"/>
        <w:jc w:val="both"/>
        <w:rPr>
          <w:sz w:val="28"/>
          <w:szCs w:val="28"/>
          <w:lang w:val="uk-UA"/>
        </w:rPr>
      </w:pPr>
      <w:r w:rsidRPr="003C2169">
        <w:rPr>
          <w:color w:val="000000"/>
          <w:sz w:val="28"/>
          <w:szCs w:val="28"/>
          <w:shd w:val="clear" w:color="auto" w:fill="FFFFFF"/>
        </w:rPr>
        <w:t>Nemtsova</w:t>
      </w:r>
      <w:r w:rsidRPr="003C2169">
        <w:rPr>
          <w:color w:val="000000"/>
          <w:sz w:val="28"/>
          <w:szCs w:val="28"/>
          <w:shd w:val="clear" w:color="auto" w:fill="FFFFFF"/>
          <w:lang w:val="uk-UA"/>
        </w:rPr>
        <w:t xml:space="preserve"> </w:t>
      </w:r>
      <w:r w:rsidRPr="003C2169">
        <w:rPr>
          <w:color w:val="000000"/>
          <w:sz w:val="28"/>
          <w:szCs w:val="28"/>
          <w:shd w:val="clear" w:color="auto" w:fill="FFFFFF"/>
        </w:rPr>
        <w:t>V</w:t>
      </w:r>
      <w:r w:rsidRPr="003C2169">
        <w:rPr>
          <w:color w:val="000000"/>
          <w:sz w:val="28"/>
          <w:szCs w:val="28"/>
          <w:shd w:val="clear" w:color="auto" w:fill="FFFFFF"/>
          <w:lang w:val="uk-UA"/>
        </w:rPr>
        <w:t>.</w:t>
      </w:r>
      <w:r w:rsidRPr="003C2169">
        <w:rPr>
          <w:color w:val="000000"/>
          <w:sz w:val="28"/>
          <w:szCs w:val="28"/>
          <w:shd w:val="clear" w:color="auto" w:fill="FFFFFF"/>
        </w:rPr>
        <w:t>D</w:t>
      </w:r>
      <w:r w:rsidRPr="003C2169">
        <w:rPr>
          <w:color w:val="000000"/>
          <w:sz w:val="28"/>
          <w:szCs w:val="28"/>
          <w:shd w:val="clear" w:color="auto" w:fill="FFFFFF"/>
          <w:lang w:val="uk-UA"/>
        </w:rPr>
        <w:t>., </w:t>
      </w:r>
      <w:r w:rsidRPr="003C2169">
        <w:rPr>
          <w:color w:val="000000"/>
          <w:sz w:val="28"/>
          <w:szCs w:val="28"/>
          <w:shd w:val="clear" w:color="auto" w:fill="FFFFFF"/>
        </w:rPr>
        <w:t>Bilovol</w:t>
      </w:r>
      <w:r w:rsidRPr="003C2169">
        <w:rPr>
          <w:color w:val="000000"/>
          <w:sz w:val="28"/>
          <w:szCs w:val="28"/>
          <w:shd w:val="clear" w:color="auto" w:fill="FFFFFF"/>
          <w:lang w:val="uk-UA"/>
        </w:rPr>
        <w:t xml:space="preserve"> </w:t>
      </w:r>
      <w:r w:rsidRPr="003C2169">
        <w:rPr>
          <w:color w:val="000000"/>
          <w:sz w:val="28"/>
          <w:szCs w:val="28"/>
          <w:shd w:val="clear" w:color="auto" w:fill="FFFFFF"/>
        </w:rPr>
        <w:t>O</w:t>
      </w:r>
      <w:r w:rsidRPr="003C2169">
        <w:rPr>
          <w:color w:val="000000"/>
          <w:sz w:val="28"/>
          <w:szCs w:val="28"/>
          <w:shd w:val="clear" w:color="auto" w:fill="FFFFFF"/>
          <w:lang w:val="uk-UA"/>
        </w:rPr>
        <w:t>.</w:t>
      </w:r>
      <w:r w:rsidRPr="003C2169">
        <w:rPr>
          <w:color w:val="000000"/>
          <w:sz w:val="28"/>
          <w:szCs w:val="28"/>
          <w:shd w:val="clear" w:color="auto" w:fill="FFFFFF"/>
        </w:rPr>
        <w:t>M</w:t>
      </w:r>
      <w:r w:rsidRPr="003C2169">
        <w:rPr>
          <w:color w:val="000000"/>
          <w:sz w:val="28"/>
          <w:szCs w:val="28"/>
          <w:shd w:val="clear" w:color="auto" w:fill="FFFFFF"/>
          <w:lang w:val="uk-UA"/>
        </w:rPr>
        <w:t>., </w:t>
      </w:r>
      <w:r w:rsidRPr="003C2169">
        <w:rPr>
          <w:color w:val="000000"/>
          <w:sz w:val="28"/>
          <w:szCs w:val="28"/>
          <w:shd w:val="clear" w:color="auto" w:fill="FFFFFF"/>
        </w:rPr>
        <w:t>Oleynik</w:t>
      </w:r>
      <w:r w:rsidRPr="003C2169">
        <w:rPr>
          <w:color w:val="000000"/>
          <w:sz w:val="28"/>
          <w:szCs w:val="28"/>
          <w:shd w:val="clear" w:color="auto" w:fill="FFFFFF"/>
          <w:lang w:val="uk-UA"/>
        </w:rPr>
        <w:t xml:space="preserve"> </w:t>
      </w:r>
      <w:r w:rsidRPr="003C2169">
        <w:rPr>
          <w:color w:val="000000"/>
          <w:sz w:val="28"/>
          <w:szCs w:val="28"/>
          <w:shd w:val="clear" w:color="auto" w:fill="FFFFFF"/>
        </w:rPr>
        <w:t>O</w:t>
      </w:r>
      <w:r w:rsidRPr="003C2169">
        <w:rPr>
          <w:color w:val="000000"/>
          <w:sz w:val="28"/>
          <w:szCs w:val="28"/>
          <w:shd w:val="clear" w:color="auto" w:fill="FFFFFF"/>
          <w:lang w:val="uk-UA"/>
        </w:rPr>
        <w:t>.</w:t>
      </w:r>
      <w:r w:rsidRPr="003C2169">
        <w:rPr>
          <w:color w:val="000000"/>
          <w:sz w:val="28"/>
          <w:szCs w:val="28"/>
          <w:shd w:val="clear" w:color="auto" w:fill="FFFFFF"/>
        </w:rPr>
        <w:t>V</w:t>
      </w:r>
      <w:r w:rsidRPr="003C2169">
        <w:rPr>
          <w:color w:val="000000"/>
          <w:sz w:val="28"/>
          <w:szCs w:val="28"/>
          <w:shd w:val="clear" w:color="auto" w:fill="FFFFFF"/>
          <w:lang w:val="uk-UA"/>
        </w:rPr>
        <w:t>. </w:t>
      </w:r>
      <w:r w:rsidRPr="003C2169">
        <w:rPr>
          <w:color w:val="000000"/>
          <w:sz w:val="28"/>
          <w:szCs w:val="28"/>
          <w:shd w:val="clear" w:color="auto" w:fill="FFFFFF"/>
        </w:rPr>
        <w:t>Endothelium</w:t>
      </w:r>
      <w:r w:rsidRPr="003C2169">
        <w:rPr>
          <w:color w:val="000000"/>
          <w:sz w:val="28"/>
          <w:szCs w:val="28"/>
          <w:shd w:val="clear" w:color="auto" w:fill="FFFFFF"/>
          <w:lang w:val="uk-UA"/>
        </w:rPr>
        <w:t>–</w:t>
      </w:r>
      <w:r w:rsidRPr="003C2169">
        <w:rPr>
          <w:color w:val="000000"/>
          <w:sz w:val="28"/>
          <w:szCs w:val="28"/>
          <w:shd w:val="clear" w:color="auto" w:fill="FFFFFF"/>
        </w:rPr>
        <w:t>dependent</w:t>
      </w:r>
      <w:r w:rsidRPr="003C2169">
        <w:rPr>
          <w:color w:val="000000"/>
          <w:sz w:val="28"/>
          <w:szCs w:val="28"/>
          <w:shd w:val="clear" w:color="auto" w:fill="FFFFFF"/>
          <w:lang w:val="uk-UA"/>
        </w:rPr>
        <w:t xml:space="preserve"> </w:t>
      </w:r>
      <w:r w:rsidRPr="003C2169">
        <w:rPr>
          <w:color w:val="000000"/>
          <w:sz w:val="28"/>
          <w:szCs w:val="28"/>
          <w:shd w:val="clear" w:color="auto" w:fill="FFFFFF"/>
        </w:rPr>
        <w:t>cardio</w:t>
      </w:r>
      <w:r w:rsidRPr="003C2169">
        <w:rPr>
          <w:color w:val="000000"/>
          <w:sz w:val="28"/>
          <w:szCs w:val="28"/>
          <w:shd w:val="clear" w:color="auto" w:fill="FFFFFF"/>
          <w:lang w:val="uk-UA"/>
        </w:rPr>
        <w:t>-</w:t>
      </w:r>
      <w:r w:rsidRPr="003C2169">
        <w:rPr>
          <w:color w:val="000000"/>
          <w:sz w:val="28"/>
          <w:szCs w:val="28"/>
          <w:shd w:val="clear" w:color="auto" w:fill="FFFFFF"/>
        </w:rPr>
        <w:t>vascular</w:t>
      </w:r>
      <w:r w:rsidRPr="003C2169">
        <w:rPr>
          <w:color w:val="000000"/>
          <w:sz w:val="28"/>
          <w:szCs w:val="28"/>
          <w:shd w:val="clear" w:color="auto" w:fill="FFFFFF"/>
          <w:lang w:val="uk-UA"/>
        </w:rPr>
        <w:t xml:space="preserve"> </w:t>
      </w:r>
      <w:r w:rsidRPr="003C2169">
        <w:rPr>
          <w:color w:val="000000"/>
          <w:sz w:val="28"/>
          <w:szCs w:val="28"/>
          <w:shd w:val="clear" w:color="auto" w:fill="FFFFFF"/>
        </w:rPr>
        <w:t>risk</w:t>
      </w:r>
      <w:r w:rsidRPr="003C2169">
        <w:rPr>
          <w:color w:val="000000"/>
          <w:sz w:val="28"/>
          <w:szCs w:val="28"/>
          <w:shd w:val="clear" w:color="auto" w:fill="FFFFFF"/>
          <w:lang w:val="uk-UA"/>
        </w:rPr>
        <w:t xml:space="preserve"> </w:t>
      </w:r>
      <w:r w:rsidRPr="003C2169">
        <w:rPr>
          <w:color w:val="000000"/>
          <w:sz w:val="28"/>
          <w:szCs w:val="28"/>
          <w:shd w:val="clear" w:color="auto" w:fill="FFFFFF"/>
        </w:rPr>
        <w:t>factors</w:t>
      </w:r>
      <w:r w:rsidRPr="003C2169">
        <w:rPr>
          <w:color w:val="000000"/>
          <w:sz w:val="28"/>
          <w:szCs w:val="28"/>
          <w:shd w:val="clear" w:color="auto" w:fill="FFFFFF"/>
          <w:lang w:val="uk-UA"/>
        </w:rPr>
        <w:t xml:space="preserve"> </w:t>
      </w:r>
      <w:r w:rsidRPr="003C2169">
        <w:rPr>
          <w:color w:val="000000"/>
          <w:sz w:val="28"/>
          <w:szCs w:val="28"/>
          <w:shd w:val="clear" w:color="auto" w:fill="FFFFFF"/>
        </w:rPr>
        <w:t>in</w:t>
      </w:r>
      <w:r w:rsidRPr="003C2169">
        <w:rPr>
          <w:color w:val="000000"/>
          <w:sz w:val="28"/>
          <w:szCs w:val="28"/>
          <w:shd w:val="clear" w:color="auto" w:fill="FFFFFF"/>
          <w:lang w:val="uk-UA"/>
        </w:rPr>
        <w:t xml:space="preserve"> </w:t>
      </w:r>
      <w:r w:rsidRPr="003C2169">
        <w:rPr>
          <w:color w:val="000000"/>
          <w:sz w:val="28"/>
          <w:szCs w:val="28"/>
          <w:shd w:val="clear" w:color="auto" w:fill="FFFFFF"/>
        </w:rPr>
        <w:t>patients</w:t>
      </w:r>
      <w:r w:rsidRPr="003C2169">
        <w:rPr>
          <w:color w:val="000000"/>
          <w:sz w:val="28"/>
          <w:szCs w:val="28"/>
          <w:shd w:val="clear" w:color="auto" w:fill="FFFFFF"/>
          <w:lang w:val="uk-UA"/>
        </w:rPr>
        <w:t xml:space="preserve"> </w:t>
      </w:r>
      <w:r w:rsidRPr="003C2169">
        <w:rPr>
          <w:color w:val="000000"/>
          <w:sz w:val="28"/>
          <w:szCs w:val="28"/>
          <w:shd w:val="clear" w:color="auto" w:fill="FFFFFF"/>
        </w:rPr>
        <w:t>with</w:t>
      </w:r>
      <w:r w:rsidRPr="003C2169">
        <w:rPr>
          <w:color w:val="000000"/>
          <w:sz w:val="28"/>
          <w:szCs w:val="28"/>
          <w:shd w:val="clear" w:color="auto" w:fill="FFFFFF"/>
          <w:lang w:val="uk-UA"/>
        </w:rPr>
        <w:t xml:space="preserve"> </w:t>
      </w:r>
      <w:r w:rsidRPr="003C2169">
        <w:rPr>
          <w:color w:val="000000"/>
          <w:sz w:val="28"/>
          <w:szCs w:val="28"/>
          <w:shd w:val="clear" w:color="auto" w:fill="FFFFFF"/>
        </w:rPr>
        <w:t>arterial</w:t>
      </w:r>
      <w:r w:rsidRPr="003C2169">
        <w:rPr>
          <w:color w:val="000000"/>
          <w:sz w:val="28"/>
          <w:szCs w:val="28"/>
          <w:shd w:val="clear" w:color="auto" w:fill="FFFFFF"/>
          <w:lang w:val="uk-UA"/>
        </w:rPr>
        <w:t xml:space="preserve"> </w:t>
      </w:r>
      <w:r w:rsidRPr="003C2169">
        <w:rPr>
          <w:color w:val="000000"/>
          <w:sz w:val="28"/>
          <w:szCs w:val="28"/>
          <w:shd w:val="clear" w:color="auto" w:fill="FFFFFF"/>
        </w:rPr>
        <w:t>hypertension</w:t>
      </w:r>
      <w:r w:rsidRPr="003C2169">
        <w:rPr>
          <w:color w:val="000000"/>
          <w:sz w:val="28"/>
          <w:szCs w:val="28"/>
          <w:shd w:val="clear" w:color="auto" w:fill="FFFFFF"/>
          <w:lang w:val="uk-UA"/>
        </w:rPr>
        <w:t xml:space="preserve"> </w:t>
      </w:r>
      <w:r w:rsidRPr="003C2169">
        <w:rPr>
          <w:color w:val="000000"/>
          <w:sz w:val="28"/>
          <w:szCs w:val="28"/>
          <w:shd w:val="clear" w:color="auto" w:fill="FFFFFF"/>
        </w:rPr>
        <w:t>and</w:t>
      </w:r>
      <w:r w:rsidRPr="003C2169">
        <w:rPr>
          <w:color w:val="000000"/>
          <w:sz w:val="28"/>
          <w:szCs w:val="28"/>
          <w:shd w:val="clear" w:color="auto" w:fill="FFFFFF"/>
          <w:lang w:val="uk-UA"/>
        </w:rPr>
        <w:t xml:space="preserve"> </w:t>
      </w:r>
      <w:r w:rsidRPr="003C2169">
        <w:rPr>
          <w:color w:val="000000"/>
          <w:sz w:val="28"/>
          <w:szCs w:val="28"/>
          <w:shd w:val="clear" w:color="auto" w:fill="FFFFFF"/>
        </w:rPr>
        <w:t>diabetes</w:t>
      </w:r>
      <w:r w:rsidRPr="003C2169">
        <w:rPr>
          <w:color w:val="000000"/>
          <w:sz w:val="28"/>
          <w:szCs w:val="28"/>
          <w:shd w:val="clear" w:color="auto" w:fill="FFFFFF"/>
          <w:lang w:val="uk-UA"/>
        </w:rPr>
        <w:t> 2 </w:t>
      </w:r>
      <w:r w:rsidRPr="003C2169">
        <w:rPr>
          <w:color w:val="000000"/>
          <w:sz w:val="28"/>
          <w:szCs w:val="28"/>
          <w:shd w:val="clear" w:color="auto" w:fill="FFFFFF"/>
        </w:rPr>
        <w:t>type</w:t>
      </w:r>
      <w:r w:rsidRPr="003C2169">
        <w:rPr>
          <w:color w:val="000000"/>
          <w:sz w:val="28"/>
          <w:szCs w:val="28"/>
          <w:shd w:val="clear" w:color="auto" w:fill="FFFFFF"/>
          <w:lang w:val="uk-UA"/>
        </w:rPr>
        <w:t xml:space="preserve">–с.102 </w:t>
      </w:r>
      <w:r w:rsidRPr="003C2169">
        <w:rPr>
          <w:i/>
          <w:color w:val="000000"/>
          <w:sz w:val="28"/>
          <w:szCs w:val="28"/>
          <w:shd w:val="clear" w:color="auto" w:fill="FFFFFF"/>
          <w:lang w:val="uk-UA"/>
        </w:rPr>
        <w:t>Матеріали Республіканській науково-практичній конференції з міжнародною участю «Первоочередные задачи развития кардиологии и кардиохирургии в Узбекистане»</w:t>
      </w:r>
      <w:r w:rsidRPr="003C2169">
        <w:rPr>
          <w:color w:val="000000"/>
          <w:sz w:val="28"/>
          <w:szCs w:val="28"/>
          <w:shd w:val="clear" w:color="auto" w:fill="FFFFFF"/>
          <w:lang w:val="uk-UA"/>
        </w:rPr>
        <w:t xml:space="preserve"> (25–26 мая</w:t>
      </w:r>
      <w:r w:rsidRPr="003C2169">
        <w:rPr>
          <w:color w:val="000000"/>
          <w:sz w:val="28"/>
          <w:szCs w:val="28"/>
          <w:shd w:val="clear" w:color="auto" w:fill="FFFFFF"/>
        </w:rPr>
        <w:t> </w:t>
      </w:r>
      <w:r w:rsidRPr="003C2169">
        <w:rPr>
          <w:color w:val="000000"/>
          <w:sz w:val="28"/>
          <w:szCs w:val="28"/>
          <w:shd w:val="clear" w:color="auto" w:fill="FFFFFF"/>
          <w:lang w:val="uk-UA"/>
        </w:rPr>
        <w:t>2017</w:t>
      </w:r>
      <w:r w:rsidRPr="003C2169">
        <w:rPr>
          <w:color w:val="000000"/>
          <w:sz w:val="28"/>
          <w:szCs w:val="28"/>
          <w:shd w:val="clear" w:color="auto" w:fill="FFFFFF"/>
        </w:rPr>
        <w:t> </w:t>
      </w:r>
      <w:r w:rsidRPr="003C2169">
        <w:rPr>
          <w:color w:val="000000"/>
          <w:sz w:val="28"/>
          <w:szCs w:val="28"/>
          <w:shd w:val="clear" w:color="auto" w:fill="FFFFFF"/>
          <w:lang w:val="uk-UA"/>
        </w:rPr>
        <w:t>года, г. Ташкент), Ташкент, Узбекістан.</w:t>
      </w:r>
      <w:r w:rsidRPr="003C2169">
        <w:rPr>
          <w:rFonts w:eastAsia="Calibri"/>
          <w:bCs/>
          <w:i/>
          <w:sz w:val="28"/>
          <w:szCs w:val="28"/>
          <w:lang w:val="uk-UA"/>
        </w:rPr>
        <w:t xml:space="preserve"> (Здобувачкою здійснено обстеження тематичних хворих, проведена статистична обробка даних, підготовка тез до друку).</w:t>
      </w:r>
    </w:p>
    <w:p w:rsidR="003C2169" w:rsidRPr="003C2169" w:rsidRDefault="003C2169" w:rsidP="003C2169">
      <w:pPr>
        <w:pStyle w:val="arefZag"/>
        <w:spacing w:before="0" w:after="0" w:line="360" w:lineRule="auto"/>
        <w:rPr>
          <w:b w:val="0"/>
        </w:rPr>
      </w:pPr>
    </w:p>
    <w:p w:rsidR="00E3259F" w:rsidRPr="003C2169" w:rsidRDefault="00E3259F" w:rsidP="003C2169">
      <w:pPr>
        <w:pStyle w:val="arefZag"/>
        <w:spacing w:before="0" w:after="0" w:line="360" w:lineRule="auto"/>
        <w:rPr>
          <w:b w:val="0"/>
        </w:rPr>
      </w:pPr>
      <w:r w:rsidRPr="003C2169">
        <w:rPr>
          <w:b w:val="0"/>
        </w:rPr>
        <w:t>Наукові праці, які додатково відображують наукові результати дисертації:</w:t>
      </w:r>
    </w:p>
    <w:p w:rsidR="003C2169" w:rsidRPr="003C2169" w:rsidRDefault="003C2169" w:rsidP="003C2169">
      <w:pPr>
        <w:pStyle w:val="arefZag"/>
        <w:spacing w:before="0" w:after="0" w:line="360" w:lineRule="auto"/>
        <w:rPr>
          <w:b w:val="0"/>
        </w:rPr>
      </w:pPr>
    </w:p>
    <w:p w:rsidR="00E3259F" w:rsidRDefault="00E3259F" w:rsidP="003C2169">
      <w:pPr>
        <w:pStyle w:val="a4"/>
        <w:numPr>
          <w:ilvl w:val="0"/>
          <w:numId w:val="30"/>
        </w:numPr>
        <w:tabs>
          <w:tab w:val="left" w:pos="0"/>
        </w:tabs>
        <w:spacing w:line="360" w:lineRule="auto"/>
        <w:ind w:left="0" w:firstLine="0"/>
        <w:jc w:val="both"/>
        <w:rPr>
          <w:rFonts w:eastAsiaTheme="minorEastAsia"/>
          <w:sz w:val="28"/>
          <w:szCs w:val="28"/>
          <w:lang w:val="uk-UA"/>
        </w:rPr>
      </w:pPr>
      <w:r w:rsidRPr="003C2169">
        <w:rPr>
          <w:sz w:val="28"/>
          <w:szCs w:val="28"/>
          <w:lang w:val="uk-UA"/>
        </w:rPr>
        <w:t>Спосіб діагностики порушень антиоксидантної системи у хворих при поєднаному перебігу артеріальної гіпертензії, цукрового діабету 2 типу та гіпотиреозу: пат. на корисну модель № 125567, Україна, МПК G01N 33/50 (2006.01). /О.М. Біловол, Немцова В.Д., Златкіна В.В., Ільченко І.А.; Харківський національний медичний університет; № u201712993; заявл. 27.12.2017; опубл. 10.05.2018, Бюл. № 9.</w:t>
      </w:r>
      <w:r w:rsidRPr="003C2169">
        <w:rPr>
          <w:rFonts w:eastAsia="Calibri"/>
          <w:bCs/>
          <w:i/>
          <w:sz w:val="28"/>
          <w:szCs w:val="28"/>
          <w:lang w:val="uk-UA"/>
        </w:rPr>
        <w:t xml:space="preserve"> (Здобувачці належить ідея винаходу, проведено аналіз інформаційно-літературних джерел, клініко-інструментальне обстеження хворих, сформульовано формулу ви</w:t>
      </w:r>
      <w:r>
        <w:rPr>
          <w:rFonts w:eastAsia="Calibri"/>
          <w:bCs/>
          <w:i/>
          <w:sz w:val="28"/>
          <w:szCs w:val="28"/>
          <w:lang w:val="uk-UA"/>
        </w:rPr>
        <w:t>находу).</w:t>
      </w:r>
    </w:p>
    <w:sectPr w:rsidR="00E3259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786A" w:rsidRDefault="0039786A" w:rsidP="00E3259F">
      <w:r>
        <w:separator/>
      </w:r>
    </w:p>
  </w:endnote>
  <w:endnote w:type="continuationSeparator" w:id="0">
    <w:p w:rsidR="0039786A" w:rsidRDefault="0039786A" w:rsidP="00E325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 w:name="REG">
    <w:altName w:val="Times New Roman"/>
    <w:panose1 w:val="00000000000000000000"/>
    <w:charset w:val="00"/>
    <w:family w:val="roman"/>
    <w:notTrueType/>
    <w:pitch w:val="default"/>
    <w:sig w:usb0="00000003" w:usb1="00000000" w:usb2="00000000" w:usb3="00000000" w:csb0="00000001" w:csb1="00000000"/>
  </w:font>
  <w:font w:name="Franklin Gothic Demi">
    <w:altName w:val="Franklin Gothic Medium"/>
    <w:panose1 w:val="020B07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786A" w:rsidRDefault="0039786A" w:rsidP="00E3259F">
      <w:r>
        <w:separator/>
      </w:r>
    </w:p>
  </w:footnote>
  <w:footnote w:type="continuationSeparator" w:id="0">
    <w:p w:rsidR="0039786A" w:rsidRDefault="0039786A" w:rsidP="00E3259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1774529"/>
      <w:docPartObj>
        <w:docPartGallery w:val="Page Numbers (Top of Page)"/>
        <w:docPartUnique/>
      </w:docPartObj>
    </w:sdtPr>
    <w:sdtEndPr/>
    <w:sdtContent>
      <w:p w:rsidR="008E5154" w:rsidRDefault="008E5154">
        <w:pPr>
          <w:pStyle w:val="aa"/>
          <w:jc w:val="right"/>
        </w:pPr>
        <w:r>
          <w:fldChar w:fldCharType="begin"/>
        </w:r>
        <w:r>
          <w:instrText>PAGE   \* MERGEFORMAT</w:instrText>
        </w:r>
        <w:r>
          <w:fldChar w:fldCharType="separate"/>
        </w:r>
        <w:r w:rsidR="00BB7BCF">
          <w:rPr>
            <w:noProof/>
          </w:rPr>
          <w:t>2</w:t>
        </w:r>
        <w:r>
          <w:fldChar w:fldCharType="end"/>
        </w:r>
      </w:p>
    </w:sdtContent>
  </w:sdt>
  <w:p w:rsidR="008E5154" w:rsidRDefault="008E5154">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FB42C6"/>
    <w:multiLevelType w:val="multilevel"/>
    <w:tmpl w:val="DFF40F38"/>
    <w:lvl w:ilvl="0">
      <w:start w:val="1"/>
      <w:numFmt w:val="none"/>
      <w:suff w:val="nothing"/>
      <w:lvlText w:val=""/>
      <w:lvlJc w:val="left"/>
      <w:pPr>
        <w:ind w:left="432" w:firstLine="0"/>
      </w:pPr>
      <w:rPr>
        <w:rFonts w:cs="Times New Roman"/>
        <w:position w:val="0"/>
        <w:sz w:val="28"/>
        <w:vertAlign w:val="baseline"/>
      </w:rPr>
    </w:lvl>
    <w:lvl w:ilvl="1">
      <w:start w:val="1"/>
      <w:numFmt w:val="none"/>
      <w:suff w:val="nothing"/>
      <w:lvlText w:val=""/>
      <w:lvlJc w:val="left"/>
      <w:pPr>
        <w:ind w:left="576" w:firstLine="0"/>
      </w:pPr>
      <w:rPr>
        <w:rFonts w:cs="Times New Roman"/>
        <w:position w:val="0"/>
        <w:sz w:val="28"/>
        <w:vertAlign w:val="baseline"/>
      </w:rPr>
    </w:lvl>
    <w:lvl w:ilvl="2">
      <w:start w:val="1"/>
      <w:numFmt w:val="none"/>
      <w:suff w:val="nothing"/>
      <w:lvlText w:val=""/>
      <w:lvlJc w:val="left"/>
      <w:pPr>
        <w:ind w:left="720" w:firstLine="0"/>
      </w:pPr>
      <w:rPr>
        <w:rFonts w:cs="Times New Roman"/>
        <w:position w:val="0"/>
        <w:sz w:val="28"/>
        <w:vertAlign w:val="baseline"/>
      </w:rPr>
    </w:lvl>
    <w:lvl w:ilvl="3">
      <w:start w:val="1"/>
      <w:numFmt w:val="none"/>
      <w:suff w:val="nothing"/>
      <w:lvlText w:val=""/>
      <w:lvlJc w:val="left"/>
      <w:pPr>
        <w:ind w:left="864" w:firstLine="0"/>
      </w:pPr>
      <w:rPr>
        <w:rFonts w:cs="Times New Roman"/>
        <w:position w:val="0"/>
        <w:sz w:val="28"/>
        <w:vertAlign w:val="baseline"/>
      </w:rPr>
    </w:lvl>
    <w:lvl w:ilvl="4">
      <w:start w:val="1"/>
      <w:numFmt w:val="none"/>
      <w:suff w:val="nothing"/>
      <w:lvlText w:val=""/>
      <w:lvlJc w:val="left"/>
      <w:pPr>
        <w:ind w:left="1008" w:firstLine="0"/>
      </w:pPr>
      <w:rPr>
        <w:rFonts w:cs="Times New Roman"/>
        <w:position w:val="0"/>
        <w:sz w:val="28"/>
        <w:vertAlign w:val="baseline"/>
      </w:rPr>
    </w:lvl>
    <w:lvl w:ilvl="5">
      <w:start w:val="1"/>
      <w:numFmt w:val="none"/>
      <w:suff w:val="nothing"/>
      <w:lvlText w:val=""/>
      <w:lvlJc w:val="left"/>
      <w:pPr>
        <w:ind w:left="1152" w:firstLine="0"/>
      </w:pPr>
      <w:rPr>
        <w:rFonts w:cs="Times New Roman"/>
        <w:position w:val="0"/>
        <w:sz w:val="28"/>
        <w:vertAlign w:val="baseline"/>
      </w:rPr>
    </w:lvl>
    <w:lvl w:ilvl="6">
      <w:start w:val="1"/>
      <w:numFmt w:val="none"/>
      <w:suff w:val="nothing"/>
      <w:lvlText w:val=""/>
      <w:lvlJc w:val="left"/>
      <w:pPr>
        <w:ind w:left="1296" w:firstLine="0"/>
      </w:pPr>
      <w:rPr>
        <w:rFonts w:cs="Times New Roman"/>
        <w:position w:val="0"/>
        <w:sz w:val="28"/>
        <w:vertAlign w:val="baseline"/>
      </w:rPr>
    </w:lvl>
    <w:lvl w:ilvl="7">
      <w:start w:val="1"/>
      <w:numFmt w:val="none"/>
      <w:suff w:val="nothing"/>
      <w:lvlText w:val=""/>
      <w:lvlJc w:val="left"/>
      <w:pPr>
        <w:ind w:left="1440" w:firstLine="0"/>
      </w:pPr>
      <w:rPr>
        <w:rFonts w:cs="Times New Roman"/>
        <w:position w:val="0"/>
        <w:sz w:val="28"/>
        <w:vertAlign w:val="baseline"/>
      </w:rPr>
    </w:lvl>
    <w:lvl w:ilvl="8">
      <w:start w:val="1"/>
      <w:numFmt w:val="none"/>
      <w:suff w:val="nothing"/>
      <w:lvlText w:val=""/>
      <w:lvlJc w:val="left"/>
      <w:pPr>
        <w:ind w:left="1584" w:firstLine="0"/>
      </w:pPr>
      <w:rPr>
        <w:rFonts w:cs="Times New Roman"/>
        <w:position w:val="0"/>
        <w:sz w:val="28"/>
        <w:vertAlign w:val="baseline"/>
      </w:rPr>
    </w:lvl>
  </w:abstractNum>
  <w:abstractNum w:abstractNumId="1" w15:restartNumberingAfterBreak="0">
    <w:nsid w:val="28243411"/>
    <w:multiLevelType w:val="hybridMultilevel"/>
    <w:tmpl w:val="4276224A"/>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 w15:restartNumberingAfterBreak="0">
    <w:nsid w:val="31E30CA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6F819F6"/>
    <w:multiLevelType w:val="hybridMultilevel"/>
    <w:tmpl w:val="02B64330"/>
    <w:lvl w:ilvl="0" w:tplc="0419000F">
      <w:start w:val="1"/>
      <w:numFmt w:val="decimal"/>
      <w:lvlText w:val="%1."/>
      <w:lvlJc w:val="left"/>
      <w:pPr>
        <w:ind w:left="1506" w:hanging="360"/>
      </w:pPr>
    </w:lvl>
    <w:lvl w:ilvl="1" w:tplc="04190019">
      <w:start w:val="1"/>
      <w:numFmt w:val="lowerLetter"/>
      <w:lvlText w:val="%2."/>
      <w:lvlJc w:val="left"/>
      <w:pPr>
        <w:ind w:left="2226" w:hanging="360"/>
      </w:pPr>
    </w:lvl>
    <w:lvl w:ilvl="2" w:tplc="0419001B">
      <w:start w:val="1"/>
      <w:numFmt w:val="lowerRoman"/>
      <w:lvlText w:val="%3."/>
      <w:lvlJc w:val="right"/>
      <w:pPr>
        <w:ind w:left="2946" w:hanging="180"/>
      </w:pPr>
    </w:lvl>
    <w:lvl w:ilvl="3" w:tplc="0419000F">
      <w:start w:val="1"/>
      <w:numFmt w:val="decimal"/>
      <w:lvlText w:val="%4."/>
      <w:lvlJc w:val="left"/>
      <w:pPr>
        <w:ind w:left="3666" w:hanging="360"/>
      </w:pPr>
    </w:lvl>
    <w:lvl w:ilvl="4" w:tplc="04190019">
      <w:start w:val="1"/>
      <w:numFmt w:val="lowerLetter"/>
      <w:lvlText w:val="%5."/>
      <w:lvlJc w:val="left"/>
      <w:pPr>
        <w:ind w:left="4386" w:hanging="360"/>
      </w:pPr>
    </w:lvl>
    <w:lvl w:ilvl="5" w:tplc="0419001B">
      <w:start w:val="1"/>
      <w:numFmt w:val="lowerRoman"/>
      <w:lvlText w:val="%6."/>
      <w:lvlJc w:val="right"/>
      <w:pPr>
        <w:ind w:left="5106" w:hanging="180"/>
      </w:pPr>
    </w:lvl>
    <w:lvl w:ilvl="6" w:tplc="0419000F">
      <w:start w:val="1"/>
      <w:numFmt w:val="decimal"/>
      <w:lvlText w:val="%7."/>
      <w:lvlJc w:val="left"/>
      <w:pPr>
        <w:ind w:left="5826" w:hanging="360"/>
      </w:pPr>
    </w:lvl>
    <w:lvl w:ilvl="7" w:tplc="04190019">
      <w:start w:val="1"/>
      <w:numFmt w:val="lowerLetter"/>
      <w:lvlText w:val="%8."/>
      <w:lvlJc w:val="left"/>
      <w:pPr>
        <w:ind w:left="6546" w:hanging="360"/>
      </w:pPr>
    </w:lvl>
    <w:lvl w:ilvl="8" w:tplc="0419001B">
      <w:start w:val="1"/>
      <w:numFmt w:val="lowerRoman"/>
      <w:lvlText w:val="%9."/>
      <w:lvlJc w:val="right"/>
      <w:pPr>
        <w:ind w:left="7266" w:hanging="180"/>
      </w:pPr>
    </w:lvl>
  </w:abstractNum>
  <w:abstractNum w:abstractNumId="4" w15:restartNumberingAfterBreak="0">
    <w:nsid w:val="3CC473C1"/>
    <w:multiLevelType w:val="hybridMultilevel"/>
    <w:tmpl w:val="F5B2343A"/>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5" w15:restartNumberingAfterBreak="0">
    <w:nsid w:val="44884689"/>
    <w:multiLevelType w:val="hybridMultilevel"/>
    <w:tmpl w:val="F8FEBA5C"/>
    <w:lvl w:ilvl="0" w:tplc="DAEE943A">
      <w:start w:val="50"/>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450E6B3A"/>
    <w:multiLevelType w:val="hybridMultilevel"/>
    <w:tmpl w:val="A450FB0A"/>
    <w:lvl w:ilvl="0" w:tplc="0422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Times New Roman"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Times New Roman"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Times New Roman" w:hint="default"/>
      </w:rPr>
    </w:lvl>
    <w:lvl w:ilvl="8" w:tplc="04190005">
      <w:start w:val="1"/>
      <w:numFmt w:val="bullet"/>
      <w:lvlText w:val=""/>
      <w:lvlJc w:val="left"/>
      <w:pPr>
        <w:ind w:left="7200" w:hanging="360"/>
      </w:pPr>
      <w:rPr>
        <w:rFonts w:ascii="Wingdings" w:hAnsi="Wingdings" w:hint="default"/>
      </w:rPr>
    </w:lvl>
  </w:abstractNum>
  <w:abstractNum w:abstractNumId="7" w15:restartNumberingAfterBreak="0">
    <w:nsid w:val="46003922"/>
    <w:multiLevelType w:val="hybridMultilevel"/>
    <w:tmpl w:val="84448B92"/>
    <w:lvl w:ilvl="0" w:tplc="82B832BA">
      <w:numFmt w:val="bullet"/>
      <w:lvlText w:val="-"/>
      <w:lvlJc w:val="left"/>
      <w:pPr>
        <w:tabs>
          <w:tab w:val="num" w:pos="720"/>
        </w:tabs>
        <w:ind w:left="720" w:hanging="360"/>
      </w:pPr>
      <w:rPr>
        <w:rFonts w:ascii="Times New Roman" w:eastAsia="Times New Roman" w:hAnsi="Times New Roman" w:cs="Times New Roman" w:hint="default"/>
      </w:rPr>
    </w:lvl>
    <w:lvl w:ilvl="1" w:tplc="04220003">
      <w:start w:val="1"/>
      <w:numFmt w:val="bullet"/>
      <w:lvlText w:val="o"/>
      <w:lvlJc w:val="left"/>
      <w:pPr>
        <w:tabs>
          <w:tab w:val="num" w:pos="1440"/>
        </w:tabs>
        <w:ind w:left="1440" w:hanging="360"/>
      </w:pPr>
      <w:rPr>
        <w:rFonts w:ascii="Courier New" w:hAnsi="Courier New" w:cs="Times New Roman"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cs="Times New Roman"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cs="Times New Roman"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7B12460"/>
    <w:multiLevelType w:val="hybridMultilevel"/>
    <w:tmpl w:val="DE586144"/>
    <w:lvl w:ilvl="0" w:tplc="5BFC60AE">
      <w:start w:val="1"/>
      <w:numFmt w:val="decimal"/>
      <w:lvlText w:val="%1."/>
      <w:lvlJc w:val="left"/>
      <w:pPr>
        <w:tabs>
          <w:tab w:val="num" w:pos="360"/>
        </w:tabs>
        <w:ind w:left="360" w:hanging="360"/>
      </w:pPr>
      <w:rPr>
        <w:rFonts w:ascii="Times New Roman" w:hAnsi="Times New Roman" w:cs="Times New Roman" w:hint="default"/>
        <w:color w:val="auto"/>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15:restartNumberingAfterBreak="0">
    <w:nsid w:val="49464630"/>
    <w:multiLevelType w:val="hybridMultilevel"/>
    <w:tmpl w:val="E02A3FAC"/>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15:restartNumberingAfterBreak="0">
    <w:nsid w:val="51090641"/>
    <w:multiLevelType w:val="hybridMultilevel"/>
    <w:tmpl w:val="1650744A"/>
    <w:lvl w:ilvl="0" w:tplc="0400C2D0">
      <w:start w:val="1"/>
      <w:numFmt w:val="bullet"/>
      <w:lvlText w:val="→"/>
      <w:lvlJc w:val="left"/>
      <w:pPr>
        <w:ind w:left="1440" w:hanging="360"/>
      </w:pPr>
      <w:rPr>
        <w:rFonts w:ascii="Times New Roman" w:hAnsi="Times New Roman" w:cs="Times New Roman"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1" w15:restartNumberingAfterBreak="0">
    <w:nsid w:val="54592741"/>
    <w:multiLevelType w:val="hybridMultilevel"/>
    <w:tmpl w:val="62C47DD6"/>
    <w:lvl w:ilvl="0" w:tplc="0400C2D0">
      <w:start w:val="1"/>
      <w:numFmt w:val="bullet"/>
      <w:lvlText w:val="→"/>
      <w:lvlJc w:val="left"/>
      <w:pPr>
        <w:ind w:left="720" w:hanging="360"/>
      </w:pPr>
      <w:rPr>
        <w:rFonts w:ascii="Times New Roman" w:hAnsi="Times New Roman" w:cs="Times New Roman" w:hint="default"/>
      </w:rPr>
    </w:lvl>
    <w:lvl w:ilvl="1" w:tplc="0400C2D0">
      <w:start w:val="1"/>
      <w:numFmt w:val="bullet"/>
      <w:lvlText w:val="→"/>
      <w:lvlJc w:val="left"/>
      <w:pPr>
        <w:ind w:left="1440" w:hanging="360"/>
      </w:pPr>
      <w:rPr>
        <w:rFonts w:ascii="Times New Roman" w:hAnsi="Times New Roman"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15:restartNumberingAfterBreak="0">
    <w:nsid w:val="5BD41D07"/>
    <w:multiLevelType w:val="hybridMultilevel"/>
    <w:tmpl w:val="091022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638831DD"/>
    <w:multiLevelType w:val="hybridMultilevel"/>
    <w:tmpl w:val="FB324310"/>
    <w:lvl w:ilvl="0" w:tplc="842E5338">
      <w:start w:val="50"/>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 w15:restartNumberingAfterBreak="0">
    <w:nsid w:val="786C2561"/>
    <w:multiLevelType w:val="hybridMultilevel"/>
    <w:tmpl w:val="50483BF0"/>
    <w:lvl w:ilvl="0" w:tplc="00000001">
      <w:start w:val="1"/>
      <w:numFmt w:val="bullet"/>
      <w:lvlText w:val=""/>
      <w:lvlJc w:val="left"/>
      <w:pPr>
        <w:ind w:left="1440" w:hanging="360"/>
      </w:pPr>
      <w:rPr>
        <w:rFonts w:ascii="Symbol" w:hAnsi="Symbol"/>
      </w:rPr>
    </w:lvl>
    <w:lvl w:ilvl="1" w:tplc="04190003">
      <w:start w:val="1"/>
      <w:numFmt w:val="bullet"/>
      <w:lvlText w:val="o"/>
      <w:lvlJc w:val="left"/>
      <w:pPr>
        <w:ind w:left="2160" w:hanging="360"/>
      </w:pPr>
      <w:rPr>
        <w:rFonts w:ascii="Courier New" w:hAnsi="Courier New" w:cs="Times New Roman"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Times New Roman"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Times New Roman" w:hint="default"/>
      </w:rPr>
    </w:lvl>
    <w:lvl w:ilvl="8" w:tplc="04190005">
      <w:start w:val="1"/>
      <w:numFmt w:val="bullet"/>
      <w:lvlText w:val=""/>
      <w:lvlJc w:val="left"/>
      <w:pPr>
        <w:ind w:left="7200" w:hanging="360"/>
      </w:pPr>
      <w:rPr>
        <w:rFonts w:ascii="Wingdings" w:hAnsi="Wingding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5"/>
  </w:num>
  <w:num w:numId="7">
    <w:abstractNumId w:val="13"/>
  </w:num>
  <w:num w:numId="8">
    <w:abstractNumId w:val="13"/>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1"/>
  </w:num>
  <w:num w:numId="15">
    <w:abstractNumId w:val="10"/>
  </w:num>
  <w:num w:numId="16">
    <w:abstractNumId w:val="10"/>
  </w:num>
  <w:num w:numId="17">
    <w:abstractNumId w:val="6"/>
  </w:num>
  <w:num w:numId="18">
    <w:abstractNumId w:val="6"/>
  </w:num>
  <w:num w:numId="19">
    <w:abstractNumId w:val="7"/>
  </w:num>
  <w:num w:numId="20">
    <w:abstractNumId w:val="7"/>
  </w:num>
  <w:num w:numId="21">
    <w:abstractNumId w:val="14"/>
  </w:num>
  <w:num w:numId="22">
    <w:abstractNumId w:val="14"/>
  </w:num>
  <w:num w:numId="23">
    <w:abstractNumId w:val="4"/>
  </w:num>
  <w:num w:numId="24">
    <w:abstractNumId w:val="4"/>
  </w:num>
  <w:num w:numId="25">
    <w:abstractNumId w:val="8"/>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9"/>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59F"/>
    <w:rsid w:val="000027F2"/>
    <w:rsid w:val="0003474B"/>
    <w:rsid w:val="00063C1A"/>
    <w:rsid w:val="000B764C"/>
    <w:rsid w:val="00132FA6"/>
    <w:rsid w:val="00166260"/>
    <w:rsid w:val="001A58B0"/>
    <w:rsid w:val="001A5F74"/>
    <w:rsid w:val="001F5FF9"/>
    <w:rsid w:val="0023188D"/>
    <w:rsid w:val="002C0AFC"/>
    <w:rsid w:val="002E0FFA"/>
    <w:rsid w:val="0039786A"/>
    <w:rsid w:val="003C2169"/>
    <w:rsid w:val="0042783B"/>
    <w:rsid w:val="00435807"/>
    <w:rsid w:val="004413D0"/>
    <w:rsid w:val="004622D7"/>
    <w:rsid w:val="004D60A2"/>
    <w:rsid w:val="004E7365"/>
    <w:rsid w:val="00514B9A"/>
    <w:rsid w:val="005242C9"/>
    <w:rsid w:val="00595A10"/>
    <w:rsid w:val="005F63EC"/>
    <w:rsid w:val="0061555A"/>
    <w:rsid w:val="0064003E"/>
    <w:rsid w:val="00663D7B"/>
    <w:rsid w:val="006E2C95"/>
    <w:rsid w:val="006E540D"/>
    <w:rsid w:val="007174AE"/>
    <w:rsid w:val="00793AD7"/>
    <w:rsid w:val="007C524D"/>
    <w:rsid w:val="008532D4"/>
    <w:rsid w:val="008742E0"/>
    <w:rsid w:val="0088663D"/>
    <w:rsid w:val="008B751B"/>
    <w:rsid w:val="008C0864"/>
    <w:rsid w:val="008E5154"/>
    <w:rsid w:val="009066B2"/>
    <w:rsid w:val="00952586"/>
    <w:rsid w:val="00964B26"/>
    <w:rsid w:val="009A19D6"/>
    <w:rsid w:val="009E4B7D"/>
    <w:rsid w:val="00A02531"/>
    <w:rsid w:val="00A60B23"/>
    <w:rsid w:val="00A61245"/>
    <w:rsid w:val="00AF422B"/>
    <w:rsid w:val="00B366F0"/>
    <w:rsid w:val="00BB402D"/>
    <w:rsid w:val="00BB7BCF"/>
    <w:rsid w:val="00BC570A"/>
    <w:rsid w:val="00C078BE"/>
    <w:rsid w:val="00C239D8"/>
    <w:rsid w:val="00CF693D"/>
    <w:rsid w:val="00D43235"/>
    <w:rsid w:val="00D62CED"/>
    <w:rsid w:val="00D83BD4"/>
    <w:rsid w:val="00D8466F"/>
    <w:rsid w:val="00DB67BF"/>
    <w:rsid w:val="00E00CAF"/>
    <w:rsid w:val="00E324D2"/>
    <w:rsid w:val="00E3259F"/>
    <w:rsid w:val="00E45952"/>
    <w:rsid w:val="00E62AEF"/>
    <w:rsid w:val="00E734AB"/>
    <w:rsid w:val="00EA400D"/>
    <w:rsid w:val="00ED67B0"/>
    <w:rsid w:val="00F450D9"/>
    <w:rsid w:val="00FC10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78A493-1ECE-49C2-9BAD-462F35881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34"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59F"/>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9"/>
    <w:qFormat/>
    <w:rsid w:val="00E3259F"/>
    <w:pPr>
      <w:spacing w:before="100" w:beforeAutospacing="1" w:after="100" w:afterAutospacing="1"/>
      <w:outlineLvl w:val="0"/>
    </w:pPr>
    <w:rPr>
      <w:b/>
      <w:bCs/>
      <w:kern w:val="36"/>
      <w:sz w:val="48"/>
      <w:szCs w:val="48"/>
    </w:rPr>
  </w:style>
  <w:style w:type="paragraph" w:styleId="2">
    <w:name w:val="heading 2"/>
    <w:basedOn w:val="a"/>
    <w:next w:val="a"/>
    <w:link w:val="20"/>
    <w:uiPriority w:val="99"/>
    <w:semiHidden/>
    <w:unhideWhenUsed/>
    <w:qFormat/>
    <w:rsid w:val="00E3259F"/>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uiPriority w:val="99"/>
    <w:semiHidden/>
    <w:unhideWhenUsed/>
    <w:qFormat/>
    <w:rsid w:val="00E3259F"/>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9"/>
    <w:semiHidden/>
    <w:unhideWhenUsed/>
    <w:qFormat/>
    <w:rsid w:val="00E3259F"/>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3259F"/>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9"/>
    <w:semiHidden/>
    <w:rsid w:val="00E3259F"/>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9"/>
    <w:semiHidden/>
    <w:rsid w:val="00E3259F"/>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uiPriority w:val="99"/>
    <w:semiHidden/>
    <w:rsid w:val="00E3259F"/>
    <w:rPr>
      <w:rFonts w:asciiTheme="majorHAnsi" w:eastAsiaTheme="majorEastAsia" w:hAnsiTheme="majorHAnsi" w:cstheme="majorBidi"/>
      <w:b/>
      <w:bCs/>
      <w:i/>
      <w:iCs/>
      <w:color w:val="4F81BD" w:themeColor="accent1"/>
      <w:sz w:val="24"/>
      <w:szCs w:val="24"/>
      <w:lang w:eastAsia="ru-RU"/>
    </w:rPr>
  </w:style>
  <w:style w:type="character" w:styleId="a3">
    <w:name w:val="Hyperlink"/>
    <w:basedOn w:val="a0"/>
    <w:uiPriority w:val="99"/>
    <w:unhideWhenUsed/>
    <w:rsid w:val="00E3259F"/>
    <w:rPr>
      <w:color w:val="0000FF"/>
      <w:u w:val="single"/>
    </w:rPr>
  </w:style>
  <w:style w:type="paragraph" w:styleId="a4">
    <w:name w:val="Normal (Web)"/>
    <w:aliases w:val="Обычный (Web)"/>
    <w:basedOn w:val="a"/>
    <w:uiPriority w:val="34"/>
    <w:unhideWhenUsed/>
    <w:qFormat/>
    <w:rsid w:val="00E3259F"/>
    <w:pPr>
      <w:ind w:left="720"/>
      <w:contextualSpacing/>
    </w:pPr>
  </w:style>
  <w:style w:type="character" w:customStyle="1" w:styleId="a5">
    <w:name w:val="Текст сноски Знак"/>
    <w:basedOn w:val="a0"/>
    <w:link w:val="a6"/>
    <w:uiPriority w:val="99"/>
    <w:semiHidden/>
    <w:locked/>
    <w:rsid w:val="00E3259F"/>
    <w:rPr>
      <w:rFonts w:ascii="Times New Roman" w:eastAsia="MS Mincho" w:hAnsi="Times New Roman" w:cs="Times New Roman"/>
      <w:sz w:val="20"/>
      <w:szCs w:val="20"/>
      <w:lang w:eastAsia="ja-JP"/>
    </w:rPr>
  </w:style>
  <w:style w:type="paragraph" w:styleId="a6">
    <w:name w:val="footnote text"/>
    <w:basedOn w:val="a"/>
    <w:link w:val="a5"/>
    <w:uiPriority w:val="99"/>
    <w:semiHidden/>
    <w:unhideWhenUsed/>
    <w:qFormat/>
    <w:rsid w:val="00E3259F"/>
    <w:rPr>
      <w:rFonts w:eastAsia="MS Mincho"/>
      <w:sz w:val="20"/>
      <w:szCs w:val="20"/>
      <w:lang w:eastAsia="ja-JP"/>
    </w:rPr>
  </w:style>
  <w:style w:type="character" w:customStyle="1" w:styleId="a7">
    <w:name w:val="Текст примечания Знак"/>
    <w:basedOn w:val="a0"/>
    <w:link w:val="a8"/>
    <w:uiPriority w:val="99"/>
    <w:semiHidden/>
    <w:locked/>
    <w:rsid w:val="00E3259F"/>
    <w:rPr>
      <w:rFonts w:ascii="Calibri" w:eastAsia="Calibri" w:hAnsi="Calibri" w:cs="Times New Roman"/>
    </w:rPr>
  </w:style>
  <w:style w:type="paragraph" w:styleId="a8">
    <w:name w:val="annotation text"/>
    <w:basedOn w:val="a"/>
    <w:link w:val="a7"/>
    <w:uiPriority w:val="99"/>
    <w:semiHidden/>
    <w:unhideWhenUsed/>
    <w:qFormat/>
    <w:rsid w:val="00E3259F"/>
    <w:rPr>
      <w:rFonts w:ascii="Calibri" w:eastAsia="Calibri" w:hAnsi="Calibri"/>
      <w:sz w:val="22"/>
      <w:szCs w:val="22"/>
      <w:lang w:eastAsia="en-US"/>
    </w:rPr>
  </w:style>
  <w:style w:type="character" w:customStyle="1" w:styleId="a9">
    <w:name w:val="Верхний колонтитул Знак"/>
    <w:basedOn w:val="a0"/>
    <w:link w:val="aa"/>
    <w:uiPriority w:val="99"/>
    <w:locked/>
    <w:rsid w:val="00E3259F"/>
    <w:rPr>
      <w:rFonts w:ascii="Times New Roman" w:eastAsia="Times New Roman" w:hAnsi="Times New Roman" w:cs="Times New Roman"/>
      <w:sz w:val="24"/>
      <w:szCs w:val="24"/>
      <w:lang w:eastAsia="ru-RU"/>
    </w:rPr>
  </w:style>
  <w:style w:type="paragraph" w:styleId="aa">
    <w:name w:val="header"/>
    <w:basedOn w:val="a"/>
    <w:link w:val="a9"/>
    <w:uiPriority w:val="99"/>
    <w:unhideWhenUsed/>
    <w:qFormat/>
    <w:rsid w:val="00E3259F"/>
    <w:pPr>
      <w:tabs>
        <w:tab w:val="center" w:pos="4677"/>
        <w:tab w:val="right" w:pos="9355"/>
      </w:tabs>
    </w:pPr>
  </w:style>
  <w:style w:type="character" w:customStyle="1" w:styleId="ab">
    <w:name w:val="Нижний колонтитул Знак"/>
    <w:basedOn w:val="a0"/>
    <w:link w:val="ac"/>
    <w:uiPriority w:val="99"/>
    <w:locked/>
    <w:rsid w:val="00E3259F"/>
    <w:rPr>
      <w:rFonts w:ascii="Times New Roman" w:eastAsia="Times New Roman" w:hAnsi="Times New Roman" w:cs="Times New Roman"/>
      <w:sz w:val="24"/>
      <w:szCs w:val="24"/>
      <w:lang w:eastAsia="ru-RU"/>
    </w:rPr>
  </w:style>
  <w:style w:type="paragraph" w:styleId="ac">
    <w:name w:val="footer"/>
    <w:basedOn w:val="a"/>
    <w:link w:val="ab"/>
    <w:uiPriority w:val="99"/>
    <w:unhideWhenUsed/>
    <w:qFormat/>
    <w:rsid w:val="00E3259F"/>
    <w:pPr>
      <w:tabs>
        <w:tab w:val="center" w:pos="4677"/>
        <w:tab w:val="right" w:pos="9355"/>
      </w:tabs>
    </w:pPr>
  </w:style>
  <w:style w:type="character" w:customStyle="1" w:styleId="ad">
    <w:name w:val="Текст концевой сноски Знак"/>
    <w:basedOn w:val="a0"/>
    <w:link w:val="ae"/>
    <w:uiPriority w:val="99"/>
    <w:semiHidden/>
    <w:locked/>
    <w:rsid w:val="00E3259F"/>
    <w:rPr>
      <w:sz w:val="20"/>
      <w:szCs w:val="20"/>
      <w:lang w:val="en-US"/>
    </w:rPr>
  </w:style>
  <w:style w:type="paragraph" w:styleId="ae">
    <w:name w:val="endnote text"/>
    <w:basedOn w:val="a"/>
    <w:link w:val="ad"/>
    <w:uiPriority w:val="99"/>
    <w:semiHidden/>
    <w:unhideWhenUsed/>
    <w:qFormat/>
    <w:rsid w:val="00E3259F"/>
    <w:rPr>
      <w:rFonts w:asciiTheme="minorHAnsi" w:eastAsiaTheme="minorHAnsi" w:hAnsiTheme="minorHAnsi" w:cstheme="minorBidi"/>
      <w:sz w:val="20"/>
      <w:szCs w:val="20"/>
      <w:lang w:val="en-US" w:eastAsia="en-US"/>
    </w:rPr>
  </w:style>
  <w:style w:type="character" w:customStyle="1" w:styleId="af">
    <w:name w:val="Основной текст Знак"/>
    <w:basedOn w:val="a0"/>
    <w:link w:val="af0"/>
    <w:uiPriority w:val="99"/>
    <w:semiHidden/>
    <w:locked/>
    <w:rsid w:val="00E3259F"/>
    <w:rPr>
      <w:rFonts w:ascii="Times New Roman" w:eastAsia="Times New Roman" w:hAnsi="Times New Roman" w:cs="Times New Roman"/>
      <w:sz w:val="24"/>
      <w:szCs w:val="24"/>
      <w:lang w:eastAsia="ru-RU"/>
    </w:rPr>
  </w:style>
  <w:style w:type="paragraph" w:styleId="af0">
    <w:name w:val="Body Text"/>
    <w:basedOn w:val="a"/>
    <w:link w:val="af"/>
    <w:uiPriority w:val="99"/>
    <w:semiHidden/>
    <w:unhideWhenUsed/>
    <w:qFormat/>
    <w:rsid w:val="00E3259F"/>
    <w:pPr>
      <w:spacing w:after="120"/>
    </w:pPr>
  </w:style>
  <w:style w:type="character" w:customStyle="1" w:styleId="af1">
    <w:name w:val="Основной текст с отступом Знак"/>
    <w:basedOn w:val="a0"/>
    <w:link w:val="af2"/>
    <w:uiPriority w:val="99"/>
    <w:semiHidden/>
    <w:locked/>
    <w:rsid w:val="00E3259F"/>
  </w:style>
  <w:style w:type="paragraph" w:styleId="af2">
    <w:name w:val="Body Text Indent"/>
    <w:basedOn w:val="a"/>
    <w:link w:val="af1"/>
    <w:uiPriority w:val="99"/>
    <w:semiHidden/>
    <w:unhideWhenUsed/>
    <w:qFormat/>
    <w:rsid w:val="00E3259F"/>
    <w:pPr>
      <w:spacing w:after="120"/>
      <w:ind w:left="283"/>
    </w:pPr>
    <w:rPr>
      <w:rFonts w:asciiTheme="minorHAnsi" w:eastAsiaTheme="minorHAnsi" w:hAnsiTheme="minorHAnsi" w:cstheme="minorBidi"/>
      <w:sz w:val="22"/>
      <w:szCs w:val="22"/>
      <w:lang w:eastAsia="en-US"/>
    </w:rPr>
  </w:style>
  <w:style w:type="character" w:customStyle="1" w:styleId="af3">
    <w:name w:val="Подзаголовок Знак"/>
    <w:basedOn w:val="a0"/>
    <w:link w:val="af4"/>
    <w:uiPriority w:val="99"/>
    <w:locked/>
    <w:rsid w:val="00E3259F"/>
    <w:rPr>
      <w:rFonts w:ascii="Times New Roman" w:eastAsia="Times New Roman" w:hAnsi="Times New Roman" w:cs="Times New Roman"/>
      <w:b/>
      <w:bCs/>
      <w:sz w:val="24"/>
      <w:szCs w:val="28"/>
      <w:lang w:eastAsia="ru-RU"/>
    </w:rPr>
  </w:style>
  <w:style w:type="paragraph" w:styleId="af4">
    <w:name w:val="Subtitle"/>
    <w:basedOn w:val="a"/>
    <w:next w:val="a"/>
    <w:link w:val="af3"/>
    <w:uiPriority w:val="99"/>
    <w:qFormat/>
    <w:rsid w:val="00E3259F"/>
    <w:pPr>
      <w:numPr>
        <w:ilvl w:val="1"/>
      </w:numPr>
    </w:pPr>
    <w:rPr>
      <w:b/>
      <w:bCs/>
      <w:szCs w:val="28"/>
    </w:rPr>
  </w:style>
  <w:style w:type="character" w:customStyle="1" w:styleId="11">
    <w:name w:val="Текст примечания Знак1"/>
    <w:basedOn w:val="a0"/>
    <w:uiPriority w:val="99"/>
    <w:semiHidden/>
    <w:rsid w:val="00E3259F"/>
    <w:rPr>
      <w:rFonts w:ascii="Times New Roman" w:eastAsia="Times New Roman" w:hAnsi="Times New Roman" w:cs="Times New Roman"/>
      <w:sz w:val="20"/>
      <w:szCs w:val="20"/>
      <w:lang w:eastAsia="ru-RU"/>
    </w:rPr>
  </w:style>
  <w:style w:type="character" w:customStyle="1" w:styleId="af5">
    <w:name w:val="Тема примечания Знак"/>
    <w:basedOn w:val="a7"/>
    <w:link w:val="af6"/>
    <w:uiPriority w:val="99"/>
    <w:semiHidden/>
    <w:locked/>
    <w:rsid w:val="00E3259F"/>
    <w:rPr>
      <w:rFonts w:ascii="Calibri" w:eastAsia="Calibri" w:hAnsi="Calibri" w:cs="Times New Roman"/>
      <w:b/>
      <w:bCs/>
    </w:rPr>
  </w:style>
  <w:style w:type="paragraph" w:styleId="af6">
    <w:name w:val="annotation subject"/>
    <w:basedOn w:val="a8"/>
    <w:next w:val="a8"/>
    <w:link w:val="af5"/>
    <w:uiPriority w:val="99"/>
    <w:semiHidden/>
    <w:unhideWhenUsed/>
    <w:qFormat/>
    <w:rsid w:val="00E3259F"/>
    <w:rPr>
      <w:b/>
      <w:bCs/>
    </w:rPr>
  </w:style>
  <w:style w:type="character" w:customStyle="1" w:styleId="af7">
    <w:name w:val="Текст выноски Знак"/>
    <w:basedOn w:val="a0"/>
    <w:link w:val="af8"/>
    <w:uiPriority w:val="99"/>
    <w:semiHidden/>
    <w:locked/>
    <w:rsid w:val="00E3259F"/>
    <w:rPr>
      <w:rFonts w:ascii="Tahoma" w:eastAsia="Times New Roman" w:hAnsi="Tahoma" w:cs="Tahoma"/>
      <w:sz w:val="16"/>
      <w:szCs w:val="16"/>
      <w:lang w:eastAsia="ru-RU"/>
    </w:rPr>
  </w:style>
  <w:style w:type="paragraph" w:styleId="af8">
    <w:name w:val="Balloon Text"/>
    <w:basedOn w:val="a"/>
    <w:link w:val="af7"/>
    <w:uiPriority w:val="99"/>
    <w:semiHidden/>
    <w:unhideWhenUsed/>
    <w:qFormat/>
    <w:rsid w:val="00E3259F"/>
    <w:rPr>
      <w:rFonts w:ascii="Tahoma" w:hAnsi="Tahoma" w:cs="Tahoma"/>
      <w:sz w:val="16"/>
      <w:szCs w:val="16"/>
    </w:rPr>
  </w:style>
  <w:style w:type="paragraph" w:customStyle="1" w:styleId="xfmc5">
    <w:name w:val="xfmc5"/>
    <w:basedOn w:val="a"/>
    <w:uiPriority w:val="99"/>
    <w:qFormat/>
    <w:rsid w:val="00E3259F"/>
    <w:pPr>
      <w:spacing w:before="100" w:beforeAutospacing="1" w:after="100" w:afterAutospacing="1"/>
      <w:contextualSpacing/>
    </w:pPr>
  </w:style>
  <w:style w:type="paragraph" w:customStyle="1" w:styleId="amaintext">
    <w:name w:val="amaintext"/>
    <w:basedOn w:val="a"/>
    <w:uiPriority w:val="99"/>
    <w:qFormat/>
    <w:rsid w:val="00E3259F"/>
    <w:pPr>
      <w:spacing w:before="100" w:beforeAutospacing="1" w:after="100" w:afterAutospacing="1"/>
      <w:contextualSpacing/>
    </w:pPr>
    <w:rPr>
      <w:rFonts w:eastAsia="Batang"/>
      <w:lang w:eastAsia="ko-KR"/>
    </w:rPr>
  </w:style>
  <w:style w:type="paragraph" w:customStyle="1" w:styleId="12">
    <w:name w:val="Абзац списка1"/>
    <w:basedOn w:val="a"/>
    <w:uiPriority w:val="99"/>
    <w:semiHidden/>
    <w:qFormat/>
    <w:rsid w:val="00E3259F"/>
    <w:pPr>
      <w:spacing w:after="200" w:line="276" w:lineRule="auto"/>
      <w:ind w:left="720"/>
      <w:contextualSpacing/>
    </w:pPr>
    <w:rPr>
      <w:rFonts w:ascii="Calibri" w:hAnsi="Calibri"/>
      <w:sz w:val="22"/>
      <w:szCs w:val="22"/>
      <w:lang w:eastAsia="en-US"/>
    </w:rPr>
  </w:style>
  <w:style w:type="paragraph" w:customStyle="1" w:styleId="copyright">
    <w:name w:val="copyright"/>
    <w:basedOn w:val="a"/>
    <w:uiPriority w:val="99"/>
    <w:qFormat/>
    <w:rsid w:val="00E3259F"/>
    <w:pPr>
      <w:spacing w:before="100" w:beforeAutospacing="1" w:after="100" w:afterAutospacing="1"/>
      <w:contextualSpacing/>
    </w:pPr>
  </w:style>
  <w:style w:type="paragraph" w:customStyle="1" w:styleId="13">
    <w:name w:val="Название1"/>
    <w:basedOn w:val="a"/>
    <w:uiPriority w:val="99"/>
    <w:qFormat/>
    <w:rsid w:val="00E3259F"/>
    <w:pPr>
      <w:spacing w:before="100" w:beforeAutospacing="1" w:after="100" w:afterAutospacing="1"/>
      <w:contextualSpacing/>
    </w:pPr>
  </w:style>
  <w:style w:type="paragraph" w:customStyle="1" w:styleId="rvps12">
    <w:name w:val="rvps12"/>
    <w:basedOn w:val="a"/>
    <w:uiPriority w:val="99"/>
    <w:qFormat/>
    <w:rsid w:val="00E3259F"/>
    <w:pPr>
      <w:spacing w:before="100" w:beforeAutospacing="1" w:after="100" w:afterAutospacing="1"/>
      <w:contextualSpacing/>
    </w:pPr>
  </w:style>
  <w:style w:type="paragraph" w:customStyle="1" w:styleId="rvps6">
    <w:name w:val="rvps6"/>
    <w:basedOn w:val="a"/>
    <w:uiPriority w:val="99"/>
    <w:qFormat/>
    <w:rsid w:val="00E3259F"/>
    <w:pPr>
      <w:spacing w:before="100" w:beforeAutospacing="1" w:after="100" w:afterAutospacing="1"/>
      <w:contextualSpacing/>
    </w:pPr>
  </w:style>
  <w:style w:type="paragraph" w:customStyle="1" w:styleId="p">
    <w:name w:val="p"/>
    <w:basedOn w:val="a"/>
    <w:uiPriority w:val="99"/>
    <w:qFormat/>
    <w:rsid w:val="00E3259F"/>
    <w:pPr>
      <w:spacing w:before="100" w:beforeAutospacing="1" w:after="100" w:afterAutospacing="1"/>
      <w:contextualSpacing/>
    </w:pPr>
  </w:style>
  <w:style w:type="paragraph" w:customStyle="1" w:styleId="xfmc1">
    <w:name w:val="xfmc1"/>
    <w:basedOn w:val="a"/>
    <w:uiPriority w:val="99"/>
    <w:semiHidden/>
    <w:qFormat/>
    <w:rsid w:val="00E3259F"/>
    <w:pPr>
      <w:spacing w:before="100" w:beforeAutospacing="1" w:after="100" w:afterAutospacing="1"/>
      <w:contextualSpacing/>
    </w:pPr>
    <w:rPr>
      <w:rFonts w:eastAsia="Calibri"/>
    </w:rPr>
  </w:style>
  <w:style w:type="paragraph" w:customStyle="1" w:styleId="bigtext">
    <w:name w:val="bigtext"/>
    <w:basedOn w:val="a"/>
    <w:uiPriority w:val="99"/>
    <w:semiHidden/>
    <w:qFormat/>
    <w:rsid w:val="00E3259F"/>
    <w:pPr>
      <w:spacing w:before="100" w:beforeAutospacing="1" w:after="100" w:afterAutospacing="1"/>
      <w:contextualSpacing/>
    </w:pPr>
  </w:style>
  <w:style w:type="paragraph" w:customStyle="1" w:styleId="31">
    <w:name w:val="Абзац списка3"/>
    <w:basedOn w:val="a"/>
    <w:uiPriority w:val="99"/>
    <w:semiHidden/>
    <w:qFormat/>
    <w:rsid w:val="00E3259F"/>
    <w:pPr>
      <w:spacing w:after="200" w:line="276" w:lineRule="auto"/>
      <w:ind w:left="720"/>
      <w:contextualSpacing/>
    </w:pPr>
    <w:rPr>
      <w:rFonts w:ascii="Calibri" w:hAnsi="Calibri"/>
      <w:sz w:val="22"/>
      <w:szCs w:val="22"/>
      <w:lang w:eastAsia="en-US"/>
    </w:rPr>
  </w:style>
  <w:style w:type="paragraph" w:customStyle="1" w:styleId="xfmc2">
    <w:name w:val="xfmc2"/>
    <w:basedOn w:val="a"/>
    <w:uiPriority w:val="99"/>
    <w:qFormat/>
    <w:rsid w:val="00E3259F"/>
    <w:pPr>
      <w:spacing w:before="100" w:beforeAutospacing="1" w:after="100" w:afterAutospacing="1"/>
      <w:contextualSpacing/>
    </w:pPr>
  </w:style>
  <w:style w:type="paragraph" w:customStyle="1" w:styleId="atextRef">
    <w:name w:val="atextRef"/>
    <w:basedOn w:val="a"/>
    <w:uiPriority w:val="1"/>
    <w:qFormat/>
    <w:rsid w:val="00E3259F"/>
    <w:pPr>
      <w:autoSpaceDE w:val="0"/>
      <w:autoSpaceDN w:val="0"/>
      <w:adjustRightInd w:val="0"/>
      <w:spacing w:line="264" w:lineRule="auto"/>
      <w:ind w:firstLine="680"/>
      <w:contextualSpacing/>
      <w:jc w:val="both"/>
    </w:pPr>
    <w:rPr>
      <w:rFonts w:cs="Arial"/>
      <w:sz w:val="28"/>
      <w:szCs w:val="28"/>
      <w:lang w:val="uk-UA" w:eastAsia="en-US"/>
    </w:rPr>
  </w:style>
  <w:style w:type="paragraph" w:customStyle="1" w:styleId="arefZag">
    <w:name w:val="arefZag"/>
    <w:basedOn w:val="a"/>
    <w:uiPriority w:val="99"/>
    <w:qFormat/>
    <w:rsid w:val="00E3259F"/>
    <w:pPr>
      <w:spacing w:before="480" w:after="120"/>
      <w:contextualSpacing/>
      <w:jc w:val="center"/>
    </w:pPr>
    <w:rPr>
      <w:b/>
      <w:sz w:val="28"/>
      <w:szCs w:val="28"/>
      <w:lang w:val="uk-UA" w:eastAsia="en-US"/>
    </w:rPr>
  </w:style>
  <w:style w:type="paragraph" w:customStyle="1" w:styleId="Default">
    <w:name w:val="Default"/>
    <w:uiPriority w:val="34"/>
    <w:qFormat/>
    <w:rsid w:val="00E3259F"/>
    <w:pPr>
      <w:autoSpaceDE w:val="0"/>
      <w:autoSpaceDN w:val="0"/>
      <w:adjustRightInd w:val="0"/>
      <w:spacing w:after="0" w:line="240" w:lineRule="auto"/>
      <w:contextualSpacing/>
    </w:pPr>
    <w:rPr>
      <w:rFonts w:ascii="Times New Roman" w:eastAsia="Times New Roman" w:hAnsi="Times New Roman" w:cs="Times New Roman"/>
      <w:color w:val="000000"/>
      <w:sz w:val="24"/>
      <w:szCs w:val="24"/>
      <w:lang w:eastAsia="ru-RU"/>
    </w:rPr>
  </w:style>
  <w:style w:type="character" w:customStyle="1" w:styleId="14">
    <w:name w:val="Текст сноски Знак1"/>
    <w:basedOn w:val="a0"/>
    <w:uiPriority w:val="99"/>
    <w:semiHidden/>
    <w:rsid w:val="00E3259F"/>
    <w:rPr>
      <w:rFonts w:ascii="Times New Roman" w:eastAsia="Times New Roman" w:hAnsi="Times New Roman" w:cs="Times New Roman"/>
      <w:sz w:val="20"/>
      <w:szCs w:val="20"/>
      <w:lang w:eastAsia="ru-RU"/>
    </w:rPr>
  </w:style>
  <w:style w:type="character" w:customStyle="1" w:styleId="15">
    <w:name w:val="Верхний колонтитул Знак1"/>
    <w:basedOn w:val="a0"/>
    <w:uiPriority w:val="99"/>
    <w:semiHidden/>
    <w:rsid w:val="00E3259F"/>
    <w:rPr>
      <w:rFonts w:ascii="Times New Roman" w:eastAsia="Times New Roman" w:hAnsi="Times New Roman" w:cs="Times New Roman"/>
      <w:sz w:val="24"/>
      <w:szCs w:val="24"/>
      <w:lang w:eastAsia="ru-RU"/>
    </w:rPr>
  </w:style>
  <w:style w:type="character" w:customStyle="1" w:styleId="16">
    <w:name w:val="Нижний колонтитул Знак1"/>
    <w:basedOn w:val="a0"/>
    <w:uiPriority w:val="99"/>
    <w:semiHidden/>
    <w:rsid w:val="00E3259F"/>
    <w:rPr>
      <w:rFonts w:ascii="Times New Roman" w:eastAsia="Times New Roman" w:hAnsi="Times New Roman" w:cs="Times New Roman"/>
      <w:sz w:val="24"/>
      <w:szCs w:val="24"/>
      <w:lang w:eastAsia="ru-RU"/>
    </w:rPr>
  </w:style>
  <w:style w:type="character" w:customStyle="1" w:styleId="17">
    <w:name w:val="Текст концевой сноски Знак1"/>
    <w:basedOn w:val="a0"/>
    <w:uiPriority w:val="99"/>
    <w:semiHidden/>
    <w:rsid w:val="00E3259F"/>
    <w:rPr>
      <w:rFonts w:ascii="Times New Roman" w:eastAsia="Times New Roman" w:hAnsi="Times New Roman" w:cs="Times New Roman"/>
      <w:sz w:val="20"/>
      <w:szCs w:val="20"/>
      <w:lang w:eastAsia="ru-RU"/>
    </w:rPr>
  </w:style>
  <w:style w:type="character" w:customStyle="1" w:styleId="18">
    <w:name w:val="Основной текст Знак1"/>
    <w:basedOn w:val="a0"/>
    <w:uiPriority w:val="99"/>
    <w:semiHidden/>
    <w:rsid w:val="00E3259F"/>
    <w:rPr>
      <w:rFonts w:ascii="Times New Roman" w:eastAsia="Times New Roman" w:hAnsi="Times New Roman" w:cs="Times New Roman"/>
      <w:sz w:val="24"/>
      <w:szCs w:val="24"/>
      <w:lang w:eastAsia="ru-RU"/>
    </w:rPr>
  </w:style>
  <w:style w:type="character" w:customStyle="1" w:styleId="19">
    <w:name w:val="Основной текст с отступом Знак1"/>
    <w:basedOn w:val="a0"/>
    <w:uiPriority w:val="99"/>
    <w:semiHidden/>
    <w:rsid w:val="00E3259F"/>
    <w:rPr>
      <w:rFonts w:ascii="Times New Roman" w:eastAsia="Times New Roman" w:hAnsi="Times New Roman" w:cs="Times New Roman"/>
      <w:sz w:val="24"/>
      <w:szCs w:val="24"/>
      <w:lang w:eastAsia="ru-RU"/>
    </w:rPr>
  </w:style>
  <w:style w:type="character" w:customStyle="1" w:styleId="1a">
    <w:name w:val="Подзаголовок Знак1"/>
    <w:basedOn w:val="a0"/>
    <w:uiPriority w:val="99"/>
    <w:rsid w:val="00E3259F"/>
    <w:rPr>
      <w:rFonts w:asciiTheme="majorHAnsi" w:eastAsiaTheme="majorEastAsia" w:hAnsiTheme="majorHAnsi" w:cstheme="majorBidi"/>
      <w:i/>
      <w:iCs/>
      <w:color w:val="4F81BD" w:themeColor="accent1"/>
      <w:spacing w:val="15"/>
      <w:sz w:val="24"/>
      <w:szCs w:val="24"/>
      <w:lang w:eastAsia="ru-RU"/>
    </w:rPr>
  </w:style>
  <w:style w:type="character" w:customStyle="1" w:styleId="1b">
    <w:name w:val="Тема примечания Знак1"/>
    <w:basedOn w:val="11"/>
    <w:uiPriority w:val="99"/>
    <w:semiHidden/>
    <w:rsid w:val="00E3259F"/>
    <w:rPr>
      <w:rFonts w:ascii="Times New Roman" w:eastAsia="Times New Roman" w:hAnsi="Times New Roman" w:cs="Times New Roman"/>
      <w:b/>
      <w:bCs/>
      <w:sz w:val="20"/>
      <w:szCs w:val="20"/>
      <w:lang w:eastAsia="ru-RU"/>
    </w:rPr>
  </w:style>
  <w:style w:type="character" w:customStyle="1" w:styleId="1c">
    <w:name w:val="Текст выноски Знак1"/>
    <w:basedOn w:val="a0"/>
    <w:uiPriority w:val="99"/>
    <w:semiHidden/>
    <w:rsid w:val="00E3259F"/>
    <w:rPr>
      <w:rFonts w:ascii="Tahoma" w:eastAsia="Times New Roman" w:hAnsi="Tahoma" w:cs="Tahoma"/>
      <w:sz w:val="16"/>
      <w:szCs w:val="16"/>
      <w:lang w:eastAsia="ru-RU"/>
    </w:rPr>
  </w:style>
  <w:style w:type="character" w:customStyle="1" w:styleId="tlid-translation">
    <w:name w:val="tlid-translation"/>
    <w:basedOn w:val="a0"/>
    <w:uiPriority w:val="99"/>
    <w:rsid w:val="00E3259F"/>
  </w:style>
  <w:style w:type="character" w:customStyle="1" w:styleId="highlight">
    <w:name w:val="highlight"/>
    <w:basedOn w:val="a0"/>
    <w:uiPriority w:val="99"/>
    <w:rsid w:val="00E3259F"/>
  </w:style>
  <w:style w:type="character" w:customStyle="1" w:styleId="cit">
    <w:name w:val="cit"/>
    <w:basedOn w:val="a0"/>
    <w:rsid w:val="00E3259F"/>
  </w:style>
  <w:style w:type="character" w:customStyle="1" w:styleId="fm-vol-iss-date">
    <w:name w:val="fm-vol-iss-date"/>
    <w:basedOn w:val="a0"/>
    <w:uiPriority w:val="99"/>
    <w:rsid w:val="00E3259F"/>
  </w:style>
  <w:style w:type="character" w:customStyle="1" w:styleId="doi">
    <w:name w:val="doi"/>
    <w:basedOn w:val="a0"/>
    <w:rsid w:val="00E3259F"/>
  </w:style>
  <w:style w:type="character" w:customStyle="1" w:styleId="fm-citation-ids-label">
    <w:name w:val="fm-citation-ids-label"/>
    <w:basedOn w:val="a0"/>
    <w:uiPriority w:val="99"/>
    <w:rsid w:val="00E3259F"/>
  </w:style>
  <w:style w:type="character" w:customStyle="1" w:styleId="ref-title">
    <w:name w:val="ref-title"/>
    <w:basedOn w:val="a0"/>
    <w:uiPriority w:val="99"/>
    <w:rsid w:val="00E3259F"/>
  </w:style>
  <w:style w:type="character" w:customStyle="1" w:styleId="ref-journal">
    <w:name w:val="ref-journal"/>
    <w:basedOn w:val="a0"/>
    <w:uiPriority w:val="99"/>
    <w:rsid w:val="00E3259F"/>
  </w:style>
  <w:style w:type="character" w:customStyle="1" w:styleId="ref-vol">
    <w:name w:val="ref-vol"/>
    <w:basedOn w:val="a0"/>
    <w:uiPriority w:val="99"/>
    <w:rsid w:val="00E3259F"/>
  </w:style>
  <w:style w:type="character" w:customStyle="1" w:styleId="element-citation">
    <w:name w:val="element-citation"/>
    <w:basedOn w:val="a0"/>
    <w:uiPriority w:val="99"/>
    <w:rsid w:val="00E3259F"/>
  </w:style>
  <w:style w:type="character" w:customStyle="1" w:styleId="nowrap">
    <w:name w:val="nowrap"/>
    <w:basedOn w:val="a0"/>
    <w:uiPriority w:val="99"/>
    <w:rsid w:val="00E3259F"/>
  </w:style>
  <w:style w:type="character" w:customStyle="1" w:styleId="tlid-translationtranslation">
    <w:name w:val="tlid-translation translation"/>
    <w:basedOn w:val="a0"/>
    <w:rsid w:val="00E3259F"/>
  </w:style>
  <w:style w:type="character" w:customStyle="1" w:styleId="longtext1">
    <w:name w:val="longtext1"/>
    <w:basedOn w:val="a0"/>
    <w:uiPriority w:val="99"/>
    <w:rsid w:val="00E3259F"/>
  </w:style>
  <w:style w:type="character" w:customStyle="1" w:styleId="xfm54080516">
    <w:name w:val="xfm54080516"/>
    <w:basedOn w:val="a0"/>
    <w:uiPriority w:val="99"/>
    <w:rsid w:val="00E3259F"/>
  </w:style>
  <w:style w:type="character" w:customStyle="1" w:styleId="ui-ncbitoggler-master-text">
    <w:name w:val="ui-ncbitoggler-master-text"/>
    <w:basedOn w:val="a0"/>
    <w:uiPriority w:val="99"/>
    <w:rsid w:val="00E3259F"/>
  </w:style>
  <w:style w:type="character" w:customStyle="1" w:styleId="hl">
    <w:name w:val="hl"/>
    <w:basedOn w:val="a0"/>
    <w:rsid w:val="00E3259F"/>
  </w:style>
  <w:style w:type="character" w:customStyle="1" w:styleId="shorttext">
    <w:name w:val="short_text"/>
    <w:basedOn w:val="a0"/>
    <w:rsid w:val="00E3259F"/>
  </w:style>
  <w:style w:type="character" w:customStyle="1" w:styleId="apple-converted-space">
    <w:name w:val="apple-converted-space"/>
    <w:basedOn w:val="a0"/>
    <w:rsid w:val="00E3259F"/>
  </w:style>
  <w:style w:type="character" w:customStyle="1" w:styleId="xfmc3">
    <w:name w:val="xfmc3"/>
    <w:basedOn w:val="a0"/>
    <w:rsid w:val="00E3259F"/>
  </w:style>
  <w:style w:type="character" w:customStyle="1" w:styleId="xfm53568167">
    <w:name w:val="xfm_53568167"/>
    <w:basedOn w:val="a0"/>
    <w:uiPriority w:val="99"/>
    <w:rsid w:val="00E3259F"/>
  </w:style>
  <w:style w:type="character" w:customStyle="1" w:styleId="mixed-citation">
    <w:name w:val="mixed-citation"/>
    <w:basedOn w:val="a0"/>
    <w:uiPriority w:val="99"/>
    <w:rsid w:val="00E3259F"/>
  </w:style>
  <w:style w:type="character" w:customStyle="1" w:styleId="longtext10">
    <w:name w:val="long_text1"/>
    <w:basedOn w:val="a0"/>
    <w:uiPriority w:val="99"/>
    <w:qFormat/>
    <w:rsid w:val="00E3259F"/>
    <w:rPr>
      <w:rFonts w:ascii="Times New Roman" w:hAnsi="Times New Roman" w:cs="Times New Roman" w:hint="default"/>
      <w:sz w:val="20"/>
      <w:szCs w:val="20"/>
    </w:rPr>
  </w:style>
  <w:style w:type="character" w:customStyle="1" w:styleId="rvts0">
    <w:name w:val="rvts0"/>
    <w:basedOn w:val="a0"/>
    <w:uiPriority w:val="99"/>
    <w:rsid w:val="00E3259F"/>
  </w:style>
  <w:style w:type="character" w:customStyle="1" w:styleId="rvts9">
    <w:name w:val="rvts9"/>
    <w:basedOn w:val="a0"/>
    <w:uiPriority w:val="99"/>
    <w:rsid w:val="00E3259F"/>
  </w:style>
  <w:style w:type="character" w:customStyle="1" w:styleId="rvts23">
    <w:name w:val="rvts23"/>
    <w:basedOn w:val="a0"/>
    <w:uiPriority w:val="99"/>
    <w:rsid w:val="00E3259F"/>
  </w:style>
  <w:style w:type="character" w:customStyle="1" w:styleId="citation-publication-date">
    <w:name w:val="citation-publication-date"/>
    <w:basedOn w:val="a0"/>
    <w:uiPriority w:val="99"/>
    <w:rsid w:val="00E3259F"/>
  </w:style>
  <w:style w:type="character" w:customStyle="1" w:styleId="html-italic">
    <w:name w:val="html-italic"/>
    <w:basedOn w:val="a0"/>
    <w:uiPriority w:val="99"/>
    <w:rsid w:val="00E3259F"/>
  </w:style>
  <w:style w:type="character" w:customStyle="1" w:styleId="xfm65112403">
    <w:name w:val="xfm_65112403"/>
    <w:basedOn w:val="a0"/>
    <w:uiPriority w:val="99"/>
    <w:rsid w:val="00E3259F"/>
  </w:style>
  <w:style w:type="character" w:customStyle="1" w:styleId="name">
    <w:name w:val="name"/>
    <w:basedOn w:val="a0"/>
    <w:uiPriority w:val="99"/>
    <w:rsid w:val="00E3259F"/>
  </w:style>
  <w:style w:type="character" w:customStyle="1" w:styleId="xref-sep">
    <w:name w:val="xref-sep"/>
    <w:basedOn w:val="a0"/>
    <w:uiPriority w:val="99"/>
    <w:rsid w:val="00E3259F"/>
  </w:style>
  <w:style w:type="character" w:customStyle="1" w:styleId="slug-pub-date">
    <w:name w:val="slug-pub-date"/>
    <w:basedOn w:val="a0"/>
    <w:uiPriority w:val="99"/>
    <w:rsid w:val="00E3259F"/>
  </w:style>
  <w:style w:type="character" w:customStyle="1" w:styleId="slug-vol">
    <w:name w:val="slug-vol"/>
    <w:basedOn w:val="a0"/>
    <w:uiPriority w:val="99"/>
    <w:rsid w:val="00E3259F"/>
  </w:style>
  <w:style w:type="character" w:customStyle="1" w:styleId="slug-pages">
    <w:name w:val="slug-pages"/>
    <w:basedOn w:val="a0"/>
    <w:uiPriority w:val="99"/>
    <w:rsid w:val="00E3259F"/>
  </w:style>
  <w:style w:type="character" w:customStyle="1" w:styleId="xfm51693869">
    <w:name w:val="xfm_51693869"/>
    <w:basedOn w:val="a0"/>
    <w:uiPriority w:val="99"/>
    <w:rsid w:val="00E3259F"/>
  </w:style>
  <w:style w:type="character" w:customStyle="1" w:styleId="xfm09242343">
    <w:name w:val="xfm_09242343"/>
    <w:basedOn w:val="a0"/>
    <w:uiPriority w:val="99"/>
    <w:rsid w:val="00E3259F"/>
  </w:style>
  <w:style w:type="character" w:customStyle="1" w:styleId="highwire-cite-metadata-date">
    <w:name w:val="highwire-cite-metadata-date"/>
    <w:basedOn w:val="a0"/>
    <w:qFormat/>
    <w:rsid w:val="00E3259F"/>
  </w:style>
  <w:style w:type="character" w:customStyle="1" w:styleId="jrnl">
    <w:name w:val="jrnl"/>
    <w:basedOn w:val="a0"/>
    <w:uiPriority w:val="99"/>
    <w:rsid w:val="00E3259F"/>
  </w:style>
  <w:style w:type="character" w:customStyle="1" w:styleId="hdesc">
    <w:name w:val="hdesc"/>
    <w:basedOn w:val="a0"/>
    <w:uiPriority w:val="99"/>
    <w:rsid w:val="00E3259F"/>
  </w:style>
  <w:style w:type="character" w:customStyle="1" w:styleId="label">
    <w:name w:val="label"/>
    <w:basedOn w:val="a0"/>
    <w:rsid w:val="00E3259F"/>
  </w:style>
  <w:style w:type="character" w:customStyle="1" w:styleId="xfm96413466">
    <w:name w:val="xfm_96413466"/>
    <w:basedOn w:val="a0"/>
    <w:uiPriority w:val="99"/>
    <w:rsid w:val="00E3259F"/>
  </w:style>
  <w:style w:type="character" w:customStyle="1" w:styleId="absmetadatalabel">
    <w:name w:val="abs_metadata_label"/>
    <w:basedOn w:val="a0"/>
    <w:uiPriority w:val="99"/>
    <w:rsid w:val="00E3259F"/>
  </w:style>
  <w:style w:type="character" w:customStyle="1" w:styleId="xfm43903445">
    <w:name w:val="xfm_43903445"/>
    <w:basedOn w:val="a0"/>
    <w:uiPriority w:val="99"/>
    <w:rsid w:val="00E3259F"/>
  </w:style>
  <w:style w:type="character" w:customStyle="1" w:styleId="reference">
    <w:name w:val="reference"/>
    <w:basedOn w:val="a0"/>
    <w:uiPriority w:val="99"/>
    <w:rsid w:val="00E3259F"/>
  </w:style>
  <w:style w:type="character" w:customStyle="1" w:styleId="refauthors">
    <w:name w:val="refauthors"/>
    <w:basedOn w:val="a0"/>
    <w:uiPriority w:val="99"/>
    <w:rsid w:val="00E3259F"/>
  </w:style>
  <w:style w:type="character" w:customStyle="1" w:styleId="reftitle">
    <w:name w:val="reftitle"/>
    <w:basedOn w:val="a0"/>
    <w:uiPriority w:val="99"/>
    <w:rsid w:val="00E3259F"/>
  </w:style>
  <w:style w:type="character" w:customStyle="1" w:styleId="refseriestitle">
    <w:name w:val="refseriestitle"/>
    <w:basedOn w:val="a0"/>
    <w:uiPriority w:val="99"/>
    <w:rsid w:val="00E3259F"/>
  </w:style>
  <w:style w:type="character" w:customStyle="1" w:styleId="refseriesdate">
    <w:name w:val="refseriesdate"/>
    <w:basedOn w:val="a0"/>
    <w:uiPriority w:val="99"/>
    <w:rsid w:val="00E3259F"/>
  </w:style>
  <w:style w:type="character" w:customStyle="1" w:styleId="refseriesvolume">
    <w:name w:val="refseriesvolume"/>
    <w:basedOn w:val="a0"/>
    <w:uiPriority w:val="99"/>
    <w:rsid w:val="00E3259F"/>
  </w:style>
  <w:style w:type="character" w:customStyle="1" w:styleId="refpages">
    <w:name w:val="refpages"/>
    <w:basedOn w:val="a0"/>
    <w:uiPriority w:val="99"/>
    <w:rsid w:val="00E3259F"/>
  </w:style>
  <w:style w:type="character" w:customStyle="1" w:styleId="xref-aff">
    <w:name w:val="xref-aff"/>
    <w:basedOn w:val="a0"/>
    <w:uiPriority w:val="99"/>
    <w:rsid w:val="00E3259F"/>
  </w:style>
  <w:style w:type="character" w:customStyle="1" w:styleId="highwire-cite-metadata-journal">
    <w:name w:val="highwire-cite-metadata-journal"/>
    <w:basedOn w:val="a0"/>
    <w:rsid w:val="00E3259F"/>
  </w:style>
  <w:style w:type="character" w:customStyle="1" w:styleId="highwire-cite-metadata-volume">
    <w:name w:val="highwire-cite-metadata-volume"/>
    <w:basedOn w:val="a0"/>
    <w:rsid w:val="00E3259F"/>
  </w:style>
  <w:style w:type="character" w:customStyle="1" w:styleId="highwire-cite-metadata-issue">
    <w:name w:val="highwire-cite-metadata-issue"/>
    <w:basedOn w:val="a0"/>
    <w:rsid w:val="00E3259F"/>
  </w:style>
  <w:style w:type="character" w:customStyle="1" w:styleId="highwire-cite-metadata-pages">
    <w:name w:val="highwire-cite-metadata-pages"/>
    <w:basedOn w:val="a0"/>
    <w:rsid w:val="00E3259F"/>
  </w:style>
  <w:style w:type="character" w:customStyle="1" w:styleId="atricleauthorwork">
    <w:name w:val="atricle_author_work"/>
    <w:basedOn w:val="a0"/>
    <w:uiPriority w:val="99"/>
    <w:rsid w:val="00E3259F"/>
  </w:style>
  <w:style w:type="character" w:customStyle="1" w:styleId="xfm61955263">
    <w:name w:val="xfm_61955263"/>
    <w:basedOn w:val="a0"/>
    <w:uiPriority w:val="99"/>
    <w:rsid w:val="00E3259F"/>
  </w:style>
  <w:style w:type="character" w:customStyle="1" w:styleId="hps">
    <w:name w:val="hps"/>
    <w:basedOn w:val="a0"/>
    <w:rsid w:val="00E3259F"/>
  </w:style>
  <w:style w:type="character" w:customStyle="1" w:styleId="atn">
    <w:name w:val="atn"/>
    <w:basedOn w:val="a0"/>
    <w:rsid w:val="00E3259F"/>
  </w:style>
  <w:style w:type="character" w:customStyle="1" w:styleId="bkciteavail">
    <w:name w:val="bk_cite_avail"/>
    <w:rsid w:val="00E3259F"/>
  </w:style>
  <w:style w:type="character" w:customStyle="1" w:styleId="nlm-collab">
    <w:name w:val="nlm-collab"/>
    <w:rsid w:val="00E3259F"/>
  </w:style>
  <w:style w:type="character" w:customStyle="1" w:styleId="highwire-cite-metadata-doi">
    <w:name w:val="highwire-cite-metadata-doi"/>
    <w:rsid w:val="00E3259F"/>
  </w:style>
  <w:style w:type="character" w:customStyle="1" w:styleId="author-sup-separator">
    <w:name w:val="author-sup-separator"/>
    <w:basedOn w:val="a0"/>
    <w:rsid w:val="00E3259F"/>
  </w:style>
  <w:style w:type="character" w:customStyle="1" w:styleId="authors-list-item">
    <w:name w:val="authors-list-item"/>
    <w:basedOn w:val="a0"/>
    <w:rsid w:val="00E3259F"/>
  </w:style>
  <w:style w:type="character" w:customStyle="1" w:styleId="comma">
    <w:name w:val="comma"/>
    <w:basedOn w:val="a0"/>
    <w:rsid w:val="00E3259F"/>
  </w:style>
  <w:style w:type="character" w:customStyle="1" w:styleId="citation-doi">
    <w:name w:val="citation-doi"/>
    <w:basedOn w:val="a0"/>
    <w:rsid w:val="00E3259F"/>
  </w:style>
  <w:style w:type="character" w:customStyle="1" w:styleId="small-text">
    <w:name w:val="small-text"/>
    <w:basedOn w:val="a0"/>
    <w:rsid w:val="00E3259F"/>
  </w:style>
  <w:style w:type="character" w:customStyle="1" w:styleId="secondary-date">
    <w:name w:val="secondary-date"/>
    <w:basedOn w:val="a0"/>
    <w:rsid w:val="00E3259F"/>
  </w:style>
  <w:style w:type="character" w:customStyle="1" w:styleId="docsum-authors">
    <w:name w:val="docsum-authors"/>
    <w:basedOn w:val="a0"/>
    <w:rsid w:val="00E3259F"/>
  </w:style>
  <w:style w:type="character" w:customStyle="1" w:styleId="docsum-journal-citation">
    <w:name w:val="docsum-journal-citation"/>
    <w:basedOn w:val="a0"/>
    <w:rsid w:val="00E3259F"/>
  </w:style>
  <w:style w:type="character" w:customStyle="1" w:styleId="period">
    <w:name w:val="period"/>
    <w:basedOn w:val="a0"/>
    <w:rsid w:val="00E3259F"/>
  </w:style>
  <w:style w:type="table" w:styleId="af9">
    <w:name w:val="Table Grid"/>
    <w:basedOn w:val="a1"/>
    <w:uiPriority w:val="99"/>
    <w:rsid w:val="00E325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basedOn w:val="a0"/>
    <w:uiPriority w:val="99"/>
    <w:qFormat/>
    <w:rsid w:val="00E3259F"/>
    <w:rPr>
      <w:b/>
      <w:bCs/>
    </w:rPr>
  </w:style>
  <w:style w:type="character" w:styleId="afb">
    <w:name w:val="Emphasis"/>
    <w:basedOn w:val="a0"/>
    <w:uiPriority w:val="20"/>
    <w:qFormat/>
    <w:rsid w:val="00E3259F"/>
    <w:rPr>
      <w:i/>
      <w:iCs/>
    </w:rPr>
  </w:style>
  <w:style w:type="paragraph" w:styleId="afc">
    <w:name w:val="List Paragraph"/>
    <w:basedOn w:val="a"/>
    <w:uiPriority w:val="34"/>
    <w:qFormat/>
    <w:rsid w:val="003C21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746337">
      <w:bodyDiv w:val="1"/>
      <w:marLeft w:val="0"/>
      <w:marRight w:val="0"/>
      <w:marTop w:val="0"/>
      <w:marBottom w:val="0"/>
      <w:divBdr>
        <w:top w:val="none" w:sz="0" w:space="0" w:color="auto"/>
        <w:left w:val="none" w:sz="0" w:space="0" w:color="auto"/>
        <w:bottom w:val="none" w:sz="0" w:space="0" w:color="auto"/>
        <w:right w:val="none" w:sz="0" w:space="0" w:color="auto"/>
      </w:divBdr>
    </w:div>
    <w:div w:id="192691750">
      <w:bodyDiv w:val="1"/>
      <w:marLeft w:val="0"/>
      <w:marRight w:val="0"/>
      <w:marTop w:val="0"/>
      <w:marBottom w:val="0"/>
      <w:divBdr>
        <w:top w:val="none" w:sz="0" w:space="0" w:color="auto"/>
        <w:left w:val="none" w:sz="0" w:space="0" w:color="auto"/>
        <w:bottom w:val="none" w:sz="0" w:space="0" w:color="auto"/>
        <w:right w:val="none" w:sz="0" w:space="0" w:color="auto"/>
      </w:divBdr>
    </w:div>
    <w:div w:id="272523145">
      <w:bodyDiv w:val="1"/>
      <w:marLeft w:val="0"/>
      <w:marRight w:val="0"/>
      <w:marTop w:val="0"/>
      <w:marBottom w:val="0"/>
      <w:divBdr>
        <w:top w:val="none" w:sz="0" w:space="0" w:color="auto"/>
        <w:left w:val="none" w:sz="0" w:space="0" w:color="auto"/>
        <w:bottom w:val="none" w:sz="0" w:space="0" w:color="auto"/>
        <w:right w:val="none" w:sz="0" w:space="0" w:color="auto"/>
      </w:divBdr>
    </w:div>
    <w:div w:id="290747764">
      <w:bodyDiv w:val="1"/>
      <w:marLeft w:val="0"/>
      <w:marRight w:val="0"/>
      <w:marTop w:val="0"/>
      <w:marBottom w:val="0"/>
      <w:divBdr>
        <w:top w:val="none" w:sz="0" w:space="0" w:color="auto"/>
        <w:left w:val="none" w:sz="0" w:space="0" w:color="auto"/>
        <w:bottom w:val="none" w:sz="0" w:space="0" w:color="auto"/>
        <w:right w:val="none" w:sz="0" w:space="0" w:color="auto"/>
      </w:divBdr>
    </w:div>
    <w:div w:id="982661167">
      <w:bodyDiv w:val="1"/>
      <w:marLeft w:val="0"/>
      <w:marRight w:val="0"/>
      <w:marTop w:val="0"/>
      <w:marBottom w:val="0"/>
      <w:divBdr>
        <w:top w:val="none" w:sz="0" w:space="0" w:color="auto"/>
        <w:left w:val="none" w:sz="0" w:space="0" w:color="auto"/>
        <w:bottom w:val="none" w:sz="0" w:space="0" w:color="auto"/>
        <w:right w:val="none" w:sz="0" w:space="0" w:color="auto"/>
      </w:divBdr>
    </w:div>
    <w:div w:id="1015689511">
      <w:bodyDiv w:val="1"/>
      <w:marLeft w:val="0"/>
      <w:marRight w:val="0"/>
      <w:marTop w:val="0"/>
      <w:marBottom w:val="0"/>
      <w:divBdr>
        <w:top w:val="none" w:sz="0" w:space="0" w:color="auto"/>
        <w:left w:val="none" w:sz="0" w:space="0" w:color="auto"/>
        <w:bottom w:val="none" w:sz="0" w:space="0" w:color="auto"/>
        <w:right w:val="none" w:sz="0" w:space="0" w:color="auto"/>
      </w:divBdr>
    </w:div>
    <w:div w:id="1719012704">
      <w:bodyDiv w:val="1"/>
      <w:marLeft w:val="0"/>
      <w:marRight w:val="0"/>
      <w:marTop w:val="0"/>
      <w:marBottom w:val="0"/>
      <w:divBdr>
        <w:top w:val="none" w:sz="0" w:space="0" w:color="auto"/>
        <w:left w:val="none" w:sz="0" w:space="0" w:color="auto"/>
        <w:bottom w:val="none" w:sz="0" w:space="0" w:color="auto"/>
        <w:right w:val="none" w:sz="0" w:space="0" w:color="auto"/>
      </w:divBdr>
    </w:div>
    <w:div w:id="1779106088">
      <w:bodyDiv w:val="1"/>
      <w:marLeft w:val="0"/>
      <w:marRight w:val="0"/>
      <w:marTop w:val="0"/>
      <w:marBottom w:val="0"/>
      <w:divBdr>
        <w:top w:val="none" w:sz="0" w:space="0" w:color="auto"/>
        <w:left w:val="none" w:sz="0" w:space="0" w:color="auto"/>
        <w:bottom w:val="none" w:sz="0" w:space="0" w:color="auto"/>
        <w:right w:val="none" w:sz="0" w:space="0" w:color="auto"/>
      </w:divBdr>
    </w:div>
    <w:div w:id="1999650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oleObject" Target="embeddings/oleObject70.bin"/><Relationship Id="rId21" Type="http://schemas.openxmlformats.org/officeDocument/2006/relationships/image" Target="media/image6.wmf"/><Relationship Id="rId42" Type="http://schemas.openxmlformats.org/officeDocument/2006/relationships/oleObject" Target="embeddings/oleObject19.bin"/><Relationship Id="rId47" Type="http://schemas.openxmlformats.org/officeDocument/2006/relationships/oleObject" Target="embeddings/oleObject23.bin"/><Relationship Id="rId63" Type="http://schemas.openxmlformats.org/officeDocument/2006/relationships/oleObject" Target="embeddings/oleObject31.bin"/><Relationship Id="rId68" Type="http://schemas.openxmlformats.org/officeDocument/2006/relationships/oleObject" Target="embeddings/oleObject34.bin"/><Relationship Id="rId84" Type="http://schemas.openxmlformats.org/officeDocument/2006/relationships/oleObject" Target="embeddings/oleObject48.bin"/><Relationship Id="rId89" Type="http://schemas.openxmlformats.org/officeDocument/2006/relationships/chart" Target="charts/chart8.xml"/><Relationship Id="rId112" Type="http://schemas.openxmlformats.org/officeDocument/2006/relationships/oleObject" Target="embeddings/oleObject66.bin"/><Relationship Id="rId16" Type="http://schemas.openxmlformats.org/officeDocument/2006/relationships/oleObject" Target="embeddings/oleObject2.bin"/><Relationship Id="rId107" Type="http://schemas.openxmlformats.org/officeDocument/2006/relationships/oleObject" Target="embeddings/oleObject63.bin"/><Relationship Id="rId11" Type="http://schemas.openxmlformats.org/officeDocument/2006/relationships/oleObject" Target="embeddings/oleObject1.bin"/><Relationship Id="rId32" Type="http://schemas.openxmlformats.org/officeDocument/2006/relationships/image" Target="media/image8.wmf"/><Relationship Id="rId37" Type="http://schemas.openxmlformats.org/officeDocument/2006/relationships/oleObject" Target="embeddings/oleObject16.bin"/><Relationship Id="rId53" Type="http://schemas.openxmlformats.org/officeDocument/2006/relationships/chart" Target="charts/chart5.xml"/><Relationship Id="rId58" Type="http://schemas.openxmlformats.org/officeDocument/2006/relationships/image" Target="media/image15.wmf"/><Relationship Id="rId74" Type="http://schemas.openxmlformats.org/officeDocument/2006/relationships/oleObject" Target="embeddings/oleObject40.bin"/><Relationship Id="rId79" Type="http://schemas.openxmlformats.org/officeDocument/2006/relationships/oleObject" Target="embeddings/oleObject45.bin"/><Relationship Id="rId102" Type="http://schemas.openxmlformats.org/officeDocument/2006/relationships/oleObject" Target="embeddings/oleObject60.bin"/><Relationship Id="rId123" Type="http://schemas.openxmlformats.org/officeDocument/2006/relationships/oleObject" Target="embeddings/oleObject76.bin"/><Relationship Id="rId128" Type="http://schemas.openxmlformats.org/officeDocument/2006/relationships/oleObject" Target="embeddings/oleObject81.bin"/><Relationship Id="rId5" Type="http://schemas.openxmlformats.org/officeDocument/2006/relationships/webSettings" Target="webSettings.xml"/><Relationship Id="rId90" Type="http://schemas.openxmlformats.org/officeDocument/2006/relationships/chart" Target="charts/chart9.xml"/><Relationship Id="rId95" Type="http://schemas.openxmlformats.org/officeDocument/2006/relationships/oleObject" Target="embeddings/oleObject55.bin"/><Relationship Id="rId19" Type="http://schemas.openxmlformats.org/officeDocument/2006/relationships/image" Target="media/image5.wmf"/><Relationship Id="rId14" Type="http://schemas.openxmlformats.org/officeDocument/2006/relationships/hyperlink" Target="https://www.ncbi.nlm.nih.gov/pubmed/?term=Zhang%20XG%5BAuthor%5D&amp;cauthor=true&amp;cauthor_uid=29433562" TargetMode="External"/><Relationship Id="rId22" Type="http://schemas.openxmlformats.org/officeDocument/2006/relationships/oleObject" Target="embeddings/oleObject5.bin"/><Relationship Id="rId27" Type="http://schemas.openxmlformats.org/officeDocument/2006/relationships/oleObject" Target="embeddings/oleObject10.bin"/><Relationship Id="rId30" Type="http://schemas.openxmlformats.org/officeDocument/2006/relationships/image" Target="media/image7.wmf"/><Relationship Id="rId35" Type="http://schemas.openxmlformats.org/officeDocument/2006/relationships/oleObject" Target="embeddings/oleObject15.bin"/><Relationship Id="rId43" Type="http://schemas.openxmlformats.org/officeDocument/2006/relationships/oleObject" Target="embeddings/oleObject20.bin"/><Relationship Id="rId48" Type="http://schemas.openxmlformats.org/officeDocument/2006/relationships/image" Target="media/image14.wmf"/><Relationship Id="rId56" Type="http://schemas.openxmlformats.org/officeDocument/2006/relationships/oleObject" Target="embeddings/oleObject25.bin"/><Relationship Id="rId64" Type="http://schemas.openxmlformats.org/officeDocument/2006/relationships/oleObject" Target="embeddings/oleObject32.bin"/><Relationship Id="rId69" Type="http://schemas.openxmlformats.org/officeDocument/2006/relationships/oleObject" Target="embeddings/oleObject35.bin"/><Relationship Id="rId77" Type="http://schemas.openxmlformats.org/officeDocument/2006/relationships/oleObject" Target="embeddings/oleObject43.bin"/><Relationship Id="rId100" Type="http://schemas.openxmlformats.org/officeDocument/2006/relationships/image" Target="media/image21.wmf"/><Relationship Id="rId105" Type="http://schemas.openxmlformats.org/officeDocument/2006/relationships/oleObject" Target="embeddings/oleObject62.bin"/><Relationship Id="rId113" Type="http://schemas.openxmlformats.org/officeDocument/2006/relationships/oleObject" Target="embeddings/oleObject67.bin"/><Relationship Id="rId118" Type="http://schemas.openxmlformats.org/officeDocument/2006/relationships/oleObject" Target="embeddings/oleObject71.bin"/><Relationship Id="rId126" Type="http://schemas.openxmlformats.org/officeDocument/2006/relationships/oleObject" Target="embeddings/oleObject79.bin"/><Relationship Id="rId8" Type="http://schemas.openxmlformats.org/officeDocument/2006/relationships/hyperlink" Target="https://www.umj.com.ua/article/124946" TargetMode="External"/><Relationship Id="rId51" Type="http://schemas.openxmlformats.org/officeDocument/2006/relationships/chart" Target="charts/chart3.xml"/><Relationship Id="rId72" Type="http://schemas.openxmlformats.org/officeDocument/2006/relationships/oleObject" Target="embeddings/oleObject38.bin"/><Relationship Id="rId80" Type="http://schemas.openxmlformats.org/officeDocument/2006/relationships/oleObject" Target="embeddings/oleObject46.bin"/><Relationship Id="rId85" Type="http://schemas.openxmlformats.org/officeDocument/2006/relationships/oleObject" Target="embeddings/oleObject49.bin"/><Relationship Id="rId93" Type="http://schemas.openxmlformats.org/officeDocument/2006/relationships/oleObject" Target="embeddings/oleObject53.bin"/><Relationship Id="rId98" Type="http://schemas.openxmlformats.org/officeDocument/2006/relationships/image" Target="media/image20.wmf"/><Relationship Id="rId121" Type="http://schemas.openxmlformats.org/officeDocument/2006/relationships/oleObject" Target="embeddings/oleObject74.bin"/><Relationship Id="rId3" Type="http://schemas.openxmlformats.org/officeDocument/2006/relationships/styles" Target="styles.xml"/><Relationship Id="rId12" Type="http://schemas.openxmlformats.org/officeDocument/2006/relationships/image" Target="media/image2.wmf"/><Relationship Id="rId17" Type="http://schemas.openxmlformats.org/officeDocument/2006/relationships/image" Target="media/image4.wmf"/><Relationship Id="rId25" Type="http://schemas.openxmlformats.org/officeDocument/2006/relationships/oleObject" Target="embeddings/oleObject8.bin"/><Relationship Id="rId33" Type="http://schemas.openxmlformats.org/officeDocument/2006/relationships/oleObject" Target="embeddings/oleObject14.bin"/><Relationship Id="rId38" Type="http://schemas.openxmlformats.org/officeDocument/2006/relationships/oleObject" Target="embeddings/oleObject17.bin"/><Relationship Id="rId46" Type="http://schemas.openxmlformats.org/officeDocument/2006/relationships/oleObject" Target="embeddings/oleObject22.bin"/><Relationship Id="rId59" Type="http://schemas.openxmlformats.org/officeDocument/2006/relationships/oleObject" Target="embeddings/oleObject27.bin"/><Relationship Id="rId67" Type="http://schemas.openxmlformats.org/officeDocument/2006/relationships/oleObject" Target="embeddings/oleObject33.bin"/><Relationship Id="rId103" Type="http://schemas.openxmlformats.org/officeDocument/2006/relationships/image" Target="media/image22.wmf"/><Relationship Id="rId108" Type="http://schemas.openxmlformats.org/officeDocument/2006/relationships/image" Target="media/image24.wmf"/><Relationship Id="rId116" Type="http://schemas.openxmlformats.org/officeDocument/2006/relationships/chart" Target="charts/chart12.xml"/><Relationship Id="rId124" Type="http://schemas.openxmlformats.org/officeDocument/2006/relationships/oleObject" Target="embeddings/oleObject77.bin"/><Relationship Id="rId129" Type="http://schemas.openxmlformats.org/officeDocument/2006/relationships/oleObject" Target="embeddings/oleObject82.bin"/><Relationship Id="rId20" Type="http://schemas.openxmlformats.org/officeDocument/2006/relationships/oleObject" Target="embeddings/oleObject4.bin"/><Relationship Id="rId41" Type="http://schemas.openxmlformats.org/officeDocument/2006/relationships/image" Target="media/image12.wmf"/><Relationship Id="rId54" Type="http://schemas.openxmlformats.org/officeDocument/2006/relationships/chart" Target="charts/chart6.xml"/><Relationship Id="rId62" Type="http://schemas.openxmlformats.org/officeDocument/2006/relationships/oleObject" Target="embeddings/oleObject30.bin"/><Relationship Id="rId70" Type="http://schemas.openxmlformats.org/officeDocument/2006/relationships/oleObject" Target="embeddings/oleObject36.bin"/><Relationship Id="rId75" Type="http://schemas.openxmlformats.org/officeDocument/2006/relationships/oleObject" Target="embeddings/oleObject41.bin"/><Relationship Id="rId83" Type="http://schemas.openxmlformats.org/officeDocument/2006/relationships/oleObject" Target="embeddings/oleObject47.bin"/><Relationship Id="rId88" Type="http://schemas.openxmlformats.org/officeDocument/2006/relationships/oleObject" Target="embeddings/oleObject52.bin"/><Relationship Id="rId91" Type="http://schemas.openxmlformats.org/officeDocument/2006/relationships/chart" Target="charts/chart10.xml"/><Relationship Id="rId96" Type="http://schemas.openxmlformats.org/officeDocument/2006/relationships/oleObject" Target="embeddings/oleObject56.bin"/><Relationship Id="rId111" Type="http://schemas.openxmlformats.org/officeDocument/2006/relationships/image" Target="media/image25.png"/><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oleObject" Target="embeddings/oleObject6.bin"/><Relationship Id="rId28" Type="http://schemas.openxmlformats.org/officeDocument/2006/relationships/oleObject" Target="embeddings/oleObject11.bin"/><Relationship Id="rId36" Type="http://schemas.openxmlformats.org/officeDocument/2006/relationships/image" Target="media/image10.wmf"/><Relationship Id="rId49" Type="http://schemas.openxmlformats.org/officeDocument/2006/relationships/oleObject" Target="embeddings/oleObject24.bin"/><Relationship Id="rId57" Type="http://schemas.openxmlformats.org/officeDocument/2006/relationships/oleObject" Target="embeddings/oleObject26.bin"/><Relationship Id="rId106" Type="http://schemas.openxmlformats.org/officeDocument/2006/relationships/image" Target="media/image23.png"/><Relationship Id="rId114" Type="http://schemas.openxmlformats.org/officeDocument/2006/relationships/oleObject" Target="embeddings/oleObject68.bin"/><Relationship Id="rId119" Type="http://schemas.openxmlformats.org/officeDocument/2006/relationships/oleObject" Target="embeddings/oleObject72.bin"/><Relationship Id="rId127" Type="http://schemas.openxmlformats.org/officeDocument/2006/relationships/oleObject" Target="embeddings/oleObject80.bin"/><Relationship Id="rId10" Type="http://schemas.openxmlformats.org/officeDocument/2006/relationships/image" Target="media/image1.wmf"/><Relationship Id="rId31" Type="http://schemas.openxmlformats.org/officeDocument/2006/relationships/oleObject" Target="embeddings/oleObject13.bin"/><Relationship Id="rId44" Type="http://schemas.openxmlformats.org/officeDocument/2006/relationships/image" Target="media/image13.png"/><Relationship Id="rId52" Type="http://schemas.openxmlformats.org/officeDocument/2006/relationships/chart" Target="charts/chart4.xml"/><Relationship Id="rId60" Type="http://schemas.openxmlformats.org/officeDocument/2006/relationships/oleObject" Target="embeddings/oleObject28.bin"/><Relationship Id="rId65" Type="http://schemas.openxmlformats.org/officeDocument/2006/relationships/image" Target="media/image16.png"/><Relationship Id="rId73" Type="http://schemas.openxmlformats.org/officeDocument/2006/relationships/oleObject" Target="embeddings/oleObject39.bin"/><Relationship Id="rId78" Type="http://schemas.openxmlformats.org/officeDocument/2006/relationships/oleObject" Target="embeddings/oleObject44.bin"/><Relationship Id="rId81" Type="http://schemas.openxmlformats.org/officeDocument/2006/relationships/image" Target="media/image18.png"/><Relationship Id="rId86" Type="http://schemas.openxmlformats.org/officeDocument/2006/relationships/oleObject" Target="embeddings/oleObject50.bin"/><Relationship Id="rId94" Type="http://schemas.openxmlformats.org/officeDocument/2006/relationships/oleObject" Target="embeddings/oleObject54.bin"/><Relationship Id="rId99" Type="http://schemas.openxmlformats.org/officeDocument/2006/relationships/oleObject" Target="embeddings/oleObject58.bin"/><Relationship Id="rId101" Type="http://schemas.openxmlformats.org/officeDocument/2006/relationships/oleObject" Target="embeddings/oleObject59.bin"/><Relationship Id="rId122" Type="http://schemas.openxmlformats.org/officeDocument/2006/relationships/oleObject" Target="embeddings/oleObject75.bin"/><Relationship Id="rId130" Type="http://schemas.openxmlformats.org/officeDocument/2006/relationships/hyperlink" Target="http://dx.doi.org/10.17116/terarkh2017891036-39" TargetMode="Externa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header" Target="header1.xml"/><Relationship Id="rId18" Type="http://schemas.openxmlformats.org/officeDocument/2006/relationships/oleObject" Target="embeddings/oleObject3.bin"/><Relationship Id="rId39" Type="http://schemas.openxmlformats.org/officeDocument/2006/relationships/oleObject" Target="embeddings/oleObject18.bin"/><Relationship Id="rId109" Type="http://schemas.openxmlformats.org/officeDocument/2006/relationships/oleObject" Target="embeddings/oleObject64.bin"/><Relationship Id="rId34" Type="http://schemas.openxmlformats.org/officeDocument/2006/relationships/image" Target="media/image9.wmf"/><Relationship Id="rId50" Type="http://schemas.openxmlformats.org/officeDocument/2006/relationships/chart" Target="charts/chart2.xml"/><Relationship Id="rId55" Type="http://schemas.openxmlformats.org/officeDocument/2006/relationships/chart" Target="charts/chart7.xml"/><Relationship Id="rId76" Type="http://schemas.openxmlformats.org/officeDocument/2006/relationships/oleObject" Target="embeddings/oleObject42.bin"/><Relationship Id="rId97" Type="http://schemas.openxmlformats.org/officeDocument/2006/relationships/oleObject" Target="embeddings/oleObject57.bin"/><Relationship Id="rId104" Type="http://schemas.openxmlformats.org/officeDocument/2006/relationships/oleObject" Target="embeddings/oleObject61.bin"/><Relationship Id="rId120" Type="http://schemas.openxmlformats.org/officeDocument/2006/relationships/oleObject" Target="embeddings/oleObject73.bin"/><Relationship Id="rId125" Type="http://schemas.openxmlformats.org/officeDocument/2006/relationships/oleObject" Target="embeddings/oleObject78.bin"/><Relationship Id="rId7" Type="http://schemas.openxmlformats.org/officeDocument/2006/relationships/endnotes" Target="endnotes.xml"/><Relationship Id="rId71" Type="http://schemas.openxmlformats.org/officeDocument/2006/relationships/oleObject" Target="embeddings/oleObject37.bin"/><Relationship Id="rId92" Type="http://schemas.openxmlformats.org/officeDocument/2006/relationships/chart" Target="charts/chart11.xml"/><Relationship Id="rId2" Type="http://schemas.openxmlformats.org/officeDocument/2006/relationships/numbering" Target="numbering.xml"/><Relationship Id="rId29" Type="http://schemas.openxmlformats.org/officeDocument/2006/relationships/oleObject" Target="embeddings/oleObject12.bin"/><Relationship Id="rId24" Type="http://schemas.openxmlformats.org/officeDocument/2006/relationships/oleObject" Target="embeddings/oleObject7.bin"/><Relationship Id="rId40" Type="http://schemas.openxmlformats.org/officeDocument/2006/relationships/image" Target="media/image11.png"/><Relationship Id="rId45" Type="http://schemas.openxmlformats.org/officeDocument/2006/relationships/oleObject" Target="embeddings/oleObject21.bin"/><Relationship Id="rId66" Type="http://schemas.openxmlformats.org/officeDocument/2006/relationships/image" Target="media/image17.png"/><Relationship Id="rId87" Type="http://schemas.openxmlformats.org/officeDocument/2006/relationships/oleObject" Target="embeddings/oleObject51.bin"/><Relationship Id="rId110" Type="http://schemas.openxmlformats.org/officeDocument/2006/relationships/oleObject" Target="embeddings/oleObject65.bin"/><Relationship Id="rId115" Type="http://schemas.openxmlformats.org/officeDocument/2006/relationships/oleObject" Target="embeddings/oleObject69.bin"/><Relationship Id="rId131" Type="http://schemas.openxmlformats.org/officeDocument/2006/relationships/fontTable" Target="fontTable.xml"/><Relationship Id="rId61" Type="http://schemas.openxmlformats.org/officeDocument/2006/relationships/oleObject" Target="embeddings/oleObject29.bin"/><Relationship Id="rId82" Type="http://schemas.openxmlformats.org/officeDocument/2006/relationships/image" Target="media/image19.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6.5442268210575583E-2"/>
          <c:y val="0.11011904761904762"/>
          <c:w val="0.64348000038649011"/>
          <c:h val="0.78769841269841268"/>
        </c:manualLayout>
      </c:layout>
      <c:pie3DChart>
        <c:varyColors val="1"/>
        <c:ser>
          <c:idx val="0"/>
          <c:order val="0"/>
          <c:tx>
            <c:strRef>
              <c:f>Лист1!$B$1</c:f>
              <c:strCache>
                <c:ptCount val="1"/>
                <c:pt idx="0">
                  <c:v>Столбец1</c:v>
                </c:pt>
              </c:strCache>
            </c:strRef>
          </c:tx>
          <c:explosion val="16"/>
          <c:dLbls>
            <c:dLbl>
              <c:idx val="0"/>
              <c:layout>
                <c:manualLayout>
                  <c:x val="-5.2909787827635406E-3"/>
                  <c:y val="-4.09792525934258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12-400C-A1B2-CA8F630802B4}"/>
                </c:ext>
              </c:extLst>
            </c:dLbl>
            <c:dLbl>
              <c:idx val="1"/>
              <c:layout>
                <c:manualLayout>
                  <c:x val="6.730037335665634E-2"/>
                  <c:y val="-1.10642419697537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12-400C-A1B2-CA8F630802B4}"/>
                </c:ext>
              </c:extLst>
            </c:dLbl>
            <c:dLbl>
              <c:idx val="2"/>
              <c:layout>
                <c:manualLayout>
                  <c:x val="3.7281360187719707E-2"/>
                  <c:y val="-7.7027246594175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212-400C-A1B2-CA8F630802B4}"/>
                </c:ext>
              </c:extLst>
            </c:dLbl>
            <c:dLbl>
              <c:idx val="3"/>
              <c:layout>
                <c:manualLayout>
                  <c:x val="4.2309132011083682E-2"/>
                  <c:y val="-2.89066991626046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212-400C-A1B2-CA8F630802B4}"/>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ГХ</c:v>
                </c:pt>
                <c:pt idx="1">
                  <c:v>ГХ+ЦД 2 типу</c:v>
                </c:pt>
                <c:pt idx="2">
                  <c:v>ГХ+ЦД 2 типу+СГТ</c:v>
                </c:pt>
                <c:pt idx="3">
                  <c:v>Група контролю</c:v>
                </c:pt>
              </c:strCache>
            </c:strRef>
          </c:cat>
          <c:val>
            <c:numRef>
              <c:f>Лист1!$B$2:$B$5</c:f>
              <c:numCache>
                <c:formatCode>General</c:formatCode>
                <c:ptCount val="4"/>
                <c:pt idx="0">
                  <c:v>106</c:v>
                </c:pt>
                <c:pt idx="1">
                  <c:v>156</c:v>
                </c:pt>
                <c:pt idx="2">
                  <c:v>93</c:v>
                </c:pt>
                <c:pt idx="3">
                  <c:v>30</c:v>
                </c:pt>
              </c:numCache>
            </c:numRef>
          </c:val>
          <c:extLst>
            <c:ext xmlns:c16="http://schemas.microsoft.com/office/drawing/2014/chart" uri="{C3380CC4-5D6E-409C-BE32-E72D297353CC}">
              <c16:uniqueId val="{00000004-5212-400C-A1B2-CA8F630802B4}"/>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Група контролю</c:v>
                </c:pt>
              </c:strCache>
            </c:strRef>
          </c:tx>
          <c:invertIfNegative val="0"/>
          <c:cat>
            <c:strRef>
              <c:f>Лист1!$A$2</c:f>
              <c:strCache>
                <c:ptCount val="1"/>
                <c:pt idx="0">
                  <c:v>ДЦЕК,(кл./100 мкл)</c:v>
                </c:pt>
              </c:strCache>
            </c:strRef>
          </c:cat>
          <c:val>
            <c:numRef>
              <c:f>Лист1!$B$2</c:f>
              <c:numCache>
                <c:formatCode>General</c:formatCode>
                <c:ptCount val="1"/>
                <c:pt idx="0">
                  <c:v>4.5</c:v>
                </c:pt>
              </c:numCache>
            </c:numRef>
          </c:val>
          <c:extLst>
            <c:ext xmlns:c16="http://schemas.microsoft.com/office/drawing/2014/chart" uri="{C3380CC4-5D6E-409C-BE32-E72D297353CC}">
              <c16:uniqueId val="{00000000-E23D-4EE8-8C61-D1580AFE09FA}"/>
            </c:ext>
          </c:extLst>
        </c:ser>
        <c:ser>
          <c:idx val="1"/>
          <c:order val="1"/>
          <c:tx>
            <c:strRef>
              <c:f>Лист1!$C$1</c:f>
              <c:strCache>
                <c:ptCount val="1"/>
                <c:pt idx="0">
                  <c:v>Столбец1</c:v>
                </c:pt>
              </c:strCache>
            </c:strRef>
          </c:tx>
          <c:invertIfNegative val="0"/>
          <c:dLbls>
            <c:dLbl>
              <c:idx val="0"/>
              <c:layout>
                <c:manualLayout>
                  <c:x val="-3.96372350313259E-3"/>
                  <c:y val="-1.7132673897764253E-2"/>
                </c:manualLayout>
              </c:layout>
              <c:tx>
                <c:rich>
                  <a:bodyPr/>
                  <a:lstStyle/>
                  <a:p>
                    <a:r>
                      <a:rPr lang="en-US">
                        <a:latin typeface="Times New Roman"/>
                        <a:cs typeface="Times New Roman"/>
                      </a:rPr>
                      <a:t>*</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23D-4EE8-8C61-D1580AFE09FA}"/>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ДЦЕК,(кл./100 мкл)</c:v>
                </c:pt>
              </c:strCache>
            </c:strRef>
          </c:cat>
          <c:val>
            <c:numRef>
              <c:f>Лист1!$C$2</c:f>
              <c:numCache>
                <c:formatCode>General</c:formatCode>
                <c:ptCount val="1"/>
              </c:numCache>
            </c:numRef>
          </c:val>
          <c:extLst>
            <c:ext xmlns:c16="http://schemas.microsoft.com/office/drawing/2014/chart" uri="{C3380CC4-5D6E-409C-BE32-E72D297353CC}">
              <c16:uniqueId val="{00000002-E23D-4EE8-8C61-D1580AFE09FA}"/>
            </c:ext>
          </c:extLst>
        </c:ser>
        <c:ser>
          <c:idx val="2"/>
          <c:order val="2"/>
          <c:tx>
            <c:strRef>
              <c:f>Лист1!$D$1</c:f>
              <c:strCache>
                <c:ptCount val="1"/>
                <c:pt idx="0">
                  <c:v>3 група до прзначення левотироксину</c:v>
                </c:pt>
              </c:strCache>
            </c:strRef>
          </c:tx>
          <c:spPr>
            <a:solidFill>
              <a:schemeClr val="accent2"/>
            </a:solidFill>
          </c:spPr>
          <c:invertIfNegative val="0"/>
          <c:cat>
            <c:strRef>
              <c:f>Лист1!$A$2</c:f>
              <c:strCache>
                <c:ptCount val="1"/>
                <c:pt idx="0">
                  <c:v>ДЦЕК,(кл./100 мкл)</c:v>
                </c:pt>
              </c:strCache>
            </c:strRef>
          </c:cat>
          <c:val>
            <c:numRef>
              <c:f>Лист1!$D$2</c:f>
              <c:numCache>
                <c:formatCode>General</c:formatCode>
                <c:ptCount val="1"/>
                <c:pt idx="0">
                  <c:v>11.28</c:v>
                </c:pt>
              </c:numCache>
            </c:numRef>
          </c:val>
          <c:extLst>
            <c:ext xmlns:c16="http://schemas.microsoft.com/office/drawing/2014/chart" uri="{C3380CC4-5D6E-409C-BE32-E72D297353CC}">
              <c16:uniqueId val="{00000003-E23D-4EE8-8C61-D1580AFE09FA}"/>
            </c:ext>
          </c:extLst>
        </c:ser>
        <c:ser>
          <c:idx val="3"/>
          <c:order val="3"/>
          <c:tx>
            <c:strRef>
              <c:f>Лист1!$E$1</c:f>
              <c:strCache>
                <c:ptCount val="1"/>
                <c:pt idx="0">
                  <c:v>3 група через 12 місяців лікування</c:v>
                </c:pt>
              </c:strCache>
            </c:strRef>
          </c:tx>
          <c:invertIfNegative val="0"/>
          <c:cat>
            <c:strRef>
              <c:f>Лист1!$A$2</c:f>
              <c:strCache>
                <c:ptCount val="1"/>
                <c:pt idx="0">
                  <c:v>ДЦЕК,(кл./100 мкл)</c:v>
                </c:pt>
              </c:strCache>
            </c:strRef>
          </c:cat>
          <c:val>
            <c:numRef>
              <c:f>Лист1!$E$2</c:f>
              <c:numCache>
                <c:formatCode>General</c:formatCode>
                <c:ptCount val="1"/>
                <c:pt idx="0">
                  <c:v>11.16</c:v>
                </c:pt>
              </c:numCache>
            </c:numRef>
          </c:val>
          <c:extLst>
            <c:ext xmlns:c16="http://schemas.microsoft.com/office/drawing/2014/chart" uri="{C3380CC4-5D6E-409C-BE32-E72D297353CC}">
              <c16:uniqueId val="{00000004-E23D-4EE8-8C61-D1580AFE09FA}"/>
            </c:ext>
          </c:extLst>
        </c:ser>
        <c:dLbls>
          <c:showLegendKey val="0"/>
          <c:showVal val="0"/>
          <c:showCatName val="0"/>
          <c:showSerName val="0"/>
          <c:showPercent val="0"/>
          <c:showBubbleSize val="0"/>
        </c:dLbls>
        <c:gapWidth val="150"/>
        <c:axId val="1060318208"/>
        <c:axId val="1060324096"/>
      </c:barChart>
      <c:catAx>
        <c:axId val="1060318208"/>
        <c:scaling>
          <c:orientation val="minMax"/>
        </c:scaling>
        <c:delete val="0"/>
        <c:axPos val="b"/>
        <c:numFmt formatCode="General" sourceLinked="0"/>
        <c:majorTickMark val="out"/>
        <c:minorTickMark val="none"/>
        <c:tickLblPos val="nextTo"/>
        <c:crossAx val="1060324096"/>
        <c:crosses val="autoZero"/>
        <c:auto val="1"/>
        <c:lblAlgn val="ctr"/>
        <c:lblOffset val="100"/>
        <c:noMultiLvlLbl val="0"/>
      </c:catAx>
      <c:valAx>
        <c:axId val="1060324096"/>
        <c:scaling>
          <c:orientation val="minMax"/>
          <c:max val="20"/>
          <c:min val="0"/>
        </c:scaling>
        <c:delete val="0"/>
        <c:axPos val="l"/>
        <c:majorGridlines/>
        <c:numFmt formatCode="General" sourceLinked="1"/>
        <c:majorTickMark val="out"/>
        <c:minorTickMark val="none"/>
        <c:tickLblPos val="nextTo"/>
        <c:crossAx val="1060318208"/>
        <c:crosses val="autoZero"/>
        <c:crossBetween val="between"/>
      </c:valAx>
    </c:plotArea>
    <c:legend>
      <c:legendPos val="r"/>
      <c:legendEntry>
        <c:idx val="1"/>
        <c:delete val="1"/>
      </c:legendEntry>
      <c:layout>
        <c:manualLayout>
          <c:xMode val="edge"/>
          <c:yMode val="edge"/>
          <c:x val="0.68904941973600131"/>
          <c:y val="0.10214463617579719"/>
          <c:w val="0.31095062859853556"/>
          <c:h val="0.85078136971212459"/>
        </c:manualLayout>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Група контролю</c:v>
                </c:pt>
              </c:strCache>
            </c:strRef>
          </c:tx>
          <c:invertIfNegative val="0"/>
          <c:cat>
            <c:strRef>
              <c:f>Лист1!$A$2</c:f>
              <c:strCache>
                <c:ptCount val="1"/>
                <c:pt idx="0">
                  <c:v>ТКІМ,мм</c:v>
                </c:pt>
              </c:strCache>
            </c:strRef>
          </c:cat>
          <c:val>
            <c:numRef>
              <c:f>Лист1!$B$2</c:f>
              <c:numCache>
                <c:formatCode>General</c:formatCode>
                <c:ptCount val="1"/>
                <c:pt idx="0">
                  <c:v>7.9000000000000001E-2</c:v>
                </c:pt>
              </c:numCache>
            </c:numRef>
          </c:val>
          <c:extLst>
            <c:ext xmlns:c16="http://schemas.microsoft.com/office/drawing/2014/chart" uri="{C3380CC4-5D6E-409C-BE32-E72D297353CC}">
              <c16:uniqueId val="{00000000-26D1-4456-88CD-9EB6AFA903B1}"/>
            </c:ext>
          </c:extLst>
        </c:ser>
        <c:ser>
          <c:idx val="1"/>
          <c:order val="1"/>
          <c:tx>
            <c:strRef>
              <c:f>Лист1!$C$1</c:f>
              <c:strCache>
                <c:ptCount val="1"/>
                <c:pt idx="0">
                  <c:v>Столбец1</c:v>
                </c:pt>
              </c:strCache>
            </c:strRef>
          </c:tx>
          <c:invertIfNegative val="0"/>
          <c:dLbls>
            <c:dLbl>
              <c:idx val="0"/>
              <c:layout>
                <c:manualLayout>
                  <c:x val="-3.96372350313259E-3"/>
                  <c:y val="-1.7132673897764253E-2"/>
                </c:manualLayout>
              </c:layout>
              <c:tx>
                <c:rich>
                  <a:bodyPr/>
                  <a:lstStyle/>
                  <a:p>
                    <a:r>
                      <a:rPr lang="en-US">
                        <a:latin typeface="Times New Roman"/>
                        <a:cs typeface="Times New Roman"/>
                      </a:rPr>
                      <a:t>*</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6D1-4456-88CD-9EB6AFA903B1}"/>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ТКІМ,мм</c:v>
                </c:pt>
              </c:strCache>
            </c:strRef>
          </c:cat>
          <c:val>
            <c:numRef>
              <c:f>Лист1!$C$2</c:f>
              <c:numCache>
                <c:formatCode>General</c:formatCode>
                <c:ptCount val="1"/>
              </c:numCache>
            </c:numRef>
          </c:val>
          <c:extLst>
            <c:ext xmlns:c16="http://schemas.microsoft.com/office/drawing/2014/chart" uri="{C3380CC4-5D6E-409C-BE32-E72D297353CC}">
              <c16:uniqueId val="{00000002-26D1-4456-88CD-9EB6AFA903B1}"/>
            </c:ext>
          </c:extLst>
        </c:ser>
        <c:ser>
          <c:idx val="2"/>
          <c:order val="2"/>
          <c:tx>
            <c:strRef>
              <c:f>Лист1!$D$1</c:f>
              <c:strCache>
                <c:ptCount val="1"/>
                <c:pt idx="0">
                  <c:v>3 група до прзначення левотироксину</c:v>
                </c:pt>
              </c:strCache>
            </c:strRef>
          </c:tx>
          <c:spPr>
            <a:solidFill>
              <a:schemeClr val="accent3">
                <a:lumMod val="75000"/>
              </a:schemeClr>
            </a:solidFill>
          </c:spPr>
          <c:invertIfNegative val="0"/>
          <c:cat>
            <c:strRef>
              <c:f>Лист1!$A$2</c:f>
              <c:strCache>
                <c:ptCount val="1"/>
                <c:pt idx="0">
                  <c:v>ТКІМ,мм</c:v>
                </c:pt>
              </c:strCache>
            </c:strRef>
          </c:cat>
          <c:val>
            <c:numRef>
              <c:f>Лист1!$D$2</c:f>
              <c:numCache>
                <c:formatCode>General</c:formatCode>
                <c:ptCount val="1"/>
                <c:pt idx="0">
                  <c:v>0.08</c:v>
                </c:pt>
              </c:numCache>
            </c:numRef>
          </c:val>
          <c:extLst>
            <c:ext xmlns:c16="http://schemas.microsoft.com/office/drawing/2014/chart" uri="{C3380CC4-5D6E-409C-BE32-E72D297353CC}">
              <c16:uniqueId val="{00000003-26D1-4456-88CD-9EB6AFA903B1}"/>
            </c:ext>
          </c:extLst>
        </c:ser>
        <c:ser>
          <c:idx val="3"/>
          <c:order val="3"/>
          <c:tx>
            <c:strRef>
              <c:f>Лист1!$E$1</c:f>
              <c:strCache>
                <c:ptCount val="1"/>
                <c:pt idx="0">
                  <c:v>3 група через 12 місяців лікування</c:v>
                </c:pt>
              </c:strCache>
            </c:strRef>
          </c:tx>
          <c:spPr>
            <a:solidFill>
              <a:schemeClr val="accent6">
                <a:lumMod val="75000"/>
              </a:schemeClr>
            </a:solidFill>
          </c:spPr>
          <c:invertIfNegative val="0"/>
          <c:cat>
            <c:strRef>
              <c:f>Лист1!$A$2</c:f>
              <c:strCache>
                <c:ptCount val="1"/>
                <c:pt idx="0">
                  <c:v>ТКІМ,мм</c:v>
                </c:pt>
              </c:strCache>
            </c:strRef>
          </c:cat>
          <c:val>
            <c:numRef>
              <c:f>Лист1!$E$2</c:f>
              <c:numCache>
                <c:formatCode>General</c:formatCode>
                <c:ptCount val="1"/>
                <c:pt idx="0">
                  <c:v>7.9000000000000001E-2</c:v>
                </c:pt>
              </c:numCache>
            </c:numRef>
          </c:val>
          <c:extLst>
            <c:ext xmlns:c16="http://schemas.microsoft.com/office/drawing/2014/chart" uri="{C3380CC4-5D6E-409C-BE32-E72D297353CC}">
              <c16:uniqueId val="{00000004-26D1-4456-88CD-9EB6AFA903B1}"/>
            </c:ext>
          </c:extLst>
        </c:ser>
        <c:dLbls>
          <c:showLegendKey val="0"/>
          <c:showVal val="0"/>
          <c:showCatName val="0"/>
          <c:showSerName val="0"/>
          <c:showPercent val="0"/>
          <c:showBubbleSize val="0"/>
        </c:dLbls>
        <c:gapWidth val="150"/>
        <c:axId val="1060278272"/>
        <c:axId val="1060279808"/>
      </c:barChart>
      <c:catAx>
        <c:axId val="1060278272"/>
        <c:scaling>
          <c:orientation val="minMax"/>
        </c:scaling>
        <c:delete val="0"/>
        <c:axPos val="b"/>
        <c:numFmt formatCode="General" sourceLinked="0"/>
        <c:majorTickMark val="out"/>
        <c:minorTickMark val="none"/>
        <c:tickLblPos val="nextTo"/>
        <c:crossAx val="1060279808"/>
        <c:crosses val="autoZero"/>
        <c:auto val="1"/>
        <c:lblAlgn val="ctr"/>
        <c:lblOffset val="100"/>
        <c:noMultiLvlLbl val="0"/>
      </c:catAx>
      <c:valAx>
        <c:axId val="1060279808"/>
        <c:scaling>
          <c:orientation val="minMax"/>
          <c:max val="8.0000000000000016E-2"/>
          <c:min val="7.0000000000000007E-2"/>
        </c:scaling>
        <c:delete val="0"/>
        <c:axPos val="l"/>
        <c:majorGridlines/>
        <c:numFmt formatCode="General" sourceLinked="1"/>
        <c:majorTickMark val="out"/>
        <c:minorTickMark val="none"/>
        <c:tickLblPos val="nextTo"/>
        <c:crossAx val="1060278272"/>
        <c:crosses val="autoZero"/>
        <c:crossBetween val="between"/>
        <c:majorUnit val="1.0000000000000002E-3"/>
        <c:minorUnit val="2.0000000000000006E-4"/>
      </c:valAx>
    </c:plotArea>
    <c:legend>
      <c:legendPos val="r"/>
      <c:legendEntry>
        <c:idx val="1"/>
        <c:delete val="1"/>
      </c:legendEntry>
      <c:layout>
        <c:manualLayout>
          <c:xMode val="edge"/>
          <c:yMode val="edge"/>
          <c:x val="0.68904941973600131"/>
          <c:y val="0.10214463617579719"/>
          <c:w val="0.31095062859853556"/>
          <c:h val="0.85078136971212459"/>
        </c:manualLayout>
      </c:layout>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Лист1!$B$1</c:f>
              <c:strCache>
                <c:ptCount val="1"/>
                <c:pt idx="0">
                  <c:v>Збільшення ВДТ (%)</c:v>
                </c:pt>
              </c:strCache>
            </c:strRef>
          </c:tx>
          <c:invertIfNegative val="0"/>
          <c:cat>
            <c:strRef>
              <c:f>Лист1!$A$2:$A$3</c:f>
              <c:strCache>
                <c:ptCount val="2"/>
                <c:pt idx="0">
                  <c:v>ВДТ крові</c:v>
                </c:pt>
                <c:pt idx="1">
                  <c:v>ВДТ кліт.букального епітелію</c:v>
                </c:pt>
              </c:strCache>
            </c:strRef>
          </c:cat>
          <c:val>
            <c:numRef>
              <c:f>Лист1!$B$2:$B$3</c:f>
              <c:numCache>
                <c:formatCode>General</c:formatCode>
                <c:ptCount val="2"/>
                <c:pt idx="0">
                  <c:v>67.7</c:v>
                </c:pt>
                <c:pt idx="1">
                  <c:v>54.8</c:v>
                </c:pt>
              </c:numCache>
            </c:numRef>
          </c:val>
          <c:extLst>
            <c:ext xmlns:c16="http://schemas.microsoft.com/office/drawing/2014/chart" uri="{C3380CC4-5D6E-409C-BE32-E72D297353CC}">
              <c16:uniqueId val="{00000000-7ADC-40F9-BB24-7F910059291F}"/>
            </c:ext>
          </c:extLst>
        </c:ser>
        <c:ser>
          <c:idx val="1"/>
          <c:order val="1"/>
          <c:tx>
            <c:strRef>
              <c:f>Лист1!$C$1</c:f>
              <c:strCache>
                <c:ptCount val="1"/>
                <c:pt idx="0">
                  <c:v>Зменьшення ВДТ (%)</c:v>
                </c:pt>
              </c:strCache>
            </c:strRef>
          </c:tx>
          <c:invertIfNegative val="0"/>
          <c:cat>
            <c:strRef>
              <c:f>Лист1!$A$2:$A$3</c:f>
              <c:strCache>
                <c:ptCount val="2"/>
                <c:pt idx="0">
                  <c:v>ВДТ крові</c:v>
                </c:pt>
                <c:pt idx="1">
                  <c:v>ВДТ кліт.букального епітелію</c:v>
                </c:pt>
              </c:strCache>
            </c:strRef>
          </c:cat>
          <c:val>
            <c:numRef>
              <c:f>Лист1!$C$2:$C$3</c:f>
              <c:numCache>
                <c:formatCode>General</c:formatCode>
                <c:ptCount val="2"/>
                <c:pt idx="0">
                  <c:v>18.3</c:v>
                </c:pt>
                <c:pt idx="1">
                  <c:v>39.799999999999997</c:v>
                </c:pt>
              </c:numCache>
            </c:numRef>
          </c:val>
          <c:extLst>
            <c:ext xmlns:c16="http://schemas.microsoft.com/office/drawing/2014/chart" uri="{C3380CC4-5D6E-409C-BE32-E72D297353CC}">
              <c16:uniqueId val="{00000001-7ADC-40F9-BB24-7F910059291F}"/>
            </c:ext>
          </c:extLst>
        </c:ser>
        <c:ser>
          <c:idx val="2"/>
          <c:order val="2"/>
          <c:tx>
            <c:strRef>
              <c:f>Лист1!$D$1</c:f>
              <c:strCache>
                <c:ptCount val="1"/>
                <c:pt idx="0">
                  <c:v>Відсутність зміни ВДТ (%)</c:v>
                </c:pt>
              </c:strCache>
            </c:strRef>
          </c:tx>
          <c:invertIfNegative val="0"/>
          <c:cat>
            <c:strRef>
              <c:f>Лист1!$A$2:$A$3</c:f>
              <c:strCache>
                <c:ptCount val="2"/>
                <c:pt idx="0">
                  <c:v>ВДТ крові</c:v>
                </c:pt>
                <c:pt idx="1">
                  <c:v>ВДТ кліт.букального епітелію</c:v>
                </c:pt>
              </c:strCache>
            </c:strRef>
          </c:cat>
          <c:val>
            <c:numRef>
              <c:f>Лист1!$D$2:$D$3</c:f>
              <c:numCache>
                <c:formatCode>General</c:formatCode>
                <c:ptCount val="2"/>
                <c:pt idx="0">
                  <c:v>14.03</c:v>
                </c:pt>
                <c:pt idx="1">
                  <c:v>5.4</c:v>
                </c:pt>
              </c:numCache>
            </c:numRef>
          </c:val>
          <c:extLst>
            <c:ext xmlns:c16="http://schemas.microsoft.com/office/drawing/2014/chart" uri="{C3380CC4-5D6E-409C-BE32-E72D297353CC}">
              <c16:uniqueId val="{00000002-7ADC-40F9-BB24-7F910059291F}"/>
            </c:ext>
          </c:extLst>
        </c:ser>
        <c:dLbls>
          <c:showLegendKey val="0"/>
          <c:showVal val="0"/>
          <c:showCatName val="0"/>
          <c:showSerName val="0"/>
          <c:showPercent val="0"/>
          <c:showBubbleSize val="0"/>
        </c:dLbls>
        <c:gapWidth val="150"/>
        <c:overlap val="100"/>
        <c:axId val="1081617408"/>
        <c:axId val="1081635584"/>
      </c:barChart>
      <c:catAx>
        <c:axId val="1081617408"/>
        <c:scaling>
          <c:orientation val="minMax"/>
        </c:scaling>
        <c:delete val="0"/>
        <c:axPos val="b"/>
        <c:numFmt formatCode="General" sourceLinked="0"/>
        <c:majorTickMark val="out"/>
        <c:minorTickMark val="none"/>
        <c:tickLblPos val="nextTo"/>
        <c:crossAx val="1081635584"/>
        <c:crosses val="autoZero"/>
        <c:auto val="1"/>
        <c:lblAlgn val="ctr"/>
        <c:lblOffset val="100"/>
        <c:noMultiLvlLbl val="0"/>
      </c:catAx>
      <c:valAx>
        <c:axId val="1081635584"/>
        <c:scaling>
          <c:orientation val="minMax"/>
        </c:scaling>
        <c:delete val="0"/>
        <c:axPos val="l"/>
        <c:majorGridlines/>
        <c:numFmt formatCode="0%" sourceLinked="1"/>
        <c:majorTickMark val="out"/>
        <c:minorTickMark val="none"/>
        <c:tickLblPos val="nextTo"/>
        <c:crossAx val="108161740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800" b="1" i="0" u="none" strike="noStrike" baseline="0">
                <a:effectLst/>
              </a:rPr>
              <a:t>Рівні ВЕФР в залежності від рівня ТТГ</a:t>
            </a:r>
            <a:endParaRPr lang="ru-RU"/>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7.1560800858322268E-2"/>
          <c:y val="0.12678877096884628"/>
          <c:w val="0.82670891072652852"/>
          <c:h val="0.5749319971367215"/>
        </c:manualLayout>
      </c:layout>
      <c:bar3DChart>
        <c:barDir val="col"/>
        <c:grouping val="clustered"/>
        <c:varyColors val="0"/>
        <c:ser>
          <c:idx val="0"/>
          <c:order val="0"/>
          <c:tx>
            <c:strRef>
              <c:f>Лист1!$B$1</c:f>
              <c:strCache>
                <c:ptCount val="1"/>
                <c:pt idx="0">
                  <c:v>Рівні ВЕФР,пг /мл </c:v>
                </c:pt>
              </c:strCache>
            </c:strRef>
          </c:tx>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B37-4A75-924B-43569B48DF25}"/>
                </c:ext>
              </c:extLst>
            </c:dLbl>
            <c:dLbl>
              <c:idx val="1"/>
              <c:tx>
                <c:rich>
                  <a:bodyPr/>
                  <a:lstStyle/>
                  <a:p>
                    <a:r>
                      <a:rPr lang="uk-UA"/>
                      <a:t>374</a:t>
                    </a:r>
                    <a:r>
                      <a:rPr lang="en-US"/>
                      <a:t>,1</a:t>
                    </a:r>
                    <a:r>
                      <a:rPr lang="uk-UA"/>
                      <a:t>9</a:t>
                    </a:r>
                    <a:r>
                      <a:rPr lang="uk-UA" sz="1000" b="1" i="0" u="none" strike="noStrike" baseline="0">
                        <a:effectLst/>
                      </a:rPr>
                      <a:t>*</a:t>
                    </a:r>
                    <a:r>
                      <a:rPr lang="uk-UA" sz="1000" b="1" i="0" u="none" strike="noStrike" baseline="30000">
                        <a:effectLst/>
                      </a:rPr>
                      <a:t>,1</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B37-4A75-924B-43569B48DF25}"/>
                </c:ext>
              </c:extLst>
            </c:dLbl>
            <c:dLbl>
              <c:idx val="2"/>
              <c:tx>
                <c:rich>
                  <a:bodyPr/>
                  <a:lstStyle/>
                  <a:p>
                    <a:r>
                      <a:rPr lang="en-US"/>
                      <a:t>32</a:t>
                    </a:r>
                    <a:r>
                      <a:rPr lang="uk-UA"/>
                      <a:t>6</a:t>
                    </a:r>
                    <a:r>
                      <a:rPr lang="en-US"/>
                      <a:t>,</a:t>
                    </a:r>
                    <a:r>
                      <a:rPr lang="uk-UA"/>
                      <a:t>03</a:t>
                    </a:r>
                    <a:r>
                      <a:rPr lang="en-US">
                        <a:latin typeface="Times New Roman"/>
                        <a:cs typeface="Times New Roman"/>
                      </a:rPr>
                      <a:t>*</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B37-4A75-924B-43569B48DF25}"/>
                </c:ext>
              </c:extLst>
            </c:dLbl>
            <c:dLbl>
              <c:idx val="3"/>
              <c:tx>
                <c:rich>
                  <a:bodyPr/>
                  <a:lstStyle/>
                  <a:p>
                    <a:r>
                      <a:rPr lang="en-US"/>
                      <a:t>375,91</a:t>
                    </a:r>
                    <a:r>
                      <a:rPr lang="uk-UA" sz="1000" b="1" i="0" u="none" strike="noStrike" baseline="0">
                        <a:effectLst/>
                      </a:rPr>
                      <a:t>*</a:t>
                    </a:r>
                    <a:r>
                      <a:rPr lang="uk-UA" sz="1000" b="1" i="0" u="none" strike="noStrike" baseline="30000">
                        <a:effectLst/>
                      </a:rPr>
                      <a:t>,1</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B37-4A75-924B-43569B48DF25}"/>
                </c:ext>
              </c:extLst>
            </c:dLbl>
            <c:dLbl>
              <c:idx val="4"/>
              <c:tx>
                <c:rich>
                  <a:bodyPr/>
                  <a:lstStyle/>
                  <a:p>
                    <a:r>
                      <a:rPr lang="en-US"/>
                      <a:t>416,3</a:t>
                    </a:r>
                    <a:r>
                      <a:rPr lang="ru-RU"/>
                      <a:t>1</a:t>
                    </a:r>
                    <a:r>
                      <a:rPr lang="ru-RU" baseline="30000"/>
                      <a:t>2</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B37-4A75-924B-43569B48DF25}"/>
                </c:ext>
              </c:extLst>
            </c:dLbl>
            <c:dLbl>
              <c:idx val="5"/>
              <c:tx>
                <c:rich>
                  <a:bodyPr/>
                  <a:lstStyle/>
                  <a:p>
                    <a:r>
                      <a:rPr lang="en-US"/>
                      <a:t>414,68</a:t>
                    </a:r>
                    <a:r>
                      <a:rPr lang="ru-RU" baseline="30000"/>
                      <a:t>2</a:t>
                    </a:r>
                    <a:endParaRPr lang="en-US" baseline="30000"/>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B37-4A75-924B-43569B48DF25}"/>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Лист1!$A$2:$A$7</c:f>
              <c:strCache>
                <c:ptCount val="6"/>
                <c:pt idx="0">
                  <c:v>Гр.контролю</c:v>
                </c:pt>
                <c:pt idx="1">
                  <c:v>1 група</c:v>
                </c:pt>
                <c:pt idx="2">
                  <c:v>2 група</c:v>
                </c:pt>
                <c:pt idx="3">
                  <c:v>3а підгрупа</c:v>
                </c:pt>
                <c:pt idx="4">
                  <c:v>3б підгрупа</c:v>
                </c:pt>
                <c:pt idx="5">
                  <c:v>3в підгрупа</c:v>
                </c:pt>
              </c:strCache>
            </c:strRef>
          </c:cat>
          <c:val>
            <c:numRef>
              <c:f>Лист1!$B$2:$B$7</c:f>
              <c:numCache>
                <c:formatCode>General</c:formatCode>
                <c:ptCount val="6"/>
                <c:pt idx="0">
                  <c:v>121.84</c:v>
                </c:pt>
                <c:pt idx="1">
                  <c:v>374.19</c:v>
                </c:pt>
                <c:pt idx="2">
                  <c:v>326.02999999999997</c:v>
                </c:pt>
                <c:pt idx="3">
                  <c:v>375.91</c:v>
                </c:pt>
                <c:pt idx="4">
                  <c:v>416.31</c:v>
                </c:pt>
                <c:pt idx="5">
                  <c:v>414.68</c:v>
                </c:pt>
              </c:numCache>
            </c:numRef>
          </c:val>
          <c:extLst>
            <c:ext xmlns:c16="http://schemas.microsoft.com/office/drawing/2014/chart" uri="{C3380CC4-5D6E-409C-BE32-E72D297353CC}">
              <c16:uniqueId val="{00000006-EB37-4A75-924B-43569B48DF25}"/>
            </c:ext>
          </c:extLst>
        </c:ser>
        <c:dLbls>
          <c:showLegendKey val="0"/>
          <c:showVal val="0"/>
          <c:showCatName val="0"/>
          <c:showSerName val="0"/>
          <c:showPercent val="0"/>
          <c:showBubbleSize val="0"/>
        </c:dLbls>
        <c:gapWidth val="150"/>
        <c:shape val="box"/>
        <c:axId val="1028861952"/>
        <c:axId val="1028863488"/>
        <c:axId val="0"/>
      </c:bar3DChart>
      <c:catAx>
        <c:axId val="1028861952"/>
        <c:scaling>
          <c:orientation val="minMax"/>
        </c:scaling>
        <c:delete val="0"/>
        <c:axPos val="b"/>
        <c:numFmt formatCode="General" sourceLinked="0"/>
        <c:majorTickMark val="out"/>
        <c:minorTickMark val="none"/>
        <c:tickLblPos val="nextTo"/>
        <c:crossAx val="1028863488"/>
        <c:crosses val="autoZero"/>
        <c:auto val="1"/>
        <c:lblAlgn val="ctr"/>
        <c:lblOffset val="100"/>
        <c:noMultiLvlLbl val="0"/>
      </c:catAx>
      <c:valAx>
        <c:axId val="1028863488"/>
        <c:scaling>
          <c:orientation val="minMax"/>
        </c:scaling>
        <c:delete val="0"/>
        <c:axPos val="l"/>
        <c:majorGridlines/>
        <c:numFmt formatCode="General" sourceLinked="1"/>
        <c:majorTickMark val="out"/>
        <c:minorTickMark val="none"/>
        <c:tickLblPos val="nextTo"/>
        <c:crossAx val="1028861952"/>
        <c:crosses val="autoZero"/>
        <c:crossBetween val="between"/>
      </c:valAx>
    </c:plotArea>
    <c:legend>
      <c:legendPos val="r"/>
      <c:layout>
        <c:manualLayout>
          <c:xMode val="edge"/>
          <c:yMode val="edge"/>
          <c:x val="0.57182909853946362"/>
          <c:y val="0.89382931488931006"/>
          <c:w val="0.42458355722729713"/>
          <c:h val="7.1473965951884474E-2"/>
        </c:manualLayout>
      </c:layout>
      <c:overlay val="0"/>
      <c:txPr>
        <a:bodyPr/>
        <a:lstStyle/>
        <a:p>
          <a:pPr>
            <a:defRPr baseline="0"/>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СРБ</c:v>
                </c:pt>
              </c:strCache>
            </c:strRef>
          </c:tx>
          <c:invertIfNegative val="0"/>
          <c:dLbls>
            <c:dLbl>
              <c:idx val="0"/>
              <c:layout>
                <c:manualLayout>
                  <c:x val="-6.8791561568447603E-3"/>
                  <c:y val="-4.685669660288956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29A-4A4A-BC3B-D33D7E1C472A}"/>
                </c:ext>
              </c:extLst>
            </c:dLbl>
            <c:dLbl>
              <c:idx val="1"/>
              <c:layout>
                <c:manualLayout>
                  <c:x val="-4.5953124238282414E-3"/>
                  <c:y val="-4.6851469806024344E-2"/>
                </c:manualLayout>
              </c:layout>
              <c:tx>
                <c:rich>
                  <a:bodyPr/>
                  <a:lstStyle/>
                  <a:p>
                    <a:r>
                      <a:rPr lang="en-US"/>
                      <a:t>6,68</a:t>
                    </a:r>
                    <a:r>
                      <a:rPr lang="en-US">
                        <a:latin typeface="Arial"/>
                        <a:cs typeface="Arial"/>
                      </a:rPr>
                      <a:t>*</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29A-4A4A-BC3B-D33D7E1C472A}"/>
                </c:ext>
              </c:extLst>
            </c:dLbl>
            <c:dLbl>
              <c:idx val="2"/>
              <c:layout>
                <c:manualLayout>
                  <c:x val="-6.8680571555061638E-3"/>
                  <c:y val="-5.0756074845483022E-2"/>
                </c:manualLayout>
              </c:layout>
              <c:tx>
                <c:rich>
                  <a:bodyPr/>
                  <a:lstStyle/>
                  <a:p>
                    <a:r>
                      <a:rPr lang="en-US"/>
                      <a:t>8,52</a:t>
                    </a:r>
                    <a:r>
                      <a:rPr lang="en-US">
                        <a:latin typeface="Arial"/>
                        <a:cs typeface="Arial"/>
                      </a:rPr>
                      <a:t>*</a:t>
                    </a:r>
                    <a:r>
                      <a:rPr lang="uk-UA" sz="1000" b="0" i="0" u="none" strike="noStrike" baseline="30000">
                        <a:effectLst/>
                      </a:rPr>
                      <a:t>,1</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29A-4A4A-BC3B-D33D7E1C472A}"/>
                </c:ext>
              </c:extLst>
            </c:dLbl>
            <c:dLbl>
              <c:idx val="3"/>
              <c:layout>
                <c:manualLayout>
                  <c:x val="-9.1795754446356848E-3"/>
                  <c:y val="-5.8570977748016104E-2"/>
                </c:manualLayout>
              </c:layout>
              <c:tx>
                <c:rich>
                  <a:bodyPr/>
                  <a:lstStyle/>
                  <a:p>
                    <a:r>
                      <a:rPr lang="en-US"/>
                      <a:t>8,35</a:t>
                    </a:r>
                    <a:r>
                      <a:rPr lang="en-US">
                        <a:latin typeface="Arial"/>
                        <a:cs typeface="Arial"/>
                      </a:rPr>
                      <a:t>*</a:t>
                    </a:r>
                    <a:r>
                      <a:rPr lang="uk-UA" sz="1000" b="0" i="0" u="none" strike="noStrike" baseline="30000">
                        <a:effectLst/>
                      </a:rPr>
                      <a:t>,1</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29A-4A4A-BC3B-D33D7E1C472A}"/>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errBars>
          <c:cat>
            <c:strRef>
              <c:f>Лист1!$A$2:$A$5</c:f>
              <c:strCache>
                <c:ptCount val="4"/>
                <c:pt idx="0">
                  <c:v>група контролю</c:v>
                </c:pt>
                <c:pt idx="1">
                  <c:v>1 група</c:v>
                </c:pt>
                <c:pt idx="2">
                  <c:v>2 група</c:v>
                </c:pt>
                <c:pt idx="3">
                  <c:v>3 група</c:v>
                </c:pt>
              </c:strCache>
            </c:strRef>
          </c:cat>
          <c:val>
            <c:numRef>
              <c:f>Лист1!$B$2:$B$5</c:f>
              <c:numCache>
                <c:formatCode>General</c:formatCode>
                <c:ptCount val="4"/>
                <c:pt idx="0">
                  <c:v>3.82</c:v>
                </c:pt>
                <c:pt idx="1">
                  <c:v>6.68</c:v>
                </c:pt>
                <c:pt idx="2">
                  <c:v>8.52</c:v>
                </c:pt>
                <c:pt idx="3">
                  <c:v>8.35</c:v>
                </c:pt>
              </c:numCache>
            </c:numRef>
          </c:val>
          <c:extLst>
            <c:ext xmlns:c16="http://schemas.microsoft.com/office/drawing/2014/chart" uri="{C3380CC4-5D6E-409C-BE32-E72D297353CC}">
              <c16:uniqueId val="{00000004-029A-4A4A-BC3B-D33D7E1C472A}"/>
            </c:ext>
          </c:extLst>
        </c:ser>
        <c:ser>
          <c:idx val="1"/>
          <c:order val="1"/>
          <c:tx>
            <c:strRef>
              <c:f>Лист1!$C$1</c:f>
              <c:strCache>
                <c:ptCount val="1"/>
                <c:pt idx="0">
                  <c:v>ФНО-α</c:v>
                </c:pt>
              </c:strCache>
            </c:strRef>
          </c:tx>
          <c:invertIfNegative val="0"/>
          <c:dLbls>
            <c:dLbl>
              <c:idx val="0"/>
              <c:layout>
                <c:manualLayout>
                  <c:x val="0"/>
                  <c:y val="-4.685669660288949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29A-4A4A-BC3B-D33D7E1C472A}"/>
                </c:ext>
              </c:extLst>
            </c:dLbl>
            <c:dLbl>
              <c:idx val="1"/>
              <c:layout>
                <c:manualLayout>
                  <c:x val="-2.2930520522815448E-3"/>
                  <c:y val="-5.8570870753611871E-2"/>
                </c:manualLayout>
              </c:layout>
              <c:tx>
                <c:rich>
                  <a:bodyPr/>
                  <a:lstStyle/>
                  <a:p>
                    <a:r>
                      <a:rPr lang="en-US"/>
                      <a:t>12,24</a:t>
                    </a:r>
                    <a:r>
                      <a:rPr lang="en-US">
                        <a:latin typeface="Arial"/>
                        <a:cs typeface="Arial"/>
                      </a:rPr>
                      <a:t>*</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29A-4A4A-BC3B-D33D7E1C472A}"/>
                </c:ext>
              </c:extLst>
            </c:dLbl>
            <c:dLbl>
              <c:idx val="2"/>
              <c:layout>
                <c:manualLayout>
                  <c:x val="0"/>
                  <c:y val="-8.1999219055056638E-2"/>
                </c:manualLayout>
              </c:layout>
              <c:tx>
                <c:rich>
                  <a:bodyPr/>
                  <a:lstStyle/>
                  <a:p>
                    <a:r>
                      <a:rPr lang="en-US"/>
                      <a:t>11,19</a:t>
                    </a:r>
                    <a:r>
                      <a:rPr lang="en-US">
                        <a:latin typeface="Arial"/>
                        <a:cs typeface="Arial"/>
                      </a:rPr>
                      <a:t>*</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29A-4A4A-BC3B-D33D7E1C472A}"/>
                </c:ext>
              </c:extLst>
            </c:dLbl>
            <c:dLbl>
              <c:idx val="3"/>
              <c:layout>
                <c:manualLayout>
                  <c:x val="0"/>
                  <c:y val="-5.8570870753611885E-2"/>
                </c:manualLayout>
              </c:layout>
              <c:tx>
                <c:rich>
                  <a:bodyPr/>
                  <a:lstStyle/>
                  <a:p>
                    <a:r>
                      <a:rPr lang="en-US"/>
                      <a:t>12,62</a:t>
                    </a:r>
                    <a:r>
                      <a:rPr lang="en-US">
                        <a:latin typeface="Arial"/>
                        <a:cs typeface="Arial"/>
                      </a:rPr>
                      <a:t>*</a:t>
                    </a:r>
                    <a:r>
                      <a:rPr lang="uk-UA" sz="1000" b="0" i="0" u="none" strike="noStrike" baseline="30000">
                        <a:effectLst/>
                      </a:rPr>
                      <a:t>,2</a:t>
                    </a:r>
                    <a:endParaRPr lang="en-US"/>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29A-4A4A-BC3B-D33D7E1C472A}"/>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errBars>
            <c:errBarType val="both"/>
            <c:errValType val="stdErr"/>
            <c:noEndCap val="0"/>
          </c:errBars>
          <c:cat>
            <c:strRef>
              <c:f>Лист1!$A$2:$A$5</c:f>
              <c:strCache>
                <c:ptCount val="4"/>
                <c:pt idx="0">
                  <c:v>група контролю</c:v>
                </c:pt>
                <c:pt idx="1">
                  <c:v>1 група</c:v>
                </c:pt>
                <c:pt idx="2">
                  <c:v>2 група</c:v>
                </c:pt>
                <c:pt idx="3">
                  <c:v>3 група</c:v>
                </c:pt>
              </c:strCache>
            </c:strRef>
          </c:cat>
          <c:val>
            <c:numRef>
              <c:f>Лист1!$C$2:$C$5</c:f>
              <c:numCache>
                <c:formatCode>General</c:formatCode>
                <c:ptCount val="4"/>
                <c:pt idx="0">
                  <c:v>6.9</c:v>
                </c:pt>
                <c:pt idx="1">
                  <c:v>12.24</c:v>
                </c:pt>
                <c:pt idx="2">
                  <c:v>11.19</c:v>
                </c:pt>
                <c:pt idx="3">
                  <c:v>12.62</c:v>
                </c:pt>
              </c:numCache>
            </c:numRef>
          </c:val>
          <c:extLst>
            <c:ext xmlns:c16="http://schemas.microsoft.com/office/drawing/2014/chart" uri="{C3380CC4-5D6E-409C-BE32-E72D297353CC}">
              <c16:uniqueId val="{00000009-029A-4A4A-BC3B-D33D7E1C472A}"/>
            </c:ext>
          </c:extLst>
        </c:ser>
        <c:dLbls>
          <c:showLegendKey val="0"/>
          <c:showVal val="0"/>
          <c:showCatName val="0"/>
          <c:showSerName val="0"/>
          <c:showPercent val="0"/>
          <c:showBubbleSize val="0"/>
        </c:dLbls>
        <c:gapWidth val="150"/>
        <c:axId val="1031303168"/>
        <c:axId val="1031304704"/>
      </c:barChart>
      <c:catAx>
        <c:axId val="1031303168"/>
        <c:scaling>
          <c:orientation val="minMax"/>
        </c:scaling>
        <c:delete val="0"/>
        <c:axPos val="b"/>
        <c:numFmt formatCode="General" sourceLinked="0"/>
        <c:majorTickMark val="none"/>
        <c:minorTickMark val="none"/>
        <c:tickLblPos val="nextTo"/>
        <c:crossAx val="1031304704"/>
        <c:crosses val="autoZero"/>
        <c:auto val="1"/>
        <c:lblAlgn val="ctr"/>
        <c:lblOffset val="100"/>
        <c:noMultiLvlLbl val="0"/>
      </c:catAx>
      <c:valAx>
        <c:axId val="1031304704"/>
        <c:scaling>
          <c:orientation val="minMax"/>
        </c:scaling>
        <c:delete val="0"/>
        <c:axPos val="l"/>
        <c:majorGridlines/>
        <c:numFmt formatCode="General" sourceLinked="1"/>
        <c:majorTickMark val="none"/>
        <c:minorTickMark val="none"/>
        <c:tickLblPos val="nextTo"/>
        <c:crossAx val="1031303168"/>
        <c:crosses val="autoZero"/>
        <c:crossBetween val="between"/>
      </c:valAx>
    </c:plotArea>
    <c:legend>
      <c:legendPos val="r"/>
      <c:overlay val="0"/>
    </c:legend>
    <c:plotVisOnly val="1"/>
    <c:dispBlanksAs val="gap"/>
    <c:showDLblsOverMax val="0"/>
  </c:chart>
  <c:spPr>
    <a:ln w="9525"/>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20"/>
      <c:rAngAx val="0"/>
      <c:perspective val="0"/>
    </c:view3D>
    <c:floor>
      <c:thickness val="0"/>
    </c:floor>
    <c:sideWall>
      <c:thickness val="0"/>
    </c:sideWall>
    <c:backWall>
      <c:thickness val="0"/>
    </c:backWall>
    <c:plotArea>
      <c:layout>
        <c:manualLayout>
          <c:layoutTarget val="inner"/>
          <c:xMode val="edge"/>
          <c:yMode val="edge"/>
          <c:x val="0.10907607903178769"/>
          <c:y val="4.4057617797775277E-2"/>
          <c:w val="0.69569025765270465"/>
          <c:h val="0.77238407699037626"/>
        </c:manualLayout>
      </c:layout>
      <c:bar3DChart>
        <c:barDir val="col"/>
        <c:grouping val="clustered"/>
        <c:varyColors val="0"/>
        <c:ser>
          <c:idx val="0"/>
          <c:order val="0"/>
          <c:tx>
            <c:strRef>
              <c:f>Лист1!$B$1</c:f>
              <c:strCache>
                <c:ptCount val="1"/>
                <c:pt idx="0">
                  <c:v> група 1</c:v>
                </c:pt>
              </c:strCache>
            </c:strRef>
          </c:tx>
          <c:invertIfNegative val="0"/>
          <c:cat>
            <c:strRef>
              <c:f>Лист1!$A$2:$A$5</c:f>
              <c:strCache>
                <c:ptCount val="4"/>
                <c:pt idx="0">
                  <c:v>Квартіль 1</c:v>
                </c:pt>
                <c:pt idx="1">
                  <c:v>Квартіль 2</c:v>
                </c:pt>
                <c:pt idx="2">
                  <c:v>Квартіль 3</c:v>
                </c:pt>
                <c:pt idx="3">
                  <c:v>Квартіль 4</c:v>
                </c:pt>
              </c:strCache>
            </c:strRef>
          </c:cat>
          <c:val>
            <c:numRef>
              <c:f>Лист1!$B$2:$B$5</c:f>
              <c:numCache>
                <c:formatCode>General</c:formatCode>
                <c:ptCount val="4"/>
                <c:pt idx="0">
                  <c:v>7.3</c:v>
                </c:pt>
                <c:pt idx="1">
                  <c:v>17.07</c:v>
                </c:pt>
                <c:pt idx="2">
                  <c:v>39.020000000000003</c:v>
                </c:pt>
                <c:pt idx="3">
                  <c:v>36.590000000000003</c:v>
                </c:pt>
              </c:numCache>
            </c:numRef>
          </c:val>
          <c:extLst>
            <c:ext xmlns:c16="http://schemas.microsoft.com/office/drawing/2014/chart" uri="{C3380CC4-5D6E-409C-BE32-E72D297353CC}">
              <c16:uniqueId val="{00000000-138A-4DB3-8744-72692C2D97EF}"/>
            </c:ext>
          </c:extLst>
        </c:ser>
        <c:ser>
          <c:idx val="1"/>
          <c:order val="1"/>
          <c:tx>
            <c:strRef>
              <c:f>Лист1!$C$1</c:f>
              <c:strCache>
                <c:ptCount val="1"/>
                <c:pt idx="0">
                  <c:v> група 2</c:v>
                </c:pt>
              </c:strCache>
            </c:strRef>
          </c:tx>
          <c:invertIfNegative val="0"/>
          <c:cat>
            <c:strRef>
              <c:f>Лист1!$A$2:$A$5</c:f>
              <c:strCache>
                <c:ptCount val="4"/>
                <c:pt idx="0">
                  <c:v>Квартіль 1</c:v>
                </c:pt>
                <c:pt idx="1">
                  <c:v>Квартіль 2</c:v>
                </c:pt>
                <c:pt idx="2">
                  <c:v>Квартіль 3</c:v>
                </c:pt>
                <c:pt idx="3">
                  <c:v>Квартіль 4</c:v>
                </c:pt>
              </c:strCache>
            </c:strRef>
          </c:cat>
          <c:val>
            <c:numRef>
              <c:f>Лист1!$C$2:$C$5</c:f>
              <c:numCache>
                <c:formatCode>General</c:formatCode>
                <c:ptCount val="4"/>
                <c:pt idx="0">
                  <c:v>29.79</c:v>
                </c:pt>
                <c:pt idx="1">
                  <c:v>34.04</c:v>
                </c:pt>
                <c:pt idx="2">
                  <c:v>14.89</c:v>
                </c:pt>
                <c:pt idx="3">
                  <c:v>21.28</c:v>
                </c:pt>
              </c:numCache>
            </c:numRef>
          </c:val>
          <c:extLst>
            <c:ext xmlns:c16="http://schemas.microsoft.com/office/drawing/2014/chart" uri="{C3380CC4-5D6E-409C-BE32-E72D297353CC}">
              <c16:uniqueId val="{00000001-138A-4DB3-8744-72692C2D97EF}"/>
            </c:ext>
          </c:extLst>
        </c:ser>
        <c:ser>
          <c:idx val="2"/>
          <c:order val="2"/>
          <c:tx>
            <c:strRef>
              <c:f>Лист1!$D$1</c:f>
              <c:strCache>
                <c:ptCount val="1"/>
                <c:pt idx="0">
                  <c:v>  група 3</c:v>
                </c:pt>
              </c:strCache>
            </c:strRef>
          </c:tx>
          <c:invertIfNegative val="0"/>
          <c:cat>
            <c:strRef>
              <c:f>Лист1!$A$2:$A$5</c:f>
              <c:strCache>
                <c:ptCount val="4"/>
                <c:pt idx="0">
                  <c:v>Квартіль 1</c:v>
                </c:pt>
                <c:pt idx="1">
                  <c:v>Квартіль 2</c:v>
                </c:pt>
                <c:pt idx="2">
                  <c:v>Квартіль 3</c:v>
                </c:pt>
                <c:pt idx="3">
                  <c:v>Квартіль 4</c:v>
                </c:pt>
              </c:strCache>
            </c:strRef>
          </c:cat>
          <c:val>
            <c:numRef>
              <c:f>Лист1!$D$2:$D$5</c:f>
              <c:numCache>
                <c:formatCode>General</c:formatCode>
                <c:ptCount val="4"/>
                <c:pt idx="0">
                  <c:v>38.1</c:v>
                </c:pt>
                <c:pt idx="1">
                  <c:v>25.4</c:v>
                </c:pt>
                <c:pt idx="2">
                  <c:v>15.87</c:v>
                </c:pt>
                <c:pt idx="3">
                  <c:v>20.63</c:v>
                </c:pt>
              </c:numCache>
            </c:numRef>
          </c:val>
          <c:extLst>
            <c:ext xmlns:c16="http://schemas.microsoft.com/office/drawing/2014/chart" uri="{C3380CC4-5D6E-409C-BE32-E72D297353CC}">
              <c16:uniqueId val="{00000002-138A-4DB3-8744-72692C2D97EF}"/>
            </c:ext>
          </c:extLst>
        </c:ser>
        <c:dLbls>
          <c:showLegendKey val="0"/>
          <c:showVal val="0"/>
          <c:showCatName val="0"/>
          <c:showSerName val="0"/>
          <c:showPercent val="0"/>
          <c:showBubbleSize val="0"/>
        </c:dLbls>
        <c:gapWidth val="150"/>
        <c:shape val="box"/>
        <c:axId val="1031322624"/>
        <c:axId val="1031324800"/>
        <c:axId val="0"/>
      </c:bar3DChart>
      <c:catAx>
        <c:axId val="1031322624"/>
        <c:scaling>
          <c:orientation val="minMax"/>
        </c:scaling>
        <c:delete val="0"/>
        <c:axPos val="b"/>
        <c:title>
          <c:tx>
            <c:rich>
              <a:bodyPr/>
              <a:lstStyle/>
              <a:p>
                <a:pPr>
                  <a:defRPr/>
                </a:pPr>
                <a:r>
                  <a:rPr lang="ru-RU"/>
                  <a:t>Відностна довжина теломер крові, ум.од</a:t>
                </a:r>
              </a:p>
            </c:rich>
          </c:tx>
          <c:layout>
            <c:manualLayout>
              <c:xMode val="edge"/>
              <c:yMode val="edge"/>
              <c:x val="0.25416065179352582"/>
              <c:y val="0.90164198225221848"/>
            </c:manualLayout>
          </c:layout>
          <c:overlay val="0"/>
        </c:title>
        <c:numFmt formatCode="General" sourceLinked="0"/>
        <c:majorTickMark val="out"/>
        <c:minorTickMark val="none"/>
        <c:tickLblPos val="nextTo"/>
        <c:crossAx val="1031324800"/>
        <c:crosses val="autoZero"/>
        <c:auto val="1"/>
        <c:lblAlgn val="ctr"/>
        <c:lblOffset val="100"/>
        <c:noMultiLvlLbl val="0"/>
      </c:catAx>
      <c:valAx>
        <c:axId val="1031324800"/>
        <c:scaling>
          <c:orientation val="minMax"/>
          <c:max val="60"/>
        </c:scaling>
        <c:delete val="0"/>
        <c:axPos val="l"/>
        <c:majorGridlines/>
        <c:title>
          <c:tx>
            <c:rich>
              <a:bodyPr rot="-5400000" vert="horz"/>
              <a:lstStyle/>
              <a:p>
                <a:pPr>
                  <a:defRPr/>
                </a:pPr>
                <a:r>
                  <a:rPr lang="ru-RU"/>
                  <a:t>Кількість пацієнтів, %</a:t>
                </a:r>
              </a:p>
            </c:rich>
          </c:tx>
          <c:layout>
            <c:manualLayout>
              <c:xMode val="edge"/>
              <c:yMode val="edge"/>
              <c:x val="2.6281532516768739E-2"/>
              <c:y val="0.20437914010748656"/>
            </c:manualLayout>
          </c:layout>
          <c:overlay val="0"/>
        </c:title>
        <c:numFmt formatCode="General" sourceLinked="1"/>
        <c:majorTickMark val="out"/>
        <c:minorTickMark val="none"/>
        <c:tickLblPos val="nextTo"/>
        <c:crossAx val="1031322624"/>
        <c:crosses val="autoZero"/>
        <c:crossBetween val="between"/>
      </c:valAx>
    </c:plotArea>
    <c:legend>
      <c:legendPos val="r"/>
      <c:layout>
        <c:manualLayout>
          <c:xMode val="edge"/>
          <c:yMode val="edge"/>
          <c:x val="0.82776871825932996"/>
          <c:y val="0.10037790919288618"/>
          <c:w val="0.17007958728128322"/>
          <c:h val="0.44753503322458138"/>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20"/>
      <c:rAngAx val="1"/>
    </c:view3D>
    <c:floor>
      <c:thickness val="0"/>
    </c:floor>
    <c:sideWall>
      <c:thickness val="0"/>
    </c:sideWall>
    <c:backWall>
      <c:thickness val="0"/>
    </c:backWall>
    <c:plotArea>
      <c:layout>
        <c:manualLayout>
          <c:layoutTarget val="inner"/>
          <c:xMode val="edge"/>
          <c:yMode val="edge"/>
          <c:x val="0.11279910231543945"/>
          <c:y val="4.4057617797775277E-2"/>
          <c:w val="0.68438031403980193"/>
          <c:h val="0.75797799611331773"/>
        </c:manualLayout>
      </c:layout>
      <c:bar3DChart>
        <c:barDir val="col"/>
        <c:grouping val="clustered"/>
        <c:varyColors val="0"/>
        <c:ser>
          <c:idx val="0"/>
          <c:order val="0"/>
          <c:tx>
            <c:strRef>
              <c:f>Лист1!$B$1</c:f>
              <c:strCache>
                <c:ptCount val="1"/>
                <c:pt idx="0">
                  <c:v>група  1</c:v>
                </c:pt>
              </c:strCache>
            </c:strRef>
          </c:tx>
          <c:invertIfNegative val="0"/>
          <c:cat>
            <c:strRef>
              <c:f>Лист1!$A$2:$A$5</c:f>
              <c:strCache>
                <c:ptCount val="4"/>
                <c:pt idx="0">
                  <c:v>Квартиль 1</c:v>
                </c:pt>
                <c:pt idx="1">
                  <c:v>Квартиль 2</c:v>
                </c:pt>
                <c:pt idx="2">
                  <c:v>Квартиль 3</c:v>
                </c:pt>
                <c:pt idx="3">
                  <c:v>Квартиль 3 </c:v>
                </c:pt>
              </c:strCache>
            </c:strRef>
          </c:cat>
          <c:val>
            <c:numRef>
              <c:f>Лист1!$B$2:$B$5</c:f>
              <c:numCache>
                <c:formatCode>General</c:formatCode>
                <c:ptCount val="4"/>
                <c:pt idx="0">
                  <c:v>14.63</c:v>
                </c:pt>
                <c:pt idx="1">
                  <c:v>19.510000000000002</c:v>
                </c:pt>
                <c:pt idx="2">
                  <c:v>24.39</c:v>
                </c:pt>
                <c:pt idx="3">
                  <c:v>41.46</c:v>
                </c:pt>
              </c:numCache>
            </c:numRef>
          </c:val>
          <c:extLst>
            <c:ext xmlns:c16="http://schemas.microsoft.com/office/drawing/2014/chart" uri="{C3380CC4-5D6E-409C-BE32-E72D297353CC}">
              <c16:uniqueId val="{00000000-F33D-491C-A049-94A2C0B8658B}"/>
            </c:ext>
          </c:extLst>
        </c:ser>
        <c:ser>
          <c:idx val="1"/>
          <c:order val="1"/>
          <c:tx>
            <c:strRef>
              <c:f>Лист1!$C$1</c:f>
              <c:strCache>
                <c:ptCount val="1"/>
                <c:pt idx="0">
                  <c:v>група 2</c:v>
                </c:pt>
              </c:strCache>
            </c:strRef>
          </c:tx>
          <c:invertIfNegative val="0"/>
          <c:cat>
            <c:strRef>
              <c:f>Лист1!$A$2:$A$5</c:f>
              <c:strCache>
                <c:ptCount val="4"/>
                <c:pt idx="0">
                  <c:v>Квартиль 1</c:v>
                </c:pt>
                <c:pt idx="1">
                  <c:v>Квартиль 2</c:v>
                </c:pt>
                <c:pt idx="2">
                  <c:v>Квартиль 3</c:v>
                </c:pt>
                <c:pt idx="3">
                  <c:v>Квартиль 3 </c:v>
                </c:pt>
              </c:strCache>
            </c:strRef>
          </c:cat>
          <c:val>
            <c:numRef>
              <c:f>Лист1!$C$2:$C$5</c:f>
              <c:numCache>
                <c:formatCode>General</c:formatCode>
                <c:ptCount val="4"/>
                <c:pt idx="0">
                  <c:v>38.299999999999997</c:v>
                </c:pt>
                <c:pt idx="1">
                  <c:v>25.53</c:v>
                </c:pt>
                <c:pt idx="2">
                  <c:v>23.4</c:v>
                </c:pt>
                <c:pt idx="3">
                  <c:v>12.77</c:v>
                </c:pt>
              </c:numCache>
            </c:numRef>
          </c:val>
          <c:extLst>
            <c:ext xmlns:c16="http://schemas.microsoft.com/office/drawing/2014/chart" uri="{C3380CC4-5D6E-409C-BE32-E72D297353CC}">
              <c16:uniqueId val="{00000001-F33D-491C-A049-94A2C0B8658B}"/>
            </c:ext>
          </c:extLst>
        </c:ser>
        <c:ser>
          <c:idx val="2"/>
          <c:order val="2"/>
          <c:tx>
            <c:strRef>
              <c:f>Лист1!$D$1</c:f>
              <c:strCache>
                <c:ptCount val="1"/>
                <c:pt idx="0">
                  <c:v> група 3</c:v>
                </c:pt>
              </c:strCache>
            </c:strRef>
          </c:tx>
          <c:spPr>
            <a:ln>
              <a:noFill/>
            </a:ln>
          </c:spPr>
          <c:invertIfNegative val="0"/>
          <c:cat>
            <c:strRef>
              <c:f>Лист1!$A$2:$A$5</c:f>
              <c:strCache>
                <c:ptCount val="4"/>
                <c:pt idx="0">
                  <c:v>Квартиль 1</c:v>
                </c:pt>
                <c:pt idx="1">
                  <c:v>Квартиль 2</c:v>
                </c:pt>
                <c:pt idx="2">
                  <c:v>Квартиль 3</c:v>
                </c:pt>
                <c:pt idx="3">
                  <c:v>Квартиль 3 </c:v>
                </c:pt>
              </c:strCache>
            </c:strRef>
          </c:cat>
          <c:val>
            <c:numRef>
              <c:f>Лист1!$D$2:$D$5</c:f>
              <c:numCache>
                <c:formatCode>General</c:formatCode>
                <c:ptCount val="4"/>
                <c:pt idx="0">
                  <c:v>26.98</c:v>
                </c:pt>
                <c:pt idx="1">
                  <c:v>28.57</c:v>
                </c:pt>
                <c:pt idx="2">
                  <c:v>23.81</c:v>
                </c:pt>
                <c:pt idx="3">
                  <c:v>19.05</c:v>
                </c:pt>
              </c:numCache>
            </c:numRef>
          </c:val>
          <c:extLst>
            <c:ext xmlns:c16="http://schemas.microsoft.com/office/drawing/2014/chart" uri="{C3380CC4-5D6E-409C-BE32-E72D297353CC}">
              <c16:uniqueId val="{00000002-F33D-491C-A049-94A2C0B8658B}"/>
            </c:ext>
          </c:extLst>
        </c:ser>
        <c:dLbls>
          <c:showLegendKey val="0"/>
          <c:showVal val="0"/>
          <c:showCatName val="0"/>
          <c:showSerName val="0"/>
          <c:showPercent val="0"/>
          <c:showBubbleSize val="0"/>
        </c:dLbls>
        <c:gapWidth val="150"/>
        <c:shape val="box"/>
        <c:axId val="1035774976"/>
        <c:axId val="1035785344"/>
        <c:axId val="0"/>
      </c:bar3DChart>
      <c:catAx>
        <c:axId val="1035774976"/>
        <c:scaling>
          <c:orientation val="minMax"/>
        </c:scaling>
        <c:delete val="0"/>
        <c:axPos val="b"/>
        <c:title>
          <c:tx>
            <c:rich>
              <a:bodyPr/>
              <a:lstStyle/>
              <a:p>
                <a:pPr>
                  <a:defRPr/>
                </a:pPr>
                <a:r>
                  <a:rPr lang="ru-RU"/>
                  <a:t>Відносна довжина теломер клітин букального епітелію, ум.од.</a:t>
                </a:r>
              </a:p>
            </c:rich>
          </c:tx>
          <c:layout>
            <c:manualLayout>
              <c:xMode val="edge"/>
              <c:yMode val="edge"/>
              <c:x val="0.15110691892680078"/>
              <c:y val="0.91982127234095734"/>
            </c:manualLayout>
          </c:layout>
          <c:overlay val="0"/>
        </c:title>
        <c:numFmt formatCode="General" sourceLinked="0"/>
        <c:majorTickMark val="out"/>
        <c:minorTickMark val="none"/>
        <c:tickLblPos val="nextTo"/>
        <c:crossAx val="1035785344"/>
        <c:crosses val="autoZero"/>
        <c:auto val="1"/>
        <c:lblAlgn val="ctr"/>
        <c:lblOffset val="100"/>
        <c:noMultiLvlLbl val="0"/>
      </c:catAx>
      <c:valAx>
        <c:axId val="1035785344"/>
        <c:scaling>
          <c:orientation val="minMax"/>
          <c:max val="60"/>
        </c:scaling>
        <c:delete val="0"/>
        <c:axPos val="l"/>
        <c:majorGridlines/>
        <c:title>
          <c:tx>
            <c:rich>
              <a:bodyPr rot="-5400000" vert="horz"/>
              <a:lstStyle/>
              <a:p>
                <a:pPr>
                  <a:defRPr/>
                </a:pPr>
                <a:r>
                  <a:rPr lang="ru-RU" sz="1200" b="0">
                    <a:latin typeface="Times New Roman" pitchFamily="18" charset="0"/>
                    <a:cs typeface="Times New Roman" pitchFamily="18" charset="0"/>
                  </a:rPr>
                  <a:t>Кількість пацієнтів</a:t>
                </a:r>
                <a:r>
                  <a:rPr lang="ru-RU"/>
                  <a:t>, %</a:t>
                </a:r>
              </a:p>
            </c:rich>
          </c:tx>
          <c:overlay val="0"/>
        </c:title>
        <c:numFmt formatCode="General" sourceLinked="1"/>
        <c:majorTickMark val="out"/>
        <c:minorTickMark val="none"/>
        <c:tickLblPos val="nextTo"/>
        <c:crossAx val="1035774976"/>
        <c:crosses val="autoZero"/>
        <c:crossBetween val="between"/>
      </c:valAx>
    </c:plotArea>
    <c:legend>
      <c:legendPos val="r"/>
      <c:layout>
        <c:manualLayout>
          <c:xMode val="edge"/>
          <c:yMode val="edge"/>
          <c:x val="0.7856679314049474"/>
          <c:y val="0.16969442142883642"/>
          <c:w val="0.20049436893147538"/>
          <c:h val="0.43755650012774949"/>
        </c:manualLayout>
      </c:layout>
      <c:overlay val="0"/>
    </c:legend>
    <c:plotVisOnly val="1"/>
    <c:dispBlanksAs val="gap"/>
    <c:showDLblsOverMax val="0"/>
  </c:chart>
  <c:spPr>
    <a:scene3d>
      <a:camera prst="orthographicFront"/>
      <a:lightRig rig="threePt" dir="t"/>
    </a:scene3d>
    <a:sp3d>
      <a:bevelT w="0"/>
    </a:sp3d>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988050099151881"/>
          <c:y val="5.1735879240630799E-2"/>
          <c:w val="0.82961088539076178"/>
          <c:h val="0.73499044552223491"/>
        </c:manualLayout>
      </c:layout>
      <c:barChart>
        <c:barDir val="col"/>
        <c:grouping val="clustered"/>
        <c:varyColors val="0"/>
        <c:ser>
          <c:idx val="0"/>
          <c:order val="0"/>
          <c:tx>
            <c:strRef>
              <c:f>Лист1!$B$1</c:f>
              <c:strCache>
                <c:ptCount val="1"/>
                <c:pt idx="0">
                  <c:v>ТТГ від 4,0 до 6,0 мкМО/мл</c:v>
                </c:pt>
              </c:strCache>
            </c:strRef>
          </c:tx>
          <c:invertIfNegative val="0"/>
          <c:cat>
            <c:strRef>
              <c:f>Лист1!$A$2:$A$3</c:f>
              <c:strCache>
                <c:ptCount val="2"/>
                <c:pt idx="0">
                  <c:v>ВДТ крові, ум.один.</c:v>
                </c:pt>
                <c:pt idx="1">
                  <c:v>ВДТ клітин бук.епіт., ум.один.</c:v>
                </c:pt>
              </c:strCache>
            </c:strRef>
          </c:cat>
          <c:val>
            <c:numRef>
              <c:f>Лист1!$B$2:$B$3</c:f>
              <c:numCache>
                <c:formatCode>General</c:formatCode>
                <c:ptCount val="2"/>
                <c:pt idx="0">
                  <c:v>0.98</c:v>
                </c:pt>
                <c:pt idx="1">
                  <c:v>1</c:v>
                </c:pt>
              </c:numCache>
            </c:numRef>
          </c:val>
          <c:extLst>
            <c:ext xmlns:c16="http://schemas.microsoft.com/office/drawing/2014/chart" uri="{C3380CC4-5D6E-409C-BE32-E72D297353CC}">
              <c16:uniqueId val="{00000000-C061-4D90-AEA2-A2FE93DF97E1}"/>
            </c:ext>
          </c:extLst>
        </c:ser>
        <c:ser>
          <c:idx val="1"/>
          <c:order val="1"/>
          <c:tx>
            <c:strRef>
              <c:f>Лист1!$C$1</c:f>
              <c:strCache>
                <c:ptCount val="1"/>
                <c:pt idx="0">
                  <c:v>ТТГ від 6,1 до 10,0 мкМО/мл</c:v>
                </c:pt>
              </c:strCache>
            </c:strRef>
          </c:tx>
          <c:invertIfNegative val="0"/>
          <c:cat>
            <c:strRef>
              <c:f>Лист1!$A$2:$A$3</c:f>
              <c:strCache>
                <c:ptCount val="2"/>
                <c:pt idx="0">
                  <c:v>ВДТ крові, ум.один.</c:v>
                </c:pt>
                <c:pt idx="1">
                  <c:v>ВДТ клітин бук.епіт., ум.один.</c:v>
                </c:pt>
              </c:strCache>
            </c:strRef>
          </c:cat>
          <c:val>
            <c:numRef>
              <c:f>Лист1!$C$2:$C$3</c:f>
              <c:numCache>
                <c:formatCode>General</c:formatCode>
                <c:ptCount val="2"/>
                <c:pt idx="0">
                  <c:v>0.86</c:v>
                </c:pt>
                <c:pt idx="1">
                  <c:v>0.91</c:v>
                </c:pt>
              </c:numCache>
            </c:numRef>
          </c:val>
          <c:extLst>
            <c:ext xmlns:c16="http://schemas.microsoft.com/office/drawing/2014/chart" uri="{C3380CC4-5D6E-409C-BE32-E72D297353CC}">
              <c16:uniqueId val="{00000001-C061-4D90-AEA2-A2FE93DF97E1}"/>
            </c:ext>
          </c:extLst>
        </c:ser>
        <c:dLbls>
          <c:showLegendKey val="0"/>
          <c:showVal val="0"/>
          <c:showCatName val="0"/>
          <c:showSerName val="0"/>
          <c:showPercent val="0"/>
          <c:showBubbleSize val="0"/>
        </c:dLbls>
        <c:gapWidth val="150"/>
        <c:axId val="1045137280"/>
        <c:axId val="1045138816"/>
      </c:barChart>
      <c:catAx>
        <c:axId val="1045137280"/>
        <c:scaling>
          <c:orientation val="minMax"/>
        </c:scaling>
        <c:delete val="0"/>
        <c:axPos val="b"/>
        <c:numFmt formatCode="General" sourceLinked="0"/>
        <c:majorTickMark val="out"/>
        <c:minorTickMark val="none"/>
        <c:tickLblPos val="nextTo"/>
        <c:crossAx val="1045138816"/>
        <c:crosses val="autoZero"/>
        <c:auto val="1"/>
        <c:lblAlgn val="ctr"/>
        <c:lblOffset val="100"/>
        <c:noMultiLvlLbl val="0"/>
      </c:catAx>
      <c:valAx>
        <c:axId val="1045138816"/>
        <c:scaling>
          <c:orientation val="minMax"/>
          <c:max val="2.0499999999999998"/>
        </c:scaling>
        <c:delete val="0"/>
        <c:axPos val="l"/>
        <c:majorGridlines/>
        <c:numFmt formatCode="General" sourceLinked="1"/>
        <c:majorTickMark val="out"/>
        <c:minorTickMark val="none"/>
        <c:tickLblPos val="nextTo"/>
        <c:crossAx val="1045137280"/>
        <c:crosses val="autoZero"/>
        <c:crossBetween val="between"/>
      </c:valAx>
      <c:spPr>
        <a:ln w="6350"/>
      </c:spPr>
    </c:plotArea>
    <c:legend>
      <c:legendPos val="b"/>
      <c:layout>
        <c:manualLayout>
          <c:xMode val="edge"/>
          <c:yMode val="edge"/>
          <c:x val="4.9794260874563227E-2"/>
          <c:y val="0.81054070383613475"/>
          <c:w val="0.90876051823720816"/>
          <c:h val="0.16150570792462215"/>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02026871286982"/>
          <c:y val="4.3411611671708192E-2"/>
          <c:w val="0.84039102896569062"/>
          <c:h val="0.72772644678156484"/>
        </c:manualLayout>
      </c:layout>
      <c:barChart>
        <c:barDir val="col"/>
        <c:grouping val="clustered"/>
        <c:varyColors val="0"/>
        <c:ser>
          <c:idx val="0"/>
          <c:order val="0"/>
          <c:tx>
            <c:strRef>
              <c:f>Лист1!$B$1</c:f>
              <c:strCache>
                <c:ptCount val="1"/>
                <c:pt idx="0">
                  <c:v>ТТГ від 4,0 до 7,0 мкМО/мл</c:v>
                </c:pt>
              </c:strCache>
            </c:strRef>
          </c:tx>
          <c:invertIfNegative val="0"/>
          <c:cat>
            <c:strRef>
              <c:f>Лист1!$A$2:$A$3</c:f>
              <c:strCache>
                <c:ptCount val="2"/>
                <c:pt idx="0">
                  <c:v>ВДТ крові, ум.один.</c:v>
                </c:pt>
                <c:pt idx="1">
                  <c:v>ВДТ клітин бук.епіт., ум.один.</c:v>
                </c:pt>
              </c:strCache>
            </c:strRef>
          </c:cat>
          <c:val>
            <c:numRef>
              <c:f>Лист1!$B$2:$B$3</c:f>
              <c:numCache>
                <c:formatCode>General</c:formatCode>
                <c:ptCount val="2"/>
                <c:pt idx="0">
                  <c:v>0.97</c:v>
                </c:pt>
                <c:pt idx="1">
                  <c:v>0.95</c:v>
                </c:pt>
              </c:numCache>
            </c:numRef>
          </c:val>
          <c:extLst>
            <c:ext xmlns:c16="http://schemas.microsoft.com/office/drawing/2014/chart" uri="{C3380CC4-5D6E-409C-BE32-E72D297353CC}">
              <c16:uniqueId val="{00000000-41B3-45A9-B676-4687AD41DA71}"/>
            </c:ext>
          </c:extLst>
        </c:ser>
        <c:ser>
          <c:idx val="1"/>
          <c:order val="1"/>
          <c:tx>
            <c:strRef>
              <c:f>Лист1!$C$1</c:f>
              <c:strCache>
                <c:ptCount val="1"/>
                <c:pt idx="0">
                  <c:v>ТТГ від 7,1 до 10,0 мкМО/мл</c:v>
                </c:pt>
              </c:strCache>
            </c:strRef>
          </c:tx>
          <c:invertIfNegative val="0"/>
          <c:cat>
            <c:strRef>
              <c:f>Лист1!$A$2:$A$3</c:f>
              <c:strCache>
                <c:ptCount val="2"/>
                <c:pt idx="0">
                  <c:v>ВДТ крові, ум.один.</c:v>
                </c:pt>
                <c:pt idx="1">
                  <c:v>ВДТ клітин бук.епіт., ум.один.</c:v>
                </c:pt>
              </c:strCache>
            </c:strRef>
          </c:cat>
          <c:val>
            <c:numRef>
              <c:f>Лист1!$C$2:$C$3</c:f>
              <c:numCache>
                <c:formatCode>General</c:formatCode>
                <c:ptCount val="2"/>
                <c:pt idx="0">
                  <c:v>0.78</c:v>
                </c:pt>
                <c:pt idx="1">
                  <c:v>1.04</c:v>
                </c:pt>
              </c:numCache>
            </c:numRef>
          </c:val>
          <c:extLst>
            <c:ext xmlns:c16="http://schemas.microsoft.com/office/drawing/2014/chart" uri="{C3380CC4-5D6E-409C-BE32-E72D297353CC}">
              <c16:uniqueId val="{00000001-41B3-45A9-B676-4687AD41DA71}"/>
            </c:ext>
          </c:extLst>
        </c:ser>
        <c:dLbls>
          <c:showLegendKey val="0"/>
          <c:showVal val="0"/>
          <c:showCatName val="0"/>
          <c:showSerName val="0"/>
          <c:showPercent val="0"/>
          <c:showBubbleSize val="0"/>
        </c:dLbls>
        <c:gapWidth val="150"/>
        <c:axId val="1045213184"/>
        <c:axId val="1045214720"/>
      </c:barChart>
      <c:catAx>
        <c:axId val="1045213184"/>
        <c:scaling>
          <c:orientation val="minMax"/>
        </c:scaling>
        <c:delete val="0"/>
        <c:axPos val="b"/>
        <c:numFmt formatCode="General" sourceLinked="0"/>
        <c:majorTickMark val="out"/>
        <c:minorTickMark val="none"/>
        <c:tickLblPos val="nextTo"/>
        <c:crossAx val="1045214720"/>
        <c:crosses val="autoZero"/>
        <c:auto val="1"/>
        <c:lblAlgn val="ctr"/>
        <c:lblOffset val="100"/>
        <c:noMultiLvlLbl val="0"/>
      </c:catAx>
      <c:valAx>
        <c:axId val="1045214720"/>
        <c:scaling>
          <c:orientation val="minMax"/>
          <c:max val="2.0499999999999998"/>
        </c:scaling>
        <c:delete val="0"/>
        <c:axPos val="l"/>
        <c:majorGridlines/>
        <c:numFmt formatCode="General" sourceLinked="1"/>
        <c:majorTickMark val="out"/>
        <c:minorTickMark val="none"/>
        <c:tickLblPos val="nextTo"/>
        <c:crossAx val="1045213184"/>
        <c:crosses val="autoZero"/>
        <c:crossBetween val="between"/>
      </c:valAx>
    </c:plotArea>
    <c:legend>
      <c:legendPos val="b"/>
      <c:overlay val="0"/>
    </c:legend>
    <c:plotVisOnly val="1"/>
    <c:dispBlanksAs val="gap"/>
    <c:showDLblsOverMax val="0"/>
  </c:chart>
  <c:spPr>
    <a:ln w="9525"/>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rAngAx val="0"/>
      <c:perspective val="1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До лікування</c:v>
                </c:pt>
              </c:strCache>
            </c:strRef>
          </c:tx>
          <c:spPr>
            <a:solidFill>
              <a:srgbClr val="FFC000"/>
            </a:solidFill>
          </c:spPr>
          <c:invertIfNegative val="0"/>
          <c:cat>
            <c:strRef>
              <c:f>Лист1!$A$2:$A$5</c:f>
              <c:strCache>
                <c:ptCount val="3"/>
                <c:pt idx="0">
                  <c:v>ВДТ крові,ум.од.</c:v>
                </c:pt>
                <c:pt idx="2">
                  <c:v>ВДТ кл.бук.еп., ум.од.</c:v>
                </c:pt>
              </c:strCache>
            </c:strRef>
          </c:cat>
          <c:val>
            <c:numRef>
              <c:f>Лист1!$B$2:$B$5</c:f>
              <c:numCache>
                <c:formatCode>General</c:formatCode>
                <c:ptCount val="4"/>
                <c:pt idx="0">
                  <c:v>0.95030000000000003</c:v>
                </c:pt>
                <c:pt idx="2">
                  <c:v>0.8871</c:v>
                </c:pt>
              </c:numCache>
            </c:numRef>
          </c:val>
          <c:extLst>
            <c:ext xmlns:c16="http://schemas.microsoft.com/office/drawing/2014/chart" uri="{C3380CC4-5D6E-409C-BE32-E72D297353CC}">
              <c16:uniqueId val="{00000000-030D-412B-B486-979E437F82BB}"/>
            </c:ext>
          </c:extLst>
        </c:ser>
        <c:ser>
          <c:idx val="1"/>
          <c:order val="1"/>
          <c:tx>
            <c:strRef>
              <c:f>Лист1!$C$1</c:f>
              <c:strCache>
                <c:ptCount val="1"/>
                <c:pt idx="0">
                  <c:v>Через 12 місяців спостереження</c:v>
                </c:pt>
              </c:strCache>
            </c:strRef>
          </c:tx>
          <c:spPr>
            <a:solidFill>
              <a:schemeClr val="accent1"/>
            </a:solidFill>
          </c:spPr>
          <c:invertIfNegative val="0"/>
          <c:cat>
            <c:strRef>
              <c:f>Лист1!$A$2:$A$5</c:f>
              <c:strCache>
                <c:ptCount val="3"/>
                <c:pt idx="0">
                  <c:v>ВДТ крові,ум.од.</c:v>
                </c:pt>
                <c:pt idx="2">
                  <c:v>ВДТ кл.бук.еп., ум.од.</c:v>
                </c:pt>
              </c:strCache>
            </c:strRef>
          </c:cat>
          <c:val>
            <c:numRef>
              <c:f>Лист1!$C$2:$C$5</c:f>
              <c:numCache>
                <c:formatCode>General</c:formatCode>
                <c:ptCount val="4"/>
                <c:pt idx="0">
                  <c:v>0.96</c:v>
                </c:pt>
                <c:pt idx="2">
                  <c:v>0.8921</c:v>
                </c:pt>
              </c:numCache>
            </c:numRef>
          </c:val>
          <c:extLst>
            <c:ext xmlns:c16="http://schemas.microsoft.com/office/drawing/2014/chart" uri="{C3380CC4-5D6E-409C-BE32-E72D297353CC}">
              <c16:uniqueId val="{00000001-030D-412B-B486-979E437F82BB}"/>
            </c:ext>
          </c:extLst>
        </c:ser>
        <c:dLbls>
          <c:showLegendKey val="0"/>
          <c:showVal val="0"/>
          <c:showCatName val="0"/>
          <c:showSerName val="0"/>
          <c:showPercent val="0"/>
          <c:showBubbleSize val="0"/>
        </c:dLbls>
        <c:gapWidth val="150"/>
        <c:shape val="cylinder"/>
        <c:axId val="1045232640"/>
        <c:axId val="1046553344"/>
        <c:axId val="0"/>
      </c:bar3DChart>
      <c:catAx>
        <c:axId val="1045232640"/>
        <c:scaling>
          <c:orientation val="minMax"/>
        </c:scaling>
        <c:delete val="0"/>
        <c:axPos val="b"/>
        <c:numFmt formatCode="General" sourceLinked="0"/>
        <c:majorTickMark val="out"/>
        <c:minorTickMark val="none"/>
        <c:tickLblPos val="nextTo"/>
        <c:txPr>
          <a:bodyPr/>
          <a:lstStyle/>
          <a:p>
            <a:pPr>
              <a:defRPr sz="1400">
                <a:latin typeface="Times New Roman" pitchFamily="18" charset="0"/>
                <a:cs typeface="Times New Roman" pitchFamily="18" charset="0"/>
              </a:defRPr>
            </a:pPr>
            <a:endParaRPr lang="ru-RU"/>
          </a:p>
        </c:txPr>
        <c:crossAx val="1046553344"/>
        <c:crosses val="autoZero"/>
        <c:auto val="1"/>
        <c:lblAlgn val="ctr"/>
        <c:lblOffset val="100"/>
        <c:noMultiLvlLbl val="0"/>
      </c:catAx>
      <c:valAx>
        <c:axId val="1046553344"/>
        <c:scaling>
          <c:orientation val="minMax"/>
          <c:max val="1"/>
          <c:min val="0.8"/>
        </c:scaling>
        <c:delete val="0"/>
        <c:axPos val="l"/>
        <c:majorGridlines/>
        <c:numFmt formatCode="General" sourceLinked="1"/>
        <c:majorTickMark val="out"/>
        <c:minorTickMark val="none"/>
        <c:tickLblPos val="nextTo"/>
        <c:txPr>
          <a:bodyPr/>
          <a:lstStyle/>
          <a:p>
            <a:pPr>
              <a:defRPr sz="1400">
                <a:latin typeface="Times New Roman" pitchFamily="18" charset="0"/>
                <a:cs typeface="Times New Roman" pitchFamily="18" charset="0"/>
              </a:defRPr>
            </a:pPr>
            <a:endParaRPr lang="ru-RU"/>
          </a:p>
        </c:txPr>
        <c:crossAx val="1045232640"/>
        <c:crosses val="autoZero"/>
        <c:crossBetween val="between"/>
      </c:valAx>
    </c:plotArea>
    <c:legend>
      <c:legendPos val="b"/>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txPr>
    <a:bodyPr/>
    <a:lstStyle/>
    <a:p>
      <a:pPr>
        <a:defRPr sz="1800"/>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Група контролю</c:v>
                </c:pt>
              </c:strCache>
            </c:strRef>
          </c:tx>
          <c:invertIfNegative val="0"/>
          <c:cat>
            <c:strRef>
              <c:f>Лист1!$A$2</c:f>
              <c:strCache>
                <c:ptCount val="1"/>
                <c:pt idx="0">
                  <c:v>VEGF-А,пг/мл</c:v>
                </c:pt>
              </c:strCache>
            </c:strRef>
          </c:cat>
          <c:val>
            <c:numRef>
              <c:f>Лист1!$B$2</c:f>
              <c:numCache>
                <c:formatCode>General</c:formatCode>
                <c:ptCount val="1"/>
                <c:pt idx="0">
                  <c:v>127.5</c:v>
                </c:pt>
              </c:numCache>
            </c:numRef>
          </c:val>
          <c:extLst>
            <c:ext xmlns:c16="http://schemas.microsoft.com/office/drawing/2014/chart" uri="{C3380CC4-5D6E-409C-BE32-E72D297353CC}">
              <c16:uniqueId val="{00000000-3022-4F51-B098-646EB16D1707}"/>
            </c:ext>
          </c:extLst>
        </c:ser>
        <c:ser>
          <c:idx val="1"/>
          <c:order val="1"/>
          <c:tx>
            <c:strRef>
              <c:f>Лист1!$C$1</c:f>
              <c:strCache>
                <c:ptCount val="1"/>
                <c:pt idx="0">
                  <c:v>Столбец1</c:v>
                </c:pt>
              </c:strCache>
            </c:strRef>
          </c:tx>
          <c:invertIfNegative val="0"/>
          <c:cat>
            <c:strRef>
              <c:f>Лист1!$A$2</c:f>
              <c:strCache>
                <c:ptCount val="1"/>
                <c:pt idx="0">
                  <c:v>VEGF-А,пг/мл</c:v>
                </c:pt>
              </c:strCache>
            </c:strRef>
          </c:cat>
          <c:val>
            <c:numRef>
              <c:f>Лист1!$C$2</c:f>
              <c:numCache>
                <c:formatCode>General</c:formatCode>
                <c:ptCount val="1"/>
              </c:numCache>
            </c:numRef>
          </c:val>
          <c:extLst>
            <c:ext xmlns:c16="http://schemas.microsoft.com/office/drawing/2014/chart" uri="{C3380CC4-5D6E-409C-BE32-E72D297353CC}">
              <c16:uniqueId val="{00000001-3022-4F51-B098-646EB16D1707}"/>
            </c:ext>
          </c:extLst>
        </c:ser>
        <c:ser>
          <c:idx val="2"/>
          <c:order val="2"/>
          <c:tx>
            <c:strRef>
              <c:f>Лист1!$D$1</c:f>
              <c:strCache>
                <c:ptCount val="1"/>
                <c:pt idx="0">
                  <c:v>3 група до лікування левотироксином </c:v>
                </c:pt>
              </c:strCache>
            </c:strRef>
          </c:tx>
          <c:invertIfNegative val="0"/>
          <c:cat>
            <c:strRef>
              <c:f>Лист1!$A$2</c:f>
              <c:strCache>
                <c:ptCount val="1"/>
                <c:pt idx="0">
                  <c:v>VEGF-А,пг/мл</c:v>
                </c:pt>
              </c:strCache>
            </c:strRef>
          </c:cat>
          <c:val>
            <c:numRef>
              <c:f>Лист1!$D$2</c:f>
              <c:numCache>
                <c:formatCode>General</c:formatCode>
                <c:ptCount val="1"/>
                <c:pt idx="0">
                  <c:v>482.77</c:v>
                </c:pt>
              </c:numCache>
            </c:numRef>
          </c:val>
          <c:extLst>
            <c:ext xmlns:c16="http://schemas.microsoft.com/office/drawing/2014/chart" uri="{C3380CC4-5D6E-409C-BE32-E72D297353CC}">
              <c16:uniqueId val="{00000002-3022-4F51-B098-646EB16D1707}"/>
            </c:ext>
          </c:extLst>
        </c:ser>
        <c:ser>
          <c:idx val="3"/>
          <c:order val="3"/>
          <c:tx>
            <c:strRef>
              <c:f>Лист1!$E$1</c:f>
              <c:strCache>
                <c:ptCount val="1"/>
                <c:pt idx="0">
                  <c:v> 3 група через 12 місяців лікування</c:v>
                </c:pt>
              </c:strCache>
            </c:strRef>
          </c:tx>
          <c:invertIfNegative val="0"/>
          <c:cat>
            <c:strRef>
              <c:f>Лист1!$A$2</c:f>
              <c:strCache>
                <c:ptCount val="1"/>
                <c:pt idx="0">
                  <c:v>VEGF-А,пг/мл</c:v>
                </c:pt>
              </c:strCache>
            </c:strRef>
          </c:cat>
          <c:val>
            <c:numRef>
              <c:f>Лист1!$E$2</c:f>
              <c:numCache>
                <c:formatCode>General</c:formatCode>
                <c:ptCount val="1"/>
                <c:pt idx="0">
                  <c:v>418.82</c:v>
                </c:pt>
              </c:numCache>
            </c:numRef>
          </c:val>
          <c:extLst>
            <c:ext xmlns:c16="http://schemas.microsoft.com/office/drawing/2014/chart" uri="{C3380CC4-5D6E-409C-BE32-E72D297353CC}">
              <c16:uniqueId val="{00000003-3022-4F51-B098-646EB16D1707}"/>
            </c:ext>
          </c:extLst>
        </c:ser>
        <c:dLbls>
          <c:showLegendKey val="0"/>
          <c:showVal val="0"/>
          <c:showCatName val="0"/>
          <c:showSerName val="0"/>
          <c:showPercent val="0"/>
          <c:showBubbleSize val="0"/>
        </c:dLbls>
        <c:gapWidth val="150"/>
        <c:axId val="1028876928"/>
        <c:axId val="1031315840"/>
      </c:barChart>
      <c:catAx>
        <c:axId val="1028876928"/>
        <c:scaling>
          <c:orientation val="minMax"/>
        </c:scaling>
        <c:delete val="0"/>
        <c:axPos val="b"/>
        <c:numFmt formatCode="General" sourceLinked="0"/>
        <c:majorTickMark val="out"/>
        <c:minorTickMark val="none"/>
        <c:tickLblPos val="nextTo"/>
        <c:crossAx val="1031315840"/>
        <c:crosses val="autoZero"/>
        <c:auto val="1"/>
        <c:lblAlgn val="ctr"/>
        <c:lblOffset val="100"/>
        <c:noMultiLvlLbl val="0"/>
      </c:catAx>
      <c:valAx>
        <c:axId val="1031315840"/>
        <c:scaling>
          <c:orientation val="minMax"/>
          <c:min val="0"/>
        </c:scaling>
        <c:delete val="0"/>
        <c:axPos val="l"/>
        <c:majorGridlines/>
        <c:numFmt formatCode="General" sourceLinked="1"/>
        <c:majorTickMark val="out"/>
        <c:minorTickMark val="none"/>
        <c:tickLblPos val="nextTo"/>
        <c:crossAx val="1028876928"/>
        <c:crosses val="autoZero"/>
        <c:crossBetween val="between"/>
      </c:valAx>
    </c:plotArea>
    <c:legend>
      <c:legendPos val="r"/>
      <c:legendEntry>
        <c:idx val="1"/>
        <c:delete val="1"/>
      </c:legendEntry>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C7CB1-9510-4590-A4EF-4F901425B4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103343</Words>
  <Characters>589059</Characters>
  <Application>Microsoft Office Word</Application>
  <DocSecurity>0</DocSecurity>
  <Lines>4908</Lines>
  <Paragraphs>1382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691020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ЛЕРА</dc:creator>
  <cp:lastModifiedBy>Пользователь User</cp:lastModifiedBy>
  <cp:revision>3</cp:revision>
  <dcterms:created xsi:type="dcterms:W3CDTF">2020-12-14T08:24:00Z</dcterms:created>
  <dcterms:modified xsi:type="dcterms:W3CDTF">2020-12-14T08:24:00Z</dcterms:modified>
</cp:coreProperties>
</file>